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253" w:lineRule="exact"/>
        <w:rPr>
          <w:sz w:val="24"/>
          <w:szCs w:val="24"/>
          <w:color w:val="auto"/>
        </w:rPr>
      </w:pPr>
    </w:p>
    <w:p>
      <w:pPr>
        <w:jc w:val="center"/>
        <w:spacing w:after="0" w:line="256"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95" w:lineRule="exact"/>
        <w:rPr>
          <w:sz w:val="24"/>
          <w:szCs w:val="24"/>
          <w:color w:val="auto"/>
        </w:rPr>
      </w:pPr>
    </w:p>
    <w:p>
      <w:pPr>
        <w:spacing w:after="0"/>
        <w:rPr>
          <w:sz w:val="20"/>
          <w:szCs w:val="20"/>
          <w:color w:val="auto"/>
        </w:rPr>
      </w:pPr>
      <w:r>
        <w:rPr>
          <w:rFonts w:ascii="Arial" w:cs="Arial" w:eastAsia="Arial" w:hAnsi="Arial"/>
          <w:sz w:val="22"/>
          <w:szCs w:val="22"/>
          <w:color w:val="auto"/>
        </w:rPr>
        <w:t>For the month of July 2023.</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Commission File Number 001-36433</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GasLog Partners LP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 GasLog LNG Services Ltd.</w:t>
      </w:r>
    </w:p>
    <w:p>
      <w:pPr>
        <w:jc w:val="center"/>
        <w:spacing w:after="0" w:line="238" w:lineRule="auto"/>
        <w:rPr>
          <w:sz w:val="20"/>
          <w:szCs w:val="20"/>
          <w:color w:val="auto"/>
        </w:rPr>
      </w:pPr>
      <w:r>
        <w:rPr>
          <w:rFonts w:ascii="Arial" w:cs="Arial" w:eastAsia="Arial" w:hAnsi="Arial"/>
          <w:sz w:val="22"/>
          <w:szCs w:val="22"/>
          <w:color w:val="auto"/>
        </w:rPr>
        <w:t>69 Akti Miaouli 18537</w:t>
      </w:r>
    </w:p>
    <w:p>
      <w:pPr>
        <w:jc w:val="center"/>
        <w:spacing w:after="0" w:line="230" w:lineRule="auto"/>
        <w:rPr>
          <w:sz w:val="20"/>
          <w:szCs w:val="20"/>
          <w:color w:val="auto"/>
        </w:rPr>
      </w:pPr>
      <w:r>
        <w:rPr>
          <w:rFonts w:ascii="Arial" w:cs="Arial" w:eastAsia="Arial" w:hAnsi="Arial"/>
          <w:sz w:val="22"/>
          <w:szCs w:val="22"/>
          <w:color w:val="auto"/>
        </w:rPr>
        <w:t>Piraeus Greece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of principal executive office)</w:t>
      </w:r>
    </w:p>
    <w:p>
      <w:pPr>
        <w:spacing w:after="0" w:line="215" w:lineRule="exact"/>
        <w:rPr>
          <w:sz w:val="24"/>
          <w:szCs w:val="24"/>
          <w:color w:val="auto"/>
        </w:rPr>
      </w:pPr>
    </w:p>
    <w:p>
      <w:pPr>
        <w:ind w:right="1040"/>
        <w:spacing w:after="0" w:line="404" w:lineRule="exact"/>
        <w:rPr>
          <w:sz w:val="20"/>
          <w:szCs w:val="20"/>
          <w:color w:val="auto"/>
        </w:rPr>
      </w:pPr>
      <w:r>
        <w:rPr>
          <w:rFonts w:ascii="Arial" w:cs="Arial" w:eastAsia="Arial" w:hAnsi="Arial"/>
          <w:sz w:val="22"/>
          <w:szCs w:val="22"/>
          <w:color w:val="auto"/>
        </w:rPr>
        <w:t xml:space="preserve">Indicate by check mark whether the registrant files or will file annual reports under cover of Form 20-F or Form 40-F. 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3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r>
      <w:tr>
        <w:trPr>
          <w:trHeight w:val="459"/>
        </w:trPr>
        <w:tc>
          <w:tcPr>
            <w:tcW w:w="99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3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r>
      <w:tr>
        <w:trPr>
          <w:trHeight w:val="323"/>
        </w:trPr>
        <w:tc>
          <w:tcPr>
            <w:tcW w:w="99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63"/>
        </w:trPr>
        <w:tc>
          <w:tcPr>
            <w:tcW w:w="99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r>
      <w:tr>
        <w:trPr>
          <w:trHeight w:val="183"/>
        </w:trPr>
        <w:tc>
          <w:tcPr>
            <w:tcW w:w="9920" w:type="dxa"/>
            <w:vAlign w:val="bottom"/>
            <w:tcBorders>
              <w:bottom w:val="single" w:sz="8" w:color="BFBFBF"/>
            </w:tcBorders>
          </w:tcPr>
          <w:p>
            <w:pPr>
              <w:spacing w:after="0"/>
              <w:rPr>
                <w:sz w:val="15"/>
                <w:szCs w:val="15"/>
                <w:color w:val="auto"/>
              </w:rPr>
            </w:pPr>
          </w:p>
        </w:tc>
        <w:tc>
          <w:tcPr>
            <w:tcW w:w="1320" w:type="dxa"/>
            <w:vAlign w:val="bottom"/>
            <w:tcBorders>
              <w:bottom w:val="single" w:sz="8" w:color="BFBFBF"/>
            </w:tcBorders>
          </w:tcPr>
          <w:p>
            <w:pPr>
              <w:spacing w:after="0"/>
              <w:rPr>
                <w:sz w:val="15"/>
                <w:szCs w:val="15"/>
                <w:color w:val="auto"/>
              </w:rPr>
            </w:pPr>
          </w:p>
        </w:tc>
      </w:tr>
    </w:tbl>
    <w:p>
      <w:pPr>
        <w:sectPr>
          <w:pgSz w:w="11900" w:h="16838" w:orient="portrait"/>
          <w:cols w:equalWidth="0" w:num="1">
            <w:col w:w="11240"/>
          </w:cols>
          <w:pgMar w:left="320" w:top="774" w:right="339" w:bottom="1440" w:gutter="0" w:footer="0" w:header="0"/>
        </w:sectPr>
      </w:pPr>
    </w:p>
    <w:bookmarkStart w:id="1" w:name="page2"/>
    <w:bookmarkEnd w:id="1"/>
    <w:p>
      <w:pPr>
        <w:ind w:firstLine="648"/>
        <w:spacing w:after="0" w:line="238" w:lineRule="auto"/>
        <w:rPr>
          <w:sz w:val="20"/>
          <w:szCs w:val="20"/>
          <w:color w:val="auto"/>
        </w:rPr>
      </w:pPr>
      <w:r>
        <w:rPr>
          <w:rFonts w:ascii="Arial" w:cs="Arial" w:eastAsia="Arial" w:hAnsi="Arial"/>
          <w:sz w:val="22"/>
          <w:szCs w:val="22"/>
          <w:color w:val="auto"/>
        </w:rPr>
        <w:t>On July 17, 2023, Curtis V. Anastasio, Roland Fisher and Kristin H. Holth stepped down from the board of directors (the “Board”) of GasLog Partners LP (the “Partnership”), effective immediately. On July 19, 2023, the Partnership appointed James Berner as a director of the Partnership and a member of the audit committee of the Board. Following these changes, the Board currently consists of three directors.</w:t>
      </w:r>
    </w:p>
    <w:p>
      <w:pPr>
        <w:spacing w:after="0" w:line="212" w:lineRule="exact"/>
        <w:rPr>
          <w:sz w:val="20"/>
          <w:szCs w:val="20"/>
          <w:color w:val="auto"/>
        </w:rPr>
      </w:pPr>
    </w:p>
    <w:p>
      <w:pPr>
        <w:ind w:right="100" w:firstLine="648"/>
        <w:spacing w:after="0" w:line="249" w:lineRule="auto"/>
        <w:rPr>
          <w:sz w:val="20"/>
          <w:szCs w:val="20"/>
          <w:color w:val="auto"/>
        </w:rPr>
      </w:pPr>
      <w:r>
        <w:rPr>
          <w:rFonts w:ascii="Arial" w:cs="Arial" w:eastAsia="Arial" w:hAnsi="Arial"/>
          <w:sz w:val="21"/>
          <w:szCs w:val="21"/>
          <w:color w:val="auto"/>
        </w:rPr>
        <w:t>On July 21, 2023, the Board subsequently approved an amendment to the Partnership’s Seventh Amended and Restated Agreement of Limited Partnership that makes certain changes relating to the composition of the Board and other changes to reflect the ownership of all outstanding common units of the Partnership by GasLog Ltd. (“GasLog”) following the consummation of the previously announced merger involving GasLog and the Partnership on July 13, 2023. The Eighth Amended and Restated Agreement of Limited Partnership is attached hereto as Exhibit 3.2.</w:t>
      </w:r>
    </w:p>
    <w:p>
      <w:pPr>
        <w:spacing w:after="0" w:line="200" w:lineRule="exact"/>
        <w:rPr>
          <w:sz w:val="20"/>
          <w:szCs w:val="20"/>
          <w:color w:val="auto"/>
        </w:rPr>
      </w:pP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EXHIBIT LIST</w:t>
      </w:r>
    </w:p>
    <w:p>
      <w:pPr>
        <w:spacing w:after="0" w:line="24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u w:val="single" w:color="auto"/>
          <w:color w:val="0000EE"/>
        </w:rPr>
        <w:t>3.2</w:t>
      </w:r>
      <w:r>
        <w:rPr>
          <w:sz w:val="20"/>
          <w:szCs w:val="20"/>
          <w:color w:val="auto"/>
        </w:rPr>
        <w:tab/>
      </w:r>
      <w:r>
        <w:rPr>
          <w:rFonts w:ascii="Arial" w:cs="Arial" w:eastAsia="Arial" w:hAnsi="Arial"/>
          <w:sz w:val="16"/>
          <w:szCs w:val="16"/>
          <w:u w:val="single" w:color="auto"/>
          <w:color w:val="0000EE"/>
        </w:rPr>
        <w:t>Eighth Amended and Restated Agreement of Limited Partnership of the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604" w:right="49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firstLine="495"/>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GASLOG PARTNERS LP</w:t>
      </w:r>
    </w:p>
    <w:p>
      <w:pPr>
        <w:spacing w:after="0" w:line="225" w:lineRule="exact"/>
        <w:rPr>
          <w:sz w:val="20"/>
          <w:szCs w:val="20"/>
          <w:color w:val="auto"/>
        </w:rPr>
      </w:pPr>
    </w:p>
    <w:p>
      <w:pPr>
        <w:spacing w:after="0"/>
        <w:tabs>
          <w:tab w:leader="none" w:pos="5580" w:val="left"/>
        </w:tabs>
        <w:rPr>
          <w:sz w:val="20"/>
          <w:szCs w:val="20"/>
          <w:color w:val="auto"/>
        </w:rPr>
      </w:pPr>
      <w:r>
        <w:rPr>
          <w:rFonts w:ascii="Arial" w:cs="Arial" w:eastAsia="Arial" w:hAnsi="Arial"/>
          <w:sz w:val="18"/>
          <w:szCs w:val="18"/>
          <w:color w:val="auto"/>
        </w:rPr>
        <w:t>Date: July 24, 2023</w:t>
      </w:r>
      <w:r>
        <w:rPr>
          <w:sz w:val="20"/>
          <w:szCs w:val="20"/>
          <w:color w:val="auto"/>
        </w:rPr>
        <w:tab/>
      </w:r>
      <w:r>
        <w:rPr>
          <w:rFonts w:ascii="Arial" w:cs="Arial" w:eastAsia="Arial" w:hAnsi="Arial"/>
          <w:sz w:val="17"/>
          <w:szCs w:val="17"/>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031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Name:Paolo Enoizi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120"/>
          </w:cols>
          <w:pgMar w:left="320" w:top="355"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t>Exhibit 3.2</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229870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349885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EIGHTH AMENDED AND RESTATED</w:t>
      </w:r>
    </w:p>
    <w:p>
      <w:pPr>
        <w:spacing w:after="0" w:line="1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AGREEMENT OF LIMITED PARTNERSHIP</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OF</w:t>
      </w:r>
    </w:p>
    <w:p>
      <w:pPr>
        <w:spacing w:after="0" w:line="233"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GASLOG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482600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850900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918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060" w:type="dxa"/>
            <w:vAlign w:val="bottom"/>
            <w:gridSpan w:val="2"/>
            <w:vMerge w:val="restart"/>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6"/>
        </w:trPr>
        <w:tc>
          <w:tcPr>
            <w:tcW w:w="9180" w:type="dxa"/>
            <w:vAlign w:val="bottom"/>
          </w:tcPr>
          <w:p>
            <w:pPr>
              <w:spacing w:after="0"/>
              <w:rPr>
                <w:sz w:val="15"/>
                <w:szCs w:val="15"/>
                <w:color w:val="auto"/>
              </w:rPr>
            </w:pPr>
          </w:p>
        </w:tc>
        <w:tc>
          <w:tcPr>
            <w:tcW w:w="20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9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ARTICLE I DEFINITIONS AND CONSTRUCTION</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Section 1.1. Definitions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9180" w:type="dxa"/>
            <w:vAlign w:val="bottom"/>
          </w:tcPr>
          <w:p>
            <w:pPr>
              <w:ind w:left="460"/>
              <w:spacing w:after="0"/>
              <w:rPr>
                <w:sz w:val="20"/>
                <w:szCs w:val="20"/>
                <w:color w:val="auto"/>
              </w:rPr>
            </w:pPr>
            <w:r>
              <w:rPr>
                <w:rFonts w:ascii="Arial" w:cs="Arial" w:eastAsia="Arial" w:hAnsi="Arial"/>
                <w:sz w:val="18"/>
                <w:szCs w:val="18"/>
                <w:color w:val="auto"/>
              </w:rPr>
              <w:t>Section 1.2. Construction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ARTICLE II ORGANIZATION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460"/>
              <w:spacing w:after="0"/>
              <w:rPr>
                <w:sz w:val="20"/>
                <w:szCs w:val="20"/>
                <w:color w:val="auto"/>
              </w:rPr>
            </w:pPr>
            <w:r>
              <w:rPr>
                <w:rFonts w:ascii="Arial" w:cs="Arial" w:eastAsia="Arial" w:hAnsi="Arial"/>
                <w:sz w:val="18"/>
                <w:szCs w:val="18"/>
                <w:color w:val="auto"/>
              </w:rPr>
              <w:t>Section 2.1. Formation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Section 2.2. Name</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180" w:type="dxa"/>
            <w:vAlign w:val="bottom"/>
          </w:tcPr>
          <w:p>
            <w:pPr>
              <w:ind w:left="460"/>
              <w:spacing w:after="0"/>
              <w:rPr>
                <w:sz w:val="20"/>
                <w:szCs w:val="20"/>
                <w:color w:val="auto"/>
              </w:rPr>
            </w:pPr>
            <w:r>
              <w:rPr>
                <w:rFonts w:ascii="Arial" w:cs="Arial" w:eastAsia="Arial" w:hAnsi="Arial"/>
                <w:sz w:val="18"/>
                <w:szCs w:val="18"/>
                <w:color w:val="auto"/>
              </w:rPr>
              <w:t>Section 2.3. Registered Office; Registered Agent; Principal Office; Other Offices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Section 2.4. Purpose and Business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180" w:type="dxa"/>
            <w:vAlign w:val="bottom"/>
          </w:tcPr>
          <w:p>
            <w:pPr>
              <w:ind w:left="460"/>
              <w:spacing w:after="0"/>
              <w:rPr>
                <w:sz w:val="20"/>
                <w:szCs w:val="20"/>
                <w:color w:val="auto"/>
              </w:rPr>
            </w:pPr>
            <w:r>
              <w:rPr>
                <w:rFonts w:ascii="Arial" w:cs="Arial" w:eastAsia="Arial" w:hAnsi="Arial"/>
                <w:sz w:val="18"/>
                <w:szCs w:val="18"/>
                <w:color w:val="auto"/>
              </w:rPr>
              <w:t>Section 2.5. Powers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Section 2.6. Term</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180" w:type="dxa"/>
            <w:vAlign w:val="bottom"/>
          </w:tcPr>
          <w:p>
            <w:pPr>
              <w:ind w:left="460"/>
              <w:spacing w:after="0"/>
              <w:rPr>
                <w:sz w:val="20"/>
                <w:szCs w:val="20"/>
                <w:color w:val="auto"/>
              </w:rPr>
            </w:pPr>
            <w:r>
              <w:rPr>
                <w:rFonts w:ascii="Arial" w:cs="Arial" w:eastAsia="Arial" w:hAnsi="Arial"/>
                <w:sz w:val="18"/>
                <w:szCs w:val="18"/>
                <w:color w:val="auto"/>
              </w:rPr>
              <w:t>Section 2.7. Title to Partnership Assets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ARTICLE III RIGHTS OF LIMITED PARTNERS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ind w:left="460"/>
              <w:spacing w:after="0"/>
              <w:rPr>
                <w:sz w:val="20"/>
                <w:szCs w:val="20"/>
                <w:color w:val="auto"/>
              </w:rPr>
            </w:pPr>
            <w:r>
              <w:rPr>
                <w:rFonts w:ascii="Arial" w:cs="Arial" w:eastAsia="Arial" w:hAnsi="Arial"/>
                <w:sz w:val="18"/>
                <w:szCs w:val="18"/>
                <w:color w:val="auto"/>
              </w:rPr>
              <w:t>Section 3.1. Limitation of Liability</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Section 3.2. Management of Business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180" w:type="dxa"/>
            <w:vAlign w:val="bottom"/>
          </w:tcPr>
          <w:p>
            <w:pPr>
              <w:ind w:left="460"/>
              <w:spacing w:after="0"/>
              <w:rPr>
                <w:sz w:val="20"/>
                <w:szCs w:val="20"/>
                <w:color w:val="auto"/>
              </w:rPr>
            </w:pPr>
            <w:r>
              <w:rPr>
                <w:rFonts w:ascii="Arial" w:cs="Arial" w:eastAsia="Arial" w:hAnsi="Arial"/>
                <w:sz w:val="18"/>
                <w:szCs w:val="18"/>
                <w:color w:val="auto"/>
              </w:rPr>
              <w:t>Section 3.3. Outside Activities of the Limited Partners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Section 3.4. Rights of Limited Partners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ARTICLE IV CERTIFICATES; RECORD HOLDERS; TRANSFER OF PARTNERSHIP INTERESTS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Section 4.1. Certificates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180" w:type="dxa"/>
            <w:vAlign w:val="bottom"/>
          </w:tcPr>
          <w:p>
            <w:pPr>
              <w:ind w:left="460"/>
              <w:spacing w:after="0"/>
              <w:rPr>
                <w:sz w:val="20"/>
                <w:szCs w:val="20"/>
                <w:color w:val="auto"/>
              </w:rPr>
            </w:pPr>
            <w:r>
              <w:rPr>
                <w:rFonts w:ascii="Arial" w:cs="Arial" w:eastAsia="Arial" w:hAnsi="Arial"/>
                <w:sz w:val="18"/>
                <w:szCs w:val="18"/>
                <w:color w:val="auto"/>
              </w:rPr>
              <w:t>Section 4.2. Mutilated, Destroyed, Lost or Stolen Certificates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Section 4.3. Record Holders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180" w:type="dxa"/>
            <w:vAlign w:val="bottom"/>
          </w:tcPr>
          <w:p>
            <w:pPr>
              <w:ind w:left="460"/>
              <w:spacing w:after="0"/>
              <w:rPr>
                <w:sz w:val="20"/>
                <w:szCs w:val="20"/>
                <w:color w:val="auto"/>
              </w:rPr>
            </w:pPr>
            <w:r>
              <w:rPr>
                <w:rFonts w:ascii="Arial" w:cs="Arial" w:eastAsia="Arial" w:hAnsi="Arial"/>
                <w:sz w:val="18"/>
                <w:szCs w:val="18"/>
                <w:color w:val="auto"/>
              </w:rPr>
              <w:t>Section 4.4. Transfer Generally</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Section 4.5. Registration and Transfer of Limited Partner Interests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180" w:type="dxa"/>
            <w:vAlign w:val="bottom"/>
          </w:tcPr>
          <w:p>
            <w:pPr>
              <w:ind w:left="460"/>
              <w:spacing w:after="0"/>
              <w:rPr>
                <w:sz w:val="20"/>
                <w:szCs w:val="20"/>
                <w:color w:val="auto"/>
              </w:rPr>
            </w:pPr>
            <w:r>
              <w:rPr>
                <w:rFonts w:ascii="Arial" w:cs="Arial" w:eastAsia="Arial" w:hAnsi="Arial"/>
                <w:sz w:val="18"/>
                <w:szCs w:val="18"/>
                <w:color w:val="auto"/>
              </w:rPr>
              <w:t>Section 4.6. Transfer of the General Partner’s General Partner Interest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Section 4.7. Restrictions on Transfers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ARTICLE V CAPITAL CONTRIBUTIONS AND ISSUANCE OF PARTNERSHIP INTERESTS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Section 5.1. Interest and Withdrawal</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180" w:type="dxa"/>
            <w:vAlign w:val="bottom"/>
          </w:tcPr>
          <w:p>
            <w:pPr>
              <w:ind w:left="460"/>
              <w:spacing w:after="0"/>
              <w:rPr>
                <w:sz w:val="20"/>
                <w:szCs w:val="20"/>
                <w:color w:val="auto"/>
              </w:rPr>
            </w:pPr>
            <w:r>
              <w:rPr>
                <w:rFonts w:ascii="Arial" w:cs="Arial" w:eastAsia="Arial" w:hAnsi="Arial"/>
                <w:sz w:val="18"/>
                <w:szCs w:val="18"/>
                <w:color w:val="auto"/>
              </w:rPr>
              <w:t>Section 5.2. Issuances of Additional Partnership Interests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Section 5.3. Limitations on Issuance of Additional Partnership Interests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180" w:type="dxa"/>
            <w:vAlign w:val="bottom"/>
          </w:tcPr>
          <w:p>
            <w:pPr>
              <w:ind w:left="460"/>
              <w:spacing w:after="0"/>
              <w:rPr>
                <w:sz w:val="20"/>
                <w:szCs w:val="20"/>
                <w:color w:val="auto"/>
              </w:rPr>
            </w:pPr>
            <w:r>
              <w:rPr>
                <w:rFonts w:ascii="Arial" w:cs="Arial" w:eastAsia="Arial" w:hAnsi="Arial"/>
                <w:sz w:val="18"/>
                <w:szCs w:val="18"/>
                <w:color w:val="auto"/>
              </w:rPr>
              <w:t>Section 5.4. Limited Preemptive Right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Section 5.5. Splits and Combinations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9180" w:type="dxa"/>
            <w:vAlign w:val="bottom"/>
          </w:tcPr>
          <w:p>
            <w:pPr>
              <w:ind w:left="460"/>
              <w:spacing w:after="0"/>
              <w:rPr>
                <w:sz w:val="20"/>
                <w:szCs w:val="20"/>
                <w:color w:val="auto"/>
              </w:rPr>
            </w:pPr>
            <w:r>
              <w:rPr>
                <w:rFonts w:ascii="Arial" w:cs="Arial" w:eastAsia="Arial" w:hAnsi="Arial"/>
                <w:sz w:val="18"/>
                <w:szCs w:val="18"/>
                <w:color w:val="auto"/>
              </w:rPr>
              <w:t>Section 5.6. Fully Paid and Non-Assessable Nature of Limited Partner Interests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80" w:type="dxa"/>
            <w:vAlign w:val="bottom"/>
          </w:tcPr>
          <w:p>
            <w:pPr>
              <w:spacing w:after="0"/>
              <w:rPr>
                <w:sz w:val="20"/>
                <w:szCs w:val="20"/>
                <w:color w:val="auto"/>
              </w:rPr>
            </w:pPr>
            <w:r>
              <w:rPr>
                <w:rFonts w:ascii="Arial" w:cs="Arial" w:eastAsia="Arial" w:hAnsi="Arial"/>
                <w:sz w:val="18"/>
                <w:szCs w:val="18"/>
                <w:color w:val="auto"/>
              </w:rPr>
              <w:t>ARTICLE VI DISTRIBUTIONS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91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80" w:type="dxa"/>
            <w:vAlign w:val="bottom"/>
          </w:tcPr>
          <w:p>
            <w:pPr>
              <w:ind w:left="460"/>
              <w:spacing w:after="0"/>
              <w:rPr>
                <w:sz w:val="20"/>
                <w:szCs w:val="20"/>
                <w:color w:val="auto"/>
              </w:rPr>
            </w:pPr>
            <w:r>
              <w:rPr>
                <w:rFonts w:ascii="Arial" w:cs="Arial" w:eastAsia="Arial" w:hAnsi="Arial"/>
                <w:sz w:val="18"/>
                <w:szCs w:val="18"/>
                <w:color w:val="auto"/>
              </w:rPr>
              <w:t>Section 6.1. Allocations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8000" w:type="dxa"/>
            <w:vAlign w:val="bottom"/>
          </w:tcPr>
          <w:p>
            <w:pPr>
              <w:spacing w:after="0"/>
              <w:rPr>
                <w:sz w:val="17"/>
                <w:szCs w:val="17"/>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37"/>
        </w:trPr>
        <w:tc>
          <w:tcPr>
            <w:tcW w:w="118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r>
      <w:tr>
        <w:trPr>
          <w:trHeight w:val="216"/>
        </w:trPr>
        <w:tc>
          <w:tcPr>
            <w:tcW w:w="9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Section 6.2. Requirement and Characterization of Distributions; Distributions to Record Holders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9180" w:type="dxa"/>
            <w:vAlign w:val="bottom"/>
            <w:gridSpan w:val="2"/>
          </w:tcPr>
          <w:p>
            <w:pPr>
              <w:ind w:left="460"/>
              <w:spacing w:after="0"/>
              <w:rPr>
                <w:sz w:val="20"/>
                <w:szCs w:val="20"/>
                <w:color w:val="auto"/>
              </w:rPr>
            </w:pPr>
            <w:r>
              <w:rPr>
                <w:rFonts w:ascii="Arial" w:cs="Arial" w:eastAsia="Arial" w:hAnsi="Arial"/>
                <w:sz w:val="18"/>
                <w:szCs w:val="18"/>
                <w:color w:val="auto"/>
              </w:rPr>
              <w:t>Section 6.3. Distributions of Cash or Other Property</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18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ARTICLE VII MANAGEMENT AND OPERATION OF BUSINESS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18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9180" w:type="dxa"/>
            <w:vAlign w:val="bottom"/>
            <w:gridSpan w:val="2"/>
          </w:tcPr>
          <w:p>
            <w:pPr>
              <w:ind w:left="460"/>
              <w:spacing w:after="0"/>
              <w:rPr>
                <w:sz w:val="20"/>
                <w:szCs w:val="20"/>
                <w:color w:val="auto"/>
              </w:rPr>
            </w:pPr>
            <w:r>
              <w:rPr>
                <w:rFonts w:ascii="Arial" w:cs="Arial" w:eastAsia="Arial" w:hAnsi="Arial"/>
                <w:sz w:val="18"/>
                <w:szCs w:val="18"/>
                <w:color w:val="auto"/>
              </w:rPr>
              <w:t>Section 7.1. Management</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9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Section 7.2. Election and Appointment; Term; Manner of Acting</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180" w:type="dxa"/>
            <w:vAlign w:val="bottom"/>
            <w:gridSpan w:val="2"/>
          </w:tcPr>
          <w:p>
            <w:pPr>
              <w:ind w:left="460"/>
              <w:spacing w:after="0"/>
              <w:rPr>
                <w:sz w:val="20"/>
                <w:szCs w:val="20"/>
                <w:color w:val="auto"/>
              </w:rPr>
            </w:pPr>
            <w:r>
              <w:rPr>
                <w:rFonts w:ascii="Arial" w:cs="Arial" w:eastAsia="Arial" w:hAnsi="Arial"/>
                <w:sz w:val="18"/>
                <w:szCs w:val="18"/>
                <w:color w:val="auto"/>
              </w:rPr>
              <w:t>Section 7.3. Removal of Members of Board of Directors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9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Section 7.4. Resignations of Members of the Board of Directors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180" w:type="dxa"/>
            <w:vAlign w:val="bottom"/>
            <w:gridSpan w:val="2"/>
          </w:tcPr>
          <w:p>
            <w:pPr>
              <w:ind w:left="460"/>
              <w:spacing w:after="0"/>
              <w:rPr>
                <w:sz w:val="20"/>
                <w:szCs w:val="20"/>
                <w:color w:val="auto"/>
              </w:rPr>
            </w:pPr>
            <w:r>
              <w:rPr>
                <w:rFonts w:ascii="Arial" w:cs="Arial" w:eastAsia="Arial" w:hAnsi="Arial"/>
                <w:sz w:val="18"/>
                <w:szCs w:val="18"/>
                <w:color w:val="auto"/>
              </w:rPr>
              <w:t>Section 7.5. Vacancies on the Board of Directors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Section 7.6. Meetings; Committees; Chairman</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9180" w:type="dxa"/>
            <w:vAlign w:val="bottom"/>
            <w:gridSpan w:val="2"/>
          </w:tcPr>
          <w:p>
            <w:pPr>
              <w:ind w:left="460"/>
              <w:spacing w:after="0"/>
              <w:rPr>
                <w:sz w:val="20"/>
                <w:szCs w:val="20"/>
                <w:color w:val="auto"/>
              </w:rPr>
            </w:pPr>
            <w:r>
              <w:rPr>
                <w:rFonts w:ascii="Arial" w:cs="Arial" w:eastAsia="Arial" w:hAnsi="Arial"/>
                <w:sz w:val="18"/>
                <w:szCs w:val="18"/>
                <w:color w:val="auto"/>
              </w:rPr>
              <w:t>Section 7.7. Officers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9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Section 7.8. Compensation of Directors</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9180" w:type="dxa"/>
            <w:vAlign w:val="bottom"/>
            <w:gridSpan w:val="2"/>
          </w:tcPr>
          <w:p>
            <w:pPr>
              <w:ind w:left="460"/>
              <w:spacing w:after="0"/>
              <w:rPr>
                <w:sz w:val="20"/>
                <w:szCs w:val="20"/>
                <w:color w:val="auto"/>
              </w:rPr>
            </w:pPr>
            <w:r>
              <w:rPr>
                <w:rFonts w:ascii="Arial" w:cs="Arial" w:eastAsia="Arial" w:hAnsi="Arial"/>
                <w:sz w:val="18"/>
                <w:szCs w:val="18"/>
                <w:color w:val="auto"/>
              </w:rPr>
              <w:t>Section 7.9. Certificate of Limited Partnership</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Restrictions on the Authority of the Board of Directors and the General Partner</w:t>
            </w:r>
          </w:p>
        </w:tc>
        <w:tc>
          <w:tcPr>
            <w:tcW w:w="2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28</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7.10.</w:t>
            </w:r>
          </w:p>
        </w:tc>
        <w:tc>
          <w:tcPr>
            <w:tcW w:w="80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rPr>
              <w:t>Reimbursement of the General Partner</w:t>
            </w:r>
          </w:p>
        </w:tc>
        <w:tc>
          <w:tcPr>
            <w:tcW w:w="2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28</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7.11.</w:t>
            </w:r>
          </w:p>
        </w:tc>
        <w:tc>
          <w:tcPr>
            <w:tcW w:w="80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Outside Activities</w:t>
            </w:r>
          </w:p>
        </w:tc>
        <w:tc>
          <w:tcPr>
            <w:tcW w:w="2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29</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7.12.</w:t>
            </w:r>
          </w:p>
        </w:tc>
        <w:tc>
          <w:tcPr>
            <w:tcW w:w="80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rPr>
              <w:t>Indemnification</w:t>
            </w:r>
          </w:p>
        </w:tc>
        <w:tc>
          <w:tcPr>
            <w:tcW w:w="2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30</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7.13.</w:t>
            </w:r>
          </w:p>
        </w:tc>
        <w:tc>
          <w:tcPr>
            <w:tcW w:w="80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Liability of Indemnitees</w:t>
            </w:r>
          </w:p>
        </w:tc>
        <w:tc>
          <w:tcPr>
            <w:tcW w:w="2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31</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7.14.</w:t>
            </w:r>
          </w:p>
        </w:tc>
        <w:tc>
          <w:tcPr>
            <w:tcW w:w="80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rPr>
              <w:t>Resolution of Conflicts of Interest; Standards of Conduct and Modification of Duties</w:t>
            </w:r>
          </w:p>
        </w:tc>
        <w:tc>
          <w:tcPr>
            <w:tcW w:w="2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32</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7.15.</w:t>
            </w:r>
          </w:p>
        </w:tc>
        <w:tc>
          <w:tcPr>
            <w:tcW w:w="80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Other Matters Concerning the General Partner and the Board of Directors</w:t>
            </w:r>
          </w:p>
        </w:tc>
        <w:tc>
          <w:tcPr>
            <w:tcW w:w="2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34</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7.16.</w:t>
            </w:r>
          </w:p>
        </w:tc>
        <w:tc>
          <w:tcPr>
            <w:tcW w:w="80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rPr>
              <w:t>Purchase or Sale of Partnership Interests</w:t>
            </w:r>
          </w:p>
        </w:tc>
        <w:tc>
          <w:tcPr>
            <w:tcW w:w="2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35</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7.17.</w:t>
            </w:r>
          </w:p>
        </w:tc>
        <w:tc>
          <w:tcPr>
            <w:tcW w:w="80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Registration Rights of the General Partner and its Affiliates</w:t>
            </w:r>
          </w:p>
        </w:tc>
        <w:tc>
          <w:tcPr>
            <w:tcW w:w="2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35</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7.18.</w:t>
            </w:r>
          </w:p>
        </w:tc>
        <w:tc>
          <w:tcPr>
            <w:tcW w:w="80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rPr>
              <w:t>Reliance by Third Parties</w:t>
            </w:r>
          </w:p>
        </w:tc>
        <w:tc>
          <w:tcPr>
            <w:tcW w:w="2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37</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7.19.</w:t>
            </w:r>
          </w:p>
        </w:tc>
        <w:tc>
          <w:tcPr>
            <w:tcW w:w="80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6"/>
        </w:trPr>
        <w:tc>
          <w:tcPr>
            <w:tcW w:w="918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ARTICLE VIII BOOKS, RECORDS, ACCOUNTING AND REPORTS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18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9180" w:type="dxa"/>
            <w:vAlign w:val="bottom"/>
            <w:gridSpan w:val="2"/>
          </w:tcPr>
          <w:p>
            <w:pPr>
              <w:ind w:left="460"/>
              <w:spacing w:after="0"/>
              <w:rPr>
                <w:sz w:val="20"/>
                <w:szCs w:val="20"/>
                <w:color w:val="auto"/>
              </w:rPr>
            </w:pPr>
            <w:r>
              <w:rPr>
                <w:rFonts w:ascii="Arial" w:cs="Arial" w:eastAsia="Arial" w:hAnsi="Arial"/>
                <w:sz w:val="18"/>
                <w:szCs w:val="18"/>
                <w:color w:val="auto"/>
              </w:rPr>
              <w:t>Section 8.1. Records and Accounting</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9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Section 8.2. Fiscal Year</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180" w:type="dxa"/>
            <w:vAlign w:val="bottom"/>
            <w:gridSpan w:val="2"/>
          </w:tcPr>
          <w:p>
            <w:pPr>
              <w:ind w:left="460"/>
              <w:spacing w:after="0"/>
              <w:rPr>
                <w:sz w:val="20"/>
                <w:szCs w:val="20"/>
                <w:color w:val="auto"/>
              </w:rPr>
            </w:pPr>
            <w:r>
              <w:rPr>
                <w:rFonts w:ascii="Arial" w:cs="Arial" w:eastAsia="Arial" w:hAnsi="Arial"/>
                <w:sz w:val="18"/>
                <w:szCs w:val="18"/>
                <w:color w:val="auto"/>
              </w:rPr>
              <w:t>Section 8.3. Reports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18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ARTICLE IX TAX MATTERS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18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9180" w:type="dxa"/>
            <w:vAlign w:val="bottom"/>
            <w:gridSpan w:val="2"/>
          </w:tcPr>
          <w:p>
            <w:pPr>
              <w:ind w:left="460"/>
              <w:spacing w:after="0"/>
              <w:rPr>
                <w:sz w:val="20"/>
                <w:szCs w:val="20"/>
                <w:color w:val="auto"/>
              </w:rPr>
            </w:pPr>
            <w:r>
              <w:rPr>
                <w:rFonts w:ascii="Arial" w:cs="Arial" w:eastAsia="Arial" w:hAnsi="Arial"/>
                <w:sz w:val="18"/>
                <w:szCs w:val="18"/>
                <w:color w:val="auto"/>
              </w:rPr>
              <w:t>Section 9.1. Tax Elections and Information</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1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Section 9.2. Tax Withholding</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9180" w:type="dxa"/>
            <w:vAlign w:val="bottom"/>
            <w:gridSpan w:val="2"/>
          </w:tcPr>
          <w:p>
            <w:pPr>
              <w:ind w:left="460"/>
              <w:spacing w:after="0"/>
              <w:rPr>
                <w:sz w:val="20"/>
                <w:szCs w:val="20"/>
                <w:color w:val="auto"/>
              </w:rPr>
            </w:pPr>
            <w:r>
              <w:rPr>
                <w:rFonts w:ascii="Arial" w:cs="Arial" w:eastAsia="Arial" w:hAnsi="Arial"/>
                <w:sz w:val="18"/>
                <w:szCs w:val="18"/>
                <w:color w:val="auto"/>
              </w:rPr>
              <w:t>Section 9.3. Conduct of Operations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918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ARTICLE X ADMISSION OF PARTNERS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18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rPr>
              <w:t>Admission of Additional Limited Partners</w:t>
            </w:r>
          </w:p>
        </w:tc>
        <w:tc>
          <w:tcPr>
            <w:tcW w:w="2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39</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10.1.</w:t>
            </w:r>
          </w:p>
        </w:tc>
        <w:tc>
          <w:tcPr>
            <w:tcW w:w="80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8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Admission of Successor General Partner</w:t>
            </w:r>
          </w:p>
        </w:tc>
        <w:tc>
          <w:tcPr>
            <w:tcW w:w="2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40</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10.2.</w:t>
            </w:r>
          </w:p>
        </w:tc>
        <w:tc>
          <w:tcPr>
            <w:tcW w:w="800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rPr>
              <w:t>Amendment of Agreement and Certificate of Limited Partnership</w:t>
            </w:r>
          </w:p>
        </w:tc>
        <w:tc>
          <w:tcPr>
            <w:tcW w:w="2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40</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10.3.</w:t>
            </w:r>
          </w:p>
        </w:tc>
        <w:tc>
          <w:tcPr>
            <w:tcW w:w="80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6"/>
        </w:trPr>
        <w:tc>
          <w:tcPr>
            <w:tcW w:w="9180" w:type="dxa"/>
            <w:vAlign w:val="bottom"/>
            <w:gridSpan w:val="2"/>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9180" w:type="dxa"/>
            <w:vAlign w:val="bottom"/>
            <w:gridSpan w:val="2"/>
          </w:tcPr>
          <w:p>
            <w:pPr>
              <w:spacing w:after="0"/>
              <w:rPr>
                <w:sz w:val="20"/>
                <w:szCs w:val="20"/>
                <w:color w:val="auto"/>
              </w:rPr>
            </w:pPr>
            <w:r>
              <w:rPr>
                <w:rFonts w:ascii="Arial" w:cs="Arial" w:eastAsia="Arial" w:hAnsi="Arial"/>
                <w:sz w:val="18"/>
                <w:szCs w:val="18"/>
                <w:color w:val="auto"/>
              </w:rPr>
              <w:t>ARTICLE XI WITHDRAWAL OR REMOVAL OF PARTNERS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180" w:type="dxa"/>
            <w:vAlign w:val="bottom"/>
            <w:shd w:val="clear" w:color="auto" w:fill="CCEEFF"/>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8000" w:type="dxa"/>
            <w:vAlign w:val="bottom"/>
          </w:tcPr>
          <w:p>
            <w:pPr>
              <w:ind w:left="180"/>
              <w:spacing w:after="0" w:line="201" w:lineRule="exact"/>
              <w:rPr>
                <w:sz w:val="20"/>
                <w:szCs w:val="20"/>
                <w:color w:val="auto"/>
              </w:rPr>
            </w:pPr>
            <w:r>
              <w:rPr>
                <w:rFonts w:ascii="Arial" w:cs="Arial" w:eastAsia="Arial" w:hAnsi="Arial"/>
                <w:sz w:val="18"/>
                <w:szCs w:val="18"/>
                <w:color w:val="auto"/>
              </w:rPr>
              <w:t>Withdrawal of the General Partner</w:t>
            </w:r>
          </w:p>
        </w:tc>
        <w:tc>
          <w:tcPr>
            <w:tcW w:w="2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40</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11.1.</w:t>
            </w:r>
          </w:p>
        </w:tc>
        <w:tc>
          <w:tcPr>
            <w:tcW w:w="80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40"/>
          </w:cols>
          <w:pgMar w:left="320" w:top="594" w:right="339" w:bottom="1440" w:gutter="0" w:footer="0" w:header="0"/>
        </w:sectPr>
      </w:pP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90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37"/>
        </w:trPr>
        <w:tc>
          <w:tcPr>
            <w:tcW w:w="118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Removal of the General Partner</w:t>
            </w:r>
          </w:p>
        </w:tc>
        <w:tc>
          <w:tcPr>
            <w:tcW w:w="1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42</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11.2.</w:t>
            </w:r>
          </w:p>
        </w:tc>
        <w:tc>
          <w:tcPr>
            <w:tcW w:w="90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tcPr>
          <w:p>
            <w:pPr>
              <w:ind w:left="180"/>
              <w:spacing w:after="0" w:line="201" w:lineRule="exact"/>
              <w:rPr>
                <w:sz w:val="20"/>
                <w:szCs w:val="20"/>
                <w:color w:val="auto"/>
              </w:rPr>
            </w:pPr>
            <w:r>
              <w:rPr>
                <w:rFonts w:ascii="Arial" w:cs="Arial" w:eastAsia="Arial" w:hAnsi="Arial"/>
                <w:sz w:val="18"/>
                <w:szCs w:val="18"/>
                <w:color w:val="auto"/>
              </w:rPr>
              <w:t>Interest of Departing General Partner and Successor General Partner</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42</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11.3.</w:t>
            </w:r>
          </w:p>
        </w:tc>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Conversion of General Partner Units Upon General Partner’s Removal Without Cause</w:t>
            </w:r>
          </w:p>
        </w:tc>
        <w:tc>
          <w:tcPr>
            <w:tcW w:w="1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44</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11.4.</w:t>
            </w:r>
          </w:p>
        </w:tc>
        <w:tc>
          <w:tcPr>
            <w:tcW w:w="90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tcPr>
          <w:p>
            <w:pPr>
              <w:ind w:left="180"/>
              <w:spacing w:after="0" w:line="201" w:lineRule="exact"/>
              <w:rPr>
                <w:sz w:val="20"/>
                <w:szCs w:val="20"/>
                <w:color w:val="auto"/>
              </w:rPr>
            </w:pPr>
            <w:r>
              <w:rPr>
                <w:rFonts w:ascii="Arial" w:cs="Arial" w:eastAsia="Arial" w:hAnsi="Arial"/>
                <w:sz w:val="18"/>
                <w:szCs w:val="18"/>
                <w:color w:val="auto"/>
              </w:rPr>
              <w:t>Withdrawal of Limited Partners</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44</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11.5.</w:t>
            </w:r>
          </w:p>
        </w:tc>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6"/>
        </w:trPr>
        <w:tc>
          <w:tcPr>
            <w:tcW w:w="1018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ARTICLE XII DISSOLUTION AND LIQUIDATION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18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tcPr>
          <w:p>
            <w:pPr>
              <w:ind w:left="180"/>
              <w:spacing w:after="0" w:line="201" w:lineRule="exact"/>
              <w:rPr>
                <w:sz w:val="20"/>
                <w:szCs w:val="20"/>
                <w:color w:val="auto"/>
              </w:rPr>
            </w:pPr>
            <w:r>
              <w:rPr>
                <w:rFonts w:ascii="Arial" w:cs="Arial" w:eastAsia="Arial" w:hAnsi="Arial"/>
                <w:sz w:val="18"/>
                <w:szCs w:val="18"/>
                <w:color w:val="auto"/>
              </w:rPr>
              <w:t>Dissolution</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44</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12.1.</w:t>
            </w:r>
          </w:p>
        </w:tc>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Continuation of the Business of the Partnership After Dissolution</w:t>
            </w:r>
          </w:p>
        </w:tc>
        <w:tc>
          <w:tcPr>
            <w:tcW w:w="1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45</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12.2.</w:t>
            </w:r>
          </w:p>
        </w:tc>
        <w:tc>
          <w:tcPr>
            <w:tcW w:w="90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tcPr>
          <w:p>
            <w:pPr>
              <w:ind w:left="180"/>
              <w:spacing w:after="0" w:line="201" w:lineRule="exact"/>
              <w:rPr>
                <w:sz w:val="20"/>
                <w:szCs w:val="20"/>
                <w:color w:val="auto"/>
              </w:rPr>
            </w:pPr>
            <w:r>
              <w:rPr>
                <w:rFonts w:ascii="Arial" w:cs="Arial" w:eastAsia="Arial" w:hAnsi="Arial"/>
                <w:sz w:val="18"/>
                <w:szCs w:val="18"/>
                <w:color w:val="auto"/>
              </w:rPr>
              <w:t>Liquidating Trustee</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45</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12.3.</w:t>
            </w:r>
          </w:p>
        </w:tc>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Liquidation</w:t>
            </w:r>
          </w:p>
        </w:tc>
        <w:tc>
          <w:tcPr>
            <w:tcW w:w="1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46</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12.4.</w:t>
            </w:r>
          </w:p>
        </w:tc>
        <w:tc>
          <w:tcPr>
            <w:tcW w:w="90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tcPr>
          <w:p>
            <w:pPr>
              <w:ind w:left="180"/>
              <w:spacing w:after="0" w:line="201" w:lineRule="exact"/>
              <w:rPr>
                <w:sz w:val="20"/>
                <w:szCs w:val="20"/>
                <w:color w:val="auto"/>
              </w:rPr>
            </w:pPr>
            <w:r>
              <w:rPr>
                <w:rFonts w:ascii="Arial" w:cs="Arial" w:eastAsia="Arial" w:hAnsi="Arial"/>
                <w:sz w:val="18"/>
                <w:szCs w:val="18"/>
                <w:color w:val="auto"/>
              </w:rPr>
              <w:t>Cancellation of Certificate of Limited Partnership</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47</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12.5.</w:t>
            </w:r>
          </w:p>
        </w:tc>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Return of Contributions</w:t>
            </w:r>
          </w:p>
        </w:tc>
        <w:tc>
          <w:tcPr>
            <w:tcW w:w="1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47</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12.6.</w:t>
            </w:r>
          </w:p>
        </w:tc>
        <w:tc>
          <w:tcPr>
            <w:tcW w:w="90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tcPr>
          <w:p>
            <w:pPr>
              <w:ind w:left="180"/>
              <w:spacing w:after="0" w:line="201" w:lineRule="exact"/>
              <w:rPr>
                <w:sz w:val="20"/>
                <w:szCs w:val="20"/>
                <w:color w:val="auto"/>
              </w:rPr>
            </w:pPr>
            <w:r>
              <w:rPr>
                <w:rFonts w:ascii="Arial" w:cs="Arial" w:eastAsia="Arial" w:hAnsi="Arial"/>
                <w:sz w:val="18"/>
                <w:szCs w:val="18"/>
                <w:color w:val="auto"/>
              </w:rPr>
              <w:t>Waiver of Partition</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47</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12.7.</w:t>
            </w:r>
          </w:p>
        </w:tc>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6"/>
        </w:trPr>
        <w:tc>
          <w:tcPr>
            <w:tcW w:w="1018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ARTICLE XIII AMENDMENT OF PARTNERSHIP AGREEMENT; MEETINGS; RECORD DATE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8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tcPr>
          <w:p>
            <w:pPr>
              <w:ind w:left="180"/>
              <w:spacing w:after="0" w:line="201" w:lineRule="exact"/>
              <w:rPr>
                <w:sz w:val="20"/>
                <w:szCs w:val="20"/>
                <w:color w:val="auto"/>
              </w:rPr>
            </w:pPr>
            <w:r>
              <w:rPr>
                <w:rFonts w:ascii="Arial" w:cs="Arial" w:eastAsia="Arial" w:hAnsi="Arial"/>
                <w:sz w:val="18"/>
                <w:szCs w:val="18"/>
                <w:color w:val="auto"/>
              </w:rPr>
              <w:t>Amendments to be Adopted Without Approval of the Limited Partners or the General Partner</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47</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13.1.</w:t>
            </w:r>
          </w:p>
        </w:tc>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Amendment Procedures</w:t>
            </w:r>
          </w:p>
        </w:tc>
        <w:tc>
          <w:tcPr>
            <w:tcW w:w="1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49</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13.2.</w:t>
            </w:r>
          </w:p>
        </w:tc>
        <w:tc>
          <w:tcPr>
            <w:tcW w:w="90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tcPr>
          <w:p>
            <w:pPr>
              <w:ind w:left="180"/>
              <w:spacing w:after="0" w:line="201" w:lineRule="exact"/>
              <w:rPr>
                <w:sz w:val="20"/>
                <w:szCs w:val="20"/>
                <w:color w:val="auto"/>
              </w:rPr>
            </w:pPr>
            <w:r>
              <w:rPr>
                <w:rFonts w:ascii="Arial" w:cs="Arial" w:eastAsia="Arial" w:hAnsi="Arial"/>
                <w:sz w:val="18"/>
                <w:szCs w:val="18"/>
                <w:color w:val="auto"/>
              </w:rPr>
              <w:t>Amendment Requirements</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49</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13.3.</w:t>
            </w:r>
          </w:p>
        </w:tc>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Special Meetings</w:t>
            </w:r>
          </w:p>
        </w:tc>
        <w:tc>
          <w:tcPr>
            <w:tcW w:w="1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50</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13.4.</w:t>
            </w:r>
          </w:p>
        </w:tc>
        <w:tc>
          <w:tcPr>
            <w:tcW w:w="90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tcPr>
          <w:p>
            <w:pPr>
              <w:ind w:left="180"/>
              <w:spacing w:after="0" w:line="201" w:lineRule="exact"/>
              <w:rPr>
                <w:sz w:val="20"/>
                <w:szCs w:val="20"/>
                <w:color w:val="auto"/>
              </w:rPr>
            </w:pPr>
            <w:r>
              <w:rPr>
                <w:rFonts w:ascii="Arial" w:cs="Arial" w:eastAsia="Arial" w:hAnsi="Arial"/>
                <w:sz w:val="18"/>
                <w:szCs w:val="18"/>
                <w:color w:val="auto"/>
              </w:rPr>
              <w:t>Record Date</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13.5.</w:t>
            </w:r>
          </w:p>
        </w:tc>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Adjournment</w:t>
            </w:r>
          </w:p>
        </w:tc>
        <w:tc>
          <w:tcPr>
            <w:tcW w:w="1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50</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13.6.</w:t>
            </w:r>
          </w:p>
        </w:tc>
        <w:tc>
          <w:tcPr>
            <w:tcW w:w="90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tcPr>
          <w:p>
            <w:pPr>
              <w:ind w:left="180"/>
              <w:spacing w:after="0" w:line="201" w:lineRule="exact"/>
              <w:rPr>
                <w:sz w:val="20"/>
                <w:szCs w:val="20"/>
                <w:color w:val="auto"/>
              </w:rPr>
            </w:pPr>
            <w:r>
              <w:rPr>
                <w:rFonts w:ascii="Arial" w:cs="Arial" w:eastAsia="Arial" w:hAnsi="Arial"/>
                <w:sz w:val="18"/>
                <w:szCs w:val="18"/>
                <w:color w:val="auto"/>
              </w:rPr>
              <w:t>Waiver of Notice; Approval of Meeting; Approval of Minutes</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13.7.</w:t>
            </w:r>
          </w:p>
        </w:tc>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Quorum and Voting</w:t>
            </w:r>
          </w:p>
        </w:tc>
        <w:tc>
          <w:tcPr>
            <w:tcW w:w="1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51</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13.8.</w:t>
            </w:r>
          </w:p>
        </w:tc>
        <w:tc>
          <w:tcPr>
            <w:tcW w:w="90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tcPr>
          <w:p>
            <w:pPr>
              <w:ind w:left="180"/>
              <w:spacing w:after="0" w:line="201" w:lineRule="exact"/>
              <w:rPr>
                <w:sz w:val="20"/>
                <w:szCs w:val="20"/>
                <w:color w:val="auto"/>
              </w:rPr>
            </w:pPr>
            <w:r>
              <w:rPr>
                <w:rFonts w:ascii="Arial" w:cs="Arial" w:eastAsia="Arial" w:hAnsi="Arial"/>
                <w:sz w:val="18"/>
                <w:szCs w:val="18"/>
                <w:color w:val="auto"/>
              </w:rPr>
              <w:t>Conduct of a Meeting</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51</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13.9.</w:t>
            </w:r>
          </w:p>
        </w:tc>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Action Without a Meeting</w:t>
            </w:r>
          </w:p>
        </w:tc>
        <w:tc>
          <w:tcPr>
            <w:tcW w:w="1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51</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13.10.</w:t>
            </w:r>
          </w:p>
        </w:tc>
        <w:tc>
          <w:tcPr>
            <w:tcW w:w="90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tcPr>
          <w:p>
            <w:pPr>
              <w:ind w:left="180"/>
              <w:spacing w:after="0" w:line="201" w:lineRule="exact"/>
              <w:rPr>
                <w:sz w:val="20"/>
                <w:szCs w:val="20"/>
                <w:color w:val="auto"/>
              </w:rPr>
            </w:pPr>
            <w:r>
              <w:rPr>
                <w:rFonts w:ascii="Arial" w:cs="Arial" w:eastAsia="Arial" w:hAnsi="Arial"/>
                <w:sz w:val="18"/>
                <w:szCs w:val="18"/>
                <w:color w:val="auto"/>
              </w:rPr>
              <w:t>Right to Vote and Related Matters</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52</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13.11.</w:t>
            </w:r>
          </w:p>
        </w:tc>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16"/>
        </w:trPr>
        <w:tc>
          <w:tcPr>
            <w:tcW w:w="10180" w:type="dxa"/>
            <w:vAlign w:val="bottom"/>
            <w:gridSpan w:val="2"/>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ARTICLE XIV MERGER, CONSOLIDATION OR CONVERSION</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18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tcPr>
          <w:p>
            <w:pPr>
              <w:ind w:left="180"/>
              <w:spacing w:after="0" w:line="201" w:lineRule="exact"/>
              <w:rPr>
                <w:sz w:val="20"/>
                <w:szCs w:val="20"/>
                <w:color w:val="auto"/>
              </w:rPr>
            </w:pPr>
            <w:r>
              <w:rPr>
                <w:rFonts w:ascii="Arial" w:cs="Arial" w:eastAsia="Arial" w:hAnsi="Arial"/>
                <w:sz w:val="18"/>
                <w:szCs w:val="18"/>
                <w:color w:val="auto"/>
              </w:rPr>
              <w:t>Authority</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52</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14.1.</w:t>
            </w:r>
          </w:p>
        </w:tc>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Procedure for Merger, Consolidation or Conversion</w:t>
            </w:r>
          </w:p>
        </w:tc>
        <w:tc>
          <w:tcPr>
            <w:tcW w:w="1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53</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14.2.</w:t>
            </w:r>
          </w:p>
        </w:tc>
        <w:tc>
          <w:tcPr>
            <w:tcW w:w="90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tcPr>
          <w:p>
            <w:pPr>
              <w:ind w:left="180"/>
              <w:spacing w:after="0" w:line="201" w:lineRule="exact"/>
              <w:rPr>
                <w:sz w:val="20"/>
                <w:szCs w:val="20"/>
                <w:color w:val="auto"/>
              </w:rPr>
            </w:pPr>
            <w:r>
              <w:rPr>
                <w:rFonts w:ascii="Arial" w:cs="Arial" w:eastAsia="Arial" w:hAnsi="Arial"/>
                <w:sz w:val="18"/>
                <w:szCs w:val="18"/>
                <w:color w:val="auto"/>
              </w:rPr>
              <w:t>Approval by Limited Partners of Merger, Consolidation or Conversion</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55</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14.3.</w:t>
            </w:r>
          </w:p>
        </w:tc>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Certificate of Merger or Conversion</w:t>
            </w:r>
          </w:p>
        </w:tc>
        <w:tc>
          <w:tcPr>
            <w:tcW w:w="1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56</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14.4.</w:t>
            </w:r>
          </w:p>
        </w:tc>
        <w:tc>
          <w:tcPr>
            <w:tcW w:w="90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tcPr>
          <w:p>
            <w:pPr>
              <w:ind w:left="180"/>
              <w:spacing w:after="0" w:line="201" w:lineRule="exact"/>
              <w:rPr>
                <w:sz w:val="20"/>
                <w:szCs w:val="20"/>
                <w:color w:val="auto"/>
              </w:rPr>
            </w:pPr>
            <w:r>
              <w:rPr>
                <w:rFonts w:ascii="Arial" w:cs="Arial" w:eastAsia="Arial" w:hAnsi="Arial"/>
                <w:sz w:val="18"/>
                <w:szCs w:val="18"/>
                <w:color w:val="auto"/>
              </w:rPr>
              <w:t>Amendment of Partnership Agreement</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56</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14.5.</w:t>
            </w:r>
          </w:p>
        </w:tc>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Effect of Merger, Consolidation or Conversion</w:t>
            </w:r>
          </w:p>
        </w:tc>
        <w:tc>
          <w:tcPr>
            <w:tcW w:w="10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56</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14.6.</w:t>
            </w:r>
          </w:p>
        </w:tc>
        <w:tc>
          <w:tcPr>
            <w:tcW w:w="90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16"/>
        </w:trPr>
        <w:tc>
          <w:tcPr>
            <w:tcW w:w="10180" w:type="dxa"/>
            <w:vAlign w:val="bottom"/>
            <w:gridSpan w:val="2"/>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0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XV [Reserved]</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ARTICLE XVI SERIES A CUMULATIVE REDEEMABLE PERPETUAL FIXED TO FLOATING RATE PREFERENCE UNITS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80" w:type="dxa"/>
            <w:vAlign w:val="bottom"/>
            <w:shd w:val="clear" w:color="auto" w:fill="CCEEFF"/>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00" w:type="dxa"/>
            <w:vAlign w:val="bottom"/>
          </w:tcPr>
          <w:p>
            <w:pPr>
              <w:ind w:left="180"/>
              <w:spacing w:after="0" w:line="201" w:lineRule="exact"/>
              <w:rPr>
                <w:sz w:val="20"/>
                <w:szCs w:val="20"/>
                <w:color w:val="auto"/>
              </w:rPr>
            </w:pPr>
            <w:r>
              <w:rPr>
                <w:rFonts w:ascii="Arial" w:cs="Arial" w:eastAsia="Arial" w:hAnsi="Arial"/>
                <w:sz w:val="18"/>
                <w:szCs w:val="18"/>
                <w:color w:val="auto"/>
              </w:rPr>
              <w:t>Designations</w:t>
            </w:r>
          </w:p>
        </w:tc>
        <w:tc>
          <w:tcPr>
            <w:tcW w:w="10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57</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16.1.</w:t>
            </w:r>
          </w:p>
        </w:tc>
        <w:tc>
          <w:tcPr>
            <w:tcW w:w="90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ectPr>
          <w:pgSz w:w="11900" w:h="16838" w:orient="portrait"/>
          <w:cols w:equalWidth="0" w:num="1">
            <w:col w:w="11240"/>
          </w:cols>
          <w:pgMar w:left="320" w:top="594" w:right="3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Section</w:t>
            </w:r>
          </w:p>
        </w:tc>
        <w:tc>
          <w:tcPr>
            <w:tcW w:w="5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16.2.</w:t>
            </w:r>
          </w:p>
        </w:tc>
        <w:tc>
          <w:tcPr>
            <w:tcW w:w="5700" w:type="dxa"/>
            <w:vAlign w:val="bottom"/>
            <w:shd w:val="clear" w:color="auto" w:fill="CCEEFF"/>
          </w:tcPr>
          <w:p>
            <w:pPr>
              <w:spacing w:after="0"/>
              <w:rPr>
                <w:sz w:val="20"/>
                <w:szCs w:val="20"/>
                <w:color w:val="auto"/>
              </w:rPr>
            </w:pPr>
          </w:p>
        </w:tc>
        <w:tc>
          <w:tcPr>
            <w:tcW w:w="436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5700" w:type="dxa"/>
            <w:vAlign w:val="bottom"/>
          </w:tcPr>
          <w:p>
            <w:pPr>
              <w:ind w:left="180"/>
              <w:spacing w:after="0" w:line="201" w:lineRule="exact"/>
              <w:rPr>
                <w:sz w:val="20"/>
                <w:szCs w:val="20"/>
                <w:color w:val="auto"/>
              </w:rPr>
            </w:pPr>
            <w:r>
              <w:rPr>
                <w:rFonts w:ascii="Arial" w:cs="Arial" w:eastAsia="Arial" w:hAnsi="Arial"/>
                <w:sz w:val="18"/>
                <w:szCs w:val="18"/>
                <w:color w:val="auto"/>
              </w:rPr>
              <w:t>Distributions</w:t>
            </w:r>
          </w:p>
        </w:tc>
        <w:tc>
          <w:tcPr>
            <w:tcW w:w="4360" w:type="dxa"/>
            <w:vAlign w:val="bottom"/>
          </w:tcPr>
          <w:p>
            <w:pPr>
              <w:jc w:val="right"/>
              <w:spacing w:after="0" w:line="201" w:lineRule="exact"/>
              <w:rPr>
                <w:sz w:val="20"/>
                <w:szCs w:val="20"/>
                <w:color w:val="auto"/>
              </w:rPr>
            </w:pPr>
            <w:r>
              <w:rPr>
                <w:rFonts w:ascii="Arial" w:cs="Arial" w:eastAsia="Arial" w:hAnsi="Arial"/>
                <w:sz w:val="18"/>
                <w:szCs w:val="18"/>
                <w:color w:val="auto"/>
              </w:rPr>
              <w:t>57</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16.3.</w:t>
            </w:r>
          </w:p>
        </w:tc>
        <w:tc>
          <w:tcPr>
            <w:tcW w:w="570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57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Liquidation Rights</w:t>
            </w:r>
          </w:p>
        </w:tc>
        <w:tc>
          <w:tcPr>
            <w:tcW w:w="43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60</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16.4.</w:t>
            </w:r>
          </w:p>
        </w:tc>
        <w:tc>
          <w:tcPr>
            <w:tcW w:w="5700" w:type="dxa"/>
            <w:vAlign w:val="bottom"/>
            <w:shd w:val="clear" w:color="auto" w:fill="CCEEFF"/>
          </w:tcPr>
          <w:p>
            <w:pPr>
              <w:spacing w:after="0"/>
              <w:rPr>
                <w:sz w:val="20"/>
                <w:szCs w:val="20"/>
                <w:color w:val="auto"/>
              </w:rPr>
            </w:pPr>
          </w:p>
        </w:tc>
        <w:tc>
          <w:tcPr>
            <w:tcW w:w="4360" w:type="dxa"/>
            <w:vAlign w:val="bottom"/>
            <w:shd w:val="clear" w:color="auto" w:fill="CCEEFF"/>
          </w:tcPr>
          <w:p>
            <w:pPr>
              <w:spacing w:after="0"/>
              <w:rPr>
                <w:sz w:val="20"/>
                <w:szCs w:val="20"/>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906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37"/>
        </w:trPr>
        <w:tc>
          <w:tcPr>
            <w:tcW w:w="1180" w:type="dxa"/>
            <w:vAlign w:val="bottom"/>
          </w:tcPr>
          <w:p>
            <w:pPr>
              <w:spacing w:after="0"/>
              <w:rPr>
                <w:sz w:val="20"/>
                <w:szCs w:val="20"/>
                <w:color w:val="auto"/>
              </w:rPr>
            </w:pPr>
          </w:p>
        </w:tc>
        <w:tc>
          <w:tcPr>
            <w:tcW w:w="9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Voting Rights</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61</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16.5.</w:t>
            </w:r>
          </w:p>
        </w:tc>
        <w:tc>
          <w:tcPr>
            <w:tcW w:w="9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tcPr>
          <w:p>
            <w:pPr>
              <w:ind w:left="180"/>
              <w:spacing w:after="0" w:line="201" w:lineRule="exact"/>
              <w:rPr>
                <w:sz w:val="20"/>
                <w:szCs w:val="20"/>
                <w:color w:val="auto"/>
              </w:rPr>
            </w:pPr>
            <w:r>
              <w:rPr>
                <w:rFonts w:ascii="Arial" w:cs="Arial" w:eastAsia="Arial" w:hAnsi="Arial"/>
                <w:sz w:val="18"/>
                <w:szCs w:val="18"/>
                <w:color w:val="auto"/>
              </w:rPr>
              <w:t>Optional Redemption</w:t>
            </w: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62</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16.6.</w:t>
            </w:r>
          </w:p>
        </w:tc>
        <w:tc>
          <w:tcPr>
            <w:tcW w:w="9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Rank</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64</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16.7.</w:t>
            </w:r>
          </w:p>
        </w:tc>
        <w:tc>
          <w:tcPr>
            <w:tcW w:w="9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tcPr>
          <w:p>
            <w:pPr>
              <w:ind w:left="180"/>
              <w:spacing w:after="0" w:line="201" w:lineRule="exact"/>
              <w:rPr>
                <w:sz w:val="20"/>
                <w:szCs w:val="20"/>
                <w:color w:val="auto"/>
              </w:rPr>
            </w:pPr>
            <w:r>
              <w:rPr>
                <w:rFonts w:ascii="Arial" w:cs="Arial" w:eastAsia="Arial" w:hAnsi="Arial"/>
                <w:sz w:val="18"/>
                <w:szCs w:val="18"/>
                <w:color w:val="auto"/>
              </w:rPr>
              <w:t>No Sinking Fund</w:t>
            </w: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64</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16.8.</w:t>
            </w:r>
          </w:p>
        </w:tc>
        <w:tc>
          <w:tcPr>
            <w:tcW w:w="9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Record Holders</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64</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16.9.</w:t>
            </w:r>
          </w:p>
        </w:tc>
        <w:tc>
          <w:tcPr>
            <w:tcW w:w="9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tcPr>
          <w:p>
            <w:pPr>
              <w:ind w:left="180"/>
              <w:spacing w:after="0" w:line="201" w:lineRule="exact"/>
              <w:rPr>
                <w:sz w:val="20"/>
                <w:szCs w:val="20"/>
                <w:color w:val="auto"/>
              </w:rPr>
            </w:pPr>
            <w:r>
              <w:rPr>
                <w:rFonts w:ascii="Arial" w:cs="Arial" w:eastAsia="Arial" w:hAnsi="Arial"/>
                <w:sz w:val="18"/>
                <w:szCs w:val="18"/>
                <w:color w:val="auto"/>
              </w:rPr>
              <w:t>Notices</w:t>
            </w: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64</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16.10.</w:t>
            </w:r>
          </w:p>
        </w:tc>
        <w:tc>
          <w:tcPr>
            <w:tcW w:w="9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Other Rights; Fiduciary Duties</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64</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16.11.</w:t>
            </w:r>
          </w:p>
        </w:tc>
        <w:tc>
          <w:tcPr>
            <w:tcW w:w="9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16"/>
        </w:trPr>
        <w:tc>
          <w:tcPr>
            <w:tcW w:w="1024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XVII SERIES B CUMULATIVE REDEEMABLE PERPETUAL FIXED TO FLOATING RATE PREFERENCE UNITS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11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Designations</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65</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17.1.</w:t>
            </w:r>
          </w:p>
        </w:tc>
        <w:tc>
          <w:tcPr>
            <w:tcW w:w="9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tcPr>
          <w:p>
            <w:pPr>
              <w:ind w:left="180"/>
              <w:spacing w:after="0" w:line="201" w:lineRule="exact"/>
              <w:rPr>
                <w:sz w:val="20"/>
                <w:szCs w:val="20"/>
                <w:color w:val="auto"/>
              </w:rPr>
            </w:pPr>
            <w:r>
              <w:rPr>
                <w:rFonts w:ascii="Arial" w:cs="Arial" w:eastAsia="Arial" w:hAnsi="Arial"/>
                <w:sz w:val="18"/>
                <w:szCs w:val="18"/>
                <w:color w:val="auto"/>
              </w:rPr>
              <w:t>Units</w:t>
            </w: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65</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17.2.</w:t>
            </w:r>
          </w:p>
        </w:tc>
        <w:tc>
          <w:tcPr>
            <w:tcW w:w="9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Distributions</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65</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17.3.</w:t>
            </w:r>
          </w:p>
        </w:tc>
        <w:tc>
          <w:tcPr>
            <w:tcW w:w="9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tcPr>
          <w:p>
            <w:pPr>
              <w:ind w:left="180"/>
              <w:spacing w:after="0" w:line="201" w:lineRule="exact"/>
              <w:rPr>
                <w:sz w:val="20"/>
                <w:szCs w:val="20"/>
                <w:color w:val="auto"/>
              </w:rPr>
            </w:pPr>
            <w:r>
              <w:rPr>
                <w:rFonts w:ascii="Arial" w:cs="Arial" w:eastAsia="Arial" w:hAnsi="Arial"/>
                <w:sz w:val="18"/>
                <w:szCs w:val="18"/>
                <w:color w:val="auto"/>
              </w:rPr>
              <w:t>Liquidation Rights</w:t>
            </w: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68</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17.4.</w:t>
            </w:r>
          </w:p>
        </w:tc>
        <w:tc>
          <w:tcPr>
            <w:tcW w:w="9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Voting Rights</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69</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17.5.</w:t>
            </w:r>
          </w:p>
        </w:tc>
        <w:tc>
          <w:tcPr>
            <w:tcW w:w="9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tcPr>
          <w:p>
            <w:pPr>
              <w:ind w:left="180"/>
              <w:spacing w:after="0" w:line="201" w:lineRule="exact"/>
              <w:rPr>
                <w:sz w:val="20"/>
                <w:szCs w:val="20"/>
                <w:color w:val="auto"/>
              </w:rPr>
            </w:pPr>
            <w:r>
              <w:rPr>
                <w:rFonts w:ascii="Arial" w:cs="Arial" w:eastAsia="Arial" w:hAnsi="Arial"/>
                <w:sz w:val="18"/>
                <w:szCs w:val="18"/>
                <w:color w:val="auto"/>
              </w:rPr>
              <w:t>Optional Redemption</w:t>
            </w: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70</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17.6.</w:t>
            </w:r>
          </w:p>
        </w:tc>
        <w:tc>
          <w:tcPr>
            <w:tcW w:w="9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Rank</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72</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17.7.</w:t>
            </w:r>
          </w:p>
        </w:tc>
        <w:tc>
          <w:tcPr>
            <w:tcW w:w="9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tcPr>
          <w:p>
            <w:pPr>
              <w:ind w:left="180"/>
              <w:spacing w:after="0" w:line="201" w:lineRule="exact"/>
              <w:rPr>
                <w:sz w:val="20"/>
                <w:szCs w:val="20"/>
                <w:color w:val="auto"/>
              </w:rPr>
            </w:pPr>
            <w:r>
              <w:rPr>
                <w:rFonts w:ascii="Arial" w:cs="Arial" w:eastAsia="Arial" w:hAnsi="Arial"/>
                <w:sz w:val="18"/>
                <w:szCs w:val="18"/>
                <w:color w:val="auto"/>
              </w:rPr>
              <w:t>No Sinking Fund</w:t>
            </w: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72</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17.8.</w:t>
            </w:r>
          </w:p>
        </w:tc>
        <w:tc>
          <w:tcPr>
            <w:tcW w:w="9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Record Holders</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72</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17.9.</w:t>
            </w:r>
          </w:p>
        </w:tc>
        <w:tc>
          <w:tcPr>
            <w:tcW w:w="9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tcPr>
          <w:p>
            <w:pPr>
              <w:ind w:left="180"/>
              <w:spacing w:after="0" w:line="201" w:lineRule="exact"/>
              <w:rPr>
                <w:sz w:val="20"/>
                <w:szCs w:val="20"/>
                <w:color w:val="auto"/>
              </w:rPr>
            </w:pPr>
            <w:r>
              <w:rPr>
                <w:rFonts w:ascii="Arial" w:cs="Arial" w:eastAsia="Arial" w:hAnsi="Arial"/>
                <w:sz w:val="18"/>
                <w:szCs w:val="18"/>
                <w:color w:val="auto"/>
              </w:rPr>
              <w:t>Notices</w:t>
            </w: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72</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17.10.</w:t>
            </w:r>
          </w:p>
        </w:tc>
        <w:tc>
          <w:tcPr>
            <w:tcW w:w="9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Other Rights; Fiduciary Duties</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73</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17.11.</w:t>
            </w:r>
          </w:p>
        </w:tc>
        <w:tc>
          <w:tcPr>
            <w:tcW w:w="9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16"/>
        </w:trPr>
        <w:tc>
          <w:tcPr>
            <w:tcW w:w="1024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XVIII SERIES C CUMULATIVE REDEEMABLE PERPETUAL FIXED TO FLOATING RATE PREFERENCE UNITS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Designations</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73</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18.1.</w:t>
            </w:r>
          </w:p>
        </w:tc>
        <w:tc>
          <w:tcPr>
            <w:tcW w:w="9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tcPr>
          <w:p>
            <w:pPr>
              <w:ind w:left="180"/>
              <w:spacing w:after="0" w:line="201" w:lineRule="exact"/>
              <w:rPr>
                <w:sz w:val="20"/>
                <w:szCs w:val="20"/>
                <w:color w:val="auto"/>
              </w:rPr>
            </w:pPr>
            <w:r>
              <w:rPr>
                <w:rFonts w:ascii="Arial" w:cs="Arial" w:eastAsia="Arial" w:hAnsi="Arial"/>
                <w:sz w:val="18"/>
                <w:szCs w:val="18"/>
                <w:color w:val="auto"/>
              </w:rPr>
              <w:t>Units</w:t>
            </w: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73</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18.2.</w:t>
            </w:r>
          </w:p>
        </w:tc>
        <w:tc>
          <w:tcPr>
            <w:tcW w:w="9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Distributions</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73</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18.3.</w:t>
            </w:r>
          </w:p>
        </w:tc>
        <w:tc>
          <w:tcPr>
            <w:tcW w:w="9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tcPr>
          <w:p>
            <w:pPr>
              <w:ind w:left="180"/>
              <w:spacing w:after="0" w:line="201" w:lineRule="exact"/>
              <w:rPr>
                <w:sz w:val="20"/>
                <w:szCs w:val="20"/>
                <w:color w:val="auto"/>
              </w:rPr>
            </w:pPr>
            <w:r>
              <w:rPr>
                <w:rFonts w:ascii="Arial" w:cs="Arial" w:eastAsia="Arial" w:hAnsi="Arial"/>
                <w:sz w:val="18"/>
                <w:szCs w:val="18"/>
                <w:color w:val="auto"/>
              </w:rPr>
              <w:t>Liquidation Rights</w:t>
            </w: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76</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18.4.</w:t>
            </w:r>
          </w:p>
        </w:tc>
        <w:tc>
          <w:tcPr>
            <w:tcW w:w="9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Voting Rights</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77</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18.5.</w:t>
            </w:r>
          </w:p>
        </w:tc>
        <w:tc>
          <w:tcPr>
            <w:tcW w:w="9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tcPr>
          <w:p>
            <w:pPr>
              <w:ind w:left="180"/>
              <w:spacing w:after="0" w:line="201" w:lineRule="exact"/>
              <w:rPr>
                <w:sz w:val="20"/>
                <w:szCs w:val="20"/>
                <w:color w:val="auto"/>
              </w:rPr>
            </w:pPr>
            <w:r>
              <w:rPr>
                <w:rFonts w:ascii="Arial" w:cs="Arial" w:eastAsia="Arial" w:hAnsi="Arial"/>
                <w:sz w:val="18"/>
                <w:szCs w:val="18"/>
                <w:color w:val="auto"/>
              </w:rPr>
              <w:t>Optional Redemption</w:t>
            </w: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78</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18.6.</w:t>
            </w:r>
          </w:p>
        </w:tc>
        <w:tc>
          <w:tcPr>
            <w:tcW w:w="9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Rank</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80</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18.7.</w:t>
            </w:r>
          </w:p>
        </w:tc>
        <w:tc>
          <w:tcPr>
            <w:tcW w:w="9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tcPr>
          <w:p>
            <w:pPr>
              <w:ind w:left="180"/>
              <w:spacing w:after="0" w:line="201" w:lineRule="exact"/>
              <w:rPr>
                <w:sz w:val="20"/>
                <w:szCs w:val="20"/>
                <w:color w:val="auto"/>
              </w:rPr>
            </w:pPr>
            <w:r>
              <w:rPr>
                <w:rFonts w:ascii="Arial" w:cs="Arial" w:eastAsia="Arial" w:hAnsi="Arial"/>
                <w:sz w:val="18"/>
                <w:szCs w:val="18"/>
                <w:color w:val="auto"/>
              </w:rPr>
              <w:t>No Sinking Fund</w:t>
            </w: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80</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18.8.</w:t>
            </w:r>
          </w:p>
        </w:tc>
        <w:tc>
          <w:tcPr>
            <w:tcW w:w="9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Record Holders</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80</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18.9.</w:t>
            </w:r>
          </w:p>
        </w:tc>
        <w:tc>
          <w:tcPr>
            <w:tcW w:w="9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tcPr>
          <w:p>
            <w:pPr>
              <w:ind w:left="180"/>
              <w:spacing w:after="0" w:line="201" w:lineRule="exact"/>
              <w:rPr>
                <w:sz w:val="20"/>
                <w:szCs w:val="20"/>
                <w:color w:val="auto"/>
              </w:rPr>
            </w:pPr>
            <w:r>
              <w:rPr>
                <w:rFonts w:ascii="Arial" w:cs="Arial" w:eastAsia="Arial" w:hAnsi="Arial"/>
                <w:sz w:val="18"/>
                <w:szCs w:val="18"/>
                <w:color w:val="auto"/>
              </w:rPr>
              <w:t>Notices</w:t>
            </w: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81</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18.10.</w:t>
            </w:r>
          </w:p>
        </w:tc>
        <w:tc>
          <w:tcPr>
            <w:tcW w:w="9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Other Rights; Fiduciary Duties</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81</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18.11.</w:t>
            </w:r>
          </w:p>
        </w:tc>
        <w:tc>
          <w:tcPr>
            <w:tcW w:w="9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16"/>
        </w:trPr>
        <w:tc>
          <w:tcPr>
            <w:tcW w:w="1024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16"/>
        </w:trPr>
        <w:tc>
          <w:tcPr>
            <w:tcW w:w="10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XIX GENERAL PROVISIONS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180" w:type="dxa"/>
            <w:vAlign w:val="bottom"/>
          </w:tcPr>
          <w:p>
            <w:pPr>
              <w:spacing w:after="0"/>
              <w:rPr>
                <w:sz w:val="18"/>
                <w:szCs w:val="18"/>
                <w:color w:val="auto"/>
              </w:rPr>
            </w:pPr>
          </w:p>
        </w:tc>
        <w:tc>
          <w:tcPr>
            <w:tcW w:w="9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Addresses and Notices</w:t>
            </w:r>
          </w:p>
        </w:tc>
        <w:tc>
          <w:tcPr>
            <w:tcW w:w="10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81</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19.1.</w:t>
            </w:r>
          </w:p>
        </w:tc>
        <w:tc>
          <w:tcPr>
            <w:tcW w:w="9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9060" w:type="dxa"/>
            <w:vAlign w:val="bottom"/>
          </w:tcPr>
          <w:p>
            <w:pPr>
              <w:ind w:left="180"/>
              <w:spacing w:after="0" w:line="201" w:lineRule="exact"/>
              <w:rPr>
                <w:sz w:val="20"/>
                <w:szCs w:val="20"/>
                <w:color w:val="auto"/>
              </w:rPr>
            </w:pPr>
            <w:r>
              <w:rPr>
                <w:rFonts w:ascii="Arial" w:cs="Arial" w:eastAsia="Arial" w:hAnsi="Arial"/>
                <w:sz w:val="18"/>
                <w:szCs w:val="18"/>
                <w:color w:val="auto"/>
              </w:rPr>
              <w:t>Further Action</w:t>
            </w:r>
          </w:p>
        </w:tc>
        <w:tc>
          <w:tcPr>
            <w:tcW w:w="10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82</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19.2.</w:t>
            </w:r>
          </w:p>
        </w:tc>
        <w:tc>
          <w:tcPr>
            <w:tcW w:w="90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ectPr>
          <w:pgSz w:w="11900" w:h="16838" w:orient="portrait"/>
          <w:cols w:equalWidth="0" w:num="1">
            <w:col w:w="11240"/>
          </w:cols>
          <w:pgMar w:left="320" w:top="594" w:right="3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Section</w:t>
            </w:r>
          </w:p>
        </w:tc>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Binding Effect</w:t>
            </w:r>
          </w:p>
        </w:tc>
        <w:tc>
          <w:tcPr>
            <w:tcW w:w="3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19.3.</w:t>
            </w:r>
          </w:p>
        </w:tc>
        <w:tc>
          <w:tcPr>
            <w:tcW w:w="676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6760" w:type="dxa"/>
            <w:vAlign w:val="bottom"/>
          </w:tcPr>
          <w:p>
            <w:pPr>
              <w:ind w:left="180"/>
              <w:spacing w:after="0" w:line="201" w:lineRule="exact"/>
              <w:rPr>
                <w:sz w:val="20"/>
                <w:szCs w:val="20"/>
                <w:color w:val="auto"/>
              </w:rPr>
            </w:pPr>
            <w:r>
              <w:rPr>
                <w:rFonts w:ascii="Arial" w:cs="Arial" w:eastAsia="Arial" w:hAnsi="Arial"/>
                <w:sz w:val="18"/>
                <w:szCs w:val="18"/>
                <w:color w:val="auto"/>
              </w:rPr>
              <w:t>Integration</w:t>
            </w:r>
          </w:p>
        </w:tc>
        <w:tc>
          <w:tcPr>
            <w:tcW w:w="3300" w:type="dxa"/>
            <w:vAlign w:val="bottom"/>
          </w:tcPr>
          <w:p>
            <w:pPr>
              <w:jc w:val="right"/>
              <w:spacing w:after="0" w:line="201" w:lineRule="exact"/>
              <w:rPr>
                <w:sz w:val="20"/>
                <w:szCs w:val="20"/>
                <w:color w:val="auto"/>
              </w:rPr>
            </w:pPr>
            <w:r>
              <w:rPr>
                <w:rFonts w:ascii="Arial" w:cs="Arial" w:eastAsia="Arial" w:hAnsi="Arial"/>
                <w:sz w:val="18"/>
                <w:szCs w:val="18"/>
                <w:color w:val="auto"/>
              </w:rPr>
              <w:t>82</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19.4.</w:t>
            </w:r>
          </w:p>
        </w:tc>
        <w:tc>
          <w:tcPr>
            <w:tcW w:w="67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6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Creditors</w:t>
            </w:r>
          </w:p>
        </w:tc>
        <w:tc>
          <w:tcPr>
            <w:tcW w:w="3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82</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19.5.</w:t>
            </w:r>
          </w:p>
        </w:tc>
        <w:tc>
          <w:tcPr>
            <w:tcW w:w="676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6760" w:type="dxa"/>
            <w:vAlign w:val="bottom"/>
          </w:tcPr>
          <w:p>
            <w:pPr>
              <w:ind w:left="180"/>
              <w:spacing w:after="0" w:line="201" w:lineRule="exact"/>
              <w:rPr>
                <w:sz w:val="20"/>
                <w:szCs w:val="20"/>
                <w:color w:val="auto"/>
              </w:rPr>
            </w:pPr>
            <w:r>
              <w:rPr>
                <w:rFonts w:ascii="Arial" w:cs="Arial" w:eastAsia="Arial" w:hAnsi="Arial"/>
                <w:sz w:val="18"/>
                <w:szCs w:val="18"/>
                <w:color w:val="auto"/>
              </w:rPr>
              <w:t>Waiver</w:t>
            </w:r>
          </w:p>
        </w:tc>
        <w:tc>
          <w:tcPr>
            <w:tcW w:w="3300" w:type="dxa"/>
            <w:vAlign w:val="bottom"/>
          </w:tcPr>
          <w:p>
            <w:pPr>
              <w:jc w:val="right"/>
              <w:spacing w:after="0" w:line="201" w:lineRule="exact"/>
              <w:rPr>
                <w:sz w:val="20"/>
                <w:szCs w:val="20"/>
                <w:color w:val="auto"/>
              </w:rPr>
            </w:pPr>
            <w:r>
              <w:rPr>
                <w:rFonts w:ascii="Arial" w:cs="Arial" w:eastAsia="Arial" w:hAnsi="Arial"/>
                <w:sz w:val="18"/>
                <w:szCs w:val="18"/>
                <w:color w:val="auto"/>
              </w:rPr>
              <w:t>82</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19.6.</w:t>
            </w:r>
          </w:p>
        </w:tc>
        <w:tc>
          <w:tcPr>
            <w:tcW w:w="6760" w:type="dxa"/>
            <w:vAlign w:val="bottom"/>
          </w:tcPr>
          <w:p>
            <w:pPr>
              <w:spacing w:after="0"/>
              <w:rPr>
                <w:sz w:val="20"/>
                <w:szCs w:val="20"/>
                <w:color w:val="auto"/>
              </w:rPr>
            </w:pPr>
          </w:p>
        </w:tc>
        <w:tc>
          <w:tcPr>
            <w:tcW w:w="3300" w:type="dxa"/>
            <w:vAlign w:val="bottom"/>
          </w:tcPr>
          <w:p>
            <w:pPr>
              <w:spacing w:after="0"/>
              <w:rPr>
                <w:sz w:val="20"/>
                <w:szCs w:val="20"/>
                <w:color w:val="auto"/>
              </w:rPr>
            </w:pPr>
          </w:p>
        </w:tc>
      </w:tr>
      <w:tr>
        <w:trPr>
          <w:trHeight w:val="202"/>
        </w:trPr>
        <w:tc>
          <w:tcPr>
            <w:tcW w:w="1180" w:type="dxa"/>
            <w:vAlign w:val="bottom"/>
            <w:shd w:val="clear" w:color="auto" w:fill="CCEEFF"/>
          </w:tcPr>
          <w:p>
            <w:pPr>
              <w:ind w:left="460"/>
              <w:spacing w:after="0" w:line="201" w:lineRule="exact"/>
              <w:rPr>
                <w:sz w:val="20"/>
                <w:szCs w:val="20"/>
                <w:color w:val="auto"/>
              </w:rPr>
            </w:pPr>
            <w:r>
              <w:rPr>
                <w:rFonts w:ascii="Arial" w:cs="Arial" w:eastAsia="Arial" w:hAnsi="Arial"/>
                <w:sz w:val="18"/>
                <w:szCs w:val="18"/>
                <w:color w:val="auto"/>
              </w:rPr>
              <w:t>Section</w:t>
            </w:r>
          </w:p>
        </w:tc>
        <w:tc>
          <w:tcPr>
            <w:tcW w:w="67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Counterparts</w:t>
            </w:r>
          </w:p>
        </w:tc>
        <w:tc>
          <w:tcPr>
            <w:tcW w:w="33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82</w:t>
            </w:r>
          </w:p>
        </w:tc>
      </w:tr>
      <w:tr>
        <w:trPr>
          <w:trHeight w:val="230"/>
        </w:trPr>
        <w:tc>
          <w:tcPr>
            <w:tcW w:w="11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19.7.</w:t>
            </w:r>
          </w:p>
        </w:tc>
        <w:tc>
          <w:tcPr>
            <w:tcW w:w="6760" w:type="dxa"/>
            <w:vAlign w:val="bottom"/>
            <w:shd w:val="clear" w:color="auto" w:fill="CCEEFF"/>
          </w:tcPr>
          <w:p>
            <w:pPr>
              <w:spacing w:after="0"/>
              <w:rPr>
                <w:sz w:val="20"/>
                <w:szCs w:val="20"/>
                <w:color w:val="auto"/>
              </w:rPr>
            </w:pPr>
          </w:p>
        </w:tc>
        <w:tc>
          <w:tcPr>
            <w:tcW w:w="3300" w:type="dxa"/>
            <w:vAlign w:val="bottom"/>
            <w:shd w:val="clear" w:color="auto" w:fill="CCEEFF"/>
          </w:tcPr>
          <w:p>
            <w:pPr>
              <w:spacing w:after="0"/>
              <w:rPr>
                <w:sz w:val="20"/>
                <w:szCs w:val="20"/>
                <w:color w:val="auto"/>
              </w:rPr>
            </w:pPr>
          </w:p>
        </w:tc>
      </w:tr>
      <w:tr>
        <w:trPr>
          <w:trHeight w:val="202"/>
        </w:trPr>
        <w:tc>
          <w:tcPr>
            <w:tcW w:w="1180" w:type="dxa"/>
            <w:vAlign w:val="bottom"/>
          </w:tcPr>
          <w:p>
            <w:pPr>
              <w:ind w:left="460"/>
              <w:spacing w:after="0" w:line="201" w:lineRule="exact"/>
              <w:rPr>
                <w:sz w:val="20"/>
                <w:szCs w:val="20"/>
                <w:color w:val="auto"/>
              </w:rPr>
            </w:pPr>
            <w:r>
              <w:rPr>
                <w:rFonts w:ascii="Arial" w:cs="Arial" w:eastAsia="Arial" w:hAnsi="Arial"/>
                <w:sz w:val="18"/>
                <w:szCs w:val="18"/>
                <w:color w:val="auto"/>
              </w:rPr>
              <w:t>Section</w:t>
            </w:r>
          </w:p>
        </w:tc>
        <w:tc>
          <w:tcPr>
            <w:tcW w:w="6760" w:type="dxa"/>
            <w:vAlign w:val="bottom"/>
          </w:tcPr>
          <w:p>
            <w:pPr>
              <w:ind w:left="180"/>
              <w:spacing w:after="0" w:line="201" w:lineRule="exact"/>
              <w:rPr>
                <w:sz w:val="20"/>
                <w:szCs w:val="20"/>
                <w:color w:val="auto"/>
              </w:rPr>
            </w:pPr>
            <w:r>
              <w:rPr>
                <w:rFonts w:ascii="Arial" w:cs="Arial" w:eastAsia="Arial" w:hAnsi="Arial"/>
                <w:sz w:val="18"/>
                <w:szCs w:val="18"/>
                <w:color w:val="auto"/>
              </w:rPr>
              <w:t>Applicable Law; Forum, Venue and Jurisdiction</w:t>
            </w:r>
          </w:p>
        </w:tc>
        <w:tc>
          <w:tcPr>
            <w:tcW w:w="3300" w:type="dxa"/>
            <w:vAlign w:val="bottom"/>
          </w:tcPr>
          <w:p>
            <w:pPr>
              <w:jc w:val="right"/>
              <w:spacing w:after="0" w:line="201" w:lineRule="exact"/>
              <w:rPr>
                <w:sz w:val="20"/>
                <w:szCs w:val="20"/>
                <w:color w:val="auto"/>
              </w:rPr>
            </w:pPr>
            <w:r>
              <w:rPr>
                <w:rFonts w:ascii="Arial" w:cs="Arial" w:eastAsia="Arial" w:hAnsi="Arial"/>
                <w:sz w:val="18"/>
                <w:szCs w:val="18"/>
                <w:color w:val="auto"/>
              </w:rPr>
              <w:t>82</w:t>
            </w:r>
          </w:p>
        </w:tc>
      </w:tr>
      <w:tr>
        <w:trPr>
          <w:trHeight w:val="230"/>
        </w:trPr>
        <w:tc>
          <w:tcPr>
            <w:tcW w:w="1180" w:type="dxa"/>
            <w:vAlign w:val="bottom"/>
          </w:tcPr>
          <w:p>
            <w:pPr>
              <w:ind w:left="460"/>
              <w:spacing w:after="0"/>
              <w:rPr>
                <w:sz w:val="20"/>
                <w:szCs w:val="20"/>
                <w:color w:val="auto"/>
              </w:rPr>
            </w:pPr>
            <w:r>
              <w:rPr>
                <w:rFonts w:ascii="Arial" w:cs="Arial" w:eastAsia="Arial" w:hAnsi="Arial"/>
                <w:sz w:val="18"/>
                <w:szCs w:val="18"/>
                <w:color w:val="auto"/>
              </w:rPr>
              <w:t>19.8.</w:t>
            </w:r>
          </w:p>
        </w:tc>
        <w:tc>
          <w:tcPr>
            <w:tcW w:w="6760" w:type="dxa"/>
            <w:vAlign w:val="bottom"/>
          </w:tcPr>
          <w:p>
            <w:pPr>
              <w:spacing w:after="0"/>
              <w:rPr>
                <w:sz w:val="20"/>
                <w:szCs w:val="20"/>
                <w:color w:val="auto"/>
              </w:rPr>
            </w:pPr>
          </w:p>
        </w:tc>
        <w:tc>
          <w:tcPr>
            <w:tcW w:w="3300" w:type="dxa"/>
            <w:vAlign w:val="bottom"/>
          </w:tcPr>
          <w:p>
            <w:pPr>
              <w:spacing w:after="0"/>
              <w:rPr>
                <w:sz w:val="20"/>
                <w:szCs w:val="20"/>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37"/>
        </w:trPr>
        <w:tc>
          <w:tcPr>
            <w:tcW w:w="116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r>
      <w:tr>
        <w:trPr>
          <w:trHeight w:val="202"/>
        </w:trPr>
        <w:tc>
          <w:tcPr>
            <w:tcW w:w="11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Section</w:t>
            </w:r>
          </w:p>
        </w:tc>
        <w:tc>
          <w:tcPr>
            <w:tcW w:w="58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Invalidity of Provisions</w:t>
            </w:r>
          </w:p>
        </w:tc>
        <w:tc>
          <w:tcPr>
            <w:tcW w:w="42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83</w:t>
            </w:r>
          </w:p>
        </w:tc>
      </w:tr>
      <w:tr>
        <w:trPr>
          <w:trHeight w:val="230"/>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19.9.</w:t>
            </w:r>
          </w:p>
        </w:tc>
        <w:tc>
          <w:tcPr>
            <w:tcW w:w="588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60" w:type="dxa"/>
            <w:vAlign w:val="bottom"/>
          </w:tcPr>
          <w:p>
            <w:pPr>
              <w:ind w:left="440"/>
              <w:spacing w:after="0" w:line="201" w:lineRule="exact"/>
              <w:rPr>
                <w:sz w:val="20"/>
                <w:szCs w:val="20"/>
                <w:color w:val="auto"/>
              </w:rPr>
            </w:pPr>
            <w:r>
              <w:rPr>
                <w:rFonts w:ascii="Arial" w:cs="Arial" w:eastAsia="Arial" w:hAnsi="Arial"/>
                <w:sz w:val="18"/>
                <w:szCs w:val="18"/>
                <w:color w:val="auto"/>
              </w:rPr>
              <w:t>Section</w:t>
            </w:r>
          </w:p>
        </w:tc>
        <w:tc>
          <w:tcPr>
            <w:tcW w:w="5880" w:type="dxa"/>
            <w:vAlign w:val="bottom"/>
          </w:tcPr>
          <w:p>
            <w:pPr>
              <w:ind w:left="180"/>
              <w:spacing w:after="0" w:line="201" w:lineRule="exact"/>
              <w:rPr>
                <w:sz w:val="20"/>
                <w:szCs w:val="20"/>
                <w:color w:val="auto"/>
              </w:rPr>
            </w:pPr>
            <w:r>
              <w:rPr>
                <w:rFonts w:ascii="Arial" w:cs="Arial" w:eastAsia="Arial" w:hAnsi="Arial"/>
                <w:sz w:val="18"/>
                <w:szCs w:val="18"/>
                <w:color w:val="auto"/>
              </w:rPr>
              <w:t>Consent of Partners</w:t>
            </w:r>
          </w:p>
        </w:tc>
        <w:tc>
          <w:tcPr>
            <w:tcW w:w="42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83</w:t>
            </w:r>
          </w:p>
        </w:tc>
      </w:tr>
      <w:tr>
        <w:trPr>
          <w:trHeight w:val="230"/>
        </w:trPr>
        <w:tc>
          <w:tcPr>
            <w:tcW w:w="1160" w:type="dxa"/>
            <w:vAlign w:val="bottom"/>
          </w:tcPr>
          <w:p>
            <w:pPr>
              <w:ind w:left="440"/>
              <w:spacing w:after="0"/>
              <w:rPr>
                <w:sz w:val="20"/>
                <w:szCs w:val="20"/>
                <w:color w:val="auto"/>
              </w:rPr>
            </w:pPr>
            <w:r>
              <w:rPr>
                <w:rFonts w:ascii="Arial" w:cs="Arial" w:eastAsia="Arial" w:hAnsi="Arial"/>
                <w:sz w:val="18"/>
                <w:szCs w:val="18"/>
                <w:color w:val="auto"/>
              </w:rPr>
              <w:t>19.10.</w:t>
            </w:r>
          </w:p>
        </w:tc>
        <w:tc>
          <w:tcPr>
            <w:tcW w:w="58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2"/>
        </w:trPr>
        <w:tc>
          <w:tcPr>
            <w:tcW w:w="116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Section</w:t>
            </w:r>
          </w:p>
        </w:tc>
        <w:tc>
          <w:tcPr>
            <w:tcW w:w="58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Facsimile Signatures</w:t>
            </w:r>
          </w:p>
        </w:tc>
        <w:tc>
          <w:tcPr>
            <w:tcW w:w="420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84</w:t>
            </w:r>
          </w:p>
        </w:tc>
      </w:tr>
      <w:tr>
        <w:trPr>
          <w:trHeight w:val="230"/>
        </w:trPr>
        <w:tc>
          <w:tcPr>
            <w:tcW w:w="11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19.11.</w:t>
            </w:r>
          </w:p>
        </w:tc>
        <w:tc>
          <w:tcPr>
            <w:tcW w:w="5880" w:type="dxa"/>
            <w:vAlign w:val="bottom"/>
            <w:shd w:val="clear" w:color="auto" w:fill="CCEEFF"/>
          </w:tcPr>
          <w:p>
            <w:pPr>
              <w:spacing w:after="0"/>
              <w:rPr>
                <w:sz w:val="20"/>
                <w:szCs w:val="20"/>
                <w:color w:val="auto"/>
              </w:rPr>
            </w:pPr>
          </w:p>
        </w:tc>
        <w:tc>
          <w:tcPr>
            <w:tcW w:w="38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r>
      <w:tr>
        <w:trPr>
          <w:trHeight w:val="202"/>
        </w:trPr>
        <w:tc>
          <w:tcPr>
            <w:tcW w:w="1160" w:type="dxa"/>
            <w:vAlign w:val="bottom"/>
          </w:tcPr>
          <w:p>
            <w:pPr>
              <w:ind w:left="440"/>
              <w:spacing w:after="0" w:line="201" w:lineRule="exact"/>
              <w:rPr>
                <w:sz w:val="20"/>
                <w:szCs w:val="20"/>
                <w:color w:val="auto"/>
              </w:rPr>
            </w:pPr>
            <w:r>
              <w:rPr>
                <w:rFonts w:ascii="Arial" w:cs="Arial" w:eastAsia="Arial" w:hAnsi="Arial"/>
                <w:sz w:val="18"/>
                <w:szCs w:val="18"/>
                <w:color w:val="auto"/>
              </w:rPr>
              <w:t>Section</w:t>
            </w:r>
          </w:p>
        </w:tc>
        <w:tc>
          <w:tcPr>
            <w:tcW w:w="5880" w:type="dxa"/>
            <w:vAlign w:val="bottom"/>
          </w:tcPr>
          <w:p>
            <w:pPr>
              <w:ind w:left="180"/>
              <w:spacing w:after="0" w:line="201" w:lineRule="exact"/>
              <w:rPr>
                <w:sz w:val="20"/>
                <w:szCs w:val="20"/>
                <w:color w:val="auto"/>
              </w:rPr>
            </w:pPr>
            <w:r>
              <w:rPr>
                <w:rFonts w:ascii="Arial" w:cs="Arial" w:eastAsia="Arial" w:hAnsi="Arial"/>
                <w:sz w:val="18"/>
                <w:szCs w:val="18"/>
                <w:color w:val="auto"/>
              </w:rPr>
              <w:t>Third-Party Beneficiaries</w:t>
            </w:r>
          </w:p>
        </w:tc>
        <w:tc>
          <w:tcPr>
            <w:tcW w:w="42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84</w:t>
            </w:r>
          </w:p>
        </w:tc>
      </w:tr>
      <w:tr>
        <w:trPr>
          <w:trHeight w:val="230"/>
        </w:trPr>
        <w:tc>
          <w:tcPr>
            <w:tcW w:w="1160" w:type="dxa"/>
            <w:vAlign w:val="bottom"/>
          </w:tcPr>
          <w:p>
            <w:pPr>
              <w:ind w:left="440"/>
              <w:spacing w:after="0"/>
              <w:rPr>
                <w:sz w:val="20"/>
                <w:szCs w:val="20"/>
                <w:color w:val="auto"/>
              </w:rPr>
            </w:pPr>
            <w:r>
              <w:rPr>
                <w:rFonts w:ascii="Arial" w:cs="Arial" w:eastAsia="Arial" w:hAnsi="Arial"/>
                <w:sz w:val="18"/>
                <w:szCs w:val="18"/>
                <w:color w:val="auto"/>
              </w:rPr>
              <w:t>19.12.</w:t>
            </w:r>
          </w:p>
        </w:tc>
        <w:tc>
          <w:tcPr>
            <w:tcW w:w="588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340" w:type="dxa"/>
            <w:vAlign w:val="bottom"/>
          </w:tcPr>
          <w:p>
            <w:pPr>
              <w:spacing w:after="0"/>
              <w:rPr>
                <w:sz w:val="20"/>
                <w:szCs w:val="20"/>
                <w:color w:val="auto"/>
              </w:rPr>
            </w:pPr>
          </w:p>
        </w:tc>
      </w:tr>
    </w:tbl>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22"/>
          <w:szCs w:val="22"/>
          <w:b w:val="1"/>
          <w:bCs w:val="1"/>
          <w:color w:val="auto"/>
        </w:rPr>
        <w:t>EIGHTH AMENDED AND RESTATED</w:t>
      </w:r>
    </w:p>
    <w:p>
      <w:pPr>
        <w:spacing w:after="0" w:line="5"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AGREEMENT OF LIMITED PARTNERSHIP</w:t>
      </w:r>
    </w:p>
    <w:p>
      <w:pPr>
        <w:jc w:val="center"/>
        <w:ind w:right="-79"/>
        <w:spacing w:after="0" w:line="230" w:lineRule="auto"/>
        <w:rPr>
          <w:sz w:val="20"/>
          <w:szCs w:val="20"/>
          <w:color w:val="auto"/>
        </w:rPr>
      </w:pPr>
      <w:r>
        <w:rPr>
          <w:rFonts w:ascii="Arial" w:cs="Arial" w:eastAsia="Arial" w:hAnsi="Arial"/>
          <w:sz w:val="22"/>
          <w:szCs w:val="22"/>
          <w:b w:val="1"/>
          <w:bCs w:val="1"/>
          <w:color w:val="auto"/>
        </w:rPr>
        <w:t>OF</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GASLOG PARTNERS LP</w:t>
      </w:r>
    </w:p>
    <w:p>
      <w:pPr>
        <w:spacing w:after="0" w:line="215" w:lineRule="exact"/>
        <w:rPr>
          <w:sz w:val="20"/>
          <w:szCs w:val="20"/>
          <w:color w:val="auto"/>
        </w:rPr>
      </w:pPr>
    </w:p>
    <w:p>
      <w:pPr>
        <w:ind w:right="160" w:firstLine="1296"/>
        <w:spacing w:after="0" w:line="252" w:lineRule="auto"/>
        <w:rPr>
          <w:sz w:val="20"/>
          <w:szCs w:val="20"/>
          <w:color w:val="auto"/>
        </w:rPr>
      </w:pPr>
      <w:r>
        <w:rPr>
          <w:rFonts w:ascii="Arial" w:cs="Arial" w:eastAsia="Arial" w:hAnsi="Arial"/>
          <w:sz w:val="21"/>
          <w:szCs w:val="21"/>
          <w:color w:val="auto"/>
        </w:rPr>
        <w:t>THIS EIGHTH AMENDED AND RESTATED AGREEMENT OF LIMITED PARTNERSHIP OF GASLOG PARTNERS LP, dated as of July 21, 2023, is entered into by and between GasLog Partners GP LLC, a Marshall Islands limited liability company, as the General Partner and the Limited Partners, together with any other Persons who become Partners in the Partnership or parties hereto as provided herein, and is effective as of the Effective Time.</w:t>
      </w:r>
    </w:p>
    <w:p>
      <w:pPr>
        <w:spacing w:after="0" w:line="201" w:lineRule="exact"/>
        <w:rPr>
          <w:sz w:val="20"/>
          <w:szCs w:val="20"/>
          <w:color w:val="auto"/>
        </w:rPr>
      </w:pPr>
    </w:p>
    <w:p>
      <w:pPr>
        <w:ind w:right="480" w:firstLine="1296"/>
        <w:spacing w:after="0" w:line="328" w:lineRule="auto"/>
        <w:rPr>
          <w:sz w:val="20"/>
          <w:szCs w:val="20"/>
          <w:color w:val="auto"/>
        </w:rPr>
      </w:pPr>
      <w:r>
        <w:rPr>
          <w:rFonts w:ascii="Arial" w:cs="Arial" w:eastAsia="Arial" w:hAnsi="Arial"/>
          <w:sz w:val="19"/>
          <w:szCs w:val="19"/>
          <w:color w:val="auto"/>
        </w:rPr>
        <w:t>WHEREAS, the General Partner and the other parties thereto entered into that certain Seventh Amended and Restated Agreement of Limited Partnership of the Partnership (the “</w:t>
      </w:r>
      <w:r>
        <w:rPr>
          <w:rFonts w:ascii="Arial" w:cs="Arial" w:eastAsia="Arial" w:hAnsi="Arial"/>
          <w:sz w:val="19"/>
          <w:szCs w:val="19"/>
          <w:b w:val="1"/>
          <w:bCs w:val="1"/>
          <w:color w:val="auto"/>
        </w:rPr>
        <w:t>Seventh Amended Agreement</w:t>
      </w:r>
      <w:r>
        <w:rPr>
          <w:rFonts w:ascii="Arial" w:cs="Arial" w:eastAsia="Arial" w:hAnsi="Arial"/>
          <w:sz w:val="19"/>
          <w:szCs w:val="19"/>
          <w:color w:val="auto"/>
        </w:rPr>
        <w:t>”) on August 5, 2020;</w:t>
      </w:r>
    </w:p>
    <w:p>
      <w:pPr>
        <w:spacing w:after="0" w:line="132" w:lineRule="exact"/>
        <w:rPr>
          <w:sz w:val="20"/>
          <w:szCs w:val="20"/>
          <w:color w:val="auto"/>
        </w:rPr>
      </w:pPr>
    </w:p>
    <w:p>
      <w:pPr>
        <w:ind w:right="160" w:firstLine="1296"/>
        <w:spacing w:after="0" w:line="287" w:lineRule="auto"/>
        <w:rPr>
          <w:sz w:val="20"/>
          <w:szCs w:val="20"/>
          <w:color w:val="auto"/>
        </w:rPr>
      </w:pPr>
      <w:r>
        <w:rPr>
          <w:rFonts w:ascii="Arial" w:cs="Arial" w:eastAsia="Arial" w:hAnsi="Arial"/>
          <w:sz w:val="19"/>
          <w:szCs w:val="19"/>
          <w:color w:val="auto"/>
        </w:rPr>
        <w:t xml:space="preserve">WHEREAS, </w:t>
      </w:r>
      <w:r>
        <w:rPr>
          <w:rFonts w:ascii="Arial" w:cs="Arial" w:eastAsia="Arial" w:hAnsi="Arial"/>
          <w:sz w:val="19"/>
          <w:szCs w:val="19"/>
          <w:u w:val="single" w:color="auto"/>
          <w:color w:val="auto"/>
        </w:rPr>
        <w:t>Sections 13.2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13.3</w:t>
      </w:r>
      <w:r>
        <w:rPr>
          <w:rFonts w:ascii="Arial" w:cs="Arial" w:eastAsia="Arial" w:hAnsi="Arial"/>
          <w:sz w:val="19"/>
          <w:szCs w:val="19"/>
          <w:color w:val="auto"/>
        </w:rPr>
        <w:t xml:space="preserve"> of the Seventh Amended Agreement provide that the Partnership’s Board of Directors and the holders of a Unit Majority (unless a greater or different percentage is otherwise required under the Seventh Amended Agreement) may amend certain provisions of the Seventh Amended Agreement, and execute, swear to, acknowledge, deliver, file and record whatever documents may be required in connection therewith, to reflect such amendment; and</w:t>
      </w:r>
    </w:p>
    <w:p>
      <w:pPr>
        <w:spacing w:after="0" w:line="170" w:lineRule="exact"/>
        <w:rPr>
          <w:sz w:val="20"/>
          <w:szCs w:val="20"/>
          <w:color w:val="auto"/>
        </w:rPr>
      </w:pPr>
    </w:p>
    <w:p>
      <w:pPr>
        <w:ind w:right="320" w:firstLine="1296"/>
        <w:spacing w:after="0" w:line="328" w:lineRule="auto"/>
        <w:rPr>
          <w:sz w:val="20"/>
          <w:szCs w:val="20"/>
          <w:color w:val="auto"/>
        </w:rPr>
      </w:pPr>
      <w:r>
        <w:rPr>
          <w:rFonts w:ascii="Arial" w:cs="Arial" w:eastAsia="Arial" w:hAnsi="Arial"/>
          <w:sz w:val="19"/>
          <w:szCs w:val="19"/>
          <w:color w:val="auto"/>
        </w:rPr>
        <w:t xml:space="preserve">WHEREAS, the Board of Directors has adopted, and GasLog, as the holder of all of the Outstanding Common Units, has approved, this Agreement pursuant to </w:t>
      </w:r>
      <w:r>
        <w:rPr>
          <w:rFonts w:ascii="Arial" w:cs="Arial" w:eastAsia="Arial" w:hAnsi="Arial"/>
          <w:sz w:val="19"/>
          <w:szCs w:val="19"/>
          <w:u w:val="single" w:color="auto"/>
          <w:color w:val="auto"/>
        </w:rPr>
        <w:t>Sections 13.2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13.3</w:t>
      </w:r>
      <w:r>
        <w:rPr>
          <w:rFonts w:ascii="Arial" w:cs="Arial" w:eastAsia="Arial" w:hAnsi="Arial"/>
          <w:sz w:val="19"/>
          <w:szCs w:val="19"/>
          <w:color w:val="auto"/>
        </w:rPr>
        <w:t xml:space="preserve"> of the Seventh Amended Agreement.</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NOW, THEREFORE, the Board of Directors, GasLog and the General Partner do hereby amend and restate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Seventh Amended Agreement to provide, in its entirety, as follows:</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I</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DEFINITIONS AND CONSTRUCTION</w:t>
      </w:r>
    </w:p>
    <w:p>
      <w:pPr>
        <w:spacing w:after="0" w:line="215" w:lineRule="exact"/>
        <w:rPr>
          <w:sz w:val="20"/>
          <w:szCs w:val="20"/>
          <w:color w:val="auto"/>
        </w:rPr>
      </w:pPr>
    </w:p>
    <w:p>
      <w:pPr>
        <w:ind w:right="680" w:firstLine="1296"/>
        <w:spacing w:after="0" w:line="250" w:lineRule="auto"/>
        <w:rPr>
          <w:sz w:val="20"/>
          <w:szCs w:val="20"/>
          <w:color w:val="auto"/>
        </w:rPr>
      </w:pPr>
      <w:r>
        <w:rPr>
          <w:rFonts w:ascii="Arial" w:cs="Arial" w:eastAsia="Arial" w:hAnsi="Arial"/>
          <w:sz w:val="22"/>
          <w:szCs w:val="22"/>
          <w:color w:val="auto"/>
        </w:rPr>
        <w:t xml:space="preserve">Section 1.1. </w:t>
      </w:r>
      <w:r>
        <w:rPr>
          <w:rFonts w:ascii="Arial" w:cs="Arial" w:eastAsia="Arial" w:hAnsi="Arial"/>
          <w:sz w:val="22"/>
          <w:szCs w:val="22"/>
          <w:i w:val="1"/>
          <w:iCs w:val="1"/>
          <w:color w:val="auto"/>
        </w:rPr>
        <w:t>Definitions</w:t>
      </w:r>
      <w:r>
        <w:rPr>
          <w:rFonts w:ascii="Arial" w:cs="Arial" w:eastAsia="Arial" w:hAnsi="Arial"/>
          <w:sz w:val="22"/>
          <w:szCs w:val="22"/>
          <w:color w:val="auto"/>
        </w:rPr>
        <w:t>. The following definitions shall be for all purposes, unless otherwise clearly indicated to the contrary, applied to the terms used in this Agreement.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Affiliate</w:t>
      </w:r>
      <w:r>
        <w:rPr>
          <w:rFonts w:ascii="Arial" w:cs="Arial" w:eastAsia="Arial" w:hAnsi="Arial"/>
          <w:sz w:val="19"/>
          <w:szCs w:val="19"/>
          <w:color w:val="auto"/>
        </w:rPr>
        <w:t>” means, with respect to any Person, any other Person that directly or indirectly through one or more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intermediaries controls, is controlled by or is under common control with, the Person in question. As used herein, the term</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control</w:t>
      </w:r>
      <w:r>
        <w:rPr>
          <w:rFonts w:ascii="Arial" w:cs="Arial" w:eastAsia="Arial" w:hAnsi="Arial"/>
          <w:sz w:val="19"/>
          <w:szCs w:val="19"/>
          <w:color w:val="auto"/>
        </w:rPr>
        <w:t>” means the possession, direct or indirect, of the power to direct or cause the direction of the management and policies of</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a Person, whether through ownership of voting securities, by contract or otherwise.</w:t>
      </w:r>
    </w:p>
    <w:p>
      <w:pPr>
        <w:spacing w:after="0" w:line="215" w:lineRule="exact"/>
        <w:rPr>
          <w:sz w:val="20"/>
          <w:szCs w:val="20"/>
          <w:color w:val="auto"/>
        </w:rPr>
      </w:pPr>
    </w:p>
    <w:p>
      <w:pPr>
        <w:ind w:right="60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Agreed Value</w:t>
      </w:r>
      <w:r>
        <w:rPr>
          <w:rFonts w:ascii="Arial" w:cs="Arial" w:eastAsia="Arial" w:hAnsi="Arial"/>
          <w:sz w:val="22"/>
          <w:szCs w:val="22"/>
          <w:color w:val="auto"/>
        </w:rPr>
        <w:t>” means the fair market value of the applicable property or other consideration at the time of contribution or distribution, as the case may be, as determined by the Board of Directors.</w:t>
      </w:r>
    </w:p>
    <w:p>
      <w:pPr>
        <w:spacing w:after="0" w:line="38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sectPr>
      </w:pPr>
    </w:p>
    <w:bookmarkStart w:id="12" w:name="page13"/>
    <w:bookmarkEnd w:id="12"/>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Agreement</w:t>
      </w:r>
      <w:r>
        <w:rPr>
          <w:rFonts w:ascii="Arial" w:cs="Arial" w:eastAsia="Arial" w:hAnsi="Arial"/>
          <w:sz w:val="22"/>
          <w:szCs w:val="22"/>
          <w:color w:val="auto"/>
        </w:rPr>
        <w:t>” means this Eighth Amended and Restated Agreement of Limited Partnership of GasLog Partners LP, as it may be amended, supplemented or restated from time to time.</w:t>
      </w:r>
    </w:p>
    <w:p>
      <w:pPr>
        <w:spacing w:after="0" w:line="202" w:lineRule="exact"/>
        <w:rPr>
          <w:sz w:val="20"/>
          <w:szCs w:val="20"/>
          <w:color w:val="auto"/>
        </w:rPr>
      </w:pPr>
    </w:p>
    <w:p>
      <w:pPr>
        <w:ind w:right="780"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Appointed Directors</w:t>
      </w:r>
      <w:r>
        <w:rPr>
          <w:rFonts w:ascii="Arial" w:cs="Arial" w:eastAsia="Arial" w:hAnsi="Arial"/>
          <w:sz w:val="21"/>
          <w:szCs w:val="21"/>
          <w:color w:val="auto"/>
        </w:rPr>
        <w:t xml:space="preserve">” means the members of the Board of Directors appointed by the General Partner in accordance with the provisions of </w:t>
      </w:r>
      <w:r>
        <w:rPr>
          <w:rFonts w:ascii="Arial" w:cs="Arial" w:eastAsia="Arial" w:hAnsi="Arial"/>
          <w:sz w:val="21"/>
          <w:szCs w:val="21"/>
          <w:u w:val="single" w:color="auto"/>
          <w:color w:val="auto"/>
        </w:rPr>
        <w:t>Article VII</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18.5(b)</w:t>
      </w:r>
      <w:r>
        <w:rPr>
          <w:rFonts w:ascii="Arial" w:cs="Arial" w:eastAsia="Arial" w:hAnsi="Arial"/>
          <w:sz w:val="21"/>
          <w:szCs w:val="21"/>
          <w:color w:val="auto"/>
        </w:rPr>
        <w:t>.</w:t>
      </w:r>
    </w:p>
    <w:p>
      <w:pPr>
        <w:spacing w:after="0" w:line="178" w:lineRule="exact"/>
        <w:rPr>
          <w:sz w:val="20"/>
          <w:szCs w:val="20"/>
          <w:color w:val="auto"/>
        </w:rPr>
      </w:pPr>
    </w:p>
    <w:p>
      <w:pPr>
        <w:ind w:firstLine="1296"/>
        <w:spacing w:after="0" w:line="238" w:lineRule="auto"/>
        <w:rPr>
          <w:sz w:val="20"/>
          <w:szCs w:val="20"/>
          <w:color w:val="auto"/>
        </w:rPr>
      </w:pPr>
      <w:r>
        <w:rPr>
          <w:rFonts w:ascii="Arial" w:cs="Arial" w:eastAsia="Arial" w:hAnsi="Arial"/>
          <w:sz w:val="22"/>
          <w:szCs w:val="22"/>
          <w:b w:val="1"/>
          <w:bCs w:val="1"/>
          <w:i w:val="1"/>
          <w:iCs w:val="1"/>
          <w:color w:val="auto"/>
        </w:rPr>
        <w:t xml:space="preserve">“Arrears” </w:t>
      </w:r>
      <w:r>
        <w:rPr>
          <w:rFonts w:ascii="Arial" w:cs="Arial" w:eastAsia="Arial" w:hAnsi="Arial"/>
          <w:sz w:val="22"/>
          <w:szCs w:val="22"/>
          <w:color w:val="auto"/>
        </w:rPr>
        <w:t>means, with respect to Preference Distributions on any series of Preference Units for any Quarter (or,</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with respect to the initial Preference Distribution, for the initial Preference Distribution Period with respect to such series), that the full cumulative Preference Distributions through the most recent Preference Distribution Payment Date have not been paid on all Outstanding Preference Units of such series.</w:t>
      </w:r>
    </w:p>
    <w:p>
      <w:pPr>
        <w:spacing w:after="0" w:line="212" w:lineRule="exact"/>
        <w:rPr>
          <w:sz w:val="20"/>
          <w:szCs w:val="20"/>
          <w:color w:val="auto"/>
        </w:rPr>
      </w:pPr>
    </w:p>
    <w:p>
      <w:pPr>
        <w:ind w:right="100"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 of Directors</w:t>
      </w:r>
      <w:r>
        <w:rPr>
          <w:rFonts w:ascii="Arial" w:cs="Arial" w:eastAsia="Arial" w:hAnsi="Arial"/>
          <w:sz w:val="22"/>
          <w:szCs w:val="22"/>
          <w:color w:val="auto"/>
        </w:rPr>
        <w:t xml:space="preserve">” means the board of directors of the Partnership, composed of Appointed Directors and any other members of the board of directors appointed or elected, as the case may be, in accordance with the provisions of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VII</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16.5(b)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17.5(b)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18.5(b)</w:t>
      </w:r>
      <w:r>
        <w:rPr>
          <w:rFonts w:ascii="Arial" w:cs="Arial" w:eastAsia="Arial" w:hAnsi="Arial"/>
          <w:sz w:val="22"/>
          <w:szCs w:val="22"/>
          <w:color w:val="auto"/>
        </w:rPr>
        <w:t xml:space="preserve"> and a majority of whom are not United States citizens or residents, which, pursuant to </w:t>
      </w:r>
      <w:r>
        <w:rPr>
          <w:rFonts w:ascii="Arial" w:cs="Arial" w:eastAsia="Arial" w:hAnsi="Arial"/>
          <w:sz w:val="22"/>
          <w:szCs w:val="22"/>
          <w:u w:val="single" w:color="auto"/>
          <w:color w:val="auto"/>
        </w:rPr>
        <w:t>Section 7.1</w:t>
      </w:r>
      <w:r>
        <w:rPr>
          <w:rFonts w:ascii="Arial" w:cs="Arial" w:eastAsia="Arial" w:hAnsi="Arial"/>
          <w:sz w:val="22"/>
          <w:szCs w:val="22"/>
          <w:color w:val="auto"/>
        </w:rPr>
        <w:t xml:space="preserve">, and subject to </w:t>
      </w:r>
      <w:r>
        <w:rPr>
          <w:rFonts w:ascii="Arial" w:cs="Arial" w:eastAsia="Arial" w:hAnsi="Arial"/>
          <w:sz w:val="22"/>
          <w:szCs w:val="22"/>
          <w:u w:val="single" w:color="auto"/>
          <w:color w:val="auto"/>
        </w:rPr>
        <w:t>Section 7.10</w:t>
      </w:r>
      <w:r>
        <w:rPr>
          <w:rFonts w:ascii="Arial" w:cs="Arial" w:eastAsia="Arial" w:hAnsi="Arial"/>
          <w:sz w:val="22"/>
          <w:szCs w:val="22"/>
          <w:color w:val="auto"/>
        </w:rPr>
        <w:t>, oversees and directs the operations, management and policies of the Partnership. The Board of Directors shall constitute a committee within the meaning of Section 30(2)(g) of the Marshall Islands Act.</w:t>
      </w:r>
    </w:p>
    <w:p>
      <w:pPr>
        <w:spacing w:after="0" w:line="215" w:lineRule="exact"/>
        <w:rPr>
          <w:sz w:val="20"/>
          <w:szCs w:val="20"/>
          <w:color w:val="auto"/>
        </w:rPr>
      </w:pPr>
    </w:p>
    <w:p>
      <w:pPr>
        <w:ind w:right="240"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Business Day</w:t>
      </w:r>
      <w:r>
        <w:rPr>
          <w:rFonts w:ascii="Arial" w:cs="Arial" w:eastAsia="Arial" w:hAnsi="Arial"/>
          <w:sz w:val="19"/>
          <w:szCs w:val="19"/>
          <w:color w:val="auto"/>
        </w:rPr>
        <w:t>” means Monday through Friday of each week, except that a legal holiday recognized as such by the government of the United States of America or the State of New York shall not be regarded as a Business Day.</w:t>
      </w:r>
    </w:p>
    <w:p>
      <w:pPr>
        <w:spacing w:after="0" w:line="132" w:lineRule="exact"/>
        <w:rPr>
          <w:sz w:val="20"/>
          <w:szCs w:val="20"/>
          <w:color w:val="auto"/>
        </w:rPr>
      </w:pPr>
    </w:p>
    <w:p>
      <w:pPr>
        <w:ind w:right="30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Calculation Agent</w:t>
      </w:r>
      <w:r>
        <w:rPr>
          <w:rFonts w:ascii="Arial" w:cs="Arial" w:eastAsia="Arial" w:hAnsi="Arial"/>
          <w:sz w:val="22"/>
          <w:szCs w:val="22"/>
          <w:color w:val="auto"/>
        </w:rPr>
        <w:t>” means a bank, trust company or other Person (including the Partnership and any of its Affiliates) as may be appointed from time to time by the Partnership to act as the calculation agent for the Series B Preference Units and the Series C Preference Units.</w:t>
      </w:r>
    </w:p>
    <w:p>
      <w:pPr>
        <w:spacing w:after="0" w:line="213" w:lineRule="exact"/>
        <w:rPr>
          <w:sz w:val="20"/>
          <w:szCs w:val="20"/>
          <w:color w:val="auto"/>
        </w:rPr>
      </w:pPr>
    </w:p>
    <w:p>
      <w:pPr>
        <w:ind w:right="20" w:firstLine="1296"/>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Capital Contribution</w:t>
      </w:r>
      <w:r>
        <w:rPr>
          <w:rFonts w:ascii="Arial" w:cs="Arial" w:eastAsia="Arial" w:hAnsi="Arial"/>
          <w:sz w:val="22"/>
          <w:szCs w:val="22"/>
          <w:color w:val="auto"/>
        </w:rPr>
        <w:t>” means (a) with respect to any Partner, any cash, cash equivalents or the Net Agreed Value of Contributed Property that a Partner contributes to the Partnership or that is contributed or deemed contributed to the Partnership on behalf of a Partner (including, in the case of an underwritten offering of Units, the amount of any underwriting discounts or commissions) or (b) with respect to the General Partner only, (i) distributions of cash that the General Partner is entitled to receive but otherwise waives such that the Partnership retains such cash or (ii) Common Units that the General Partner contributes to the Partnership.</w:t>
      </w:r>
    </w:p>
    <w:p>
      <w:pPr>
        <w:spacing w:after="0" w:line="215" w:lineRule="exact"/>
        <w:rPr>
          <w:sz w:val="20"/>
          <w:szCs w:val="20"/>
          <w:color w:val="auto"/>
        </w:rPr>
      </w:pPr>
    </w:p>
    <w:p>
      <w:pPr>
        <w:jc w:val="both"/>
        <w:ind w:right="28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Cause</w:t>
      </w:r>
      <w:r>
        <w:rPr>
          <w:rFonts w:ascii="Arial" w:cs="Arial" w:eastAsia="Arial" w:hAnsi="Arial"/>
          <w:sz w:val="22"/>
          <w:szCs w:val="22"/>
          <w:color w:val="auto"/>
        </w:rPr>
        <w:t>” means a court of competent jurisdiction has entered a final, non-appealable judgment finding a Person liable to the Partnership or any Limited Partner for actual fraud or willful misconduct in its capacity as a general partner of the Partnership or as a member of the Board of Directors, as the case may be.</w:t>
      </w:r>
    </w:p>
    <w:p>
      <w:pPr>
        <w:spacing w:after="0" w:line="213" w:lineRule="exact"/>
        <w:rPr>
          <w:sz w:val="20"/>
          <w:szCs w:val="20"/>
          <w:color w:val="auto"/>
        </w:rPr>
      </w:pPr>
    </w:p>
    <w:p>
      <w:pPr>
        <w:ind w:right="100" w:firstLine="1296"/>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Certificate</w:t>
      </w:r>
      <w:r>
        <w:rPr>
          <w:rFonts w:ascii="Arial" w:cs="Arial" w:eastAsia="Arial" w:hAnsi="Arial"/>
          <w:sz w:val="21"/>
          <w:szCs w:val="21"/>
          <w:color w:val="auto"/>
        </w:rPr>
        <w:t xml:space="preserve">” means a certificate (a) substantially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to this Agreement with respect to Common Units, </w:t>
      </w:r>
      <w:r>
        <w:rPr>
          <w:rFonts w:ascii="Arial" w:cs="Arial" w:eastAsia="Arial" w:hAnsi="Arial"/>
          <w:sz w:val="21"/>
          <w:szCs w:val="21"/>
          <w:u w:val="single" w:color="auto"/>
          <w:color w:val="auto"/>
        </w:rPr>
        <w:t>Exhibit B</w:t>
      </w:r>
      <w:r>
        <w:rPr>
          <w:rFonts w:ascii="Arial" w:cs="Arial" w:eastAsia="Arial" w:hAnsi="Arial"/>
          <w:sz w:val="21"/>
          <w:szCs w:val="21"/>
          <w:color w:val="auto"/>
        </w:rPr>
        <w:t xml:space="preserve"> to this Agreement with respect to Series A Preference Units, </w:t>
      </w:r>
      <w:r>
        <w:rPr>
          <w:rFonts w:ascii="Arial" w:cs="Arial" w:eastAsia="Arial" w:hAnsi="Arial"/>
          <w:sz w:val="21"/>
          <w:szCs w:val="21"/>
          <w:u w:val="single" w:color="auto"/>
          <w:color w:val="auto"/>
        </w:rPr>
        <w:t>Exhibit C</w:t>
      </w:r>
      <w:r>
        <w:rPr>
          <w:rFonts w:ascii="Arial" w:cs="Arial" w:eastAsia="Arial" w:hAnsi="Arial"/>
          <w:sz w:val="21"/>
          <w:szCs w:val="21"/>
          <w:color w:val="auto"/>
        </w:rPr>
        <w:t xml:space="preserve"> to this Agreement with respect to Series B Preference Units and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to this Agreement with respect to Series C Preference Units, (b) issued in global or book entry form in accordance with the rules and regulations of the Depositary or (c) in such</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13" w:name="page14"/>
    <w:bookmarkEnd w:id="13"/>
    <w:p>
      <w:pPr>
        <w:ind w:right="420"/>
        <w:spacing w:after="0"/>
        <w:rPr>
          <w:sz w:val="20"/>
          <w:szCs w:val="20"/>
          <w:color w:val="auto"/>
        </w:rPr>
      </w:pPr>
      <w:r>
        <w:rPr>
          <w:rFonts w:ascii="Arial" w:cs="Arial" w:eastAsia="Arial" w:hAnsi="Arial"/>
          <w:sz w:val="22"/>
          <w:szCs w:val="22"/>
          <w:color w:val="auto"/>
        </w:rPr>
        <w:t>other form as may be adopted by the Board of Directors, issued by the Partnership evidencing ownership of one or more Common Units or Preference Units, or a certificate, in such form as may be adopted by the Board of Directors, issued by the Partnership evidencing ownership of one or more other Partnership Interests.</w:t>
      </w:r>
    </w:p>
    <w:p>
      <w:pPr>
        <w:spacing w:after="0" w:line="213" w:lineRule="exact"/>
        <w:rPr>
          <w:sz w:val="20"/>
          <w:szCs w:val="20"/>
          <w:color w:val="auto"/>
        </w:rPr>
      </w:pPr>
    </w:p>
    <w:p>
      <w:pPr>
        <w:jc w:val="both"/>
        <w:ind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Certificate of Limited Partnership</w:t>
      </w:r>
      <w:r>
        <w:rPr>
          <w:rFonts w:ascii="Arial" w:cs="Arial" w:eastAsia="Arial" w:hAnsi="Arial"/>
          <w:sz w:val="22"/>
          <w:szCs w:val="22"/>
          <w:color w:val="auto"/>
        </w:rPr>
        <w:t xml:space="preserve">” means the Certificate of Limited Partnership of the Partnership filed with the Registrar of Corporations of The Marshall Islands as referenced in </w:t>
      </w:r>
      <w:r>
        <w:rPr>
          <w:rFonts w:ascii="Arial" w:cs="Arial" w:eastAsia="Arial" w:hAnsi="Arial"/>
          <w:sz w:val="22"/>
          <w:szCs w:val="22"/>
          <w:u w:val="single" w:color="auto"/>
          <w:color w:val="auto"/>
        </w:rPr>
        <w:t>Section 7.9</w:t>
      </w:r>
      <w:r>
        <w:rPr>
          <w:rFonts w:ascii="Arial" w:cs="Arial" w:eastAsia="Arial" w:hAnsi="Arial"/>
          <w:sz w:val="22"/>
          <w:szCs w:val="22"/>
          <w:color w:val="auto"/>
        </w:rPr>
        <w:t xml:space="preserve"> as such Certificate of Limited Partnership may be amended, supplemented or restated from time to time.</w:t>
      </w:r>
    </w:p>
    <w:p>
      <w:pPr>
        <w:spacing w:after="0" w:line="21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claim</w:t>
      </w:r>
      <w:r>
        <w:rPr>
          <w:rFonts w:ascii="Arial" w:cs="Arial" w:eastAsia="Arial" w:hAnsi="Arial"/>
          <w:sz w:val="22"/>
          <w:szCs w:val="22"/>
          <w:color w:val="auto"/>
        </w:rPr>
        <w:t xml:space="preserve">” (as used in </w:t>
      </w:r>
      <w:r>
        <w:rPr>
          <w:rFonts w:ascii="Arial" w:cs="Arial" w:eastAsia="Arial" w:hAnsi="Arial"/>
          <w:sz w:val="22"/>
          <w:szCs w:val="22"/>
          <w:u w:val="single" w:color="auto"/>
          <w:color w:val="auto"/>
        </w:rPr>
        <w:t>Section 7.18(b))</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7.18(b)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Combined Interest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11.3(a)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Commission</w:t>
      </w:r>
      <w:r>
        <w:rPr>
          <w:rFonts w:ascii="Arial" w:cs="Arial" w:eastAsia="Arial" w:hAnsi="Arial"/>
          <w:sz w:val="22"/>
          <w:szCs w:val="22"/>
          <w:color w:val="auto"/>
        </w:rPr>
        <w:t>” means the United States Securities and Exchange Commission.</w:t>
      </w:r>
    </w:p>
    <w:p>
      <w:pPr>
        <w:spacing w:after="0" w:line="233" w:lineRule="exact"/>
        <w:rPr>
          <w:sz w:val="20"/>
          <w:szCs w:val="20"/>
          <w:color w:val="auto"/>
        </w:rPr>
      </w:pPr>
    </w:p>
    <w:p>
      <w:pPr>
        <w:ind w:right="520"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Common Unit</w:t>
      </w:r>
      <w:r>
        <w:rPr>
          <w:rFonts w:ascii="Arial" w:cs="Arial" w:eastAsia="Arial" w:hAnsi="Arial"/>
          <w:sz w:val="19"/>
          <w:szCs w:val="19"/>
          <w:color w:val="auto"/>
        </w:rPr>
        <w:t>” means a Partnership Interest representing a fractional part of the Partnership Interests of all Limited Partners, and having the rights and obligations specified with respect to Common Units in this Agreement.</w:t>
      </w:r>
    </w:p>
    <w:p>
      <w:pPr>
        <w:spacing w:after="0" w:line="132" w:lineRule="exact"/>
        <w:rPr>
          <w:sz w:val="20"/>
          <w:szCs w:val="20"/>
          <w:color w:val="auto"/>
        </w:rPr>
      </w:pPr>
    </w:p>
    <w:p>
      <w:pPr>
        <w:ind w:right="36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Contributed Property</w:t>
      </w:r>
      <w:r>
        <w:rPr>
          <w:rFonts w:ascii="Arial" w:cs="Arial" w:eastAsia="Arial" w:hAnsi="Arial"/>
          <w:sz w:val="22"/>
          <w:szCs w:val="22"/>
          <w:color w:val="auto"/>
        </w:rPr>
        <w:t>” means each property or other asset, in such form as may be permitted by the Marshall Islands Act, but excluding cash, contributed to the Partnership.</w:t>
      </w:r>
    </w:p>
    <w:p>
      <w:pPr>
        <w:spacing w:after="0" w:line="202" w:lineRule="exact"/>
        <w:rPr>
          <w:sz w:val="20"/>
          <w:szCs w:val="20"/>
          <w:color w:val="auto"/>
        </w:rPr>
      </w:pPr>
    </w:p>
    <w:p>
      <w:pPr>
        <w:ind w:right="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Departing General Partner</w:t>
      </w:r>
      <w:r>
        <w:rPr>
          <w:rFonts w:ascii="Arial" w:cs="Arial" w:eastAsia="Arial" w:hAnsi="Arial"/>
          <w:sz w:val="22"/>
          <w:szCs w:val="22"/>
          <w:color w:val="auto"/>
        </w:rPr>
        <w:t xml:space="preserve">” means a former General Partner from and after the effective date of any withdrawal or removal of such former General Partner pursuant to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202" w:lineRule="exact"/>
        <w:rPr>
          <w:sz w:val="20"/>
          <w:szCs w:val="20"/>
          <w:color w:val="auto"/>
        </w:rPr>
      </w:pPr>
    </w:p>
    <w:p>
      <w:pPr>
        <w:ind w:right="5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Depositary</w:t>
      </w:r>
      <w:r>
        <w:rPr>
          <w:rFonts w:ascii="Arial" w:cs="Arial" w:eastAsia="Arial" w:hAnsi="Arial"/>
          <w:sz w:val="22"/>
          <w:szCs w:val="22"/>
          <w:color w:val="auto"/>
        </w:rPr>
        <w:t>” means, with respect to any Units issued in global form, The Depository Trust Company and its successors and permitted assigns.</w:t>
      </w:r>
    </w:p>
    <w:p>
      <w:pPr>
        <w:spacing w:after="0" w:line="202" w:lineRule="exact"/>
        <w:rPr>
          <w:sz w:val="20"/>
          <w:szCs w:val="20"/>
          <w:color w:val="auto"/>
        </w:rPr>
      </w:pPr>
    </w:p>
    <w:p>
      <w:pPr>
        <w:ind w:right="5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Disinterested Director</w:t>
      </w:r>
      <w:r>
        <w:rPr>
          <w:rFonts w:ascii="Arial" w:cs="Arial" w:eastAsia="Arial" w:hAnsi="Arial"/>
          <w:sz w:val="22"/>
          <w:szCs w:val="22"/>
          <w:color w:val="auto"/>
        </w:rPr>
        <w:t>” means a member of the Board of Directors who is disinterested with respect to the transaction or other matter involving an actual or potential conflict of interest.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Effective Time</w:t>
      </w:r>
      <w:r>
        <w:rPr>
          <w:rFonts w:ascii="Arial" w:cs="Arial" w:eastAsia="Arial" w:hAnsi="Arial"/>
          <w:sz w:val="22"/>
          <w:szCs w:val="22"/>
          <w:color w:val="auto"/>
        </w:rPr>
        <w:t>” means 5:00 P.M. Eastern time on the date of this Agreement.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Event of Withdrawal</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11.1(a)</w:t>
      </w:r>
      <w:r>
        <w:rPr>
          <w:rFonts w:ascii="Arial" w:cs="Arial" w:eastAsia="Arial" w:hAnsi="Arial"/>
          <w:sz w:val="22"/>
          <w:szCs w:val="22"/>
          <w:color w:val="auto"/>
        </w:rPr>
        <w:t>.</w:t>
      </w:r>
    </w:p>
    <w:p>
      <w:pPr>
        <w:spacing w:after="0" w:line="233"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Exchange Act</w:t>
      </w:r>
      <w:r>
        <w:rPr>
          <w:rFonts w:ascii="Arial" w:cs="Arial" w:eastAsia="Arial" w:hAnsi="Arial"/>
          <w:sz w:val="22"/>
          <w:szCs w:val="22"/>
          <w:color w:val="auto"/>
        </w:rPr>
        <w:t>” means the Securities Exchange Act of 1934, as amended, supplemented or restated from time to time and any successor to such statute.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GasLog</w:t>
      </w:r>
      <w:r>
        <w:rPr>
          <w:rFonts w:ascii="Arial" w:cs="Arial" w:eastAsia="Arial" w:hAnsi="Arial"/>
          <w:sz w:val="22"/>
          <w:szCs w:val="22"/>
          <w:color w:val="auto"/>
        </w:rPr>
        <w:t>” means GasLog Ltd.</w:t>
      </w:r>
    </w:p>
    <w:p>
      <w:pPr>
        <w:spacing w:after="0" w:line="233" w:lineRule="exact"/>
        <w:rPr>
          <w:sz w:val="20"/>
          <w:szCs w:val="20"/>
          <w:color w:val="auto"/>
        </w:rPr>
      </w:pPr>
    </w:p>
    <w:p>
      <w:pPr>
        <w:ind w:right="540" w:firstLine="1296"/>
        <w:spacing w:after="0" w:line="25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General Partner</w:t>
      </w:r>
      <w:r>
        <w:rPr>
          <w:rFonts w:ascii="Arial" w:cs="Arial" w:eastAsia="Arial" w:hAnsi="Arial"/>
          <w:sz w:val="21"/>
          <w:szCs w:val="21"/>
          <w:color w:val="auto"/>
        </w:rPr>
        <w:t>” means GasLog Partners GP LLC, a Marshall Islands limited liability company, and its successors and permitted assigns that are admitted to the Partnership as general partner of the Partnership, in its capacity as general partner of the Partnership (except as the context otherwise requires).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14" w:name="page15"/>
    <w:bookmarkEnd w:id="14"/>
    <w:p>
      <w:pPr>
        <w:ind w:right="8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General Partner Interest</w:t>
      </w:r>
      <w:r>
        <w:rPr>
          <w:rFonts w:ascii="Arial" w:cs="Arial" w:eastAsia="Arial" w:hAnsi="Arial"/>
          <w:sz w:val="19"/>
          <w:szCs w:val="19"/>
          <w:color w:val="auto"/>
        </w:rPr>
        <w:t>” means the ownership interest of the General Partner in the Partnership (in its capacity as a general partner and without reference to any Limited Partner Interest held by it), which is evidenced by General Partner Units and includes any and all benefits to which the General Partner is entitled as provided in this Agreement, together with all obligations of the General Partner to comply with the terms and provisions of this Agreement.</w:t>
      </w:r>
    </w:p>
    <w:p>
      <w:pPr>
        <w:spacing w:after="0" w:line="170" w:lineRule="exact"/>
        <w:rPr>
          <w:sz w:val="20"/>
          <w:szCs w:val="20"/>
          <w:color w:val="auto"/>
        </w:rPr>
      </w:pPr>
    </w:p>
    <w:p>
      <w:pPr>
        <w:ind w:right="24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General Partner Unit</w:t>
      </w:r>
      <w:r>
        <w:rPr>
          <w:rFonts w:ascii="Arial" w:cs="Arial" w:eastAsia="Arial" w:hAnsi="Arial"/>
          <w:sz w:val="22"/>
          <w:szCs w:val="22"/>
          <w:color w:val="auto"/>
        </w:rPr>
        <w:t>” means a fractional part of the General Partner Interest having the rights and obligations specified with respect to the General Partner Interest. A General Partner Unit is not a Unit.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Group Member</w:t>
      </w:r>
      <w:r>
        <w:rPr>
          <w:rFonts w:ascii="Arial" w:cs="Arial" w:eastAsia="Arial" w:hAnsi="Arial"/>
          <w:sz w:val="22"/>
          <w:szCs w:val="22"/>
          <w:color w:val="auto"/>
        </w:rPr>
        <w:t>” means a member of the Partnership Group.</w:t>
      </w:r>
    </w:p>
    <w:p>
      <w:pPr>
        <w:spacing w:after="0" w:line="233" w:lineRule="exact"/>
        <w:rPr>
          <w:sz w:val="20"/>
          <w:szCs w:val="20"/>
          <w:color w:val="auto"/>
        </w:rPr>
      </w:pPr>
    </w:p>
    <w:p>
      <w:pPr>
        <w:ind w:right="60" w:firstLine="1296"/>
        <w:spacing w:after="0" w:line="23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Group Member Agreement</w:t>
      </w:r>
      <w:r>
        <w:rPr>
          <w:rFonts w:ascii="Arial" w:cs="Arial" w:eastAsia="Arial" w:hAnsi="Arial"/>
          <w:sz w:val="22"/>
          <w:szCs w:val="22"/>
          <w:color w:val="auto"/>
        </w:rPr>
        <w:t>” means the partnership agreement of any Group Member, other than the Partnership, that is a limited or general partnership, the limited liability company agreement of any Group Member that is a limited liability company, the certificate of incorporation and bylaws (or similar organizational documents) of any Group Member that is a corporation, the joint venture agreement or similar governing document of any Group Member that is a joint venture and the governing or organizational or similar documents of any other Group Member that is a Person other than a limited or general partnership, limited liability company, corporation or joint venture, in each case as such may be amended, supplemented or restated from time to time.</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Holder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7.18(a)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ICE</w:t>
      </w:r>
      <w:r>
        <w:rPr>
          <w:rFonts w:ascii="Arial" w:cs="Arial" w:eastAsia="Arial" w:hAnsi="Arial"/>
          <w:sz w:val="22"/>
          <w:szCs w:val="22"/>
          <w:color w:val="auto"/>
        </w:rPr>
        <w:t>” means the ICE Benchmark Administration Limited.</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IFRS</w:t>
      </w:r>
      <w:r>
        <w:rPr>
          <w:rFonts w:ascii="Arial" w:cs="Arial" w:eastAsia="Arial" w:hAnsi="Arial"/>
          <w:sz w:val="22"/>
          <w:szCs w:val="22"/>
          <w:color w:val="auto"/>
        </w:rPr>
        <w:t>” means the international financial reporting standards.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Indemnified Persons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7.18(b)</w:t>
      </w:r>
      <w:r>
        <w:rPr>
          <w:rFonts w:ascii="Arial" w:cs="Arial" w:eastAsia="Arial" w:hAnsi="Arial"/>
          <w:sz w:val="22"/>
          <w:szCs w:val="22"/>
          <w:color w:val="auto"/>
        </w:rPr>
        <w:t>.</w:t>
      </w:r>
    </w:p>
    <w:p>
      <w:pPr>
        <w:spacing w:after="0" w:line="233" w:lineRule="exact"/>
        <w:rPr>
          <w:sz w:val="20"/>
          <w:szCs w:val="20"/>
          <w:color w:val="auto"/>
        </w:rPr>
      </w:pPr>
    </w:p>
    <w:p>
      <w:pPr>
        <w:ind w:firstLine="1296"/>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Indemnitee</w:t>
      </w:r>
      <w:r>
        <w:rPr>
          <w:rFonts w:ascii="Arial" w:cs="Arial" w:eastAsia="Arial" w:hAnsi="Arial"/>
          <w:sz w:val="19"/>
          <w:szCs w:val="19"/>
          <w:color w:val="auto"/>
        </w:rPr>
        <w:t>” means (a) the General Partner, (b) any Departing General Partner, (c) any Person who is or was an Affiliate of the General Partner or any Departing General Partner, (d) any Person who is or was a member, partner, director, officer, fiduciary or trustee of any Person which any of the preceding clauses of this definition describes, (e) any Person who is or was serving at the request of the General Partner or any Departing General Partner or any Affiliate of the General Partner or any Departing General Partner as an officer, director, member, partner, fiduciary or trustee of another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Person shall not be an Indemnitee by reason of providing, on a fee-for-services basis, trustee, fiduciary or custodial services),</w:t>
      </w:r>
    </w:p>
    <w:p>
      <w:pPr>
        <w:spacing w:after="0" w:line="1" w:lineRule="exact"/>
        <w:rPr>
          <w:sz w:val="20"/>
          <w:szCs w:val="20"/>
          <w:color w:val="auto"/>
        </w:rPr>
      </w:pPr>
    </w:p>
    <w:p>
      <w:pPr>
        <w:ind w:right="500" w:firstLine="8"/>
        <w:spacing w:after="0" w:line="236" w:lineRule="auto"/>
        <w:tabs>
          <w:tab w:leader="none" w:pos="270"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members of the Board of Directors, (g) the Officers, and (h) any other Person the Board of Directors designates as an “</w:t>
      </w:r>
      <w:r>
        <w:rPr>
          <w:rFonts w:ascii="Arial" w:cs="Arial" w:eastAsia="Arial" w:hAnsi="Arial"/>
          <w:sz w:val="22"/>
          <w:szCs w:val="22"/>
          <w:i w:val="1"/>
          <w:iCs w:val="1"/>
          <w:color w:val="auto"/>
        </w:rPr>
        <w:t>Indemnitee</w:t>
      </w:r>
      <w:r>
        <w:rPr>
          <w:rFonts w:ascii="Arial" w:cs="Arial" w:eastAsia="Arial" w:hAnsi="Arial"/>
          <w:sz w:val="22"/>
          <w:szCs w:val="22"/>
          <w:color w:val="auto"/>
        </w:rPr>
        <w:t>” for purposes of this Agreement.</w:t>
      </w:r>
    </w:p>
    <w:p>
      <w:pPr>
        <w:spacing w:after="0" w:line="214" w:lineRule="exact"/>
        <w:rPr>
          <w:sz w:val="20"/>
          <w:szCs w:val="20"/>
          <w:color w:val="auto"/>
        </w:rPr>
      </w:pPr>
    </w:p>
    <w:p>
      <w:pPr>
        <w:ind w:right="12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Junior Securities</w:t>
      </w:r>
      <w:r>
        <w:rPr>
          <w:rFonts w:ascii="Arial" w:cs="Arial" w:eastAsia="Arial" w:hAnsi="Arial"/>
          <w:sz w:val="19"/>
          <w:szCs w:val="19"/>
          <w:color w:val="auto"/>
        </w:rPr>
        <w:t xml:space="preserve">” means: (i) the Common Units and (ii) any other class or series of Partnership Interests established after May 15, 2017 by the General Partner, the terms of which class or series do not expressly provide that it is made senior to or on parity with the Series A Preference Units, Series B Preference Units and Series C Preference Units as to the right to distributions of cash or property or distributions upon any dissolution or liquidation pursuant to </w:t>
      </w:r>
      <w:r>
        <w:rPr>
          <w:rFonts w:ascii="Arial" w:cs="Arial" w:eastAsia="Arial" w:hAnsi="Arial"/>
          <w:sz w:val="19"/>
          <w:szCs w:val="19"/>
          <w:u w:val="single" w:color="auto"/>
          <w:color w:val="auto"/>
        </w:rPr>
        <w:t>Article XII</w:t>
      </w:r>
      <w:r>
        <w:rPr>
          <w:rFonts w:ascii="Arial" w:cs="Arial" w:eastAsia="Arial" w:hAnsi="Arial"/>
          <w:sz w:val="19"/>
          <w:szCs w:val="19"/>
          <w:color w:val="auto"/>
        </w:rPr>
        <w:t>.</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15" w:name="page16"/>
    <w:bookmarkEnd w:id="15"/>
    <w:p>
      <w:pPr>
        <w:ind w:right="40" w:firstLine="1296"/>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Limited Partner</w:t>
      </w:r>
      <w:r>
        <w:rPr>
          <w:rFonts w:ascii="Arial" w:cs="Arial" w:eastAsia="Arial" w:hAnsi="Arial"/>
          <w:sz w:val="19"/>
          <w:szCs w:val="19"/>
          <w:color w:val="auto"/>
        </w:rPr>
        <w:t xml:space="preserve">” means, unless the context otherwise requires, the Organizational Limited Partner, each Limited Partner as of the Effective Time, each additional Person that becomes a Limited Partner pursuant to the terms of this Agreement and any Departing General Partner upon the change of its status from General Partner to Limited Partner pursuant to </w:t>
      </w:r>
      <w:r>
        <w:rPr>
          <w:rFonts w:ascii="Arial" w:cs="Arial" w:eastAsia="Arial" w:hAnsi="Arial"/>
          <w:sz w:val="19"/>
          <w:szCs w:val="19"/>
          <w:u w:val="single" w:color="auto"/>
          <w:color w:val="auto"/>
        </w:rPr>
        <w:t>Section</w:t>
      </w:r>
    </w:p>
    <w:p>
      <w:pPr>
        <w:spacing w:after="0" w:line="1" w:lineRule="exact"/>
        <w:rPr>
          <w:sz w:val="20"/>
          <w:szCs w:val="20"/>
          <w:color w:val="auto"/>
        </w:rPr>
      </w:pPr>
    </w:p>
    <w:p>
      <w:pPr>
        <w:ind w:right="360"/>
        <w:spacing w:after="0" w:line="236" w:lineRule="auto"/>
        <w:rPr>
          <w:sz w:val="20"/>
          <w:szCs w:val="20"/>
          <w:color w:val="auto"/>
        </w:rPr>
      </w:pPr>
      <w:r>
        <w:rPr>
          <w:rFonts w:ascii="Arial" w:cs="Arial" w:eastAsia="Arial" w:hAnsi="Arial"/>
          <w:sz w:val="22"/>
          <w:szCs w:val="22"/>
          <w:u w:val="single" w:color="auto"/>
          <w:color w:val="auto"/>
        </w:rPr>
        <w:t>11.3</w:t>
      </w:r>
      <w:r>
        <w:rPr>
          <w:rFonts w:ascii="Arial" w:cs="Arial" w:eastAsia="Arial" w:hAnsi="Arial"/>
          <w:sz w:val="22"/>
          <w:szCs w:val="22"/>
          <w:color w:val="auto"/>
        </w:rPr>
        <w:t>, in each case, in such Person’s capacity as a limited partner of the Partnership. Limited Partners may include custodians, nominees or any other individual or entity in its own or any representative capacity.</w:t>
      </w:r>
    </w:p>
    <w:p>
      <w:pPr>
        <w:spacing w:after="0" w:line="214" w:lineRule="exact"/>
        <w:rPr>
          <w:sz w:val="20"/>
          <w:szCs w:val="20"/>
          <w:color w:val="auto"/>
        </w:rPr>
      </w:pPr>
    </w:p>
    <w:p>
      <w:pPr>
        <w:ind w:firstLine="1296"/>
        <w:spacing w:after="0" w:line="25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Limited Partner Interest</w:t>
      </w:r>
      <w:r>
        <w:rPr>
          <w:rFonts w:ascii="Arial" w:cs="Arial" w:eastAsia="Arial" w:hAnsi="Arial"/>
          <w:sz w:val="21"/>
          <w:szCs w:val="21"/>
          <w:color w:val="auto"/>
        </w:rPr>
        <w:t>” means the ownership interest of a Limited Partner in the Partnership, which may be evidenced by Common Units, Preference Units or other Partnership Interests or a combination thereof or interest therein, and includes any and all benefits to which such Limited Partner is entitled as provided in this Agreement, together with all obligations of such Limited Partner to comply with the terms and provisions of this Agreement.</w:t>
      </w:r>
    </w:p>
    <w:p>
      <w:pPr>
        <w:spacing w:after="0" w:line="201" w:lineRule="exact"/>
        <w:rPr>
          <w:sz w:val="20"/>
          <w:szCs w:val="20"/>
          <w:color w:val="auto"/>
        </w:rPr>
      </w:pPr>
    </w:p>
    <w:p>
      <w:pPr>
        <w:ind w:right="3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Liquidating Trustee</w:t>
      </w:r>
      <w:r>
        <w:rPr>
          <w:rFonts w:ascii="Arial" w:cs="Arial" w:eastAsia="Arial" w:hAnsi="Arial"/>
          <w:sz w:val="22"/>
          <w:szCs w:val="22"/>
          <w:color w:val="auto"/>
        </w:rPr>
        <w:t xml:space="preserve">” means one or more Persons selected by the Board of Directors to perform the functions described in </w:t>
      </w:r>
      <w:r>
        <w:rPr>
          <w:rFonts w:ascii="Arial" w:cs="Arial" w:eastAsia="Arial" w:hAnsi="Arial"/>
          <w:sz w:val="22"/>
          <w:szCs w:val="22"/>
          <w:u w:val="single" w:color="auto"/>
          <w:color w:val="auto"/>
        </w:rPr>
        <w:t>Section 12.4</w:t>
      </w:r>
      <w:r>
        <w:rPr>
          <w:rFonts w:ascii="Arial" w:cs="Arial" w:eastAsia="Arial" w:hAnsi="Arial"/>
          <w:sz w:val="22"/>
          <w:szCs w:val="22"/>
          <w:color w:val="auto"/>
        </w:rPr>
        <w:t>.</w:t>
      </w:r>
    </w:p>
    <w:p>
      <w:pPr>
        <w:spacing w:after="0" w:line="202" w:lineRule="exact"/>
        <w:rPr>
          <w:sz w:val="20"/>
          <w:szCs w:val="20"/>
          <w:color w:val="auto"/>
        </w:rPr>
      </w:pPr>
    </w:p>
    <w:p>
      <w:pPr>
        <w:ind w:right="240"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Liquidation Date</w:t>
      </w:r>
      <w:r>
        <w:rPr>
          <w:rFonts w:ascii="Arial" w:cs="Arial" w:eastAsia="Arial" w:hAnsi="Arial"/>
          <w:sz w:val="22"/>
          <w:szCs w:val="22"/>
          <w:color w:val="auto"/>
        </w:rPr>
        <w:t xml:space="preserve">” means (a) in the case of an event giving rise to the dissolution of the Partnership of the type described in </w:t>
      </w:r>
      <w:r>
        <w:rPr>
          <w:rFonts w:ascii="Arial" w:cs="Arial" w:eastAsia="Arial" w:hAnsi="Arial"/>
          <w:sz w:val="22"/>
          <w:szCs w:val="22"/>
          <w:u w:val="single" w:color="auto"/>
          <w:color w:val="auto"/>
        </w:rPr>
        <w:t>clauses (a)</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(b)</w:t>
      </w:r>
      <w:r>
        <w:rPr>
          <w:rFonts w:ascii="Arial" w:cs="Arial" w:eastAsia="Arial" w:hAnsi="Arial"/>
          <w:sz w:val="22"/>
          <w:szCs w:val="22"/>
          <w:color w:val="auto"/>
        </w:rPr>
        <w:t xml:space="preserve"> of the first sentence of </w:t>
      </w:r>
      <w:r>
        <w:rPr>
          <w:rFonts w:ascii="Arial" w:cs="Arial" w:eastAsia="Arial" w:hAnsi="Arial"/>
          <w:sz w:val="22"/>
          <w:szCs w:val="22"/>
          <w:u w:val="single" w:color="auto"/>
          <w:color w:val="auto"/>
        </w:rPr>
        <w:t>Section 12.2</w:t>
      </w:r>
      <w:r>
        <w:rPr>
          <w:rFonts w:ascii="Arial" w:cs="Arial" w:eastAsia="Arial" w:hAnsi="Arial"/>
          <w:sz w:val="22"/>
          <w:szCs w:val="22"/>
          <w:color w:val="auto"/>
        </w:rPr>
        <w:t>, the date on which the applicable time period during which the holders of Outstanding Units have the right to elect to continue the business of the Partnership has expired without such an election being made, and (b) in the case of any other event giving rise to the dissolution of the Partnership, the date on which such event occurs.</w:t>
      </w:r>
    </w:p>
    <w:p>
      <w:pPr>
        <w:spacing w:after="0" w:line="214" w:lineRule="exact"/>
        <w:rPr>
          <w:sz w:val="20"/>
          <w:szCs w:val="20"/>
          <w:color w:val="auto"/>
        </w:rPr>
      </w:pPr>
    </w:p>
    <w:p>
      <w:pPr>
        <w:ind w:right="6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Liquidation Event</w:t>
      </w:r>
      <w:r>
        <w:rPr>
          <w:rFonts w:ascii="Arial" w:cs="Arial" w:eastAsia="Arial" w:hAnsi="Arial"/>
          <w:sz w:val="19"/>
          <w:szCs w:val="19"/>
          <w:color w:val="auto"/>
        </w:rPr>
        <w:t xml:space="preserve">” means the occurrence of a dissolution or liquidation of the Partnership, whether voluntary or involuntary;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a Liquidation Event shall not precede the Liquidation Date. Neither the sale of all or substantially all of the property or business of the Partnership nor the consolidation or merger of the Partnership with or into any other Person, individually or in a series of transactions, shall be deemed a Liquidation Event.</w:t>
      </w:r>
    </w:p>
    <w:p>
      <w:pPr>
        <w:spacing w:after="0" w:line="170" w:lineRule="exact"/>
        <w:rPr>
          <w:sz w:val="20"/>
          <w:szCs w:val="20"/>
          <w:color w:val="auto"/>
        </w:rPr>
      </w:pPr>
    </w:p>
    <w:p>
      <w:pPr>
        <w:ind w:right="80" w:firstLine="1296"/>
        <w:spacing w:after="0" w:line="24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Liquidation Preference</w:t>
      </w:r>
      <w:r>
        <w:rPr>
          <w:rFonts w:ascii="Arial" w:cs="Arial" w:eastAsia="Arial" w:hAnsi="Arial"/>
          <w:sz w:val="21"/>
          <w:szCs w:val="21"/>
          <w:color w:val="auto"/>
        </w:rPr>
        <w:t xml:space="preserve">” means, in connection with any distribution in connection with a Liquidation Event pursuant to </w:t>
      </w:r>
      <w:r>
        <w:rPr>
          <w:rFonts w:ascii="Arial" w:cs="Arial" w:eastAsia="Arial" w:hAnsi="Arial"/>
          <w:sz w:val="21"/>
          <w:szCs w:val="21"/>
          <w:u w:val="single" w:color="auto"/>
          <w:color w:val="auto"/>
        </w:rPr>
        <w:t>Section 12.4</w:t>
      </w:r>
      <w:r>
        <w:rPr>
          <w:rFonts w:ascii="Arial" w:cs="Arial" w:eastAsia="Arial" w:hAnsi="Arial"/>
          <w:sz w:val="21"/>
          <w:szCs w:val="21"/>
          <w:color w:val="auto"/>
        </w:rPr>
        <w:t xml:space="preserve"> and with respect to any holder of any class or series of Partnership Interests, the amount otherwise payable to such holder in such distribution with respect to such class or series of Partnership Interests (assuming no limitation on the assets of the Partnership available for such distribution), including an amount equal to any accrued but unpaid distributions thereon to the date fixed for such payment, whether or not declared (if the terms of the applicable class or series of Partnership Interests so provide). For avoidance of doubt, for the foregoing purposes, the Series A Liquidation Preference is the Liquidation Preference with respect to the Series A Preference Units, the Series B Liquidation Preference is the Liquidation Preference with respect to the Series B Preference Units and the Series C Liquidation Preference is the Liquidation Preference with respect to the Series C Preference Units.</w:t>
      </w:r>
    </w:p>
    <w:p>
      <w:pPr>
        <w:spacing w:after="0" w:line="211"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London Business Day</w:t>
      </w:r>
      <w:r>
        <w:rPr>
          <w:rFonts w:ascii="Arial" w:cs="Arial" w:eastAsia="Arial" w:hAnsi="Arial"/>
          <w:sz w:val="22"/>
          <w:szCs w:val="22"/>
          <w:color w:val="auto"/>
        </w:rPr>
        <w:t>” means any day on which dealings in deposits in U.S. dollars are transacted in the London interbank market.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16" w:name="page17"/>
    <w:bookmarkEnd w:id="16"/>
    <w:p>
      <w:pPr>
        <w:ind w:right="16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Marshall Islands Act</w:t>
      </w:r>
      <w:r>
        <w:rPr>
          <w:rFonts w:ascii="Arial" w:cs="Arial" w:eastAsia="Arial" w:hAnsi="Arial"/>
          <w:sz w:val="22"/>
          <w:szCs w:val="22"/>
          <w:color w:val="auto"/>
        </w:rPr>
        <w:t>” means the Limited Partnership Act of The Republic of the Marshall Islands, as amended, supplemented or restated from time to time, and any successor to such statute.</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Merger Agreement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14.1</w:t>
      </w:r>
      <w:r>
        <w:rPr>
          <w:rFonts w:ascii="Arial" w:cs="Arial" w:eastAsia="Arial" w:hAnsi="Arial"/>
          <w:sz w:val="22"/>
          <w:szCs w:val="22"/>
          <w:color w:val="auto"/>
        </w:rPr>
        <w:t>.</w:t>
      </w:r>
    </w:p>
    <w:p>
      <w:pPr>
        <w:spacing w:after="0" w:line="233" w:lineRule="exact"/>
        <w:rPr>
          <w:sz w:val="20"/>
          <w:szCs w:val="20"/>
          <w:color w:val="auto"/>
        </w:rPr>
      </w:pPr>
    </w:p>
    <w:p>
      <w:pPr>
        <w:ind w:right="340"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National Securities Exchange</w:t>
      </w:r>
      <w:r>
        <w:rPr>
          <w:rFonts w:ascii="Arial" w:cs="Arial" w:eastAsia="Arial" w:hAnsi="Arial"/>
          <w:sz w:val="21"/>
          <w:szCs w:val="21"/>
          <w:color w:val="auto"/>
        </w:rPr>
        <w:t>” means an exchange registered with the Commission under Section 6(a) of the Exchange Act, supplemented or restated from time to time, and any successor to such statute.</w:t>
      </w:r>
    </w:p>
    <w:p>
      <w:pPr>
        <w:spacing w:after="0" w:line="178" w:lineRule="exact"/>
        <w:rPr>
          <w:sz w:val="20"/>
          <w:szCs w:val="20"/>
          <w:color w:val="auto"/>
        </w:rPr>
      </w:pPr>
    </w:p>
    <w:p>
      <w:pPr>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Net Agreed Value</w:t>
      </w:r>
      <w:r>
        <w:rPr>
          <w:rFonts w:ascii="Arial" w:cs="Arial" w:eastAsia="Arial" w:hAnsi="Arial"/>
          <w:sz w:val="22"/>
          <w:szCs w:val="22"/>
          <w:color w:val="auto"/>
        </w:rPr>
        <w:t>” means, (a) in the case of any Contributed Property, the Agreed Value of such property reduced by any liabilities either assumed by the Partnership upon such contribution or to which such property is subject when contributed, and (b) in the case of any property distributed to a Partner by the Partnership, the Agreed Value of such property, reduced by any indebtedness either assumed by such Partner upon such distribution or to which such property is subject at the time of distribution.</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Officers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7.7(a)</w:t>
      </w:r>
      <w:r>
        <w:rPr>
          <w:rFonts w:ascii="Arial" w:cs="Arial" w:eastAsia="Arial" w:hAnsi="Arial"/>
          <w:sz w:val="22"/>
          <w:szCs w:val="22"/>
          <w:color w:val="auto"/>
        </w:rPr>
        <w:t>.</w:t>
      </w:r>
    </w:p>
    <w:p>
      <w:pPr>
        <w:spacing w:after="0" w:line="233" w:lineRule="exact"/>
        <w:rPr>
          <w:sz w:val="20"/>
          <w:szCs w:val="20"/>
          <w:color w:val="auto"/>
        </w:rPr>
      </w:pPr>
    </w:p>
    <w:p>
      <w:pPr>
        <w:ind w:right="1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Operating Company</w:t>
      </w:r>
      <w:r>
        <w:rPr>
          <w:rFonts w:ascii="Arial" w:cs="Arial" w:eastAsia="Arial" w:hAnsi="Arial"/>
          <w:sz w:val="22"/>
          <w:szCs w:val="22"/>
          <w:color w:val="auto"/>
        </w:rPr>
        <w:t>” means GasLog Partners Holdings LLC, a Marshall Islands limited liability company, and any successors thereto.</w:t>
      </w:r>
    </w:p>
    <w:p>
      <w:pPr>
        <w:spacing w:after="0" w:line="202" w:lineRule="exact"/>
        <w:rPr>
          <w:sz w:val="20"/>
          <w:szCs w:val="20"/>
          <w:color w:val="auto"/>
        </w:rPr>
      </w:pPr>
    </w:p>
    <w:p>
      <w:pPr>
        <w:ind w:right="2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Opinion of Counsel</w:t>
      </w:r>
      <w:r>
        <w:rPr>
          <w:rFonts w:ascii="Arial" w:cs="Arial" w:eastAsia="Arial" w:hAnsi="Arial"/>
          <w:sz w:val="22"/>
          <w:szCs w:val="22"/>
          <w:color w:val="auto"/>
        </w:rPr>
        <w:t>” means a written opinion of counsel (who may be regular counsel to the Partnership or the General Partner or any of its Affiliates) acceptable to the Board of Directors.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Organizational Limited Partner</w:t>
      </w:r>
      <w:r>
        <w:rPr>
          <w:rFonts w:ascii="Arial" w:cs="Arial" w:eastAsia="Arial" w:hAnsi="Arial"/>
          <w:sz w:val="19"/>
          <w:szCs w:val="19"/>
          <w:color w:val="auto"/>
        </w:rPr>
        <w:t>” means GasLog Ltd., in its capacity as the organizational limited partner of the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Partnership.</w:t>
      </w:r>
    </w:p>
    <w:p>
      <w:pPr>
        <w:spacing w:after="0" w:line="215" w:lineRule="exact"/>
        <w:rPr>
          <w:sz w:val="20"/>
          <w:szCs w:val="20"/>
          <w:color w:val="auto"/>
        </w:rPr>
      </w:pPr>
    </w:p>
    <w:p>
      <w:pPr>
        <w:ind w:right="800" w:firstLine="1296"/>
        <w:spacing w:after="0" w:line="32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Outstanding</w:t>
      </w:r>
      <w:r>
        <w:rPr>
          <w:rFonts w:ascii="Arial" w:cs="Arial" w:eastAsia="Arial" w:hAnsi="Arial"/>
          <w:sz w:val="19"/>
          <w:szCs w:val="19"/>
          <w:color w:val="auto"/>
        </w:rPr>
        <w:t>” means, with respect to Partnership Interests, all Partnership Interests that are issued by the Partnership and reflected as outstanding on the Partnership’s books and records as of the date of determination.</w:t>
      </w:r>
    </w:p>
    <w:p>
      <w:pPr>
        <w:spacing w:after="0" w:line="132" w:lineRule="exact"/>
        <w:rPr>
          <w:sz w:val="20"/>
          <w:szCs w:val="20"/>
          <w:color w:val="auto"/>
        </w:rPr>
      </w:pPr>
    </w:p>
    <w:p>
      <w:pPr>
        <w:jc w:val="both"/>
        <w:ind w:right="300"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Parity Securities</w:t>
      </w:r>
      <w:r>
        <w:rPr>
          <w:rFonts w:ascii="Arial" w:cs="Arial" w:eastAsia="Arial" w:hAnsi="Arial"/>
          <w:sz w:val="22"/>
          <w:szCs w:val="22"/>
          <w:color w:val="auto"/>
        </w:rPr>
        <w:t xml:space="preserve">” means the Series A Preference Units, the Series B Preference Units, the Series C Preference Units and any other class or series of Partnership Interests established after May 15, 2017 by the General Partner, the terms of which class or series expressly provide that it ranks on parity with the Series A Preference Units, the Series B Preference Units and the Series C Preference Units as to distributions and amounts payable upon a dissolution or liquidation pursuant to </w:t>
      </w:r>
      <w:r>
        <w:rPr>
          <w:rFonts w:ascii="Arial" w:cs="Arial" w:eastAsia="Arial" w:hAnsi="Arial"/>
          <w:sz w:val="22"/>
          <w:szCs w:val="22"/>
          <w:u w:val="single" w:color="auto"/>
          <w:color w:val="auto"/>
        </w:rPr>
        <w:t>Article</w:t>
      </w:r>
      <w:r>
        <w:rPr>
          <w:rFonts w:ascii="Arial" w:cs="Arial" w:eastAsia="Arial" w:hAnsi="Arial"/>
          <w:sz w:val="22"/>
          <w:szCs w:val="22"/>
          <w:color w:val="auto"/>
        </w:rPr>
        <w:t xml:space="preserve"> </w:t>
      </w:r>
      <w:r>
        <w:rPr>
          <w:rFonts w:ascii="Arial" w:cs="Arial" w:eastAsia="Arial" w:hAnsi="Arial"/>
          <w:sz w:val="22"/>
          <w:szCs w:val="22"/>
          <w:u w:val="single" w:color="auto"/>
          <w:color w:val="auto"/>
        </w:rPr>
        <w:t>XII</w:t>
      </w:r>
      <w:r>
        <w:rPr>
          <w:rFonts w:ascii="Arial" w:cs="Arial" w:eastAsia="Arial" w:hAnsi="Arial"/>
          <w:sz w:val="22"/>
          <w:szCs w:val="22"/>
          <w:color w:val="auto"/>
        </w:rPr>
        <w: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w:t>
      </w:r>
      <w:r>
        <w:rPr>
          <w:rFonts w:ascii="Arial" w:cs="Arial" w:eastAsia="Arial" w:hAnsi="Arial"/>
          <w:sz w:val="22"/>
          <w:szCs w:val="22"/>
          <w:color w:val="auto"/>
        </w:rPr>
        <w:t>” means the General Partner and the Limited Partners.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means GasLog Partners LP, a Marshall Islands limited partnership, and any successors thereto.</w:t>
      </w:r>
    </w:p>
    <w:p>
      <w:pPr>
        <w:spacing w:after="0" w:line="268" w:lineRule="exact"/>
        <w:rPr>
          <w:sz w:val="20"/>
          <w:szCs w:val="20"/>
          <w:color w:val="auto"/>
        </w:rPr>
      </w:pPr>
    </w:p>
    <w:p>
      <w:pPr>
        <w:ind w:right="24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Partnership Group</w:t>
      </w:r>
      <w:r>
        <w:rPr>
          <w:rFonts w:ascii="Arial" w:cs="Arial" w:eastAsia="Arial" w:hAnsi="Arial"/>
          <w:sz w:val="22"/>
          <w:szCs w:val="22"/>
          <w:color w:val="auto"/>
        </w:rPr>
        <w:t>” means the Partnership and its Subsidiaries, including the Operating Company, treated as a single consolidated entity.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7" w:name="page18"/>
    <w:bookmarkEnd w:id="17"/>
    <w:p>
      <w:pPr>
        <w:ind w:right="200" w:firstLine="1296"/>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Partnership Interest</w:t>
      </w:r>
      <w:r>
        <w:rPr>
          <w:rFonts w:ascii="Arial" w:cs="Arial" w:eastAsia="Arial" w:hAnsi="Arial"/>
          <w:sz w:val="22"/>
          <w:szCs w:val="22"/>
          <w:color w:val="auto"/>
        </w:rPr>
        <w:t>” means any class or series of equity interest in the Partnership (but excluding any options, rights, warrants, restricted units and appreciation rights relating to an equity interest in the Partnership), including Common Units, Preference Units and General Partner Units.</w:t>
      </w:r>
    </w:p>
    <w:p>
      <w:pPr>
        <w:spacing w:after="0" w:line="213" w:lineRule="exact"/>
        <w:rPr>
          <w:sz w:val="20"/>
          <w:szCs w:val="20"/>
          <w:color w:val="auto"/>
        </w:rPr>
      </w:pPr>
    </w:p>
    <w:p>
      <w:pPr>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Paying Agent</w:t>
      </w:r>
      <w:r>
        <w:rPr>
          <w:rFonts w:ascii="Arial" w:cs="Arial" w:eastAsia="Arial" w:hAnsi="Arial"/>
          <w:sz w:val="22"/>
          <w:szCs w:val="22"/>
          <w:color w:val="auto"/>
        </w:rPr>
        <w:t xml:space="preserve"> ” means American Stock Transfer &amp; Trust Company, LLC, acting in its capacity as paying agent for the Series A Preference Units, the Series B Preference Units and the Series C Preference Units, and its respective successors and assigns or any other payment agent appointed by the Board of Directors;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no Paying Agent is specifically designated for the Series A Preference Units, the Series B Preference Units or the Series C Preference Units, the Partnership shall act in such capacity.</w:t>
      </w:r>
    </w:p>
    <w:p>
      <w:pPr>
        <w:spacing w:after="0" w:line="214" w:lineRule="exact"/>
        <w:rPr>
          <w:sz w:val="20"/>
          <w:szCs w:val="20"/>
          <w:color w:val="auto"/>
        </w:rPr>
      </w:pPr>
    </w:p>
    <w:p>
      <w:pPr>
        <w:ind w:firstLine="1296"/>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Percentage Interest</w:t>
      </w:r>
      <w:r>
        <w:rPr>
          <w:rFonts w:ascii="Arial" w:cs="Arial" w:eastAsia="Arial" w:hAnsi="Arial"/>
          <w:sz w:val="19"/>
          <w:szCs w:val="19"/>
          <w:color w:val="auto"/>
        </w:rPr>
        <w:t xml:space="preserve">” means as of any date of determination (a) as to the General Partner with respect to General Partner Units and as to any Unitholder with respect to Units (other than Preference Units), the product obtained by multiplying (i) 100% less the percentage applicable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below by (ii) the quotient obtained by dividing (A) the number of Units (other than Preference Units) held by such Unitholder or the number of General Partner Units held by the General Partner, as the case may be, by (B) the total number of all Outstanding Units (other than Preference Units) and General Partner Units, and (b) as to the holders of other Partnership Interests issued by the Partnership in accordance with </w:t>
      </w:r>
      <w:r>
        <w:rPr>
          <w:rFonts w:ascii="Arial" w:cs="Arial" w:eastAsia="Arial" w:hAnsi="Arial"/>
          <w:sz w:val="19"/>
          <w:szCs w:val="19"/>
          <w:u w:val="single" w:color="auto"/>
          <w:color w:val="auto"/>
        </w:rPr>
        <w:t>Section 5.2</w:t>
      </w:r>
      <w:r>
        <w:rPr>
          <w:rFonts w:ascii="Arial" w:cs="Arial" w:eastAsia="Arial" w:hAnsi="Arial"/>
          <w:sz w:val="19"/>
          <w:szCs w:val="19"/>
          <w:color w:val="auto"/>
        </w:rPr>
        <w:t>, the percentage established as a part of such issuance. The Percentage Interest with respect to a Preference Unit shall at all times be zero.</w:t>
      </w:r>
    </w:p>
    <w:p>
      <w:pPr>
        <w:spacing w:after="0" w:line="179" w:lineRule="exact"/>
        <w:rPr>
          <w:sz w:val="20"/>
          <w:szCs w:val="20"/>
          <w:color w:val="auto"/>
        </w:rPr>
      </w:pPr>
    </w:p>
    <w:p>
      <w:pPr>
        <w:ind w:right="280"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Person</w:t>
      </w:r>
      <w:r>
        <w:rPr>
          <w:rFonts w:ascii="Arial" w:cs="Arial" w:eastAsia="Arial" w:hAnsi="Arial"/>
          <w:sz w:val="21"/>
          <w:szCs w:val="21"/>
          <w:color w:val="auto"/>
        </w:rPr>
        <w:t>” means an individual or a corporation, firm, limited liability company, partnership, joint venture, trust, unincorporated organization, association, governmental agency or political subdivision thereof or other entity.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Plan of Conversion</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14.1</w:t>
      </w:r>
      <w:r>
        <w:rPr>
          <w:rFonts w:ascii="Arial" w:cs="Arial" w:eastAsia="Arial" w:hAnsi="Arial"/>
          <w:sz w:val="22"/>
          <w:szCs w:val="22"/>
          <w:color w:val="auto"/>
        </w:rPr>
        <w:t>.</w:t>
      </w:r>
    </w:p>
    <w:p>
      <w:pPr>
        <w:spacing w:after="0" w:line="233" w:lineRule="exact"/>
        <w:rPr>
          <w:sz w:val="20"/>
          <w:szCs w:val="20"/>
          <w:color w:val="auto"/>
        </w:rPr>
      </w:pPr>
    </w:p>
    <w:p>
      <w:pPr>
        <w:ind w:right="1080" w:firstLine="1296"/>
        <w:spacing w:after="0" w:line="250" w:lineRule="auto"/>
        <w:rPr>
          <w:sz w:val="20"/>
          <w:szCs w:val="20"/>
          <w:color w:val="auto"/>
        </w:rPr>
      </w:pPr>
      <w:r>
        <w:rPr>
          <w:rFonts w:ascii="Arial" w:cs="Arial" w:eastAsia="Arial" w:hAnsi="Arial"/>
          <w:sz w:val="22"/>
          <w:szCs w:val="22"/>
          <w:b w:val="1"/>
          <w:bCs w:val="1"/>
          <w:i w:val="1"/>
          <w:iCs w:val="1"/>
          <w:color w:val="auto"/>
        </w:rPr>
        <w:t xml:space="preserve">“Preference Distribution Payment Date” </w:t>
      </w:r>
      <w:r>
        <w:rPr>
          <w:rFonts w:ascii="Arial" w:cs="Arial" w:eastAsia="Arial" w:hAnsi="Arial"/>
          <w:sz w:val="22"/>
          <w:szCs w:val="22"/>
          <w:color w:val="auto"/>
        </w:rPr>
        <w:t>means the Series A Distribution Payment Date, the Series B</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Distribution Payment Date or the Series C Distribution Payment Date, as applicable.</w:t>
      </w:r>
    </w:p>
    <w:p>
      <w:pPr>
        <w:spacing w:after="0" w:line="202" w:lineRule="exact"/>
        <w:rPr>
          <w:sz w:val="20"/>
          <w:szCs w:val="20"/>
          <w:color w:val="auto"/>
        </w:rPr>
      </w:pPr>
    </w:p>
    <w:p>
      <w:pPr>
        <w:ind w:right="120" w:firstLine="1296"/>
        <w:spacing w:after="0" w:line="250" w:lineRule="auto"/>
        <w:rPr>
          <w:sz w:val="20"/>
          <w:szCs w:val="20"/>
          <w:color w:val="auto"/>
        </w:rPr>
      </w:pPr>
      <w:r>
        <w:rPr>
          <w:rFonts w:ascii="Arial" w:cs="Arial" w:eastAsia="Arial" w:hAnsi="Arial"/>
          <w:sz w:val="22"/>
          <w:szCs w:val="22"/>
          <w:b w:val="1"/>
          <w:bCs w:val="1"/>
          <w:i w:val="1"/>
          <w:iCs w:val="1"/>
          <w:color w:val="auto"/>
        </w:rPr>
        <w:t xml:space="preserve">“Preference Distribution Period” </w:t>
      </w:r>
      <w:r>
        <w:rPr>
          <w:rFonts w:ascii="Arial" w:cs="Arial" w:eastAsia="Arial" w:hAnsi="Arial"/>
          <w:sz w:val="22"/>
          <w:szCs w:val="22"/>
          <w:color w:val="auto"/>
        </w:rPr>
        <w:t>means the Series A Distribution Period, the Series B Distribution Period or the</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Series C Distribution Period, as applicable.</w:t>
      </w:r>
    </w:p>
    <w:p>
      <w:pPr>
        <w:spacing w:after="0" w:line="202" w:lineRule="exact"/>
        <w:rPr>
          <w:sz w:val="20"/>
          <w:szCs w:val="20"/>
          <w:color w:val="auto"/>
        </w:rPr>
      </w:pPr>
    </w:p>
    <w:p>
      <w:pPr>
        <w:ind w:right="980" w:firstLine="1296"/>
        <w:spacing w:after="0" w:line="250" w:lineRule="auto"/>
        <w:rPr>
          <w:sz w:val="20"/>
          <w:szCs w:val="20"/>
          <w:color w:val="auto"/>
        </w:rPr>
      </w:pPr>
      <w:r>
        <w:rPr>
          <w:rFonts w:ascii="Arial" w:cs="Arial" w:eastAsia="Arial" w:hAnsi="Arial"/>
          <w:sz w:val="22"/>
          <w:szCs w:val="22"/>
          <w:b w:val="1"/>
          <w:bCs w:val="1"/>
          <w:i w:val="1"/>
          <w:iCs w:val="1"/>
          <w:color w:val="auto"/>
        </w:rPr>
        <w:t xml:space="preserve">“Preference Distributions” </w:t>
      </w:r>
      <w:r>
        <w:rPr>
          <w:rFonts w:ascii="Arial" w:cs="Arial" w:eastAsia="Arial" w:hAnsi="Arial"/>
          <w:sz w:val="22"/>
          <w:szCs w:val="22"/>
          <w:color w:val="auto"/>
        </w:rPr>
        <w:t>means the Series A Distributions, the Series B Distributions or the Series C</w:t>
      </w:r>
      <w:r>
        <w:rPr>
          <w:rFonts w:ascii="Arial" w:cs="Arial" w:eastAsia="Arial" w:hAnsi="Arial"/>
          <w:sz w:val="22"/>
          <w:szCs w:val="22"/>
          <w:b w:val="1"/>
          <w:bCs w:val="1"/>
          <w:i w:val="1"/>
          <w:iCs w:val="1"/>
          <w:color w:val="auto"/>
        </w:rPr>
        <w:t xml:space="preserve"> </w:t>
      </w:r>
      <w:r>
        <w:rPr>
          <w:rFonts w:ascii="Arial" w:cs="Arial" w:eastAsia="Arial" w:hAnsi="Arial"/>
          <w:sz w:val="22"/>
          <w:szCs w:val="22"/>
          <w:color w:val="auto"/>
        </w:rPr>
        <w:t>Distributions, as applicable.</w:t>
      </w:r>
    </w:p>
    <w:p>
      <w:pPr>
        <w:spacing w:after="0" w:line="202" w:lineRule="exact"/>
        <w:rPr>
          <w:sz w:val="20"/>
          <w:szCs w:val="20"/>
          <w:color w:val="auto"/>
        </w:rPr>
      </w:pPr>
    </w:p>
    <w:p>
      <w:pPr>
        <w:ind w:right="54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Preference Units</w:t>
      </w:r>
      <w:r>
        <w:rPr>
          <w:rFonts w:ascii="Arial" w:cs="Arial" w:eastAsia="Arial" w:hAnsi="Arial"/>
          <w:sz w:val="19"/>
          <w:szCs w:val="19"/>
          <w:color w:val="auto"/>
        </w:rPr>
        <w:t>” means a Partnership Interest, designated as a “</w:t>
      </w:r>
      <w:r>
        <w:rPr>
          <w:rFonts w:ascii="Arial" w:cs="Arial" w:eastAsia="Arial" w:hAnsi="Arial"/>
          <w:sz w:val="19"/>
          <w:szCs w:val="19"/>
          <w:b w:val="1"/>
          <w:bCs w:val="1"/>
          <w:i w:val="1"/>
          <w:iCs w:val="1"/>
          <w:color w:val="auto"/>
        </w:rPr>
        <w:t>Preference Unit</w:t>
      </w:r>
      <w:r>
        <w:rPr>
          <w:rFonts w:ascii="Arial" w:cs="Arial" w:eastAsia="Arial" w:hAnsi="Arial"/>
          <w:sz w:val="19"/>
          <w:szCs w:val="19"/>
          <w:color w:val="auto"/>
        </w:rPr>
        <w:t>,” including the Series A Preference Units, the Series B Preference Units and the Series C Preference Units, which entitles the holder thereof to a preference with respect to distributions, or as to the distribution of assets upon any Liquidation Event, over Common Units.</w:t>
      </w:r>
    </w:p>
    <w:p>
      <w:pPr>
        <w:spacing w:after="0" w:line="161" w:lineRule="exact"/>
        <w:rPr>
          <w:sz w:val="20"/>
          <w:szCs w:val="20"/>
          <w:color w:val="auto"/>
        </w:rPr>
      </w:pPr>
    </w:p>
    <w:p>
      <w:pPr>
        <w:ind w:right="6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Pro Rata</w:t>
      </w:r>
      <w:r>
        <w:rPr>
          <w:rFonts w:ascii="Arial" w:cs="Arial" w:eastAsia="Arial" w:hAnsi="Arial"/>
          <w:sz w:val="19"/>
          <w:szCs w:val="19"/>
          <w:color w:val="auto"/>
        </w:rPr>
        <w:t>” means (a) when used with respect to Units (other than Preference Units) or any class or series thereof, apportioned equally among all designated Units (other than Preference Units) in accordance with their relative Percentage Interests, (b) when used with respect to Partners or Record Holders, apportioned among all Partners or Record Holders in</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18" w:name="page19"/>
    <w:bookmarkEnd w:id="18"/>
    <w:p>
      <w:pPr>
        <w:jc w:val="both"/>
        <w:ind w:right="100"/>
        <w:spacing w:after="0" w:line="297" w:lineRule="auto"/>
        <w:rPr>
          <w:sz w:val="20"/>
          <w:szCs w:val="20"/>
          <w:color w:val="auto"/>
        </w:rPr>
      </w:pPr>
      <w:r>
        <w:rPr>
          <w:rFonts w:ascii="Arial" w:cs="Arial" w:eastAsia="Arial" w:hAnsi="Arial"/>
          <w:sz w:val="19"/>
          <w:szCs w:val="19"/>
          <w:color w:val="auto"/>
        </w:rPr>
        <w:t>accordance with their relative Percentage Interests and (c) when used with respect to holders of Preference Units (or a particular series thereof), apportioned equally among all holders of Preference Units (or such series thereof) in accordance with the relative number or percentage of Preference Units (or such series thereof) held by each such holder.</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Quarter</w:t>
      </w:r>
      <w:r>
        <w:rPr>
          <w:rFonts w:ascii="Arial" w:cs="Arial" w:eastAsia="Arial" w:hAnsi="Arial"/>
          <w:sz w:val="22"/>
          <w:szCs w:val="22"/>
          <w:color w:val="auto"/>
        </w:rPr>
        <w:t>” means, unless the context requires otherwise, a fiscal quarter of the Partnership.</w:t>
      </w:r>
    </w:p>
    <w:p>
      <w:pPr>
        <w:spacing w:after="0" w:line="233" w:lineRule="exact"/>
        <w:rPr>
          <w:sz w:val="20"/>
          <w:szCs w:val="20"/>
          <w:color w:val="auto"/>
        </w:rPr>
      </w:pPr>
    </w:p>
    <w:p>
      <w:pPr>
        <w:ind w:right="340"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Record Date</w:t>
      </w:r>
      <w:r>
        <w:rPr>
          <w:rFonts w:ascii="Arial" w:cs="Arial" w:eastAsia="Arial" w:hAnsi="Arial"/>
          <w:sz w:val="22"/>
          <w:szCs w:val="22"/>
          <w:color w:val="auto"/>
        </w:rPr>
        <w:t>” means the date established by the Board of Directors or otherwise in accordance with this Agreement for determining (a) the identity of the Record Holders entitled to notice of, or to vote at, any meeting of Limited Partners or entitled to vote by ballot or give approval of Partnership action in writing without a meeting or entitled to exercise rights in respect of any lawful action of Limited Partners or (b) the identity of Record Holders entitled to receive any report or distribution or to participate in any offer.</w:t>
      </w:r>
    </w:p>
    <w:p>
      <w:pPr>
        <w:spacing w:after="0" w:line="214" w:lineRule="exact"/>
        <w:rPr>
          <w:sz w:val="20"/>
          <w:szCs w:val="20"/>
          <w:color w:val="auto"/>
        </w:rPr>
      </w:pPr>
    </w:p>
    <w:p>
      <w:pPr>
        <w:ind w:right="20" w:firstLine="1296"/>
        <w:spacing w:after="0" w:line="27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Record Holder</w:t>
      </w:r>
      <w:r>
        <w:rPr>
          <w:rFonts w:ascii="Arial" w:cs="Arial" w:eastAsia="Arial" w:hAnsi="Arial"/>
          <w:sz w:val="19"/>
          <w:szCs w:val="19"/>
          <w:color w:val="auto"/>
        </w:rPr>
        <w:t xml:space="preserve">” means (a) the Person in whose name a Common Unit is registered on the books of the Transfer Agent as of the opening of business on a particular Business Day, (b) the Person in whose name a Preference Unit is registered on the books of the Transfer Agent as of, unless otherwise set forth in </w:t>
      </w:r>
      <w:r>
        <w:rPr>
          <w:rFonts w:ascii="Arial" w:cs="Arial" w:eastAsia="Arial" w:hAnsi="Arial"/>
          <w:sz w:val="19"/>
          <w:szCs w:val="19"/>
          <w:u w:val="single" w:color="auto"/>
          <w:color w:val="auto"/>
        </w:rPr>
        <w:t>Article XVI</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XVII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XVIII,</w:t>
      </w:r>
      <w:r>
        <w:rPr>
          <w:rFonts w:ascii="Arial" w:cs="Arial" w:eastAsia="Arial" w:hAnsi="Arial"/>
          <w:sz w:val="19"/>
          <w:szCs w:val="19"/>
          <w:color w:val="auto"/>
        </w:rPr>
        <w:t xml:space="preserve"> the opening of business on a particular Business Day or (c) with respect to other Partnership Interests, the Person in whose name any such other Partnership Interest is registered on the books that the Board of Directors has caused to be kept as of the opening of business on such Business Day (which books may be kept, at the Board of Directors’ option, by the Transfer Agent).</w:t>
      </w:r>
    </w:p>
    <w:p>
      <w:pPr>
        <w:spacing w:after="0" w:line="177" w:lineRule="exact"/>
        <w:rPr>
          <w:sz w:val="20"/>
          <w:szCs w:val="20"/>
          <w:color w:val="auto"/>
        </w:rPr>
      </w:pPr>
    </w:p>
    <w:p>
      <w:pPr>
        <w:ind w:right="200" w:firstLine="1296"/>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Reuters Page LIBOR01</w:t>
      </w:r>
      <w:r>
        <w:rPr>
          <w:rFonts w:ascii="Arial" w:cs="Arial" w:eastAsia="Arial" w:hAnsi="Arial"/>
          <w:sz w:val="19"/>
          <w:szCs w:val="19"/>
          <w:color w:val="auto"/>
        </w:rPr>
        <w:t>” means the display so designated on the Reuters 3000 Xtra (or such other page as may replace the LIBOR01 page on that service, or such other service as may be nominated by ICE, or its successor, or such other entity assuming the responsibility of ICE or its successor in the event ICE or its successor no longer does so, as the successor service, for the purpose of displaying London interbank offered rates for U.S. dollar deposits).</w:t>
      </w:r>
    </w:p>
    <w:p>
      <w:pPr>
        <w:spacing w:after="0" w:line="170" w:lineRule="exact"/>
        <w:rPr>
          <w:sz w:val="20"/>
          <w:szCs w:val="20"/>
          <w:color w:val="auto"/>
        </w:rPr>
      </w:pPr>
    </w:p>
    <w:p>
      <w:pPr>
        <w:ind w:right="30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Securities Act</w:t>
      </w:r>
      <w:r>
        <w:rPr>
          <w:rFonts w:ascii="Arial" w:cs="Arial" w:eastAsia="Arial" w:hAnsi="Arial"/>
          <w:sz w:val="22"/>
          <w:szCs w:val="22"/>
          <w:color w:val="auto"/>
        </w:rPr>
        <w:t>” means the Securities Act of 1933, as amended, supplemented or restated from time to time and any successor to such statute.</w:t>
      </w:r>
    </w:p>
    <w:p>
      <w:pPr>
        <w:spacing w:after="0" w:line="202" w:lineRule="exact"/>
        <w:rPr>
          <w:sz w:val="20"/>
          <w:szCs w:val="20"/>
          <w:color w:val="auto"/>
        </w:rPr>
      </w:pPr>
    </w:p>
    <w:p>
      <w:pPr>
        <w:ind w:right="20"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Senior Securities</w:t>
      </w:r>
      <w:r>
        <w:rPr>
          <w:rFonts w:ascii="Arial" w:cs="Arial" w:eastAsia="Arial" w:hAnsi="Arial"/>
          <w:sz w:val="22"/>
          <w:szCs w:val="22"/>
          <w:color w:val="auto"/>
        </w:rPr>
        <w:t xml:space="preserve">” means any class or series of Partnership Interests established after May 15, 2017 by the General Partner, the terms of which class or series expressly provide that it ranks senior to the Series A Preference Units, Series B Preference Units and Series C Preference Units as to the right to distributions of cash or property or distributions upon any dissolution or liquidation pursuant to </w:t>
      </w:r>
      <w:r>
        <w:rPr>
          <w:rFonts w:ascii="Arial" w:cs="Arial" w:eastAsia="Arial" w:hAnsi="Arial"/>
          <w:sz w:val="22"/>
          <w:szCs w:val="22"/>
          <w:u w:val="single" w:color="auto"/>
          <w:color w:val="auto"/>
        </w:rPr>
        <w:t>Article XII</w:t>
      </w:r>
      <w:r>
        <w:rPr>
          <w:rFonts w:ascii="Arial" w:cs="Arial" w:eastAsia="Arial" w:hAnsi="Arial"/>
          <w:sz w:val="22"/>
          <w:szCs w:val="22"/>
          <w:color w:val="auto"/>
        </w:rPr>
        <w:t>.</w:t>
      </w:r>
    </w:p>
    <w:p>
      <w:pPr>
        <w:spacing w:after="0" w:line="212"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Determination Date</w:t>
      </w:r>
      <w:r>
        <w:rPr>
          <w:rFonts w:ascii="Arial" w:cs="Arial" w:eastAsia="Arial" w:hAnsi="Arial"/>
          <w:sz w:val="22"/>
          <w:szCs w:val="22"/>
          <w:color w:val="auto"/>
        </w:rPr>
        <w:t>” means the London Business Day immediately preceding the first date of the applicable Series A Distribution Period.</w:t>
      </w:r>
    </w:p>
    <w:p>
      <w:pPr>
        <w:spacing w:after="0" w:line="202" w:lineRule="exact"/>
        <w:rPr>
          <w:sz w:val="20"/>
          <w:szCs w:val="20"/>
          <w:color w:val="auto"/>
        </w:rPr>
      </w:pPr>
    </w:p>
    <w:p>
      <w:pPr>
        <w:ind w:right="60"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Payment Date</w:t>
      </w:r>
      <w:r>
        <w:rPr>
          <w:rFonts w:ascii="Arial" w:cs="Arial" w:eastAsia="Arial" w:hAnsi="Arial"/>
          <w:sz w:val="22"/>
          <w:szCs w:val="22"/>
          <w:color w:val="auto"/>
        </w:rPr>
        <w:t xml:space="preserve">” means each March 15, June 15, September 15 and December 15, commencing September 15, 2017;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any Series A Distribution Payment Date would otherwise occur on a day that is not a Business Day, such Series A Distribution Payment Date shall instead be on the immediately succeeding Business Day.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19" w:name="page20"/>
    <w:bookmarkEnd w:id="19"/>
    <w:p>
      <w:pPr>
        <w:jc w:val="both"/>
        <w:ind w:right="38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A Distribution Period</w:t>
      </w:r>
      <w:r>
        <w:rPr>
          <w:rFonts w:ascii="Arial" w:cs="Arial" w:eastAsia="Arial" w:hAnsi="Arial"/>
          <w:sz w:val="19"/>
          <w:szCs w:val="19"/>
          <w:color w:val="auto"/>
        </w:rPr>
        <w:t xml:space="preserve"> ” means a period of time from and including the preceding Series A Distribution Payment Date (other than the initial Series A Distribution Period, which shall commence on and include the Series A Original Issue Date) to, but excluding, the next Series A Distribution Payment Date for such Series A Distribution Period.</w:t>
      </w:r>
    </w:p>
    <w:p>
      <w:pPr>
        <w:spacing w:after="0" w:line="161" w:lineRule="exact"/>
        <w:rPr>
          <w:sz w:val="20"/>
          <w:szCs w:val="20"/>
          <w:color w:val="auto"/>
        </w:rPr>
      </w:pPr>
    </w:p>
    <w:p>
      <w:pPr>
        <w:ind w:right="120"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Rate</w:t>
      </w:r>
      <w:r>
        <w:rPr>
          <w:rFonts w:ascii="Arial" w:cs="Arial" w:eastAsia="Arial" w:hAnsi="Arial"/>
          <w:sz w:val="22"/>
          <w:szCs w:val="22"/>
          <w:color w:val="auto"/>
        </w:rPr>
        <w:t>” means, with respect to the Series A Fixed Rate Period, a rate equal to 8.625% per annum of the Stated Series A Liquidation Preference per Series A Preference Unit and, with respect to the Series A Floating Rate Period, a floating rate equal to the Series A Three-Month LIBOR Rate plus a spread of 6.31% per annum of the Stated Series A Liquidation Preference per Series A Preference Unit.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Distribution Record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16.3(c)</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A Distributions</w:t>
      </w:r>
      <w:r>
        <w:rPr>
          <w:rFonts w:ascii="Arial" w:cs="Arial" w:eastAsia="Arial" w:hAnsi="Arial"/>
          <w:sz w:val="19"/>
          <w:szCs w:val="19"/>
          <w:color w:val="auto"/>
        </w:rPr>
        <w:t xml:space="preserve">” means distributions with respect to Series A Preference Units pursuant to </w:t>
      </w:r>
      <w:r>
        <w:rPr>
          <w:rFonts w:ascii="Arial" w:cs="Arial" w:eastAsia="Arial" w:hAnsi="Arial"/>
          <w:sz w:val="19"/>
          <w:szCs w:val="19"/>
          <w:u w:val="single" w:color="auto"/>
          <w:color w:val="auto"/>
        </w:rPr>
        <w:t>Section 16.3</w:t>
      </w:r>
      <w:r>
        <w:rPr>
          <w:rFonts w:ascii="Arial" w:cs="Arial" w:eastAsia="Arial" w:hAnsi="Arial"/>
          <w:sz w:val="19"/>
          <w:szCs w:val="19"/>
          <w:color w:val="auto"/>
        </w:rPr>
        <w:t>.</w:t>
      </w:r>
    </w:p>
    <w:p>
      <w:pPr>
        <w:spacing w:after="0" w:line="268" w:lineRule="exact"/>
        <w:rPr>
          <w:sz w:val="20"/>
          <w:szCs w:val="20"/>
          <w:color w:val="auto"/>
        </w:rPr>
      </w:pPr>
    </w:p>
    <w:p>
      <w:pPr>
        <w:ind w:right="6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Fixed Rate Period</w:t>
      </w:r>
      <w:r>
        <w:rPr>
          <w:rFonts w:ascii="Arial" w:cs="Arial" w:eastAsia="Arial" w:hAnsi="Arial"/>
          <w:sz w:val="22"/>
          <w:szCs w:val="22"/>
          <w:color w:val="auto"/>
        </w:rPr>
        <w:t>” means the period from and including the Series A Original Issue Date to, but excluding June 15, 2027.</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Floating Rate Period</w:t>
      </w:r>
      <w:r>
        <w:rPr>
          <w:rFonts w:ascii="Arial" w:cs="Arial" w:eastAsia="Arial" w:hAnsi="Arial"/>
          <w:sz w:val="22"/>
          <w:szCs w:val="22"/>
          <w:color w:val="auto"/>
        </w:rPr>
        <w:t>” means the period from and including June 15, 2027.</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Holder</w:t>
      </w:r>
      <w:r>
        <w:rPr>
          <w:rFonts w:ascii="Arial" w:cs="Arial" w:eastAsia="Arial" w:hAnsi="Arial"/>
          <w:sz w:val="22"/>
          <w:szCs w:val="22"/>
          <w:color w:val="auto"/>
        </w:rPr>
        <w:t>” means a Record Holder of the Series A Preference Units.</w:t>
      </w:r>
    </w:p>
    <w:p>
      <w:pPr>
        <w:spacing w:after="0" w:line="233" w:lineRule="exact"/>
        <w:rPr>
          <w:sz w:val="20"/>
          <w:szCs w:val="20"/>
          <w:color w:val="auto"/>
        </w:rPr>
      </w:pPr>
    </w:p>
    <w:p>
      <w:pPr>
        <w:ind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Liquidation Preference</w:t>
      </w:r>
      <w:r>
        <w:rPr>
          <w:rFonts w:ascii="Arial" w:cs="Arial" w:eastAsia="Arial" w:hAnsi="Arial"/>
          <w:sz w:val="22"/>
          <w:szCs w:val="22"/>
          <w:color w:val="auto"/>
        </w:rPr>
        <w:t xml:space="preserve">” means a liquidation preference for each Series A Preference Unit initially equal to $25.00 per unit, which liquidation preference shall be subject to (a) increase by the per Series A Preference Unit amount of any accumulated and unpaid distributions (whether or not such distributions shall have been declared) and (b) decrease upon a distribution in connection with a Liquidation Event described in </w:t>
      </w:r>
      <w:r>
        <w:rPr>
          <w:rFonts w:ascii="Arial" w:cs="Arial" w:eastAsia="Arial" w:hAnsi="Arial"/>
          <w:sz w:val="22"/>
          <w:szCs w:val="22"/>
          <w:u w:val="single" w:color="auto"/>
          <w:color w:val="auto"/>
        </w:rPr>
        <w:t>Section 16.4</w:t>
      </w:r>
      <w:r>
        <w:rPr>
          <w:rFonts w:ascii="Arial" w:cs="Arial" w:eastAsia="Arial" w:hAnsi="Arial"/>
          <w:sz w:val="22"/>
          <w:szCs w:val="22"/>
          <w:color w:val="auto"/>
        </w:rPr>
        <w:t xml:space="preserve"> which does not result in payment in full of the liquidation preference of such Series A Preference Unit.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Original Issue Date</w:t>
      </w:r>
      <w:r>
        <w:rPr>
          <w:rFonts w:ascii="Arial" w:cs="Arial" w:eastAsia="Arial" w:hAnsi="Arial"/>
          <w:sz w:val="22"/>
          <w:szCs w:val="22"/>
          <w:color w:val="auto"/>
        </w:rPr>
        <w:t>” means May 15, 2017.</w:t>
      </w:r>
    </w:p>
    <w:p>
      <w:pPr>
        <w:spacing w:after="0" w:line="233" w:lineRule="exact"/>
        <w:rPr>
          <w:sz w:val="20"/>
          <w:szCs w:val="20"/>
          <w:color w:val="auto"/>
        </w:rPr>
      </w:pPr>
    </w:p>
    <w:p>
      <w:pPr>
        <w:ind w:right="4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Preference Unit</w:t>
      </w:r>
      <w:r>
        <w:rPr>
          <w:rFonts w:ascii="Arial" w:cs="Arial" w:eastAsia="Arial" w:hAnsi="Arial"/>
          <w:sz w:val="22"/>
          <w:szCs w:val="22"/>
          <w:color w:val="auto"/>
        </w:rPr>
        <w:t xml:space="preserve">” means a Preference Unit having the designations, preferences, rights, powers and duties set forth in </w:t>
      </w:r>
      <w:r>
        <w:rPr>
          <w:rFonts w:ascii="Arial" w:cs="Arial" w:eastAsia="Arial" w:hAnsi="Arial"/>
          <w:sz w:val="22"/>
          <w:szCs w:val="22"/>
          <w:u w:val="single" w:color="auto"/>
          <w:color w:val="auto"/>
        </w:rPr>
        <w:t>Article XVI</w:t>
      </w:r>
      <w:r>
        <w:rPr>
          <w:rFonts w:ascii="Arial" w:cs="Arial" w:eastAsia="Arial" w:hAnsi="Arial"/>
          <w:sz w:val="22"/>
          <w:szCs w:val="22"/>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16.6</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16.6(b)</w:t>
      </w:r>
      <w:r>
        <w:rPr>
          <w:rFonts w:ascii="Arial" w:cs="Arial" w:eastAsia="Arial" w:hAnsi="Arial"/>
          <w:sz w:val="22"/>
          <w:szCs w:val="22"/>
          <w:color w:val="auto"/>
        </w:rPr>
        <w:t>.</w:t>
      </w:r>
    </w:p>
    <w:p>
      <w:pPr>
        <w:spacing w:after="0" w:line="233" w:lineRule="exact"/>
        <w:rPr>
          <w:sz w:val="20"/>
          <w:szCs w:val="20"/>
          <w:color w:val="auto"/>
        </w:rPr>
      </w:pPr>
    </w:p>
    <w:p>
      <w:pPr>
        <w:ind w:right="54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Payments</w:t>
      </w:r>
      <w:r>
        <w:rPr>
          <w:rFonts w:ascii="Arial" w:cs="Arial" w:eastAsia="Arial" w:hAnsi="Arial"/>
          <w:sz w:val="22"/>
          <w:szCs w:val="22"/>
          <w:color w:val="auto"/>
        </w:rPr>
        <w:t xml:space="preserve">” means payments to be made to the holders of Series A Preference Units to redeem Series A Preference Units in accordance with </w:t>
      </w:r>
      <w:r>
        <w:rPr>
          <w:rFonts w:ascii="Arial" w:cs="Arial" w:eastAsia="Arial" w:hAnsi="Arial"/>
          <w:sz w:val="22"/>
          <w:szCs w:val="22"/>
          <w:u w:val="single" w:color="auto"/>
          <w:color w:val="auto"/>
        </w:rPr>
        <w:t>Section 16.6</w:t>
      </w:r>
      <w:r>
        <w:rPr>
          <w:rFonts w:ascii="Arial" w:cs="Arial" w:eastAsia="Arial" w:hAnsi="Arial"/>
          <w:sz w:val="22"/>
          <w:szCs w:val="22"/>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A Redemption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16.6(a)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“Series A Three-Month LIBOR Rate”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16.3(b)</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20" w:name="page21"/>
    <w:bookmarkEnd w:id="20"/>
    <w:p>
      <w:pPr>
        <w:ind w:right="36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Distribution Determination Date</w:t>
      </w:r>
      <w:r>
        <w:rPr>
          <w:rFonts w:ascii="Arial" w:cs="Arial" w:eastAsia="Arial" w:hAnsi="Arial"/>
          <w:sz w:val="22"/>
          <w:szCs w:val="22"/>
          <w:color w:val="auto"/>
        </w:rPr>
        <w:t>” means the London Business Day immediately preceding the first date of the applicable Series B Distribution Period.</w:t>
      </w:r>
    </w:p>
    <w:p>
      <w:pPr>
        <w:spacing w:after="0" w:line="202" w:lineRule="exact"/>
        <w:rPr>
          <w:sz w:val="20"/>
          <w:szCs w:val="20"/>
          <w:color w:val="auto"/>
        </w:rPr>
      </w:pPr>
    </w:p>
    <w:p>
      <w:pPr>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Distribution Payment Date</w:t>
      </w:r>
      <w:r>
        <w:rPr>
          <w:rFonts w:ascii="Arial" w:cs="Arial" w:eastAsia="Arial" w:hAnsi="Arial"/>
          <w:sz w:val="22"/>
          <w:szCs w:val="22"/>
          <w:color w:val="auto"/>
        </w:rPr>
        <w:t xml:space="preserve">” means each March 15, June 15, September 15 and December 15, commencing March 15, 2018;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any Series B Distribution Payment Date would otherwise occur on a day that is not a Business Day, such Series B Distribution Payment Date shall instead be on the immediately succeeding Business Day.</w:t>
      </w:r>
    </w:p>
    <w:p>
      <w:pPr>
        <w:spacing w:after="0" w:line="212" w:lineRule="exact"/>
        <w:rPr>
          <w:sz w:val="20"/>
          <w:szCs w:val="20"/>
          <w:color w:val="auto"/>
        </w:rPr>
      </w:pPr>
    </w:p>
    <w:p>
      <w:pPr>
        <w:jc w:val="both"/>
        <w:ind w:right="32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B Distribution Period</w:t>
      </w:r>
      <w:r>
        <w:rPr>
          <w:rFonts w:ascii="Arial" w:cs="Arial" w:eastAsia="Arial" w:hAnsi="Arial"/>
          <w:sz w:val="19"/>
          <w:szCs w:val="19"/>
          <w:color w:val="auto"/>
        </w:rPr>
        <w:t>” means a period of time from and including the preceding Series B Distribution Payment Date (other than the initial Series B Distribution Period, which shall commence on and include the Series B Original Issue Date) to, but excluding, the next Series B Distribution Payment Date for such Series B Distribution Period.</w:t>
      </w:r>
    </w:p>
    <w:p>
      <w:pPr>
        <w:spacing w:after="0" w:line="161" w:lineRule="exact"/>
        <w:rPr>
          <w:sz w:val="20"/>
          <w:szCs w:val="20"/>
          <w:color w:val="auto"/>
        </w:rPr>
      </w:pPr>
    </w:p>
    <w:p>
      <w:pPr>
        <w:ind w:right="40"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Distribution Rate</w:t>
      </w:r>
      <w:r>
        <w:rPr>
          <w:rFonts w:ascii="Arial" w:cs="Arial" w:eastAsia="Arial" w:hAnsi="Arial"/>
          <w:sz w:val="22"/>
          <w:szCs w:val="22"/>
          <w:color w:val="auto"/>
        </w:rPr>
        <w:t>” means, with respect to the Series B Fixed Rate Period, a rate equal to 8.200% per annum of the Stated Series B Liquidation Preference per Series B Preference Unit and, with respect to the Series B Floating Rate Period, a floating rate equal to the Series B Three-Month LIBOR Rate plus a spread of 5.839% per annum of the Stated Series B Liquidation Preference per Series B Preference Unit.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Distribution Record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17.3(c)</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B Distributions</w:t>
      </w:r>
      <w:r>
        <w:rPr>
          <w:rFonts w:ascii="Arial" w:cs="Arial" w:eastAsia="Arial" w:hAnsi="Arial"/>
          <w:sz w:val="19"/>
          <w:szCs w:val="19"/>
          <w:color w:val="auto"/>
        </w:rPr>
        <w:t xml:space="preserve">” means distributions with respect to Series B Preference Units pursuant to </w:t>
      </w:r>
      <w:r>
        <w:rPr>
          <w:rFonts w:ascii="Arial" w:cs="Arial" w:eastAsia="Arial" w:hAnsi="Arial"/>
          <w:sz w:val="19"/>
          <w:szCs w:val="19"/>
          <w:u w:val="single" w:color="auto"/>
          <w:color w:val="auto"/>
        </w:rPr>
        <w:t>Section 17.3</w:t>
      </w:r>
      <w:r>
        <w:rPr>
          <w:rFonts w:ascii="Arial" w:cs="Arial" w:eastAsia="Arial" w:hAnsi="Arial"/>
          <w:sz w:val="19"/>
          <w:szCs w:val="19"/>
          <w:color w:val="auto"/>
        </w:rPr>
        <w:t>.</w:t>
      </w:r>
    </w:p>
    <w:p>
      <w:pPr>
        <w:spacing w:after="0" w:line="268" w:lineRule="exact"/>
        <w:rPr>
          <w:sz w:val="20"/>
          <w:szCs w:val="20"/>
          <w:color w:val="auto"/>
        </w:rPr>
      </w:pPr>
    </w:p>
    <w:p>
      <w:pPr>
        <w:ind w:right="6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Fixed Rate Period</w:t>
      </w:r>
      <w:r>
        <w:rPr>
          <w:rFonts w:ascii="Arial" w:cs="Arial" w:eastAsia="Arial" w:hAnsi="Arial"/>
          <w:sz w:val="22"/>
          <w:szCs w:val="22"/>
          <w:color w:val="auto"/>
        </w:rPr>
        <w:t>” means the period from and including the Series B Original Issue Date to, but excluding March 15, 2023.</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Floating Rate Period</w:t>
      </w:r>
      <w:r>
        <w:rPr>
          <w:rFonts w:ascii="Arial" w:cs="Arial" w:eastAsia="Arial" w:hAnsi="Arial"/>
          <w:sz w:val="22"/>
          <w:szCs w:val="22"/>
          <w:color w:val="auto"/>
        </w:rPr>
        <w:t>” means the period from and including March 15, 2023.</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Holder</w:t>
      </w:r>
      <w:r>
        <w:rPr>
          <w:rFonts w:ascii="Arial" w:cs="Arial" w:eastAsia="Arial" w:hAnsi="Arial"/>
          <w:sz w:val="22"/>
          <w:szCs w:val="22"/>
          <w:color w:val="auto"/>
        </w:rPr>
        <w:t>” means a Record Holder of the Series B Preference Units.</w:t>
      </w:r>
    </w:p>
    <w:p>
      <w:pPr>
        <w:spacing w:after="0" w:line="233" w:lineRule="exact"/>
        <w:rPr>
          <w:sz w:val="20"/>
          <w:szCs w:val="20"/>
          <w:color w:val="auto"/>
        </w:rPr>
      </w:pPr>
    </w:p>
    <w:p>
      <w:pPr>
        <w:ind w:right="40" w:firstLine="1296"/>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Liquidation Preference</w:t>
      </w:r>
      <w:r>
        <w:rPr>
          <w:rFonts w:ascii="Arial" w:cs="Arial" w:eastAsia="Arial" w:hAnsi="Arial"/>
          <w:sz w:val="22"/>
          <w:szCs w:val="22"/>
          <w:color w:val="auto"/>
        </w:rPr>
        <w:t xml:space="preserve">” means a liquidation preference for each Series B Preference Unit initially equal to $25.00 per unit, which liquidation preference shall be subject to (a) increase by the per Series B Preference Unit amount of any accumulated and unpaid distributions (whether or not such distributions shall have been declared) and (b) decrease upon a distribution in connection with a Liquidation Event described in </w:t>
      </w:r>
      <w:r>
        <w:rPr>
          <w:rFonts w:ascii="Arial" w:cs="Arial" w:eastAsia="Arial" w:hAnsi="Arial"/>
          <w:sz w:val="22"/>
          <w:szCs w:val="22"/>
          <w:u w:val="single" w:color="auto"/>
          <w:color w:val="auto"/>
        </w:rPr>
        <w:t>Section 17.4</w:t>
      </w:r>
      <w:r>
        <w:rPr>
          <w:rFonts w:ascii="Arial" w:cs="Arial" w:eastAsia="Arial" w:hAnsi="Arial"/>
          <w:sz w:val="22"/>
          <w:szCs w:val="22"/>
          <w:color w:val="auto"/>
        </w:rPr>
        <w:t xml:space="preserve"> which does not result in payment in full of the liquidation preference of such Series B Preference Unit.</w:t>
      </w:r>
    </w:p>
    <w:p>
      <w:pPr>
        <w:spacing w:after="0" w:line="214"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Original Issue Date</w:t>
      </w:r>
      <w:r>
        <w:rPr>
          <w:rFonts w:ascii="Arial" w:cs="Arial" w:eastAsia="Arial" w:hAnsi="Arial"/>
          <w:sz w:val="22"/>
          <w:szCs w:val="22"/>
          <w:color w:val="auto"/>
        </w:rPr>
        <w:t>” means January 17, 2018.</w:t>
      </w:r>
    </w:p>
    <w:p>
      <w:pPr>
        <w:spacing w:after="0" w:line="233" w:lineRule="exact"/>
        <w:rPr>
          <w:sz w:val="20"/>
          <w:szCs w:val="20"/>
          <w:color w:val="auto"/>
        </w:rPr>
      </w:pPr>
    </w:p>
    <w:p>
      <w:pPr>
        <w:ind w:right="4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Preference Unit</w:t>
      </w:r>
      <w:r>
        <w:rPr>
          <w:rFonts w:ascii="Arial" w:cs="Arial" w:eastAsia="Arial" w:hAnsi="Arial"/>
          <w:sz w:val="22"/>
          <w:szCs w:val="22"/>
          <w:color w:val="auto"/>
        </w:rPr>
        <w:t xml:space="preserve">” means a Preference Unit having the designations, preferences, rights, powers and duties set forth in </w:t>
      </w:r>
      <w:r>
        <w:rPr>
          <w:rFonts w:ascii="Arial" w:cs="Arial" w:eastAsia="Arial" w:hAnsi="Arial"/>
          <w:sz w:val="22"/>
          <w:szCs w:val="22"/>
          <w:u w:val="single" w:color="auto"/>
          <w:color w:val="auto"/>
        </w:rPr>
        <w:t>Article XVII</w:t>
      </w:r>
      <w:r>
        <w:rPr>
          <w:rFonts w:ascii="Arial" w:cs="Arial" w:eastAsia="Arial" w:hAnsi="Arial"/>
          <w:sz w:val="22"/>
          <w:szCs w:val="22"/>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17.6</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17.6(b)</w:t>
      </w:r>
      <w:r>
        <w:rPr>
          <w:rFonts w:ascii="Arial" w:cs="Arial" w:eastAsia="Arial" w:hAnsi="Arial"/>
          <w:sz w:val="22"/>
          <w:szCs w:val="22"/>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21" w:name="page22"/>
    <w:bookmarkEnd w:id="21"/>
    <w:p>
      <w:pPr>
        <w:ind w:right="48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Payments</w:t>
      </w:r>
      <w:r>
        <w:rPr>
          <w:rFonts w:ascii="Arial" w:cs="Arial" w:eastAsia="Arial" w:hAnsi="Arial"/>
          <w:sz w:val="22"/>
          <w:szCs w:val="22"/>
          <w:color w:val="auto"/>
        </w:rPr>
        <w:t xml:space="preserve">” means payments to be made to the holders of Series B Preference Units to redeem Series B Preference Units in accordance with </w:t>
      </w:r>
      <w:r>
        <w:rPr>
          <w:rFonts w:ascii="Arial" w:cs="Arial" w:eastAsia="Arial" w:hAnsi="Arial"/>
          <w:sz w:val="22"/>
          <w:szCs w:val="22"/>
          <w:u w:val="single" w:color="auto"/>
          <w:color w:val="auto"/>
        </w:rPr>
        <w:t>Section 17.6</w:t>
      </w:r>
      <w:r>
        <w:rPr>
          <w:rFonts w:ascii="Arial" w:cs="Arial" w:eastAsia="Arial" w:hAnsi="Arial"/>
          <w:sz w:val="22"/>
          <w:szCs w:val="22"/>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B Redemption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17.6(a)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“Series B Three-Month LIBOR Rate”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17.3(b)</w:t>
      </w:r>
      <w:r>
        <w:rPr>
          <w:rFonts w:ascii="Arial" w:cs="Arial" w:eastAsia="Arial" w:hAnsi="Arial"/>
          <w:sz w:val="22"/>
          <w:szCs w:val="22"/>
          <w:color w:val="auto"/>
        </w:rPr>
        <w:t>.</w:t>
      </w:r>
    </w:p>
    <w:p>
      <w:pPr>
        <w:spacing w:after="0" w:line="233" w:lineRule="exact"/>
        <w:rPr>
          <w:sz w:val="20"/>
          <w:szCs w:val="20"/>
          <w:color w:val="auto"/>
        </w:rPr>
      </w:pPr>
    </w:p>
    <w:p>
      <w:pPr>
        <w:ind w:right="36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Distribution Determination Date</w:t>
      </w:r>
      <w:r>
        <w:rPr>
          <w:rFonts w:ascii="Arial" w:cs="Arial" w:eastAsia="Arial" w:hAnsi="Arial"/>
          <w:sz w:val="22"/>
          <w:szCs w:val="22"/>
          <w:color w:val="auto"/>
        </w:rPr>
        <w:t>” means the London Business Day immediately preceding the first date of the applicable Series C Distribution Period.</w:t>
      </w:r>
    </w:p>
    <w:p>
      <w:pPr>
        <w:spacing w:after="0" w:line="202" w:lineRule="exact"/>
        <w:rPr>
          <w:sz w:val="20"/>
          <w:szCs w:val="20"/>
          <w:color w:val="auto"/>
        </w:rPr>
      </w:pPr>
    </w:p>
    <w:p>
      <w:pPr>
        <w:ind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Distribution Payment Date</w:t>
      </w:r>
      <w:r>
        <w:rPr>
          <w:rFonts w:ascii="Arial" w:cs="Arial" w:eastAsia="Arial" w:hAnsi="Arial"/>
          <w:sz w:val="22"/>
          <w:szCs w:val="22"/>
          <w:color w:val="auto"/>
        </w:rPr>
        <w:t xml:space="preserve">” means each March 15, June 15, September 15 and December 15, commencing March 15, 2019;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any Series C Distribution Payment Date would otherwise occur on a day that is not a Business Day, such Series C Distribution Payment Date shall instead be on the immediately succeeding Business Day.</w:t>
      </w:r>
    </w:p>
    <w:p>
      <w:pPr>
        <w:spacing w:after="0" w:line="212" w:lineRule="exact"/>
        <w:rPr>
          <w:sz w:val="20"/>
          <w:szCs w:val="20"/>
          <w:color w:val="auto"/>
        </w:rPr>
      </w:pPr>
    </w:p>
    <w:p>
      <w:pPr>
        <w:jc w:val="both"/>
        <w:ind w:right="320"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C Distribution Period</w:t>
      </w:r>
      <w:r>
        <w:rPr>
          <w:rFonts w:ascii="Arial" w:cs="Arial" w:eastAsia="Arial" w:hAnsi="Arial"/>
          <w:sz w:val="19"/>
          <w:szCs w:val="19"/>
          <w:color w:val="auto"/>
        </w:rPr>
        <w:t>” means a period of time from and including the preceding Series C Distribution Payment Date (other than the initial Series C Distribution Period, which shall commence on and include the Series C Original Issue Date) to, but excluding, the next Series C Distribution Payment Date for such Series C Distribution Period.</w:t>
      </w:r>
    </w:p>
    <w:p>
      <w:pPr>
        <w:spacing w:after="0" w:line="161" w:lineRule="exact"/>
        <w:rPr>
          <w:sz w:val="20"/>
          <w:szCs w:val="20"/>
          <w:color w:val="auto"/>
        </w:rPr>
      </w:pPr>
    </w:p>
    <w:p>
      <w:pPr>
        <w:ind w:right="40"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Distribution Rate</w:t>
      </w:r>
      <w:r>
        <w:rPr>
          <w:rFonts w:ascii="Arial" w:cs="Arial" w:eastAsia="Arial" w:hAnsi="Arial"/>
          <w:sz w:val="22"/>
          <w:szCs w:val="22"/>
          <w:color w:val="auto"/>
        </w:rPr>
        <w:t>” means, with respect to the Series C Fixed Rate Period, a rate equal to 8.500% per annum of the Stated Series C Liquidation Preference per Series C Preference Unit and, with respect to the Series C Floating Rate Period, a floating rate equal to the Series C Three-Month LIBOR Rate plus a spread of 5.317% per annum of the Stated Series C Liquidation Preference per Series C Preference Unit.</w:t>
      </w:r>
    </w:p>
    <w:p>
      <w:pPr>
        <w:spacing w:after="0" w:line="21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Distribution Record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18.3(c)</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Series C Distributions</w:t>
      </w:r>
      <w:r>
        <w:rPr>
          <w:rFonts w:ascii="Arial" w:cs="Arial" w:eastAsia="Arial" w:hAnsi="Arial"/>
          <w:sz w:val="19"/>
          <w:szCs w:val="19"/>
          <w:color w:val="auto"/>
        </w:rPr>
        <w:t xml:space="preserve">” means distributions with respect to Series C Preference Units pursuant to </w:t>
      </w:r>
      <w:r>
        <w:rPr>
          <w:rFonts w:ascii="Arial" w:cs="Arial" w:eastAsia="Arial" w:hAnsi="Arial"/>
          <w:sz w:val="19"/>
          <w:szCs w:val="19"/>
          <w:u w:val="single" w:color="auto"/>
          <w:color w:val="auto"/>
        </w:rPr>
        <w:t>Section 18.3</w:t>
      </w:r>
      <w:r>
        <w:rPr>
          <w:rFonts w:ascii="Arial" w:cs="Arial" w:eastAsia="Arial" w:hAnsi="Arial"/>
          <w:sz w:val="19"/>
          <w:szCs w:val="19"/>
          <w:color w:val="auto"/>
        </w:rPr>
        <w:t>.</w:t>
      </w:r>
    </w:p>
    <w:p>
      <w:pPr>
        <w:spacing w:after="0" w:line="268" w:lineRule="exact"/>
        <w:rPr>
          <w:sz w:val="20"/>
          <w:szCs w:val="20"/>
          <w:color w:val="auto"/>
        </w:rPr>
      </w:pPr>
    </w:p>
    <w:p>
      <w:pPr>
        <w:ind w:right="62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Fixed Rate Period</w:t>
      </w:r>
      <w:r>
        <w:rPr>
          <w:rFonts w:ascii="Arial" w:cs="Arial" w:eastAsia="Arial" w:hAnsi="Arial"/>
          <w:sz w:val="22"/>
          <w:szCs w:val="22"/>
          <w:color w:val="auto"/>
        </w:rPr>
        <w:t>” means the period from and including the Series C Original Issue Date to, but excluding March 15, 2024</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Floating Rate Period</w:t>
      </w:r>
      <w:r>
        <w:rPr>
          <w:rFonts w:ascii="Arial" w:cs="Arial" w:eastAsia="Arial" w:hAnsi="Arial"/>
          <w:sz w:val="22"/>
          <w:szCs w:val="22"/>
          <w:color w:val="auto"/>
        </w:rPr>
        <w:t>” means the period from and including March 15, 2024.</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Holder</w:t>
      </w:r>
      <w:r>
        <w:rPr>
          <w:rFonts w:ascii="Arial" w:cs="Arial" w:eastAsia="Arial" w:hAnsi="Arial"/>
          <w:sz w:val="22"/>
          <w:szCs w:val="22"/>
          <w:color w:val="auto"/>
        </w:rPr>
        <w:t>” means a Record Holder of the Series C Preference Units.</w:t>
      </w:r>
    </w:p>
    <w:p>
      <w:pPr>
        <w:spacing w:after="0" w:line="233" w:lineRule="exact"/>
        <w:rPr>
          <w:sz w:val="20"/>
          <w:szCs w:val="20"/>
          <w:color w:val="auto"/>
        </w:rPr>
      </w:pPr>
    </w:p>
    <w:p>
      <w:pPr>
        <w:ind w:right="40" w:firstLine="1296"/>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Series C Liquidation Preference</w:t>
      </w:r>
      <w:r>
        <w:rPr>
          <w:rFonts w:ascii="Arial" w:cs="Arial" w:eastAsia="Arial" w:hAnsi="Arial"/>
          <w:sz w:val="21"/>
          <w:szCs w:val="21"/>
          <w:color w:val="auto"/>
        </w:rPr>
        <w:t xml:space="preserve">” means a liquidation preference for each Series C Preference Unit initially equal to $25.00 per unit, which liquidation preference shall be subject to (a) increase by the per Series C Preference Unit amount of any accumulated and unpaid distributions (whether or not such distributions shall have been declared) and (b) decrease upon a distribution in connection with a Liquidation Event described in </w:t>
      </w:r>
      <w:r>
        <w:rPr>
          <w:rFonts w:ascii="Arial" w:cs="Arial" w:eastAsia="Arial" w:hAnsi="Arial"/>
          <w:sz w:val="21"/>
          <w:szCs w:val="21"/>
          <w:u w:val="single" w:color="auto"/>
          <w:color w:val="auto"/>
        </w:rPr>
        <w:t>Section 18.4</w:t>
      </w:r>
      <w:r>
        <w:rPr>
          <w:rFonts w:ascii="Arial" w:cs="Arial" w:eastAsia="Arial" w:hAnsi="Arial"/>
          <w:sz w:val="21"/>
          <w:szCs w:val="21"/>
          <w:color w:val="auto"/>
        </w:rPr>
        <w:t xml:space="preserve"> which does not result in payment in full of the liquidation preference of such Series C Preference Unit.</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22" w:name="page23"/>
    <w:bookmarkEnd w:id="22"/>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Original Issue Date</w:t>
      </w:r>
      <w:r>
        <w:rPr>
          <w:rFonts w:ascii="Arial" w:cs="Arial" w:eastAsia="Arial" w:hAnsi="Arial"/>
          <w:sz w:val="22"/>
          <w:szCs w:val="22"/>
          <w:color w:val="auto"/>
        </w:rPr>
        <w:t>” means November 15, 2018.</w:t>
      </w:r>
    </w:p>
    <w:p>
      <w:pPr>
        <w:spacing w:after="0" w:line="233" w:lineRule="exact"/>
        <w:rPr>
          <w:sz w:val="20"/>
          <w:szCs w:val="20"/>
          <w:color w:val="auto"/>
        </w:rPr>
      </w:pPr>
    </w:p>
    <w:p>
      <w:pPr>
        <w:ind w:right="40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Preference Unit</w:t>
      </w:r>
      <w:r>
        <w:rPr>
          <w:rFonts w:ascii="Arial" w:cs="Arial" w:eastAsia="Arial" w:hAnsi="Arial"/>
          <w:sz w:val="22"/>
          <w:szCs w:val="22"/>
          <w:color w:val="auto"/>
        </w:rPr>
        <w:t xml:space="preserve">” means a Preference Unit having the designations, preferences, rights, powers and duties set forth in </w:t>
      </w:r>
      <w:r>
        <w:rPr>
          <w:rFonts w:ascii="Arial" w:cs="Arial" w:eastAsia="Arial" w:hAnsi="Arial"/>
          <w:sz w:val="22"/>
          <w:szCs w:val="22"/>
          <w:u w:val="single" w:color="auto"/>
          <w:color w:val="auto"/>
        </w:rPr>
        <w:t>Article XVIII</w:t>
      </w:r>
      <w:r>
        <w:rPr>
          <w:rFonts w:ascii="Arial" w:cs="Arial" w:eastAsia="Arial" w:hAnsi="Arial"/>
          <w:sz w:val="22"/>
          <w:szCs w:val="22"/>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18.6</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18.6(b)</w:t>
      </w:r>
      <w:r>
        <w:rPr>
          <w:rFonts w:ascii="Arial" w:cs="Arial" w:eastAsia="Arial" w:hAnsi="Arial"/>
          <w:sz w:val="22"/>
          <w:szCs w:val="22"/>
          <w:color w:val="auto"/>
        </w:rPr>
        <w:t>.</w:t>
      </w:r>
    </w:p>
    <w:p>
      <w:pPr>
        <w:spacing w:after="0" w:line="233" w:lineRule="exact"/>
        <w:rPr>
          <w:sz w:val="20"/>
          <w:szCs w:val="20"/>
          <w:color w:val="auto"/>
        </w:rPr>
      </w:pPr>
    </w:p>
    <w:p>
      <w:pPr>
        <w:ind w:right="46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Payments</w:t>
      </w:r>
      <w:r>
        <w:rPr>
          <w:rFonts w:ascii="Arial" w:cs="Arial" w:eastAsia="Arial" w:hAnsi="Arial"/>
          <w:sz w:val="22"/>
          <w:szCs w:val="22"/>
          <w:color w:val="auto"/>
        </w:rPr>
        <w:t xml:space="preserve">” means payments to be made to the holders of Series C Preference Units to redeem Series C Preference Units in accordance with </w:t>
      </w:r>
      <w:r>
        <w:rPr>
          <w:rFonts w:ascii="Arial" w:cs="Arial" w:eastAsia="Arial" w:hAnsi="Arial"/>
          <w:sz w:val="22"/>
          <w:szCs w:val="22"/>
          <w:u w:val="single" w:color="auto"/>
          <w:color w:val="auto"/>
        </w:rPr>
        <w:t>Section 18.6</w:t>
      </w:r>
      <w:r>
        <w:rPr>
          <w:rFonts w:ascii="Arial" w:cs="Arial" w:eastAsia="Arial" w:hAnsi="Arial"/>
          <w:sz w:val="22"/>
          <w:szCs w:val="22"/>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Series C Redemption Price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18.6(a)</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b w:val="1"/>
          <w:bCs w:val="1"/>
          <w:i w:val="1"/>
          <w:iCs w:val="1"/>
          <w:color w:val="auto"/>
        </w:rPr>
        <w:t xml:space="preserve">“Series C Three-Month LIBOR Rate” </w:t>
      </w:r>
      <w:r>
        <w:rPr>
          <w:rFonts w:ascii="Arial" w:cs="Arial" w:eastAsia="Arial" w:hAnsi="Arial"/>
          <w:sz w:val="22"/>
          <w:szCs w:val="22"/>
          <w:color w:val="auto"/>
        </w:rPr>
        <w:t>has the meaning given such term in</w:t>
      </w:r>
      <w:r>
        <w:rPr>
          <w:rFonts w:ascii="Arial" w:cs="Arial" w:eastAsia="Arial" w:hAnsi="Arial"/>
          <w:sz w:val="22"/>
          <w:szCs w:val="22"/>
          <w:b w:val="1"/>
          <w:bCs w:val="1"/>
          <w:i w:val="1"/>
          <w:iCs w:val="1"/>
          <w:color w:val="auto"/>
        </w:rPr>
        <w:t xml:space="preserve"> </w:t>
      </w:r>
      <w:r>
        <w:rPr>
          <w:rFonts w:ascii="Arial" w:cs="Arial" w:eastAsia="Arial" w:hAnsi="Arial"/>
          <w:sz w:val="22"/>
          <w:szCs w:val="22"/>
          <w:u w:val="single" w:color="auto"/>
          <w:color w:val="auto"/>
        </w:rPr>
        <w:t>Section 18.3(b)</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Seventh Amended Agreement</w:t>
      </w:r>
      <w:r>
        <w:rPr>
          <w:rFonts w:ascii="Arial" w:cs="Arial" w:eastAsia="Arial" w:hAnsi="Arial"/>
          <w:sz w:val="22"/>
          <w:szCs w:val="22"/>
          <w:color w:val="auto"/>
        </w:rPr>
        <w:t>” has the meaning assigned to such term in the Recitals.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Special Approval</w:t>
      </w:r>
      <w:r>
        <w:rPr>
          <w:rFonts w:ascii="Arial" w:cs="Arial" w:eastAsia="Arial" w:hAnsi="Arial"/>
          <w:sz w:val="22"/>
          <w:szCs w:val="22"/>
          <w:color w:val="auto"/>
        </w:rPr>
        <w:t>” means approval by a majority of the Disinterested Directors.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Stated Series A Liquidation Preference</w:t>
      </w:r>
      <w:r>
        <w:rPr>
          <w:rFonts w:ascii="Arial" w:cs="Arial" w:eastAsia="Arial" w:hAnsi="Arial"/>
          <w:sz w:val="19"/>
          <w:szCs w:val="19"/>
          <w:color w:val="auto"/>
        </w:rPr>
        <w:t>” means an amount equal to $25.00 per Series A Preference Unit.</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Stated Series B Liquidation Preference</w:t>
      </w:r>
      <w:r>
        <w:rPr>
          <w:rFonts w:ascii="Arial" w:cs="Arial" w:eastAsia="Arial" w:hAnsi="Arial"/>
          <w:sz w:val="19"/>
          <w:szCs w:val="19"/>
          <w:color w:val="auto"/>
        </w:rPr>
        <w:t>” means an amount equal to $25.00 per Series B Preference Unit.</w:t>
      </w:r>
    </w:p>
    <w:p>
      <w:pPr>
        <w:spacing w:after="0" w:line="26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Stated Series C Liquidation Preference</w:t>
      </w:r>
      <w:r>
        <w:rPr>
          <w:rFonts w:ascii="Arial" w:cs="Arial" w:eastAsia="Arial" w:hAnsi="Arial"/>
          <w:sz w:val="19"/>
          <w:szCs w:val="19"/>
          <w:color w:val="auto"/>
        </w:rPr>
        <w:t>” means an amount equal to $25.00 per Series C Preference Unit.</w:t>
      </w:r>
    </w:p>
    <w:p>
      <w:pPr>
        <w:spacing w:after="0" w:line="268" w:lineRule="exact"/>
        <w:rPr>
          <w:sz w:val="20"/>
          <w:szCs w:val="20"/>
          <w:color w:val="auto"/>
        </w:rPr>
      </w:pPr>
    </w:p>
    <w:p>
      <w:pPr>
        <w:ind w:firstLine="1296"/>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Subsidiary</w:t>
      </w:r>
      <w:r>
        <w:rPr>
          <w:rFonts w:ascii="Arial" w:cs="Arial" w:eastAsia="Arial" w:hAnsi="Arial"/>
          <w:sz w:val="19"/>
          <w:szCs w:val="19"/>
          <w:color w:val="auto"/>
        </w:rPr>
        <w:t xml:space="preserve">”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Subsidiaries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(b) a partnership (whether general or limited) in which such Person or a Subsidiary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by one or more Subsidiaries (as defined, but 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(c) any other Person (other than a corporation or a partnership) in which such Person, one or more Subsidiaries (as defined, but</w:t>
      </w: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04" w:right="399" w:bottom="1440" w:gutter="0" w:footer="0" w:header="0"/>
        </w:sectPr>
      </w:pPr>
    </w:p>
    <w:bookmarkStart w:id="23" w:name="page24"/>
    <w:bookmarkEnd w:id="23"/>
    <w:p>
      <w:pPr>
        <w:ind w:right="60"/>
        <w:spacing w:after="0" w:line="271" w:lineRule="auto"/>
        <w:rPr>
          <w:sz w:val="20"/>
          <w:szCs w:val="20"/>
          <w:color w:val="auto"/>
        </w:rPr>
      </w:pPr>
      <w:r>
        <w:rPr>
          <w:rFonts w:ascii="Arial" w:cs="Arial" w:eastAsia="Arial" w:hAnsi="Arial"/>
          <w:sz w:val="19"/>
          <w:szCs w:val="19"/>
          <w:color w:val="auto"/>
        </w:rPr>
        <w:t xml:space="preserve">excluding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directly or indirectly, at the date of determination, has (i) at least a majority ownership interest or (ii) the power to elect or direct the election of a majority of the directors or other governing body of such Person, or (d) any other Person in which such Person, one or more Subsidiaries (as defined, but excluding this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directly or indirectly, at the date of determination, has (i) less than a majority ownership interest or (ii) less than the power to elect or direct the election of a majority of the directors or other governing body of such Person,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 such Person, one or more Subsidiaries (as defined, but excluding this </w:t>
      </w:r>
      <w:r>
        <w:rPr>
          <w:rFonts w:ascii="Arial" w:cs="Arial" w:eastAsia="Arial" w:hAnsi="Arial"/>
          <w:sz w:val="19"/>
          <w:szCs w:val="19"/>
          <w:u w:val="single" w:color="auto"/>
          <w:color w:val="auto"/>
        </w:rPr>
        <w:t>subsection (d)</w:t>
      </w:r>
      <w:r>
        <w:rPr>
          <w:rFonts w:ascii="Arial" w:cs="Arial" w:eastAsia="Arial" w:hAnsi="Arial"/>
          <w:sz w:val="19"/>
          <w:szCs w:val="19"/>
          <w:color w:val="auto"/>
        </w:rPr>
        <w:t xml:space="preserve"> of this definition) of such Person, or a combination thereof, directly or indirectly, at the date of the determination, has at least a 20% ownership interest in such other Person, (B) such Person accounts for such other Person (under IFRS, as in effect on the later of the date of investment in such other Person or material expansion of the operations of such other Person) on a consolidated or equity accounting basis, (C) such Person has directly or indirectly material negative control rights regarding such other Person, including over such other Person’s ability to materially expand its operations beyond that contemplated at the date of investment in such other Person, and (D) such other Person is (i) other than with respect to the Operating Company, formed and maintained for the sole purpose of owning or leasing, operating and chartering vessels and (ii) obligated under its constituent documents, or as a result of a unanimous agreement of its owners, to distribute to its owners all of its income on at least an annual basis (less any cash reserves that are approved by such Person).</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Surviving Business Entity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14.2(b)(ii)</w:t>
      </w:r>
      <w:r>
        <w:rPr>
          <w:rFonts w:ascii="Arial" w:cs="Arial" w:eastAsia="Arial" w:hAnsi="Arial"/>
          <w:sz w:val="22"/>
          <w:szCs w:val="22"/>
          <w:color w:val="auto"/>
        </w:rPr>
        <w:t>.</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4.4(a)</w:t>
      </w:r>
      <w:r>
        <w:rPr>
          <w:rFonts w:ascii="Arial" w:cs="Arial" w:eastAsia="Arial" w:hAnsi="Arial"/>
          <w:sz w:val="22"/>
          <w:szCs w:val="22"/>
          <w:color w:val="auto"/>
        </w:rPr>
        <w:t>.</w:t>
      </w:r>
    </w:p>
    <w:p>
      <w:pPr>
        <w:spacing w:after="0" w:line="233" w:lineRule="exact"/>
        <w:rPr>
          <w:sz w:val="20"/>
          <w:szCs w:val="20"/>
          <w:color w:val="auto"/>
        </w:rPr>
      </w:pPr>
    </w:p>
    <w:p>
      <w:pPr>
        <w:ind w:right="120" w:firstLine="1296"/>
        <w:spacing w:after="0" w:line="23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Transfer Agent</w:t>
      </w:r>
      <w:r>
        <w:rPr>
          <w:rFonts w:ascii="Arial" w:cs="Arial" w:eastAsia="Arial" w:hAnsi="Arial"/>
          <w:sz w:val="22"/>
          <w:szCs w:val="22"/>
          <w:color w:val="auto"/>
        </w:rPr>
        <w:t xml:space="preserve">” means such bank, trust company or other Person (including the General Partner or one of its Affiliates) as shall be appointed from time to time by the Partnership to act as registrar and transfer agent for the Common Units and the Preference Units;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if no Transfer Agent is specifically designated for any other Partnership Interests, the Partnership shall act in such capacity.</w:t>
      </w:r>
    </w:p>
    <w:p>
      <w:pPr>
        <w:spacing w:after="0" w:line="212" w:lineRule="exact"/>
        <w:rPr>
          <w:sz w:val="20"/>
          <w:szCs w:val="20"/>
          <w:color w:val="auto"/>
        </w:rPr>
      </w:pPr>
    </w:p>
    <w:p>
      <w:pPr>
        <w:ind w:right="20" w:firstLine="1296"/>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Unit</w:t>
      </w:r>
      <w:r>
        <w:rPr>
          <w:rFonts w:ascii="Arial" w:cs="Arial" w:eastAsia="Arial" w:hAnsi="Arial"/>
          <w:sz w:val="21"/>
          <w:szCs w:val="21"/>
          <w:color w:val="auto"/>
        </w:rPr>
        <w:t>” means a Partnership Interest that is designated as a “</w:t>
      </w:r>
      <w:r>
        <w:rPr>
          <w:rFonts w:ascii="Arial" w:cs="Arial" w:eastAsia="Arial" w:hAnsi="Arial"/>
          <w:sz w:val="21"/>
          <w:szCs w:val="21"/>
          <w:i w:val="1"/>
          <w:iCs w:val="1"/>
          <w:color w:val="auto"/>
        </w:rPr>
        <w:t>Unit</w:t>
      </w:r>
      <w:r>
        <w:rPr>
          <w:rFonts w:ascii="Arial" w:cs="Arial" w:eastAsia="Arial" w:hAnsi="Arial"/>
          <w:sz w:val="21"/>
          <w:szCs w:val="21"/>
          <w:color w:val="auto"/>
        </w:rPr>
        <w:t>” and shall include Common Units and Preference Units, but shall not include General Partner Units (or the General Partner Interest represented thereby).</w:t>
      </w:r>
    </w:p>
    <w:p>
      <w:pPr>
        <w:spacing w:after="0" w:line="17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 Majority</w:t>
      </w:r>
      <w:r>
        <w:rPr>
          <w:rFonts w:ascii="Arial" w:cs="Arial" w:eastAsia="Arial" w:hAnsi="Arial"/>
          <w:sz w:val="22"/>
          <w:szCs w:val="22"/>
          <w:color w:val="auto"/>
        </w:rPr>
        <w:t>” means at least a majority of the Outstanding Common Units, voting as a single class.</w:t>
      </w:r>
    </w:p>
    <w:p>
      <w:pPr>
        <w:spacing w:after="0" w:line="233" w:lineRule="exact"/>
        <w:rPr>
          <w:sz w:val="20"/>
          <w:szCs w:val="20"/>
          <w:color w:val="auto"/>
        </w:rPr>
      </w:pPr>
    </w:p>
    <w:p>
      <w:pPr>
        <w:ind w:right="140" w:firstLine="1296"/>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 Register</w:t>
      </w:r>
      <w:r>
        <w:rPr>
          <w:rFonts w:ascii="Arial" w:cs="Arial" w:eastAsia="Arial" w:hAnsi="Arial"/>
          <w:sz w:val="22"/>
          <w:szCs w:val="22"/>
          <w:color w:val="auto"/>
        </w:rPr>
        <w:t xml:space="preserve">” means the register of the Partnership for the registration and transfer of Limited Partner Interests as provided in </w:t>
      </w:r>
      <w:r>
        <w:rPr>
          <w:rFonts w:ascii="Arial" w:cs="Arial" w:eastAsia="Arial" w:hAnsi="Arial"/>
          <w:sz w:val="22"/>
          <w:szCs w:val="22"/>
          <w:u w:val="single" w:color="auto"/>
          <w:color w:val="auto"/>
        </w:rPr>
        <w:t>Section 4.5</w:t>
      </w:r>
      <w:r>
        <w:rPr>
          <w:rFonts w:ascii="Arial" w:cs="Arial" w:eastAsia="Arial" w:hAnsi="Arial"/>
          <w:sz w:val="22"/>
          <w:szCs w:val="22"/>
          <w:color w:val="auto"/>
        </w:rPr>
        <w: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Unitholders</w:t>
      </w:r>
      <w:r>
        <w:rPr>
          <w:rFonts w:ascii="Arial" w:cs="Arial" w:eastAsia="Arial" w:hAnsi="Arial"/>
          <w:sz w:val="22"/>
          <w:szCs w:val="22"/>
          <w:color w:val="auto"/>
        </w:rPr>
        <w:t>” means the holders of Units.</w:t>
      </w:r>
    </w:p>
    <w:p>
      <w:pPr>
        <w:spacing w:after="0" w:line="233"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Withdrawal Opinion of Counsel</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11.1(b)(i)</w:t>
      </w:r>
      <w:r>
        <w:rPr>
          <w:rFonts w:ascii="Arial" w:cs="Arial" w:eastAsia="Arial" w:hAnsi="Arial"/>
          <w:sz w:val="22"/>
          <w:szCs w:val="22"/>
          <w:color w:val="auto"/>
        </w:rPr>
        <w:t>.</w:t>
      </w:r>
    </w:p>
    <w:p>
      <w:pPr>
        <w:spacing w:after="0" w:line="233" w:lineRule="exact"/>
        <w:rPr>
          <w:sz w:val="20"/>
          <w:szCs w:val="20"/>
          <w:color w:val="auto"/>
        </w:rPr>
      </w:pPr>
    </w:p>
    <w:p>
      <w:pPr>
        <w:ind w:firstLine="1296"/>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Working Capital Borrowings</w:t>
      </w:r>
      <w:r>
        <w:rPr>
          <w:rFonts w:ascii="Arial" w:cs="Arial" w:eastAsia="Arial" w:hAnsi="Arial"/>
          <w:sz w:val="19"/>
          <w:szCs w:val="19"/>
          <w:color w:val="auto"/>
        </w:rPr>
        <w:t xml:space="preserve">” means borrowings used solely for working capital purposes or to pay distributions to Partners made pursuant to a credit facility, commercial paper facility or similar financing arrangement available to a Group Member, </w:t>
      </w:r>
      <w:r>
        <w:rPr>
          <w:rFonts w:ascii="Arial" w:cs="Arial" w:eastAsia="Arial" w:hAnsi="Arial"/>
          <w:sz w:val="19"/>
          <w:szCs w:val="19"/>
          <w:i w:val="1"/>
          <w:iCs w:val="1"/>
          <w:color w:val="auto"/>
        </w:rPr>
        <w:t>provided</w:t>
      </w:r>
      <w:r>
        <w:rPr>
          <w:rFonts w:ascii="Arial" w:cs="Arial" w:eastAsia="Arial" w:hAnsi="Arial"/>
          <w:sz w:val="19"/>
          <w:szCs w:val="19"/>
          <w:color w:val="auto"/>
        </w:rPr>
        <w:t>, that when such borrowing is incurred it is the intent of the borrower to repay such borrowings within</w:t>
      </w:r>
    </w:p>
    <w:p>
      <w:pPr>
        <w:spacing w:after="0" w:line="3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24" w:name="page25"/>
    <w:bookmarkEnd w:id="24"/>
    <w:p>
      <w:pPr>
        <w:spacing w:after="0"/>
        <w:rPr>
          <w:sz w:val="20"/>
          <w:szCs w:val="20"/>
          <w:color w:val="auto"/>
        </w:rPr>
      </w:pPr>
      <w:r>
        <w:rPr>
          <w:rFonts w:ascii="Arial" w:cs="Arial" w:eastAsia="Arial" w:hAnsi="Arial"/>
          <w:sz w:val="22"/>
          <w:szCs w:val="22"/>
          <w:color w:val="auto"/>
        </w:rPr>
        <w:t>12 months from the date of such borrowings other than from additional Working Capital Borrowings.</w:t>
      </w:r>
    </w:p>
    <w:p>
      <w:pPr>
        <w:spacing w:after="0" w:line="233" w:lineRule="exact"/>
        <w:rPr>
          <w:sz w:val="20"/>
          <w:szCs w:val="20"/>
          <w:color w:val="auto"/>
        </w:rPr>
      </w:pPr>
    </w:p>
    <w:p>
      <w:pPr>
        <w:ind w:firstLine="1296"/>
        <w:spacing w:after="0" w:line="246" w:lineRule="auto"/>
        <w:rPr>
          <w:sz w:val="20"/>
          <w:szCs w:val="20"/>
          <w:color w:val="auto"/>
        </w:rPr>
      </w:pPr>
      <w:r>
        <w:rPr>
          <w:rFonts w:ascii="Arial" w:cs="Arial" w:eastAsia="Arial" w:hAnsi="Arial"/>
          <w:sz w:val="21"/>
          <w:szCs w:val="21"/>
          <w:color w:val="auto"/>
        </w:rPr>
        <w:t xml:space="preserve">Section 1.2. </w:t>
      </w:r>
      <w:r>
        <w:rPr>
          <w:rFonts w:ascii="Arial" w:cs="Arial" w:eastAsia="Arial" w:hAnsi="Arial"/>
          <w:sz w:val="21"/>
          <w:szCs w:val="21"/>
          <w:i w:val="1"/>
          <w:iCs w:val="1"/>
          <w:color w:val="auto"/>
        </w:rPr>
        <w:t>Construction</w:t>
      </w:r>
      <w:r>
        <w:rPr>
          <w:rFonts w:ascii="Arial" w:cs="Arial" w:eastAsia="Arial" w:hAnsi="Arial"/>
          <w:sz w:val="21"/>
          <w:szCs w:val="21"/>
          <w:color w:val="auto"/>
        </w:rPr>
        <w:t>. Unless the context requires otherwise: (a) any pronoun used in this Agreement shall include the corresponding masculine, feminine or neuter forms, and the singular form of nouns, pronouns and verbs shall include the plural and vice versa; (b) references to Articles and Sections refer to Articles and Sections of this Agreement; (c) the term “include” or “includes” means includes, without limitation, and “including” means including, without limitation; and (d) the terms “hereof”, “herein” and “hereunder” refer to this Agreement as a whole and not to any particular provision of this Agreement. The table of contents and headings contained in this Agreement are for reference purposes only and shall not affect in any way the meaning or interpretation of this Agreement.</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ARTICLE II</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ORGANIZATION</w:t>
      </w:r>
    </w:p>
    <w:p>
      <w:pPr>
        <w:spacing w:after="0" w:line="215" w:lineRule="exact"/>
        <w:rPr>
          <w:sz w:val="20"/>
          <w:szCs w:val="20"/>
          <w:color w:val="auto"/>
        </w:rPr>
      </w:pPr>
    </w:p>
    <w:p>
      <w:pPr>
        <w:ind w:right="100" w:firstLine="1296"/>
        <w:spacing w:after="0" w:line="246" w:lineRule="auto"/>
        <w:rPr>
          <w:sz w:val="20"/>
          <w:szCs w:val="20"/>
          <w:color w:val="auto"/>
        </w:rPr>
      </w:pPr>
      <w:r>
        <w:rPr>
          <w:rFonts w:ascii="Arial" w:cs="Arial" w:eastAsia="Arial" w:hAnsi="Arial"/>
          <w:sz w:val="21"/>
          <w:szCs w:val="21"/>
          <w:color w:val="auto"/>
        </w:rPr>
        <w:t xml:space="preserve">Section 2.1. </w:t>
      </w:r>
      <w:r>
        <w:rPr>
          <w:rFonts w:ascii="Arial" w:cs="Arial" w:eastAsia="Arial" w:hAnsi="Arial"/>
          <w:sz w:val="21"/>
          <w:szCs w:val="21"/>
          <w:i w:val="1"/>
          <w:iCs w:val="1"/>
          <w:color w:val="auto"/>
        </w:rPr>
        <w:t>Formation</w:t>
      </w:r>
      <w:r>
        <w:rPr>
          <w:rFonts w:ascii="Arial" w:cs="Arial" w:eastAsia="Arial" w:hAnsi="Arial"/>
          <w:sz w:val="21"/>
          <w:szCs w:val="21"/>
          <w:color w:val="auto"/>
        </w:rPr>
        <w:t>. The General Partner and the Organizational Limited Partner previously formed the Partnership as a limited partnership pursuant to the provisions of the Marshall Islands Act and hereby amend and restate the Seventh Amended Agreement in its entirety. This amendment and restatement shall become effective at the Effective Time. Except as expressly provided to the contrary in this Agreement, the rights, duties (including fiduciary duties), liabilities and obligations of the Partners and the administration, dissolution and termination of the Partnership shall be governed by the Marshall Islands Act. All Partnership Interests shall constitute personal property of the owner thereof for all purposes, and a Partner has no interest in specific Partnership property.</w:t>
      </w:r>
    </w:p>
    <w:p>
      <w:pPr>
        <w:spacing w:after="0" w:line="211" w:lineRule="exact"/>
        <w:rPr>
          <w:sz w:val="20"/>
          <w:szCs w:val="20"/>
          <w:color w:val="auto"/>
        </w:rPr>
      </w:pPr>
    </w:p>
    <w:p>
      <w:pPr>
        <w:ind w:right="40" w:firstLine="1296"/>
        <w:spacing w:after="0" w:line="279" w:lineRule="auto"/>
        <w:rPr>
          <w:sz w:val="20"/>
          <w:szCs w:val="20"/>
          <w:color w:val="auto"/>
        </w:rPr>
      </w:pPr>
      <w:r>
        <w:rPr>
          <w:rFonts w:ascii="Arial" w:cs="Arial" w:eastAsia="Arial" w:hAnsi="Arial"/>
          <w:sz w:val="19"/>
          <w:szCs w:val="19"/>
          <w:color w:val="auto"/>
        </w:rPr>
        <w:t xml:space="preserve">Section 2.2. </w:t>
      </w:r>
      <w:r>
        <w:rPr>
          <w:rFonts w:ascii="Arial" w:cs="Arial" w:eastAsia="Arial" w:hAnsi="Arial"/>
          <w:sz w:val="19"/>
          <w:szCs w:val="19"/>
          <w:i w:val="1"/>
          <w:iCs w:val="1"/>
          <w:color w:val="auto"/>
        </w:rPr>
        <w:t>Name</w:t>
      </w:r>
      <w:r>
        <w:rPr>
          <w:rFonts w:ascii="Arial" w:cs="Arial" w:eastAsia="Arial" w:hAnsi="Arial"/>
          <w:sz w:val="19"/>
          <w:szCs w:val="19"/>
          <w:color w:val="auto"/>
        </w:rPr>
        <w:t>. The name of the Partnership shall be “GasLog Partners LP”. The Partnership’s business may be conducted under any other name or names as determined by the Board of Directors. The words “Limited Partnership” or the letters “LP” or similar words or letters shall be included in the Partnership’s name where necessary for the purpose of complying with the laws of any jurisdiction that so requires. The Board of Directors may change the name of the Partnership at any time and from time to time in compliance with the requirements of the Marshall Islands Act and shall notify the General Partner and the Limited Partners of such change in the next regular communication to the Limited Partners.</w:t>
      </w:r>
    </w:p>
    <w:p>
      <w:pPr>
        <w:spacing w:after="0" w:line="177" w:lineRule="exact"/>
        <w:rPr>
          <w:sz w:val="20"/>
          <w:szCs w:val="20"/>
          <w:color w:val="auto"/>
        </w:rPr>
      </w:pPr>
    </w:p>
    <w:p>
      <w:pPr>
        <w:ind w:right="20" w:firstLine="1296"/>
        <w:spacing w:after="0" w:line="274" w:lineRule="auto"/>
        <w:rPr>
          <w:sz w:val="20"/>
          <w:szCs w:val="20"/>
          <w:color w:val="auto"/>
        </w:rPr>
      </w:pPr>
      <w:r>
        <w:rPr>
          <w:rFonts w:ascii="Arial" w:cs="Arial" w:eastAsia="Arial" w:hAnsi="Arial"/>
          <w:sz w:val="19"/>
          <w:szCs w:val="19"/>
          <w:color w:val="auto"/>
        </w:rPr>
        <w:t xml:space="preserve">Section 2.3. </w:t>
      </w:r>
      <w:r>
        <w:rPr>
          <w:rFonts w:ascii="Arial" w:cs="Arial" w:eastAsia="Arial" w:hAnsi="Arial"/>
          <w:sz w:val="19"/>
          <w:szCs w:val="19"/>
          <w:i w:val="1"/>
          <w:iCs w:val="1"/>
          <w:color w:val="auto"/>
        </w:rPr>
        <w:t>Registered Office; Registered Agent; Principal Office; Other Offices</w:t>
      </w:r>
      <w:r>
        <w:rPr>
          <w:rFonts w:ascii="Arial" w:cs="Arial" w:eastAsia="Arial" w:hAnsi="Arial"/>
          <w:sz w:val="19"/>
          <w:szCs w:val="19"/>
          <w:color w:val="auto"/>
        </w:rPr>
        <w:t>. Unless and until changed by the Board of Directors, the registered office of the Partnership in The Marshall Islands shall be located at Trust Company Complex, Ajeltake Island, Ajeltake Road, Majuro, Marshall Islands MH 96960, and the registered agent for service of process on the Partnership in The Marshall Islands at such registered office shall be The Trust Company of The Marshall Islands, Inc. The principal office of the Partnership shall be located at 69 Akti Miaouli 18537, Piraeus, Greece, or such other place as the Board of Directors may from time to time designate by notice to the General Partner and the Limited Partners. The Partnership may maintain offices at such other place or places within or outside The Marshall Islands as the Board of Directors determines to be necessary or appropriate. The address of the General Partner shall be at 69 Akti Miaouli 18537, Piraeus, Greece, or such other place as the General Partner may from time to time designate by notice to the Limited Partners.</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25" w:name="page26"/>
    <w:bookmarkEnd w:id="25"/>
    <w:p>
      <w:pPr>
        <w:ind w:right="200" w:firstLine="1296"/>
        <w:spacing w:after="0" w:line="279"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i w:val="1"/>
          <w:iCs w:val="1"/>
          <w:color w:val="auto"/>
        </w:rPr>
        <w:t>Purpose and Business</w:t>
      </w:r>
      <w:r>
        <w:rPr>
          <w:rFonts w:ascii="Arial" w:cs="Arial" w:eastAsia="Arial" w:hAnsi="Arial"/>
          <w:sz w:val="19"/>
          <w:szCs w:val="19"/>
          <w:color w:val="auto"/>
        </w:rPr>
        <w:t>. The purpose and nature of the business to be conducted by the Partnership shall be to (a) engage directly in, or enter into or form any corporation, partnership, joint venture, limited liability company or other arrangement to engage indirectly in, any business activity that lawfully may be conducted by a limited partnership organized pursuant to the Marshall Islands Act and, in connection therewith, to exercise all of the rights and powers conferred upon the Partnership pursuant to the agreements relating to such business activity, and (b) do anything necessary or appropriate to the foregoing, including the making of capital contributions or loans to a Group Member.</w:t>
      </w:r>
    </w:p>
    <w:p>
      <w:pPr>
        <w:spacing w:after="0" w:line="177" w:lineRule="exact"/>
        <w:rPr>
          <w:sz w:val="20"/>
          <w:szCs w:val="20"/>
          <w:color w:val="auto"/>
        </w:rPr>
      </w:pPr>
    </w:p>
    <w:p>
      <w:pPr>
        <w:ind w:right="160" w:firstLine="1296"/>
        <w:spacing w:after="0"/>
        <w:rPr>
          <w:sz w:val="20"/>
          <w:szCs w:val="20"/>
          <w:color w:val="auto"/>
        </w:rPr>
      </w:pPr>
      <w:r>
        <w:rPr>
          <w:rFonts w:ascii="Arial" w:cs="Arial" w:eastAsia="Arial" w:hAnsi="Arial"/>
          <w:sz w:val="22"/>
          <w:szCs w:val="22"/>
          <w:color w:val="auto"/>
        </w:rPr>
        <w:t xml:space="preserve">Section 2.5. </w:t>
      </w:r>
      <w:r>
        <w:rPr>
          <w:rFonts w:ascii="Arial" w:cs="Arial" w:eastAsia="Arial" w:hAnsi="Arial"/>
          <w:sz w:val="22"/>
          <w:szCs w:val="22"/>
          <w:i w:val="1"/>
          <w:iCs w:val="1"/>
          <w:color w:val="auto"/>
        </w:rPr>
        <w:t>Powers</w:t>
      </w:r>
      <w:r>
        <w:rPr>
          <w:rFonts w:ascii="Arial" w:cs="Arial" w:eastAsia="Arial" w:hAnsi="Arial"/>
          <w:sz w:val="22"/>
          <w:szCs w:val="22"/>
          <w:color w:val="auto"/>
        </w:rPr>
        <w:t xml:space="preserve">. The Partnership shall be empowered to do any and all acts and things necessary and appropriate for the furtherance and accomplishment of the purposes and business described in </w:t>
      </w:r>
      <w:r>
        <w:rPr>
          <w:rFonts w:ascii="Arial" w:cs="Arial" w:eastAsia="Arial" w:hAnsi="Arial"/>
          <w:sz w:val="22"/>
          <w:szCs w:val="22"/>
          <w:u w:val="single" w:color="auto"/>
          <w:color w:val="auto"/>
        </w:rPr>
        <w:t>Section 2.4</w:t>
      </w:r>
      <w:r>
        <w:rPr>
          <w:rFonts w:ascii="Arial" w:cs="Arial" w:eastAsia="Arial" w:hAnsi="Arial"/>
          <w:sz w:val="22"/>
          <w:szCs w:val="22"/>
          <w:color w:val="auto"/>
        </w:rPr>
        <w:t xml:space="preserve"> and for the protection and benefit of the Partnership.</w:t>
      </w:r>
    </w:p>
    <w:p>
      <w:pPr>
        <w:spacing w:after="0" w:line="213" w:lineRule="exact"/>
        <w:rPr>
          <w:sz w:val="20"/>
          <w:szCs w:val="20"/>
          <w:color w:val="auto"/>
        </w:rPr>
      </w:pPr>
    </w:p>
    <w:p>
      <w:pPr>
        <w:ind w:right="100" w:firstLine="1296"/>
        <w:spacing w:after="0" w:line="252" w:lineRule="auto"/>
        <w:rPr>
          <w:sz w:val="20"/>
          <w:szCs w:val="20"/>
          <w:color w:val="auto"/>
        </w:rPr>
      </w:pPr>
      <w:r>
        <w:rPr>
          <w:rFonts w:ascii="Arial" w:cs="Arial" w:eastAsia="Arial" w:hAnsi="Arial"/>
          <w:sz w:val="21"/>
          <w:szCs w:val="21"/>
          <w:color w:val="auto"/>
        </w:rPr>
        <w:t xml:space="preserve">Section 2.6. </w:t>
      </w:r>
      <w:r>
        <w:rPr>
          <w:rFonts w:ascii="Arial" w:cs="Arial" w:eastAsia="Arial" w:hAnsi="Arial"/>
          <w:sz w:val="21"/>
          <w:szCs w:val="21"/>
          <w:i w:val="1"/>
          <w:iCs w:val="1"/>
          <w:color w:val="auto"/>
        </w:rPr>
        <w:t>Term</w:t>
      </w:r>
      <w:r>
        <w:rPr>
          <w:rFonts w:ascii="Arial" w:cs="Arial" w:eastAsia="Arial" w:hAnsi="Arial"/>
          <w:sz w:val="21"/>
          <w:szCs w:val="21"/>
          <w:color w:val="auto"/>
        </w:rPr>
        <w:t xml:space="preserve">. The term of the Partnership commenced upon the filing of the Certificate of Limited Partnership in accordance with the Marshall Islands Act and shall continue in existence until the dissolution of the Partnership in accordance with the provisions of </w:t>
      </w:r>
      <w:r>
        <w:rPr>
          <w:rFonts w:ascii="Arial" w:cs="Arial" w:eastAsia="Arial" w:hAnsi="Arial"/>
          <w:sz w:val="21"/>
          <w:szCs w:val="21"/>
          <w:u w:val="single" w:color="auto"/>
          <w:color w:val="auto"/>
        </w:rPr>
        <w:t>Article XII</w:t>
      </w:r>
      <w:r>
        <w:rPr>
          <w:rFonts w:ascii="Arial" w:cs="Arial" w:eastAsia="Arial" w:hAnsi="Arial"/>
          <w:sz w:val="21"/>
          <w:szCs w:val="21"/>
          <w:color w:val="auto"/>
        </w:rPr>
        <w:t>. The existence of the Partnership as a separate legal entity shall continue until the cancellation of the Certificate of Limited Partnership as provided in the Marshall Islands Act.</w:t>
      </w:r>
    </w:p>
    <w:p>
      <w:pPr>
        <w:spacing w:after="0" w:line="201" w:lineRule="exact"/>
        <w:rPr>
          <w:sz w:val="20"/>
          <w:szCs w:val="20"/>
          <w:color w:val="auto"/>
        </w:rPr>
      </w:pPr>
    </w:p>
    <w:p>
      <w:pPr>
        <w:ind w:right="60" w:firstLine="1296"/>
        <w:spacing w:after="0" w:line="271" w:lineRule="auto"/>
        <w:rPr>
          <w:sz w:val="20"/>
          <w:szCs w:val="20"/>
          <w:color w:val="auto"/>
        </w:rPr>
      </w:pPr>
      <w:r>
        <w:rPr>
          <w:rFonts w:ascii="Arial" w:cs="Arial" w:eastAsia="Arial" w:hAnsi="Arial"/>
          <w:sz w:val="19"/>
          <w:szCs w:val="19"/>
          <w:color w:val="auto"/>
        </w:rPr>
        <w:t xml:space="preserve">Section 2.7. </w:t>
      </w:r>
      <w:r>
        <w:rPr>
          <w:rFonts w:ascii="Arial" w:cs="Arial" w:eastAsia="Arial" w:hAnsi="Arial"/>
          <w:sz w:val="19"/>
          <w:szCs w:val="19"/>
          <w:i w:val="1"/>
          <w:iCs w:val="1"/>
          <w:color w:val="auto"/>
        </w:rPr>
        <w:t>Title to Partnership Assets</w:t>
      </w:r>
      <w:r>
        <w:rPr>
          <w:rFonts w:ascii="Arial" w:cs="Arial" w:eastAsia="Arial" w:hAnsi="Arial"/>
          <w:sz w:val="19"/>
          <w:szCs w:val="19"/>
          <w:color w:val="auto"/>
        </w:rPr>
        <w:t xml:space="preserve">. Title to Partnership assets, whether real, personal or mixed and whether tangible or intangible, shall be deemed to be owned by the Partnership as an entity, and no Partner, individually or collectively, shall have any ownership interest in such Partnership assets or any portion thereof. Title to any or all of the Partnership assets may be held in the name of the Partnership, the General Partner, one or more of its Affiliates or one or more nominees, as the Board of Directors may determine. The General Partner hereby declares and warrants that any Partnership assets for which record title is held in the name of the General Partner or one or more of its Affiliates or one or more nominees shall be held by the General Partner or such Affiliate or nominee for the use and benefit of the Partnership in accordance with the provisions of this Agreement;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General Partner shall use commercially reasonable efforts to cause record title to such assets (other than those assets in respect of which the Board of Directors determines that the expense and difficulty of conveyancing makes transfer of record title to the Partnership impracticable) to be vested in the Partnership as soon as reasonably practicable;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prior to the withdrawal or removal of the General Partner or as soon thereafter as practicable, the General Partner shall use reasonable efforts to effect the transfer of record title to the Partnership and, prior to any such transfer, will provide for the use of such assets in a manner satisfactory to the Board of Directors. All Partnership assets shall be recorded as the property of the Partnership in its books and records, irrespective of the name in which record title to such Partnership assets is held.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RIGHTS OF LIMITED PARTNERS</w:t>
      </w:r>
    </w:p>
    <w:p>
      <w:pPr>
        <w:spacing w:after="0" w:line="215" w:lineRule="exact"/>
        <w:rPr>
          <w:sz w:val="20"/>
          <w:szCs w:val="20"/>
          <w:color w:val="auto"/>
        </w:rPr>
      </w:pPr>
    </w:p>
    <w:p>
      <w:pPr>
        <w:ind w:firstLine="1296"/>
        <w:spacing w:after="0" w:line="250" w:lineRule="auto"/>
        <w:rPr>
          <w:sz w:val="20"/>
          <w:szCs w:val="20"/>
          <w:color w:val="auto"/>
        </w:rPr>
      </w:pPr>
      <w:r>
        <w:rPr>
          <w:rFonts w:ascii="Arial" w:cs="Arial" w:eastAsia="Arial" w:hAnsi="Arial"/>
          <w:sz w:val="22"/>
          <w:szCs w:val="22"/>
          <w:color w:val="auto"/>
        </w:rPr>
        <w:t xml:space="preserve">Section 3.1. </w:t>
      </w:r>
      <w:r>
        <w:rPr>
          <w:rFonts w:ascii="Arial" w:cs="Arial" w:eastAsia="Arial" w:hAnsi="Arial"/>
          <w:sz w:val="22"/>
          <w:szCs w:val="22"/>
          <w:i w:val="1"/>
          <w:iCs w:val="1"/>
          <w:color w:val="auto"/>
        </w:rPr>
        <w:t>Limitation of Liability</w:t>
      </w:r>
      <w:r>
        <w:rPr>
          <w:rFonts w:ascii="Arial" w:cs="Arial" w:eastAsia="Arial" w:hAnsi="Arial"/>
          <w:sz w:val="22"/>
          <w:szCs w:val="22"/>
          <w:color w:val="auto"/>
        </w:rPr>
        <w:t>. The Limited Partners shall have no liability under this Agreement except as expressly provided in this Agreement or the Marshall Islands Act.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26" w:name="page27"/>
    <w:bookmarkEnd w:id="26"/>
    <w:p>
      <w:pPr>
        <w:ind w:right="100" w:firstLine="1296"/>
        <w:spacing w:after="0" w:line="275" w:lineRule="auto"/>
        <w:rPr>
          <w:sz w:val="20"/>
          <w:szCs w:val="20"/>
          <w:color w:val="auto"/>
        </w:rPr>
      </w:pPr>
      <w:r>
        <w:rPr>
          <w:rFonts w:ascii="Arial" w:cs="Arial" w:eastAsia="Arial" w:hAnsi="Arial"/>
          <w:sz w:val="19"/>
          <w:szCs w:val="19"/>
          <w:color w:val="auto"/>
        </w:rPr>
        <w:t xml:space="preserve">Section 3.2. </w:t>
      </w:r>
      <w:r>
        <w:rPr>
          <w:rFonts w:ascii="Arial" w:cs="Arial" w:eastAsia="Arial" w:hAnsi="Arial"/>
          <w:sz w:val="19"/>
          <w:szCs w:val="19"/>
          <w:i w:val="1"/>
          <w:iCs w:val="1"/>
          <w:color w:val="auto"/>
        </w:rPr>
        <w:t>Management of Business</w:t>
      </w:r>
      <w:r>
        <w:rPr>
          <w:rFonts w:ascii="Arial" w:cs="Arial" w:eastAsia="Arial" w:hAnsi="Arial"/>
          <w:sz w:val="19"/>
          <w:szCs w:val="19"/>
          <w:color w:val="auto"/>
        </w:rPr>
        <w:t>. No Limited Partner, in its capacity as such, shall participate in the operation, management or control (within the meaning of the Marshall Islands Act) of the Partnership’s business, transact any business in the Partnership’s name or have the power to sign documents for or otherwise bind the Partnership. Any action taken by any Affiliate of the General Partner or any officer, director, employee, manager, member, general partner, agent or trustee of the General Partner or any of its Affiliates, or any officer, director, employee, manager, member, general partner, agent or trustee of a Group Member, in its capacity as such, shall not be deemed to be participation in the control of the business of the Partnership by a limited partner of the Partnership (within the meaning of Section 30 of the Marshall Islands Act) and shall not affect, impair or eliminate the limitations on the liability of the Limited Partners under this Agreement.</w:t>
      </w:r>
    </w:p>
    <w:p>
      <w:pPr>
        <w:spacing w:after="0" w:line="184" w:lineRule="exact"/>
        <w:rPr>
          <w:sz w:val="20"/>
          <w:szCs w:val="20"/>
          <w:color w:val="auto"/>
        </w:rPr>
      </w:pPr>
    </w:p>
    <w:p>
      <w:pPr>
        <w:ind w:firstLine="1296"/>
        <w:spacing w:after="0" w:line="235" w:lineRule="auto"/>
        <w:rPr>
          <w:sz w:val="20"/>
          <w:szCs w:val="20"/>
          <w:color w:val="auto"/>
        </w:rPr>
      </w:pPr>
      <w:r>
        <w:rPr>
          <w:rFonts w:ascii="Arial" w:cs="Arial" w:eastAsia="Arial" w:hAnsi="Arial"/>
          <w:sz w:val="22"/>
          <w:szCs w:val="22"/>
          <w:color w:val="auto"/>
        </w:rPr>
        <w:t xml:space="preserve">Section 3.3. </w:t>
      </w:r>
      <w:r>
        <w:rPr>
          <w:rFonts w:ascii="Arial" w:cs="Arial" w:eastAsia="Arial" w:hAnsi="Arial"/>
          <w:sz w:val="22"/>
          <w:szCs w:val="22"/>
          <w:i w:val="1"/>
          <w:iCs w:val="1"/>
          <w:color w:val="auto"/>
        </w:rPr>
        <w:t>Outside Activities of the Limited Partners</w:t>
      </w:r>
      <w:r>
        <w:rPr>
          <w:rFonts w:ascii="Arial" w:cs="Arial" w:eastAsia="Arial" w:hAnsi="Arial"/>
          <w:sz w:val="22"/>
          <w:szCs w:val="22"/>
          <w:color w:val="auto"/>
        </w:rPr>
        <w:t xml:space="preserve">. Subject to the provisions of </w:t>
      </w:r>
      <w:r>
        <w:rPr>
          <w:rFonts w:ascii="Arial" w:cs="Arial" w:eastAsia="Arial" w:hAnsi="Arial"/>
          <w:sz w:val="22"/>
          <w:szCs w:val="22"/>
          <w:u w:val="single" w:color="auto"/>
          <w:color w:val="auto"/>
        </w:rPr>
        <w:t>Section 7.12</w:t>
      </w:r>
      <w:r>
        <w:rPr>
          <w:rFonts w:ascii="Arial" w:cs="Arial" w:eastAsia="Arial" w:hAnsi="Arial"/>
          <w:sz w:val="22"/>
          <w:szCs w:val="22"/>
          <w:color w:val="auto"/>
        </w:rPr>
        <w:t>, which shall continue to be applicable to the Persons referred to therein, regardless of whether such Persons shall also be Limited Partners, each Limited Partner shall be entitled to and may have business interests and engage in business activities in addition to those relating to the Partnership, including business interests and activities in direct competition with the Partnership Group. Neither the Partnership nor any of the other Partners shall have any rights by virtue of this Agreement in any business ventures of any Limited Partner.</w:t>
      </w:r>
    </w:p>
    <w:p>
      <w:pPr>
        <w:spacing w:after="0" w:line="215" w:lineRule="exact"/>
        <w:rPr>
          <w:sz w:val="20"/>
          <w:szCs w:val="20"/>
          <w:color w:val="auto"/>
        </w:rPr>
      </w:pPr>
    </w:p>
    <w:p>
      <w:pPr>
        <w:ind w:right="60" w:firstLine="1296"/>
        <w:spacing w:after="0" w:line="238" w:lineRule="auto"/>
        <w:rPr>
          <w:sz w:val="20"/>
          <w:szCs w:val="20"/>
          <w:color w:val="auto"/>
        </w:rPr>
      </w:pPr>
      <w:r>
        <w:rPr>
          <w:rFonts w:ascii="Arial" w:cs="Arial" w:eastAsia="Arial" w:hAnsi="Arial"/>
          <w:sz w:val="22"/>
          <w:szCs w:val="22"/>
          <w:color w:val="auto"/>
        </w:rPr>
        <w:t xml:space="preserve">Section 3.4. </w:t>
      </w:r>
      <w:r>
        <w:rPr>
          <w:rFonts w:ascii="Arial" w:cs="Arial" w:eastAsia="Arial" w:hAnsi="Arial"/>
          <w:sz w:val="22"/>
          <w:szCs w:val="22"/>
          <w:i w:val="1"/>
          <w:iCs w:val="1"/>
          <w:color w:val="auto"/>
        </w:rPr>
        <w:t>Rights of Limited Partners</w:t>
      </w:r>
      <w:r>
        <w:rPr>
          <w:rFonts w:ascii="Arial" w:cs="Arial" w:eastAsia="Arial" w:hAnsi="Arial"/>
          <w:sz w:val="22"/>
          <w:szCs w:val="22"/>
          <w:color w:val="auto"/>
        </w:rPr>
        <w:t xml:space="preserve">. (a) In addition to other rights provided by this Agreement or by the Marshall Islands Act, and except as limited by </w:t>
      </w:r>
      <w:r>
        <w:rPr>
          <w:rFonts w:ascii="Arial" w:cs="Arial" w:eastAsia="Arial" w:hAnsi="Arial"/>
          <w:sz w:val="22"/>
          <w:szCs w:val="22"/>
          <w:u w:val="single" w:color="auto"/>
          <w:color w:val="auto"/>
        </w:rPr>
        <w:t>Section 3.4(b)</w:t>
      </w:r>
      <w:r>
        <w:rPr>
          <w:rFonts w:ascii="Arial" w:cs="Arial" w:eastAsia="Arial" w:hAnsi="Arial"/>
          <w:sz w:val="22"/>
          <w:szCs w:val="22"/>
          <w:color w:val="auto"/>
        </w:rPr>
        <w:t>, each Limited Partner shall have the right, for a purpose reasonably related to such Limited Partner’s interest as a Limited Partner in the Partnership, upon reasonable written demand stating the purpose of such demand and at such Limited Partner’s own expense, to:</w:t>
      </w:r>
    </w:p>
    <w:p>
      <w:pPr>
        <w:spacing w:after="0" w:line="212" w:lineRule="exact"/>
        <w:rPr>
          <w:sz w:val="20"/>
          <w:szCs w:val="20"/>
          <w:color w:val="auto"/>
        </w:rPr>
      </w:pPr>
    </w:p>
    <w:p>
      <w:pPr>
        <w:ind w:left="2040" w:hanging="736"/>
        <w:spacing w:after="0"/>
        <w:tabs>
          <w:tab w:leader="none" w:pos="2040" w:val="left"/>
        </w:tabs>
        <w:numPr>
          <w:ilvl w:val="0"/>
          <w:numId w:val="2"/>
        </w:numPr>
        <w:rPr>
          <w:rFonts w:ascii="Arial" w:cs="Arial" w:eastAsia="Arial" w:hAnsi="Arial"/>
          <w:sz w:val="19"/>
          <w:szCs w:val="19"/>
          <w:color w:val="auto"/>
        </w:rPr>
      </w:pPr>
      <w:r>
        <w:rPr>
          <w:rFonts w:ascii="Arial" w:cs="Arial" w:eastAsia="Arial" w:hAnsi="Arial"/>
          <w:sz w:val="19"/>
          <w:szCs w:val="19"/>
          <w:color w:val="auto"/>
        </w:rPr>
        <w:t>have furnished to him a current list of the name and last known business, residence or mailing address of</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each Partner;</w:t>
      </w:r>
    </w:p>
    <w:p>
      <w:pPr>
        <w:spacing w:after="0" w:line="215" w:lineRule="exact"/>
        <w:rPr>
          <w:rFonts w:ascii="Arial" w:cs="Arial" w:eastAsia="Arial" w:hAnsi="Arial"/>
          <w:sz w:val="19"/>
          <w:szCs w:val="19"/>
          <w:color w:val="auto"/>
        </w:rPr>
      </w:pPr>
    </w:p>
    <w:p>
      <w:pPr>
        <w:ind w:left="660" w:right="120" w:firstLine="644"/>
        <w:spacing w:after="0"/>
        <w:tabs>
          <w:tab w:leader="none" w:pos="2112" w:val="left"/>
        </w:tabs>
        <w:numPr>
          <w:ilvl w:val="0"/>
          <w:numId w:val="2"/>
        </w:numPr>
        <w:rPr>
          <w:rFonts w:ascii="Arial" w:cs="Arial" w:eastAsia="Arial" w:hAnsi="Arial"/>
          <w:sz w:val="22"/>
          <w:szCs w:val="22"/>
          <w:color w:val="auto"/>
        </w:rPr>
      </w:pPr>
      <w:r>
        <w:rPr>
          <w:rFonts w:ascii="Arial" w:cs="Arial" w:eastAsia="Arial" w:hAnsi="Arial"/>
          <w:sz w:val="22"/>
          <w:szCs w:val="22"/>
          <w:color w:val="auto"/>
        </w:rPr>
        <w:t>obtain true and full information regarding the amount of cash and a description and statement of the Net Agreed Value of any other Capital Contribution by each Partner and which each Partner has agreed to contribute in the future, and the date on which each became a Partner;</w:t>
      </w:r>
    </w:p>
    <w:p>
      <w:pPr>
        <w:spacing w:after="0" w:line="213" w:lineRule="exact"/>
        <w:rPr>
          <w:rFonts w:ascii="Arial" w:cs="Arial" w:eastAsia="Arial" w:hAnsi="Arial"/>
          <w:sz w:val="22"/>
          <w:szCs w:val="22"/>
          <w:color w:val="auto"/>
        </w:rPr>
      </w:pPr>
    </w:p>
    <w:p>
      <w:pPr>
        <w:ind w:left="660" w:right="640" w:firstLine="644"/>
        <w:spacing w:after="0" w:line="250" w:lineRule="auto"/>
        <w:tabs>
          <w:tab w:leader="none" w:pos="2172" w:val="left"/>
        </w:tabs>
        <w:numPr>
          <w:ilvl w:val="0"/>
          <w:numId w:val="2"/>
        </w:numPr>
        <w:rPr>
          <w:rFonts w:ascii="Arial" w:cs="Arial" w:eastAsia="Arial" w:hAnsi="Arial"/>
          <w:sz w:val="22"/>
          <w:szCs w:val="22"/>
          <w:color w:val="auto"/>
        </w:rPr>
      </w:pPr>
      <w:r>
        <w:rPr>
          <w:rFonts w:ascii="Arial" w:cs="Arial" w:eastAsia="Arial" w:hAnsi="Arial"/>
          <w:sz w:val="22"/>
          <w:szCs w:val="22"/>
          <w:color w:val="auto"/>
        </w:rPr>
        <w:t>have furnished to him a copy of this Agreement and the Certificate of Limited Partnership and all amendments thereto;</w:t>
      </w:r>
    </w:p>
    <w:p>
      <w:pPr>
        <w:spacing w:after="0" w:line="201" w:lineRule="exact"/>
        <w:rPr>
          <w:rFonts w:ascii="Arial" w:cs="Arial" w:eastAsia="Arial" w:hAnsi="Arial"/>
          <w:sz w:val="22"/>
          <w:szCs w:val="22"/>
          <w:color w:val="auto"/>
        </w:rPr>
      </w:pPr>
    </w:p>
    <w:p>
      <w:pPr>
        <w:ind w:left="660" w:right="660" w:firstLine="644"/>
        <w:spacing w:after="0" w:line="250" w:lineRule="auto"/>
        <w:tabs>
          <w:tab w:leader="none" w:pos="2160" w:val="left"/>
        </w:tabs>
        <w:numPr>
          <w:ilvl w:val="0"/>
          <w:numId w:val="2"/>
        </w:numPr>
        <w:rPr>
          <w:rFonts w:ascii="Arial" w:cs="Arial" w:eastAsia="Arial" w:hAnsi="Arial"/>
          <w:sz w:val="22"/>
          <w:szCs w:val="22"/>
          <w:color w:val="auto"/>
        </w:rPr>
      </w:pPr>
      <w:r>
        <w:rPr>
          <w:rFonts w:ascii="Arial" w:cs="Arial" w:eastAsia="Arial" w:hAnsi="Arial"/>
          <w:sz w:val="22"/>
          <w:szCs w:val="22"/>
          <w:color w:val="auto"/>
        </w:rPr>
        <w:t>obtain true and full information regarding the status of the business and financial condition of the Partnership Group; and</w:t>
      </w:r>
    </w:p>
    <w:p>
      <w:pPr>
        <w:spacing w:after="0" w:line="201" w:lineRule="exact"/>
        <w:rPr>
          <w:rFonts w:ascii="Arial" w:cs="Arial" w:eastAsia="Arial" w:hAnsi="Arial"/>
          <w:sz w:val="22"/>
          <w:szCs w:val="22"/>
          <w:color w:val="auto"/>
        </w:rPr>
      </w:pPr>
    </w:p>
    <w:p>
      <w:pPr>
        <w:ind w:left="2100" w:hanging="796"/>
        <w:spacing w:after="0"/>
        <w:tabs>
          <w:tab w:leader="none" w:pos="2100" w:val="left"/>
        </w:tabs>
        <w:numPr>
          <w:ilvl w:val="0"/>
          <w:numId w:val="2"/>
        </w:numPr>
        <w:rPr>
          <w:rFonts w:ascii="Arial" w:cs="Arial" w:eastAsia="Arial" w:hAnsi="Arial"/>
          <w:sz w:val="21"/>
          <w:szCs w:val="21"/>
          <w:color w:val="auto"/>
        </w:rPr>
      </w:pPr>
      <w:r>
        <w:rPr>
          <w:rFonts w:ascii="Arial" w:cs="Arial" w:eastAsia="Arial" w:hAnsi="Arial"/>
          <w:sz w:val="21"/>
          <w:szCs w:val="21"/>
          <w:color w:val="auto"/>
        </w:rPr>
        <w:t>obtain such other information regarding the affairs of the Partnership as is just and reasonable.</w:t>
      </w:r>
    </w:p>
    <w:p>
      <w:pPr>
        <w:spacing w:after="0" w:line="245" w:lineRule="exact"/>
        <w:rPr>
          <w:sz w:val="20"/>
          <w:szCs w:val="20"/>
          <w:color w:val="auto"/>
        </w:rPr>
      </w:pPr>
    </w:p>
    <w:p>
      <w:pPr>
        <w:ind w:right="200" w:firstLine="1304"/>
        <w:spacing w:after="0" w:line="297" w:lineRule="auto"/>
        <w:tabs>
          <w:tab w:leader="none" w:pos="2088" w:val="left"/>
        </w:tabs>
        <w:numPr>
          <w:ilvl w:val="0"/>
          <w:numId w:val="3"/>
        </w:numPr>
        <w:rPr>
          <w:rFonts w:ascii="Arial" w:cs="Arial" w:eastAsia="Arial" w:hAnsi="Arial"/>
          <w:sz w:val="19"/>
          <w:szCs w:val="19"/>
          <w:color w:val="auto"/>
        </w:rPr>
      </w:pPr>
      <w:r>
        <w:rPr>
          <w:rFonts w:ascii="Arial" w:cs="Arial" w:eastAsia="Arial" w:hAnsi="Arial"/>
          <w:sz w:val="19"/>
          <w:szCs w:val="19"/>
          <w:color w:val="auto"/>
        </w:rPr>
        <w:t>The Board of Directors may keep confidential from the Limited Partners, for such period of time as the Board of Directors deems reasonable, (i) any information that the Board of Directors reasonably believes to be in the nature of trade secrets or (ii) other information the disclosure of which the Board of Directors in good faith believes (A) is not in the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27" w:name="page28"/>
    <w:bookmarkEnd w:id="27"/>
    <w:p>
      <w:pPr>
        <w:ind w:right="80"/>
        <w:spacing w:after="0" w:line="257" w:lineRule="auto"/>
        <w:rPr>
          <w:sz w:val="20"/>
          <w:szCs w:val="20"/>
          <w:color w:val="auto"/>
        </w:rPr>
      </w:pPr>
      <w:r>
        <w:rPr>
          <w:rFonts w:ascii="Arial" w:cs="Arial" w:eastAsia="Arial" w:hAnsi="Arial"/>
          <w:sz w:val="21"/>
          <w:szCs w:val="21"/>
          <w:color w:val="auto"/>
        </w:rPr>
        <w:t xml:space="preserve">best interests of the Partnership Group, (B) could damage the Partnership Group or its business or (C) that any Group Member is required by law or by agreement with any third party to keep confidential (other than agreements with Affiliates of the Partnership the primary purpose of which is to circumvent the obligations set forth in this </w:t>
      </w:r>
      <w:r>
        <w:rPr>
          <w:rFonts w:ascii="Arial" w:cs="Arial" w:eastAsia="Arial" w:hAnsi="Arial"/>
          <w:sz w:val="21"/>
          <w:szCs w:val="21"/>
          <w:u w:val="single" w:color="auto"/>
          <w:color w:val="auto"/>
        </w:rPr>
        <w:t>Section 3.4</w:t>
      </w:r>
      <w:r>
        <w:rPr>
          <w:rFonts w:ascii="Arial" w:cs="Arial" w:eastAsia="Arial" w:hAnsi="Arial"/>
          <w:sz w:val="21"/>
          <w:szCs w:val="21"/>
          <w:color w:val="auto"/>
        </w:rPr>
        <w: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IV</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CERTIFICATES; RECORD HOLDERS; TRANSFER OF PARTNERSHIP INTERESTS</w:t>
      </w:r>
    </w:p>
    <w:p>
      <w:pPr>
        <w:spacing w:after="0" w:line="215" w:lineRule="exact"/>
        <w:rPr>
          <w:sz w:val="20"/>
          <w:szCs w:val="20"/>
          <w:color w:val="auto"/>
        </w:rPr>
      </w:pPr>
    </w:p>
    <w:p>
      <w:pPr>
        <w:ind w:firstLine="1296"/>
        <w:spacing w:after="0" w:line="245" w:lineRule="auto"/>
        <w:rPr>
          <w:sz w:val="20"/>
          <w:szCs w:val="20"/>
          <w:color w:val="auto"/>
        </w:rPr>
      </w:pPr>
      <w:r>
        <w:rPr>
          <w:rFonts w:ascii="Arial" w:cs="Arial" w:eastAsia="Arial" w:hAnsi="Arial"/>
          <w:sz w:val="21"/>
          <w:szCs w:val="21"/>
          <w:color w:val="auto"/>
        </w:rPr>
        <w:t xml:space="preserve">Section 4.1. </w:t>
      </w:r>
      <w:r>
        <w:rPr>
          <w:rFonts w:ascii="Arial" w:cs="Arial" w:eastAsia="Arial" w:hAnsi="Arial"/>
          <w:sz w:val="21"/>
          <w:szCs w:val="21"/>
          <w:i w:val="1"/>
          <w:iCs w:val="1"/>
          <w:color w:val="auto"/>
        </w:rPr>
        <w:t>Certificates</w:t>
      </w:r>
      <w:r>
        <w:rPr>
          <w:rFonts w:ascii="Arial" w:cs="Arial" w:eastAsia="Arial" w:hAnsi="Arial"/>
          <w:sz w:val="21"/>
          <w:szCs w:val="21"/>
          <w:color w:val="auto"/>
        </w:rPr>
        <w:t xml:space="preserve">. Partnership Interests shall be evidenced in certificated and uncertificated form as determined by the Board of Directors. Certificates that may be issued shall be executed on behalf of the Partnership by the Chairman of the Board of Directors, President, Chief Executive Officer or any Executive Vice President or Vice President and the Chief Financial Officer or the Secretary or any Assistant Secretary of the General Partner. If a Transfer Agent has been appointed for a class or series of Partnership Interests, no Certificate for such class or series of Partnership Interests shall be valid for any purpose until it has been countersigned by the Transfer Agent;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if the Board of Directors elects to cause the Partnership to issue Partnership Interests of such class or series in global form, the Certificate shall be valid upon receipt of a certificate from the Transfer Agent certifying that the Partnership Interests have been duly registered in accordance with the directions of the Partnership.</w:t>
      </w:r>
    </w:p>
    <w:p>
      <w:pPr>
        <w:spacing w:after="0" w:line="211" w:lineRule="exact"/>
        <w:rPr>
          <w:sz w:val="20"/>
          <w:szCs w:val="20"/>
          <w:color w:val="auto"/>
        </w:rPr>
      </w:pPr>
    </w:p>
    <w:p>
      <w:pPr>
        <w:ind w:right="20" w:firstLine="1296"/>
        <w:spacing w:after="0" w:line="249" w:lineRule="auto"/>
        <w:rPr>
          <w:sz w:val="20"/>
          <w:szCs w:val="20"/>
          <w:color w:val="auto"/>
        </w:rPr>
      </w:pPr>
      <w:r>
        <w:rPr>
          <w:rFonts w:ascii="Arial" w:cs="Arial" w:eastAsia="Arial" w:hAnsi="Arial"/>
          <w:sz w:val="21"/>
          <w:szCs w:val="21"/>
          <w:color w:val="auto"/>
        </w:rPr>
        <w:t xml:space="preserve">Section 4.2. </w:t>
      </w:r>
      <w:r>
        <w:rPr>
          <w:rFonts w:ascii="Arial" w:cs="Arial" w:eastAsia="Arial" w:hAnsi="Arial"/>
          <w:sz w:val="21"/>
          <w:szCs w:val="21"/>
          <w:i w:val="1"/>
          <w:iCs w:val="1"/>
          <w:color w:val="auto"/>
        </w:rPr>
        <w:t>Mutilated, Destroyed, Lost or Stolen Certificates.</w:t>
      </w:r>
      <w:r>
        <w:rPr>
          <w:rFonts w:ascii="Arial" w:cs="Arial" w:eastAsia="Arial" w:hAnsi="Arial"/>
          <w:sz w:val="21"/>
          <w:szCs w:val="21"/>
          <w:color w:val="auto"/>
        </w:rPr>
        <w:t xml:space="preserve"> (a) If any mutilated Certificate is surrendered to the Transfer Agent (for Common Units or Preference Units) or the Partnership (for Partnership Interests other than Common Units or Preference Units), the appropriate Officers on behalf of the Partnership shall execute, and the Transfer Agent (for Common Units or Preference Units) shall countersign and deliver in exchange therefor, a new Certificate evidencing the same number and type of Partnership Interests as the Certificate so surrendered.</w:t>
      </w:r>
    </w:p>
    <w:p>
      <w:pPr>
        <w:spacing w:after="0" w:line="205" w:lineRule="exact"/>
        <w:rPr>
          <w:sz w:val="20"/>
          <w:szCs w:val="20"/>
          <w:color w:val="auto"/>
        </w:rPr>
      </w:pPr>
    </w:p>
    <w:p>
      <w:pPr>
        <w:ind w:right="40" w:firstLine="1304"/>
        <w:spacing w:after="0"/>
        <w:tabs>
          <w:tab w:leader="none" w:pos="2088"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appropriate Officers on behalf of the Partnership shall execute and deliver, and the Transfer Agent (for Common Units or Preference Units), as applicable, shall countersign, a new Certificate in place of any Certificate previously issued, or issue uncertificated Units, if the Record Holder of the Certificate:</w:t>
      </w:r>
    </w:p>
    <w:p>
      <w:pPr>
        <w:spacing w:after="0" w:line="213" w:lineRule="exact"/>
        <w:rPr>
          <w:sz w:val="20"/>
          <w:szCs w:val="20"/>
          <w:color w:val="auto"/>
        </w:rPr>
      </w:pPr>
    </w:p>
    <w:p>
      <w:pPr>
        <w:ind w:left="660" w:right="260" w:firstLine="644"/>
        <w:spacing w:after="0" w:line="250" w:lineRule="auto"/>
        <w:tabs>
          <w:tab w:leader="none" w:pos="2052" w:val="left"/>
        </w:tabs>
        <w:numPr>
          <w:ilvl w:val="0"/>
          <w:numId w:val="5"/>
        </w:numPr>
        <w:rPr>
          <w:rFonts w:ascii="Arial" w:cs="Arial" w:eastAsia="Arial" w:hAnsi="Arial"/>
          <w:sz w:val="22"/>
          <w:szCs w:val="22"/>
          <w:color w:val="auto"/>
        </w:rPr>
      </w:pPr>
      <w:r>
        <w:rPr>
          <w:rFonts w:ascii="Arial" w:cs="Arial" w:eastAsia="Arial" w:hAnsi="Arial"/>
          <w:sz w:val="22"/>
          <w:szCs w:val="22"/>
          <w:color w:val="auto"/>
        </w:rPr>
        <w:t>makes proof by affidavit, in form and substance satisfactory to the Partnership, that a previously issued Certificate has been lost, destroyed or stolen;</w:t>
      </w:r>
    </w:p>
    <w:p>
      <w:pPr>
        <w:spacing w:after="0" w:line="201" w:lineRule="exact"/>
        <w:rPr>
          <w:rFonts w:ascii="Arial" w:cs="Arial" w:eastAsia="Arial" w:hAnsi="Arial"/>
          <w:sz w:val="22"/>
          <w:szCs w:val="22"/>
          <w:color w:val="auto"/>
        </w:rPr>
      </w:pPr>
    </w:p>
    <w:p>
      <w:pPr>
        <w:jc w:val="both"/>
        <w:ind w:left="660" w:right="240" w:firstLine="644"/>
        <w:spacing w:after="0"/>
        <w:tabs>
          <w:tab w:leader="none" w:pos="2112" w:val="left"/>
        </w:tabs>
        <w:numPr>
          <w:ilvl w:val="0"/>
          <w:numId w:val="5"/>
        </w:numPr>
        <w:rPr>
          <w:rFonts w:ascii="Arial" w:cs="Arial" w:eastAsia="Arial" w:hAnsi="Arial"/>
          <w:sz w:val="22"/>
          <w:szCs w:val="22"/>
          <w:color w:val="auto"/>
        </w:rPr>
      </w:pPr>
      <w:r>
        <w:rPr>
          <w:rFonts w:ascii="Arial" w:cs="Arial" w:eastAsia="Arial" w:hAnsi="Arial"/>
          <w:sz w:val="22"/>
          <w:szCs w:val="22"/>
          <w:color w:val="auto"/>
        </w:rPr>
        <w:t>requests the issuance of a new Certificate or the issuance of uncertificated Units before the Partnership has notice that the Certificate has been acquired by a purchaser for value in good faith and without notice of an adverse claim;</w:t>
      </w:r>
    </w:p>
    <w:p>
      <w:pPr>
        <w:spacing w:after="0" w:line="213" w:lineRule="exact"/>
        <w:rPr>
          <w:rFonts w:ascii="Arial" w:cs="Arial" w:eastAsia="Arial" w:hAnsi="Arial"/>
          <w:sz w:val="22"/>
          <w:szCs w:val="22"/>
          <w:color w:val="auto"/>
        </w:rPr>
      </w:pPr>
    </w:p>
    <w:p>
      <w:pPr>
        <w:jc w:val="both"/>
        <w:ind w:left="660" w:right="120" w:firstLine="644"/>
        <w:spacing w:after="0" w:line="252" w:lineRule="auto"/>
        <w:tabs>
          <w:tab w:leader="none" w:pos="2172" w:val="left"/>
        </w:tabs>
        <w:numPr>
          <w:ilvl w:val="0"/>
          <w:numId w:val="5"/>
        </w:numPr>
        <w:rPr>
          <w:rFonts w:ascii="Arial" w:cs="Arial" w:eastAsia="Arial" w:hAnsi="Arial"/>
          <w:sz w:val="21"/>
          <w:szCs w:val="21"/>
          <w:color w:val="auto"/>
        </w:rPr>
      </w:pPr>
      <w:r>
        <w:rPr>
          <w:rFonts w:ascii="Arial" w:cs="Arial" w:eastAsia="Arial" w:hAnsi="Arial"/>
          <w:sz w:val="21"/>
          <w:szCs w:val="21"/>
          <w:color w:val="auto"/>
        </w:rPr>
        <w:t>if requested by the Partnership, delivers to the Partnership a bond, in form and substance satisfactory to the Partnership, with surety or sureties and with fixed or open penalty as the Board of Directors may direct to indemnify the Partnership, the Partners, the General Partner and the Transfer Agent against any claim that may be made on account of the alleged loss, destruction or theft of the Certificate; and</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28" w:name="page29"/>
    <w:bookmarkEnd w:id="28"/>
    <w:p>
      <w:pPr>
        <w:ind w:left="2160" w:hanging="856"/>
        <w:spacing w:after="0"/>
        <w:tabs>
          <w:tab w:leader="none" w:pos="2160" w:val="left"/>
        </w:tabs>
        <w:numPr>
          <w:ilvl w:val="0"/>
          <w:numId w:val="6"/>
        </w:numPr>
        <w:rPr>
          <w:rFonts w:ascii="Arial" w:cs="Arial" w:eastAsia="Arial" w:hAnsi="Arial"/>
          <w:sz w:val="22"/>
          <w:szCs w:val="22"/>
          <w:color w:val="auto"/>
        </w:rPr>
      </w:pPr>
      <w:r>
        <w:rPr>
          <w:rFonts w:ascii="Arial" w:cs="Arial" w:eastAsia="Arial" w:hAnsi="Arial"/>
          <w:sz w:val="22"/>
          <w:szCs w:val="22"/>
          <w:color w:val="auto"/>
        </w:rPr>
        <w:t>satisfies any other reasonable requirements imposed by the Board of Directors.</w:t>
      </w:r>
    </w:p>
    <w:p>
      <w:pPr>
        <w:spacing w:after="0" w:line="233" w:lineRule="exact"/>
        <w:rPr>
          <w:sz w:val="20"/>
          <w:szCs w:val="20"/>
          <w:color w:val="auto"/>
        </w:rPr>
      </w:pPr>
    </w:p>
    <w:p>
      <w:pPr>
        <w:ind w:firstLine="1296"/>
        <w:spacing w:after="0" w:line="236" w:lineRule="auto"/>
        <w:rPr>
          <w:sz w:val="20"/>
          <w:szCs w:val="20"/>
          <w:color w:val="auto"/>
        </w:rPr>
      </w:pPr>
      <w:r>
        <w:rPr>
          <w:rFonts w:ascii="Arial" w:cs="Arial" w:eastAsia="Arial" w:hAnsi="Arial"/>
          <w:sz w:val="22"/>
          <w:szCs w:val="22"/>
          <w:color w:val="auto"/>
        </w:rPr>
        <w:t>If a Limited Partner fails to notify the Partnership within a reasonable period of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shall be precluded from making any claim against the Partnership, the General Partner or the Transfer Agent for such transfer or for a new Certificate or uncertificated Units.</w:t>
      </w:r>
    </w:p>
    <w:p>
      <w:pPr>
        <w:spacing w:after="0" w:line="214" w:lineRule="exact"/>
        <w:rPr>
          <w:sz w:val="20"/>
          <w:szCs w:val="20"/>
          <w:color w:val="auto"/>
        </w:rPr>
      </w:pPr>
    </w:p>
    <w:p>
      <w:pPr>
        <w:jc w:val="both"/>
        <w:ind w:right="160" w:firstLine="1304"/>
        <w:spacing w:after="0" w:line="297" w:lineRule="auto"/>
        <w:tabs>
          <w:tab w:leader="none" w:pos="2076" w:val="left"/>
        </w:tabs>
        <w:numPr>
          <w:ilvl w:val="0"/>
          <w:numId w:val="7"/>
        </w:numPr>
        <w:rPr>
          <w:rFonts w:ascii="Arial" w:cs="Arial" w:eastAsia="Arial" w:hAnsi="Arial"/>
          <w:sz w:val="19"/>
          <w:szCs w:val="19"/>
          <w:color w:val="auto"/>
        </w:rPr>
      </w:pPr>
      <w:r>
        <w:rPr>
          <w:rFonts w:ascii="Arial" w:cs="Arial" w:eastAsia="Arial" w:hAnsi="Arial"/>
          <w:sz w:val="19"/>
          <w:szCs w:val="19"/>
          <w:color w:val="auto"/>
        </w:rPr>
        <w:t xml:space="preserve">As a condition to the issuance of any new Certificate or uncertificated Units under this </w:t>
      </w:r>
      <w:r>
        <w:rPr>
          <w:rFonts w:ascii="Arial" w:cs="Arial" w:eastAsia="Arial" w:hAnsi="Arial"/>
          <w:sz w:val="19"/>
          <w:szCs w:val="19"/>
          <w:u w:val="single" w:color="auto"/>
          <w:color w:val="auto"/>
        </w:rPr>
        <w:t>Section 4.2</w:t>
      </w:r>
      <w:r>
        <w:rPr>
          <w:rFonts w:ascii="Arial" w:cs="Arial" w:eastAsia="Arial" w:hAnsi="Arial"/>
          <w:sz w:val="19"/>
          <w:szCs w:val="19"/>
          <w:color w:val="auto"/>
        </w:rPr>
        <w:t>, the Partnership may require the payment of a sum sufficient to cover any tax or other governmental charge that may be imposed in relation thereto and any other expenses (including the fees and expenses of the Transfer Agent) reasonably connected therewith.</w:t>
      </w:r>
    </w:p>
    <w:p>
      <w:pPr>
        <w:spacing w:after="0" w:line="161" w:lineRule="exact"/>
        <w:rPr>
          <w:sz w:val="20"/>
          <w:szCs w:val="20"/>
          <w:color w:val="auto"/>
        </w:rPr>
      </w:pPr>
    </w:p>
    <w:p>
      <w:pPr>
        <w:ind w:right="20" w:firstLine="1296"/>
        <w:spacing w:after="0" w:line="269" w:lineRule="auto"/>
        <w:rPr>
          <w:sz w:val="20"/>
          <w:szCs w:val="20"/>
          <w:color w:val="auto"/>
        </w:rPr>
      </w:pPr>
      <w:r>
        <w:rPr>
          <w:rFonts w:ascii="Arial" w:cs="Arial" w:eastAsia="Arial" w:hAnsi="Arial"/>
          <w:sz w:val="19"/>
          <w:szCs w:val="19"/>
          <w:color w:val="auto"/>
        </w:rPr>
        <w:t xml:space="preserve">Section 4.3. </w:t>
      </w:r>
      <w:r>
        <w:rPr>
          <w:rFonts w:ascii="Arial" w:cs="Arial" w:eastAsia="Arial" w:hAnsi="Arial"/>
          <w:sz w:val="19"/>
          <w:szCs w:val="19"/>
          <w:i w:val="1"/>
          <w:iCs w:val="1"/>
          <w:color w:val="auto"/>
        </w:rPr>
        <w:t>Record Holders</w:t>
      </w:r>
      <w:r>
        <w:rPr>
          <w:rFonts w:ascii="Arial" w:cs="Arial" w:eastAsia="Arial" w:hAnsi="Arial"/>
          <w:sz w:val="19"/>
          <w:szCs w:val="19"/>
          <w:color w:val="auto"/>
        </w:rPr>
        <w:t>. The Partnership shall be entitled to recognize the Record Holder as the Partner with respect to any Partnership Interest and, accordingly, shall not be bound to recognize any equitable or other claim to, or interest in, such Partnership Interest on the part of any other Person, regardless of whether the Partnership shall have actual or other notice thereof, except as otherwise provided by law or any applicable rule, regulation, guideline or requirement of any National Securities Exchange on which such Partnership Interests are listed or admitted to trading. Without limiting the foregoing, when a Person (such as a broker, dealer, bank, trust company or clearing corporation or an agent of any of the foregoing) is acting as nominee, agent or in some other representative capacity for another Person in acquiring and/or holding Partnership Interests, as between the Partnership on the one hand, and such other Persons on the other, such representative Person</w:t>
      </w:r>
    </w:p>
    <w:p>
      <w:pPr>
        <w:spacing w:after="0" w:line="3" w:lineRule="exact"/>
        <w:rPr>
          <w:sz w:val="20"/>
          <w:szCs w:val="20"/>
          <w:color w:val="auto"/>
        </w:rPr>
      </w:pPr>
    </w:p>
    <w:p>
      <w:pPr>
        <w:ind w:right="40" w:firstLine="8"/>
        <w:spacing w:after="0" w:line="236" w:lineRule="auto"/>
        <w:tabs>
          <w:tab w:leader="none" w:pos="294" w:val="left"/>
        </w:tabs>
        <w:numPr>
          <w:ilvl w:val="0"/>
          <w:numId w:val="8"/>
        </w:numPr>
        <w:rPr>
          <w:rFonts w:ascii="Arial" w:cs="Arial" w:eastAsia="Arial" w:hAnsi="Arial"/>
          <w:sz w:val="22"/>
          <w:szCs w:val="22"/>
          <w:color w:val="auto"/>
        </w:rPr>
      </w:pPr>
      <w:r>
        <w:rPr>
          <w:rFonts w:ascii="Arial" w:cs="Arial" w:eastAsia="Arial" w:hAnsi="Arial"/>
          <w:sz w:val="22"/>
          <w:szCs w:val="22"/>
          <w:color w:val="auto"/>
        </w:rPr>
        <w:t>shall be the Record Holder of such Partnership Interest and (b) shall be bound by this Agreement and shall have the rights and obligations of a Partner hereunder and as, and to the extent, provided for herein.</w:t>
      </w:r>
    </w:p>
    <w:p>
      <w:pPr>
        <w:spacing w:after="0" w:line="214" w:lineRule="exact"/>
        <w:rPr>
          <w:sz w:val="20"/>
          <w:szCs w:val="20"/>
          <w:color w:val="auto"/>
        </w:rPr>
      </w:pPr>
    </w:p>
    <w:p>
      <w:pPr>
        <w:ind w:firstLine="1296"/>
        <w:spacing w:after="0" w:line="246" w:lineRule="auto"/>
        <w:rPr>
          <w:sz w:val="20"/>
          <w:szCs w:val="20"/>
          <w:color w:val="auto"/>
        </w:rPr>
      </w:pPr>
      <w:r>
        <w:rPr>
          <w:rFonts w:ascii="Arial" w:cs="Arial" w:eastAsia="Arial" w:hAnsi="Arial"/>
          <w:sz w:val="21"/>
          <w:szCs w:val="21"/>
          <w:color w:val="auto"/>
        </w:rPr>
        <w:t xml:space="preserve">Section 4.4. </w:t>
      </w:r>
      <w:r>
        <w:rPr>
          <w:rFonts w:ascii="Arial" w:cs="Arial" w:eastAsia="Arial" w:hAnsi="Arial"/>
          <w:sz w:val="21"/>
          <w:szCs w:val="21"/>
          <w:i w:val="1"/>
          <w:iCs w:val="1"/>
          <w:color w:val="auto"/>
        </w:rPr>
        <w:t>Transfer Generally.</w:t>
      </w:r>
      <w:r>
        <w:rPr>
          <w:rFonts w:ascii="Arial" w:cs="Arial" w:eastAsia="Arial" w:hAnsi="Arial"/>
          <w:sz w:val="21"/>
          <w:szCs w:val="21"/>
          <w:color w:val="auto"/>
        </w:rPr>
        <w:t xml:space="preserve"> (a) The term “transfer,” when used in this Agreement with respect to a Partnership Interest, shall mean a transaction (i) by which the General Partner assigns its General Partner Units to another Person, and includes a sale, assignment, gift, pledge, encumbrance, hypothecation, mortgage, exchange or any other disposition by law or otherwise or (ii) by which the holder of a Limited Partner Interest assigns such Limited Partner Interest to another Person who is or becomes a Limited Partner, and includes a sale, assignment, gift, exchange or any other disposition by law or otherwise, excluding a pledge, encumbrance, hypothecation or mortgage, but including any transfer upon foreclosure of any pledge, encumbrance, hypothecation or mortgage.</w:t>
      </w:r>
    </w:p>
    <w:p>
      <w:pPr>
        <w:spacing w:after="0" w:line="211" w:lineRule="exact"/>
        <w:rPr>
          <w:sz w:val="20"/>
          <w:szCs w:val="20"/>
          <w:color w:val="auto"/>
        </w:rPr>
      </w:pPr>
    </w:p>
    <w:p>
      <w:pPr>
        <w:ind w:right="140" w:firstLine="1304"/>
        <w:spacing w:after="0"/>
        <w:tabs>
          <w:tab w:leader="none" w:pos="2088" w:val="left"/>
        </w:tabs>
        <w:numPr>
          <w:ilvl w:val="0"/>
          <w:numId w:val="9"/>
        </w:numPr>
        <w:rPr>
          <w:rFonts w:ascii="Arial" w:cs="Arial" w:eastAsia="Arial" w:hAnsi="Arial"/>
          <w:sz w:val="22"/>
          <w:szCs w:val="22"/>
          <w:color w:val="auto"/>
        </w:rPr>
      </w:pPr>
      <w:r>
        <w:rPr>
          <w:rFonts w:ascii="Arial" w:cs="Arial" w:eastAsia="Arial" w:hAnsi="Arial"/>
          <w:sz w:val="22"/>
          <w:szCs w:val="22"/>
          <w:color w:val="auto"/>
        </w:rPr>
        <w:t xml:space="preserve">No Partnership Interest shall be transferred, in whole or in part, except in accordance with the terms and conditions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Any transfer or purported transfer of a Partnership Interest not made in accordance with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shall be null and void.</w:t>
      </w:r>
    </w:p>
    <w:p>
      <w:pPr>
        <w:spacing w:after="0" w:line="213" w:lineRule="exact"/>
        <w:rPr>
          <w:rFonts w:ascii="Arial" w:cs="Arial" w:eastAsia="Arial" w:hAnsi="Arial"/>
          <w:sz w:val="22"/>
          <w:szCs w:val="22"/>
          <w:color w:val="auto"/>
        </w:rPr>
      </w:pPr>
    </w:p>
    <w:p>
      <w:pPr>
        <w:ind w:right="520" w:firstLine="1304"/>
        <w:spacing w:after="0" w:line="250" w:lineRule="auto"/>
        <w:tabs>
          <w:tab w:leader="none" w:pos="2076" w:val="left"/>
        </w:tabs>
        <w:numPr>
          <w:ilvl w:val="0"/>
          <w:numId w:val="9"/>
        </w:numPr>
        <w:rPr>
          <w:rFonts w:ascii="Arial" w:cs="Arial" w:eastAsia="Arial" w:hAnsi="Arial"/>
          <w:sz w:val="22"/>
          <w:szCs w:val="22"/>
          <w:color w:val="auto"/>
        </w:rPr>
      </w:pPr>
      <w:r>
        <w:rPr>
          <w:rFonts w:ascii="Arial" w:cs="Arial" w:eastAsia="Arial" w:hAnsi="Arial"/>
          <w:sz w:val="22"/>
          <w:szCs w:val="22"/>
          <w:color w:val="auto"/>
        </w:rPr>
        <w:t>Nothing contained in this Agreement shall be construed to prevent a disposition by any stockholder, member, partner or other owner of the General Partner of any or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29" w:name="page30"/>
    <w:bookmarkEnd w:id="29"/>
    <w:p>
      <w:pPr>
        <w:ind w:right="160"/>
        <w:spacing w:after="0" w:line="250" w:lineRule="auto"/>
        <w:rPr>
          <w:sz w:val="20"/>
          <w:szCs w:val="20"/>
          <w:color w:val="auto"/>
        </w:rPr>
      </w:pPr>
      <w:r>
        <w:rPr>
          <w:rFonts w:ascii="Arial" w:cs="Arial" w:eastAsia="Arial" w:hAnsi="Arial"/>
          <w:sz w:val="22"/>
          <w:szCs w:val="22"/>
          <w:color w:val="auto"/>
        </w:rPr>
        <w:t>all of the shares of stock, membership interests, partnership interests or other ownership interests in the General Partner, and the term “transfer” shall not mean any such disposition.</w:t>
      </w:r>
    </w:p>
    <w:p>
      <w:pPr>
        <w:spacing w:after="0" w:line="202" w:lineRule="exact"/>
        <w:rPr>
          <w:sz w:val="20"/>
          <w:szCs w:val="20"/>
          <w:color w:val="auto"/>
        </w:rPr>
      </w:pPr>
    </w:p>
    <w:p>
      <w:pPr>
        <w:ind w:firstLine="1296"/>
        <w:spacing w:after="0" w:line="273" w:lineRule="auto"/>
        <w:rPr>
          <w:sz w:val="20"/>
          <w:szCs w:val="20"/>
          <w:color w:val="auto"/>
        </w:rPr>
      </w:pPr>
      <w:r>
        <w:rPr>
          <w:rFonts w:ascii="Arial" w:cs="Arial" w:eastAsia="Arial" w:hAnsi="Arial"/>
          <w:sz w:val="19"/>
          <w:szCs w:val="19"/>
          <w:color w:val="auto"/>
        </w:rPr>
        <w:t xml:space="preserve">Section 4.5. </w:t>
      </w:r>
      <w:r>
        <w:rPr>
          <w:rFonts w:ascii="Arial" w:cs="Arial" w:eastAsia="Arial" w:hAnsi="Arial"/>
          <w:sz w:val="19"/>
          <w:szCs w:val="19"/>
          <w:i w:val="1"/>
          <w:iCs w:val="1"/>
          <w:color w:val="auto"/>
        </w:rPr>
        <w:t>Registration and Transfer of Limited Partner Interests.</w:t>
      </w:r>
      <w:r>
        <w:rPr>
          <w:rFonts w:ascii="Arial" w:cs="Arial" w:eastAsia="Arial" w:hAnsi="Arial"/>
          <w:sz w:val="19"/>
          <w:szCs w:val="19"/>
          <w:color w:val="auto"/>
        </w:rPr>
        <w:t xml:space="preserve"> (a) The General Partner shall keep or cause to be kept on behalf of the Partnership a Unit Register in which, subject to such reasonable regulations as it may prescribe and subject to the provisions of </w:t>
      </w:r>
      <w:r>
        <w:rPr>
          <w:rFonts w:ascii="Arial" w:cs="Arial" w:eastAsia="Arial" w:hAnsi="Arial"/>
          <w:sz w:val="19"/>
          <w:szCs w:val="19"/>
          <w:u w:val="single" w:color="auto"/>
          <w:color w:val="auto"/>
        </w:rPr>
        <w:t>Section 4.5(b)</w:t>
      </w:r>
      <w:r>
        <w:rPr>
          <w:rFonts w:ascii="Arial" w:cs="Arial" w:eastAsia="Arial" w:hAnsi="Arial"/>
          <w:sz w:val="19"/>
          <w:szCs w:val="19"/>
          <w:color w:val="auto"/>
        </w:rPr>
        <w:t xml:space="preserve">, the Partnership will provide for the registration and transfer of Limited Partner Interests. The Transfer Agent is hereby appointed registrar and transfer agent for the purpose of registering Common Units and Preference Units and transfers of such Common Units and Preference Units as herein provided. The Partnership shall not recognize transfers of Certificates evidencing Limited Partner Interests unless such transfers are effected in the manner described in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Upon surrender of a Certificate for registration of transfer of any Limited Partner Interests evidenced by a Certificate, and subject to the provisions of </w:t>
      </w:r>
      <w:r>
        <w:rPr>
          <w:rFonts w:ascii="Arial" w:cs="Arial" w:eastAsia="Arial" w:hAnsi="Arial"/>
          <w:sz w:val="19"/>
          <w:szCs w:val="19"/>
          <w:u w:val="single" w:color="auto"/>
          <w:color w:val="auto"/>
        </w:rPr>
        <w:t>Section 4.5(b)</w:t>
      </w:r>
      <w:r>
        <w:rPr>
          <w:rFonts w:ascii="Arial" w:cs="Arial" w:eastAsia="Arial" w:hAnsi="Arial"/>
          <w:sz w:val="19"/>
          <w:szCs w:val="19"/>
          <w:color w:val="auto"/>
        </w:rPr>
        <w:t>, the appropriate Officers on behalf of the Partnership shall execute and deliver, and in the case of Common Units, the Transfer Agent shall countersign and deliver, in the name of the holder or the designated transferee or transferees, as required pursuant to the holder’s instructions, one or more new Certificates evidencing the same aggregate number and type of Limited Partner Interests as was evidenced by the Certificate so surrendered.</w:t>
      </w:r>
    </w:p>
    <w:p>
      <w:pPr>
        <w:spacing w:after="0" w:line="182" w:lineRule="exact"/>
        <w:rPr>
          <w:sz w:val="20"/>
          <w:szCs w:val="20"/>
          <w:color w:val="auto"/>
        </w:rPr>
      </w:pPr>
    </w:p>
    <w:p>
      <w:pPr>
        <w:ind w:right="40" w:firstLine="1304"/>
        <w:spacing w:after="0" w:line="249" w:lineRule="auto"/>
        <w:tabs>
          <w:tab w:leader="none" w:pos="2088" w:val="left"/>
        </w:tabs>
        <w:numPr>
          <w:ilvl w:val="1"/>
          <w:numId w:val="10"/>
        </w:numPr>
        <w:rPr>
          <w:rFonts w:ascii="Arial" w:cs="Arial" w:eastAsia="Arial" w:hAnsi="Arial"/>
          <w:sz w:val="21"/>
          <w:szCs w:val="21"/>
          <w:color w:val="auto"/>
        </w:rPr>
      </w:pPr>
      <w:r>
        <w:rPr>
          <w:rFonts w:ascii="Arial" w:cs="Arial" w:eastAsia="Arial" w:hAnsi="Arial"/>
          <w:sz w:val="21"/>
          <w:szCs w:val="21"/>
          <w:color w:val="auto"/>
        </w:rPr>
        <w:t xml:space="preserve">If Limited Partner Interests are evidenced by Certificates, the Partnership shall not recognize any transfer of Limited Partner Interests until the Certificates evidencing such Limited Partner Interests are surrendered for registration of transfer. No charge shall be imposed by the Partnership for such transfer;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as a condition to the issuance of any new Certificate under this </w:t>
      </w:r>
      <w:r>
        <w:rPr>
          <w:rFonts w:ascii="Arial" w:cs="Arial" w:eastAsia="Arial" w:hAnsi="Arial"/>
          <w:sz w:val="21"/>
          <w:szCs w:val="21"/>
          <w:u w:val="single" w:color="auto"/>
          <w:color w:val="auto"/>
        </w:rPr>
        <w:t>Section 4.5</w:t>
      </w:r>
      <w:r>
        <w:rPr>
          <w:rFonts w:ascii="Arial" w:cs="Arial" w:eastAsia="Arial" w:hAnsi="Arial"/>
          <w:sz w:val="21"/>
          <w:szCs w:val="21"/>
          <w:color w:val="auto"/>
        </w:rPr>
        <w:t>, the Partnership may require the payment of a sum sufficient to cover any tax or other governmental charge that may be imposed with respect thereto.</w:t>
      </w:r>
    </w:p>
    <w:p>
      <w:pPr>
        <w:spacing w:after="0" w:line="205" w:lineRule="exact"/>
        <w:rPr>
          <w:rFonts w:ascii="Arial" w:cs="Arial" w:eastAsia="Arial" w:hAnsi="Arial"/>
          <w:sz w:val="21"/>
          <w:szCs w:val="21"/>
          <w:color w:val="auto"/>
        </w:rPr>
      </w:pPr>
    </w:p>
    <w:p>
      <w:pPr>
        <w:ind w:firstLine="8"/>
        <w:spacing w:after="0" w:line="270" w:lineRule="auto"/>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By acceptance of the transfer of a Limited Partner Interest in accordance with this </w:t>
      </w:r>
      <w:r>
        <w:rPr>
          <w:rFonts w:ascii="Arial" w:cs="Arial" w:eastAsia="Arial" w:hAnsi="Arial"/>
          <w:sz w:val="19"/>
          <w:szCs w:val="19"/>
          <w:u w:val="single" w:color="auto"/>
          <w:color w:val="auto"/>
        </w:rPr>
        <w:t>Section 4.5</w:t>
      </w:r>
      <w:r>
        <w:rPr>
          <w:rFonts w:ascii="Arial" w:cs="Arial" w:eastAsia="Arial" w:hAnsi="Arial"/>
          <w:sz w:val="19"/>
          <w:szCs w:val="19"/>
          <w:color w:val="auto"/>
        </w:rPr>
        <w:t xml:space="preserve"> and except as otherwise provided in </w:t>
      </w:r>
      <w:r>
        <w:rPr>
          <w:rFonts w:ascii="Arial" w:cs="Arial" w:eastAsia="Arial" w:hAnsi="Arial"/>
          <w:sz w:val="19"/>
          <w:szCs w:val="19"/>
          <w:u w:val="single" w:color="auto"/>
          <w:color w:val="auto"/>
        </w:rPr>
        <w:t>Section 4.7</w:t>
      </w:r>
      <w:r>
        <w:rPr>
          <w:rFonts w:ascii="Arial" w:cs="Arial" w:eastAsia="Arial" w:hAnsi="Arial"/>
          <w:sz w:val="19"/>
          <w:szCs w:val="19"/>
          <w:color w:val="auto"/>
        </w:rPr>
        <w:t>, each transferee of a Limited Partner Interest (including any nominee holder or an agent or representative acquiring such Limited Partner Interests for the account of another Person) (i) shall be admitted to the Partnership as a Limited Partner with respect to the Limited Partner Interests so transferred to such Person when any such transfer or admission is reflected in the books and records of the Partnership and such Limited Partner becomes the Record Holder of the Limited Partner Interests so transferred, (ii) shall become bound, and shall be deemed to have agreed to be bound, by the terms of this Agreement,</w:t>
      </w:r>
    </w:p>
    <w:p>
      <w:pPr>
        <w:spacing w:after="0" w:line="1" w:lineRule="exact"/>
        <w:rPr>
          <w:rFonts w:ascii="Arial" w:cs="Arial" w:eastAsia="Arial" w:hAnsi="Arial"/>
          <w:sz w:val="19"/>
          <w:szCs w:val="19"/>
          <w:color w:val="auto"/>
        </w:rPr>
      </w:pPr>
    </w:p>
    <w:p>
      <w:pPr>
        <w:ind w:right="20" w:firstLine="8"/>
        <w:spacing w:after="0" w:line="233" w:lineRule="auto"/>
        <w:tabs>
          <w:tab w:leader="none" w:pos="378" w:val="left"/>
        </w:tabs>
        <w:numPr>
          <w:ilvl w:val="0"/>
          <w:numId w:val="12"/>
        </w:numPr>
        <w:rPr>
          <w:rFonts w:ascii="Arial" w:cs="Arial" w:eastAsia="Arial" w:hAnsi="Arial"/>
          <w:sz w:val="22"/>
          <w:szCs w:val="22"/>
          <w:color w:val="auto"/>
        </w:rPr>
      </w:pPr>
      <w:r>
        <w:rPr>
          <w:rFonts w:ascii="Arial" w:cs="Arial" w:eastAsia="Arial" w:hAnsi="Arial"/>
          <w:sz w:val="22"/>
          <w:szCs w:val="22"/>
          <w:color w:val="auto"/>
        </w:rPr>
        <w:t>represents that the transferee has the capacity, power and authority to enter into this Agreement and (iv) makes the consents, acknowledgments and waivers contained in this Agreement, all with or without execution of this Agreement by such Person. The transfer of any Limited Partner Interests and the admission of any new Limited Partner shall not constitute an amendment to this Agreement.</w:t>
      </w:r>
    </w:p>
    <w:p>
      <w:pPr>
        <w:spacing w:after="0" w:line="214" w:lineRule="exact"/>
        <w:rPr>
          <w:rFonts w:ascii="Arial" w:cs="Arial" w:eastAsia="Arial" w:hAnsi="Arial"/>
          <w:sz w:val="22"/>
          <w:szCs w:val="22"/>
          <w:color w:val="auto"/>
        </w:rPr>
      </w:pPr>
    </w:p>
    <w:p>
      <w:pPr>
        <w:ind w:right="600" w:firstLine="1304"/>
        <w:spacing w:after="0" w:line="250" w:lineRule="auto"/>
        <w:tabs>
          <w:tab w:leader="none" w:pos="2088" w:val="left"/>
        </w:tabs>
        <w:numPr>
          <w:ilvl w:val="1"/>
          <w:numId w:val="12"/>
        </w:numPr>
        <w:rPr>
          <w:rFonts w:ascii="Arial" w:cs="Arial" w:eastAsia="Arial" w:hAnsi="Arial"/>
          <w:sz w:val="22"/>
          <w:szCs w:val="22"/>
          <w:color w:val="auto"/>
        </w:rPr>
      </w:pPr>
      <w:r>
        <w:rPr>
          <w:rFonts w:ascii="Arial" w:cs="Arial" w:eastAsia="Arial" w:hAnsi="Arial"/>
          <w:sz w:val="22"/>
          <w:szCs w:val="22"/>
          <w:color w:val="auto"/>
        </w:rPr>
        <w:t xml:space="preserve">Subject to the provisions set forth in this </w:t>
      </w:r>
      <w:r>
        <w:rPr>
          <w:rFonts w:ascii="Arial" w:cs="Arial" w:eastAsia="Arial" w:hAnsi="Arial"/>
          <w:sz w:val="22"/>
          <w:szCs w:val="22"/>
          <w:u w:val="single" w:color="auto"/>
          <w:color w:val="auto"/>
        </w:rPr>
        <w:t>Article IV</w:t>
      </w:r>
      <w:r>
        <w:rPr>
          <w:rFonts w:ascii="Arial" w:cs="Arial" w:eastAsia="Arial" w:hAnsi="Arial"/>
          <w:sz w:val="22"/>
          <w:szCs w:val="22"/>
          <w:color w:val="auto"/>
        </w:rPr>
        <w:t xml:space="preserve"> and applicable securities laws, Limited Partner Interests shall be freely transferable.</w:t>
      </w:r>
    </w:p>
    <w:p>
      <w:pPr>
        <w:spacing w:after="0" w:line="201" w:lineRule="exact"/>
        <w:rPr>
          <w:rFonts w:ascii="Arial" w:cs="Arial" w:eastAsia="Arial" w:hAnsi="Arial"/>
          <w:sz w:val="22"/>
          <w:szCs w:val="22"/>
          <w:color w:val="auto"/>
        </w:rPr>
      </w:pPr>
    </w:p>
    <w:p>
      <w:pPr>
        <w:ind w:right="180" w:firstLine="1304"/>
        <w:spacing w:after="0" w:line="250" w:lineRule="auto"/>
        <w:tabs>
          <w:tab w:leader="none" w:pos="2076" w:val="left"/>
        </w:tabs>
        <w:numPr>
          <w:ilvl w:val="1"/>
          <w:numId w:val="12"/>
        </w:numPr>
        <w:rPr>
          <w:rFonts w:ascii="Arial" w:cs="Arial" w:eastAsia="Arial" w:hAnsi="Arial"/>
          <w:sz w:val="22"/>
          <w:szCs w:val="22"/>
          <w:color w:val="auto"/>
        </w:rPr>
      </w:pPr>
      <w:r>
        <w:rPr>
          <w:rFonts w:ascii="Arial" w:cs="Arial" w:eastAsia="Arial" w:hAnsi="Arial"/>
          <w:sz w:val="22"/>
          <w:szCs w:val="22"/>
          <w:color w:val="auto"/>
        </w:rPr>
        <w:t>The General Partner and its Affiliates shall have the right at any time to transfer their Common Units or any Preference Units to one or more Persons.</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30" w:name="page31"/>
    <w:bookmarkEnd w:id="30"/>
    <w:p>
      <w:pPr>
        <w:ind w:right="600" w:firstLine="1296"/>
        <w:spacing w:after="0" w:line="250" w:lineRule="auto"/>
        <w:rPr>
          <w:sz w:val="20"/>
          <w:szCs w:val="20"/>
          <w:color w:val="auto"/>
        </w:rPr>
      </w:pPr>
      <w:r>
        <w:rPr>
          <w:rFonts w:ascii="Arial" w:cs="Arial" w:eastAsia="Arial" w:hAnsi="Arial"/>
          <w:sz w:val="22"/>
          <w:szCs w:val="22"/>
          <w:color w:val="auto"/>
        </w:rPr>
        <w:t xml:space="preserve">Section 4.6. </w:t>
      </w:r>
      <w:r>
        <w:rPr>
          <w:rFonts w:ascii="Arial" w:cs="Arial" w:eastAsia="Arial" w:hAnsi="Arial"/>
          <w:sz w:val="22"/>
          <w:szCs w:val="22"/>
          <w:i w:val="1"/>
          <w:iCs w:val="1"/>
          <w:color w:val="auto"/>
        </w:rPr>
        <w:t>Transfer of the General Partner’s General Partner Interest.</w:t>
      </w:r>
      <w:r>
        <w:rPr>
          <w:rFonts w:ascii="Arial" w:cs="Arial" w:eastAsia="Arial" w:hAnsi="Arial"/>
          <w:sz w:val="22"/>
          <w:szCs w:val="22"/>
          <w:color w:val="auto"/>
        </w:rPr>
        <w:t xml:space="preserve"> (a) The General Partner may transfer all or any of its General Partner Interest without Unitholder approval.</w:t>
      </w:r>
    </w:p>
    <w:p>
      <w:pPr>
        <w:spacing w:after="0" w:line="202" w:lineRule="exact"/>
        <w:rPr>
          <w:sz w:val="20"/>
          <w:szCs w:val="20"/>
          <w:color w:val="auto"/>
        </w:rPr>
      </w:pPr>
    </w:p>
    <w:p>
      <w:pPr>
        <w:ind w:right="120" w:firstLine="1304"/>
        <w:spacing w:after="0" w:line="273" w:lineRule="auto"/>
        <w:tabs>
          <w:tab w:leader="none" w:pos="2088" w:val="left"/>
        </w:tabs>
        <w:numPr>
          <w:ilvl w:val="0"/>
          <w:numId w:val="13"/>
        </w:numPr>
        <w:rPr>
          <w:rFonts w:ascii="Arial" w:cs="Arial" w:eastAsia="Arial" w:hAnsi="Arial"/>
          <w:sz w:val="19"/>
          <w:szCs w:val="19"/>
          <w:color w:val="auto"/>
        </w:rPr>
      </w:pPr>
      <w:r>
        <w:rPr>
          <w:rFonts w:ascii="Arial" w:cs="Arial" w:eastAsia="Arial" w:hAnsi="Arial"/>
          <w:sz w:val="19"/>
          <w:szCs w:val="19"/>
          <w:color w:val="auto"/>
        </w:rPr>
        <w:t xml:space="preserve">Notwithstanding anything herein to the contrary, no transfer by the General Partner of all or any part of its General Partner Interest to another Person shall be permitted unless (i) the transferee agrees to assume the rights and duties of the General Partner under this Agreement and to be bound by the provisions of this Agreement, (ii) the Partnership receives an Opinion of Counsel that such transfer would not result in the loss of limited liability of any Limited Partner or of any limited partner or member of any other Group Member under the laws of any such entity’s jurisdiction of formation and (iii) such transferee also agrees to purchase all (or the appropriate portion thereof, if applicable) of the partnership or membership interest of the General Partner as the general partner or managing member, if any, of each other Group Member. In the case of a transfer pursuant to and in compliance with this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the transferee or successor (as the case may be) shall, subject to compliance with the terms of </w:t>
      </w:r>
      <w:r>
        <w:rPr>
          <w:rFonts w:ascii="Arial" w:cs="Arial" w:eastAsia="Arial" w:hAnsi="Arial"/>
          <w:sz w:val="19"/>
          <w:szCs w:val="19"/>
          <w:u w:val="single" w:color="auto"/>
          <w:color w:val="auto"/>
        </w:rPr>
        <w:t>Section 10.2</w:t>
      </w:r>
      <w:r>
        <w:rPr>
          <w:rFonts w:ascii="Arial" w:cs="Arial" w:eastAsia="Arial" w:hAnsi="Arial"/>
          <w:sz w:val="19"/>
          <w:szCs w:val="19"/>
          <w:color w:val="auto"/>
        </w:rPr>
        <w:t>, be admitted to the Partnership as the General Partner immediately prior to the transfer of the General Partner Interest, and the business of the Partnership shall continue without dissolution.</w:t>
      </w:r>
    </w:p>
    <w:p>
      <w:pPr>
        <w:spacing w:after="0" w:line="188" w:lineRule="exact"/>
        <w:rPr>
          <w:sz w:val="20"/>
          <w:szCs w:val="20"/>
          <w:color w:val="auto"/>
        </w:rPr>
      </w:pPr>
    </w:p>
    <w:p>
      <w:pPr>
        <w:ind w:right="140" w:firstLine="1296"/>
        <w:spacing w:after="0" w:line="235" w:lineRule="auto"/>
        <w:rPr>
          <w:sz w:val="20"/>
          <w:szCs w:val="20"/>
          <w:color w:val="auto"/>
        </w:rPr>
      </w:pPr>
      <w:r>
        <w:rPr>
          <w:rFonts w:ascii="Arial" w:cs="Arial" w:eastAsia="Arial" w:hAnsi="Arial"/>
          <w:sz w:val="22"/>
          <w:szCs w:val="22"/>
          <w:color w:val="auto"/>
        </w:rPr>
        <w:t xml:space="preserve">Section 4.7. </w:t>
      </w:r>
      <w:r>
        <w:rPr>
          <w:rFonts w:ascii="Arial" w:cs="Arial" w:eastAsia="Arial" w:hAnsi="Arial"/>
          <w:sz w:val="22"/>
          <w:szCs w:val="22"/>
          <w:i w:val="1"/>
          <w:iCs w:val="1"/>
          <w:color w:val="auto"/>
        </w:rPr>
        <w:t>Restrictions on Transfers.</w:t>
      </w:r>
      <w:r>
        <w:rPr>
          <w:rFonts w:ascii="Arial" w:cs="Arial" w:eastAsia="Arial" w:hAnsi="Arial"/>
          <w:sz w:val="22"/>
          <w:szCs w:val="22"/>
          <w:color w:val="auto"/>
        </w:rPr>
        <w:t xml:space="preserve"> (a) Except as provided in </w:t>
      </w:r>
      <w:r>
        <w:rPr>
          <w:rFonts w:ascii="Arial" w:cs="Arial" w:eastAsia="Arial" w:hAnsi="Arial"/>
          <w:sz w:val="22"/>
          <w:szCs w:val="22"/>
          <w:u w:val="single" w:color="auto"/>
          <w:color w:val="auto"/>
        </w:rPr>
        <w:t>Section 4.7(b)</w:t>
      </w:r>
      <w:r>
        <w:rPr>
          <w:rFonts w:ascii="Arial" w:cs="Arial" w:eastAsia="Arial" w:hAnsi="Arial"/>
          <w:sz w:val="22"/>
          <w:szCs w:val="22"/>
          <w:color w:val="auto"/>
        </w:rPr>
        <w:t xml:space="preserve"> below, but notwithstanding the other provisions of this </w:t>
      </w:r>
      <w:r>
        <w:rPr>
          <w:rFonts w:ascii="Arial" w:cs="Arial" w:eastAsia="Arial" w:hAnsi="Arial"/>
          <w:sz w:val="22"/>
          <w:szCs w:val="22"/>
          <w:u w:val="single" w:color="auto"/>
          <w:color w:val="auto"/>
        </w:rPr>
        <w:t>Article IV</w:t>
      </w:r>
      <w:r>
        <w:rPr>
          <w:rFonts w:ascii="Arial" w:cs="Arial" w:eastAsia="Arial" w:hAnsi="Arial"/>
          <w:sz w:val="22"/>
          <w:szCs w:val="22"/>
          <w:color w:val="auto"/>
        </w:rPr>
        <w:t>, no transfer of any Partnership Interests shall be made if such transfer would (i) violate the then applicable U.S. federal or state securities laws, laws of the Republic of the Marshall Islands or rules and regulations of the Commission, any state securities commission or any other governmental authority with jurisdiction over such transfer or (ii) terminate the existence or qualification of the Partnership or any Group Member under the laws of the jurisdiction of its formation.</w:t>
      </w:r>
    </w:p>
    <w:p>
      <w:pPr>
        <w:spacing w:after="0" w:line="215" w:lineRule="exact"/>
        <w:rPr>
          <w:sz w:val="20"/>
          <w:szCs w:val="20"/>
          <w:color w:val="auto"/>
        </w:rPr>
      </w:pPr>
    </w:p>
    <w:p>
      <w:pPr>
        <w:jc w:val="both"/>
        <w:ind w:right="60" w:firstLine="1304"/>
        <w:spacing w:after="0"/>
        <w:tabs>
          <w:tab w:leader="none" w:pos="2088"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Nothing contained in this </w:t>
      </w:r>
      <w:r>
        <w:rPr>
          <w:rFonts w:ascii="Arial" w:cs="Arial" w:eastAsia="Arial" w:hAnsi="Arial"/>
          <w:sz w:val="22"/>
          <w:szCs w:val="22"/>
          <w:u w:val="single" w:color="auto"/>
          <w:color w:val="auto"/>
        </w:rPr>
        <w:t>Article IV</w:t>
      </w:r>
      <w:r>
        <w:rPr>
          <w:rFonts w:ascii="Arial" w:cs="Arial" w:eastAsia="Arial" w:hAnsi="Arial"/>
          <w:sz w:val="22"/>
          <w:szCs w:val="22"/>
          <w:color w:val="auto"/>
        </w:rPr>
        <w:t>, or elsewhere in this Agreement, shall preclude the settlement of any transactions involving Partnership Interests entered into through the facilities of any National Securities Exchange on which such Partnership Interests are listed or admitted to trading.</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CAPITAL CONTRIBUTIONS AND ISSUANCE OF PARTNERSHIP INTERESTS</w:t>
      </w:r>
    </w:p>
    <w:p>
      <w:pPr>
        <w:spacing w:after="0" w:line="215" w:lineRule="exact"/>
        <w:rPr>
          <w:sz w:val="20"/>
          <w:szCs w:val="20"/>
          <w:color w:val="auto"/>
        </w:rPr>
      </w:pPr>
    </w:p>
    <w:p>
      <w:pPr>
        <w:ind w:right="40" w:firstLine="1296"/>
        <w:spacing w:after="0" w:line="282" w:lineRule="auto"/>
        <w:rPr>
          <w:sz w:val="20"/>
          <w:szCs w:val="20"/>
          <w:color w:val="auto"/>
        </w:rPr>
      </w:pPr>
      <w:r>
        <w:rPr>
          <w:rFonts w:ascii="Arial" w:cs="Arial" w:eastAsia="Arial" w:hAnsi="Arial"/>
          <w:sz w:val="19"/>
          <w:szCs w:val="19"/>
          <w:color w:val="auto"/>
        </w:rPr>
        <w:t xml:space="preserve">Section 5.1. </w:t>
      </w:r>
      <w:r>
        <w:rPr>
          <w:rFonts w:ascii="Arial" w:cs="Arial" w:eastAsia="Arial" w:hAnsi="Arial"/>
          <w:sz w:val="19"/>
          <w:szCs w:val="19"/>
          <w:i w:val="1"/>
          <w:iCs w:val="1"/>
          <w:color w:val="auto"/>
        </w:rPr>
        <w:t>Interest and Withdrawal</w:t>
      </w:r>
      <w:r>
        <w:rPr>
          <w:rFonts w:ascii="Arial" w:cs="Arial" w:eastAsia="Arial" w:hAnsi="Arial"/>
          <w:sz w:val="19"/>
          <w:szCs w:val="19"/>
          <w:color w:val="auto"/>
        </w:rPr>
        <w:t>. No interest shall be paid by the Partnership on Capital Contributions. No Partner shall be entitled to the withdrawal or return of its Capital Contribution, except to the extent, if any, that distributions made pursuant to this Agreement or upon dissolution of the Partnership may be considered and permitted as such by law and then only to the extent provided for in this Agreement. Except to the extent expressly provided in this Agreement, no Partner shall have priority over any other Partner either as to the return of Capital Contributions or as to profits, losses or distributions.</w:t>
      </w:r>
    </w:p>
    <w:p>
      <w:pPr>
        <w:spacing w:after="0" w:line="174" w:lineRule="exact"/>
        <w:rPr>
          <w:sz w:val="20"/>
          <w:szCs w:val="20"/>
          <w:color w:val="auto"/>
        </w:rPr>
      </w:pPr>
    </w:p>
    <w:p>
      <w:pPr>
        <w:ind w:firstLine="1296"/>
        <w:spacing w:after="0" w:line="297" w:lineRule="auto"/>
        <w:rPr>
          <w:sz w:val="20"/>
          <w:szCs w:val="20"/>
          <w:color w:val="auto"/>
        </w:rPr>
      </w:pPr>
      <w:r>
        <w:rPr>
          <w:rFonts w:ascii="Arial" w:cs="Arial" w:eastAsia="Arial" w:hAnsi="Arial"/>
          <w:sz w:val="19"/>
          <w:szCs w:val="19"/>
          <w:color w:val="auto"/>
        </w:rPr>
        <w:t xml:space="preserve">Section 5.2. </w:t>
      </w:r>
      <w:r>
        <w:rPr>
          <w:rFonts w:ascii="Arial" w:cs="Arial" w:eastAsia="Arial" w:hAnsi="Arial"/>
          <w:sz w:val="19"/>
          <w:szCs w:val="19"/>
          <w:i w:val="1"/>
          <w:iCs w:val="1"/>
          <w:color w:val="auto"/>
        </w:rPr>
        <w:t>Issuances of Additional Partnership Interests.</w:t>
      </w:r>
      <w:r>
        <w:rPr>
          <w:rFonts w:ascii="Arial" w:cs="Arial" w:eastAsia="Arial" w:hAnsi="Arial"/>
          <w:sz w:val="19"/>
          <w:szCs w:val="19"/>
          <w:color w:val="auto"/>
        </w:rPr>
        <w:t xml:space="preserve"> (a) Subject to any approvals required by Series A Holders pursuant to </w:t>
      </w:r>
      <w:r>
        <w:rPr>
          <w:rFonts w:ascii="Arial" w:cs="Arial" w:eastAsia="Arial" w:hAnsi="Arial"/>
          <w:sz w:val="19"/>
          <w:szCs w:val="19"/>
          <w:u w:val="single" w:color="auto"/>
          <w:color w:val="auto"/>
        </w:rPr>
        <w:t>Section 16.5(c)(ii)</w:t>
      </w:r>
      <w:r>
        <w:rPr>
          <w:rFonts w:ascii="Arial" w:cs="Arial" w:eastAsia="Arial" w:hAnsi="Arial"/>
          <w:sz w:val="19"/>
          <w:szCs w:val="19"/>
          <w:color w:val="auto"/>
        </w:rPr>
        <w:t xml:space="preserve">, any approvals required by Series B Holders pursuant to </w:t>
      </w:r>
      <w:r>
        <w:rPr>
          <w:rFonts w:ascii="Arial" w:cs="Arial" w:eastAsia="Arial" w:hAnsi="Arial"/>
          <w:sz w:val="19"/>
          <w:szCs w:val="19"/>
          <w:u w:val="single" w:color="auto"/>
          <w:color w:val="auto"/>
        </w:rPr>
        <w:t>Section 17.5(c)(ii)</w:t>
      </w:r>
      <w:r>
        <w:rPr>
          <w:rFonts w:ascii="Arial" w:cs="Arial" w:eastAsia="Arial" w:hAnsi="Arial"/>
          <w:sz w:val="19"/>
          <w:szCs w:val="19"/>
          <w:color w:val="auto"/>
        </w:rPr>
        <w:t xml:space="preserve"> and any approvals required by Series C Holders pursuant to </w:t>
      </w:r>
      <w:r>
        <w:rPr>
          <w:rFonts w:ascii="Arial" w:cs="Arial" w:eastAsia="Arial" w:hAnsi="Arial"/>
          <w:sz w:val="19"/>
          <w:szCs w:val="19"/>
          <w:u w:val="single" w:color="auto"/>
          <w:color w:val="auto"/>
        </w:rPr>
        <w:t>Section 18.5(c)(ii)</w:t>
      </w:r>
      <w:r>
        <w:rPr>
          <w:rFonts w:ascii="Arial" w:cs="Arial" w:eastAsia="Arial" w:hAnsi="Arial"/>
          <w:sz w:val="19"/>
          <w:szCs w:val="19"/>
          <w:color w:val="auto"/>
        </w:rPr>
        <w:t>, the Partnership may issue additional Partnership Interests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31" w:name="page32"/>
    <w:bookmarkEnd w:id="31"/>
    <w:p>
      <w:pPr>
        <w:ind w:right="180"/>
        <w:spacing w:after="0"/>
        <w:rPr>
          <w:sz w:val="20"/>
          <w:szCs w:val="20"/>
          <w:color w:val="auto"/>
        </w:rPr>
      </w:pPr>
      <w:r>
        <w:rPr>
          <w:rFonts w:ascii="Arial" w:cs="Arial" w:eastAsia="Arial" w:hAnsi="Arial"/>
          <w:sz w:val="22"/>
          <w:szCs w:val="22"/>
          <w:color w:val="auto"/>
        </w:rPr>
        <w:t>and options, rights, warrants and appreciation rights relating to the Partnership Interests for any Partnership purpose at any time and from time to time to such Persons for such consideration and on such terms and conditions as the Board of Directors shall determine, all without the approval of any Partners.</w:t>
      </w:r>
    </w:p>
    <w:p>
      <w:pPr>
        <w:spacing w:after="0" w:line="213" w:lineRule="exact"/>
        <w:rPr>
          <w:sz w:val="20"/>
          <w:szCs w:val="20"/>
          <w:color w:val="auto"/>
        </w:rPr>
      </w:pPr>
    </w:p>
    <w:p>
      <w:pPr>
        <w:ind w:right="80" w:firstLine="1304"/>
        <w:spacing w:after="0" w:line="244" w:lineRule="auto"/>
        <w:tabs>
          <w:tab w:leader="none" w:pos="2088" w:val="left"/>
        </w:tabs>
        <w:numPr>
          <w:ilvl w:val="0"/>
          <w:numId w:val="15"/>
        </w:numPr>
        <w:rPr>
          <w:rFonts w:ascii="Arial" w:cs="Arial" w:eastAsia="Arial" w:hAnsi="Arial"/>
          <w:sz w:val="21"/>
          <w:szCs w:val="21"/>
          <w:color w:val="auto"/>
        </w:rPr>
      </w:pPr>
      <w:r>
        <w:rPr>
          <w:rFonts w:ascii="Arial" w:cs="Arial" w:eastAsia="Arial" w:hAnsi="Arial"/>
          <w:sz w:val="21"/>
          <w:szCs w:val="21"/>
          <w:color w:val="auto"/>
        </w:rPr>
        <w:t xml:space="preserve">Each additional Partnership Interest authorized to be issued by the Partnership pursuant to </w:t>
      </w:r>
      <w:r>
        <w:rPr>
          <w:rFonts w:ascii="Arial" w:cs="Arial" w:eastAsia="Arial" w:hAnsi="Arial"/>
          <w:sz w:val="21"/>
          <w:szCs w:val="21"/>
          <w:u w:val="single" w:color="auto"/>
          <w:color w:val="auto"/>
        </w:rPr>
        <w:t>Section 5.2(a)</w:t>
      </w:r>
      <w:r>
        <w:rPr>
          <w:rFonts w:ascii="Arial" w:cs="Arial" w:eastAsia="Arial" w:hAnsi="Arial"/>
          <w:sz w:val="21"/>
          <w:szCs w:val="21"/>
          <w:color w:val="auto"/>
        </w:rPr>
        <w:t xml:space="preserve"> may be issued in one or more classes, or one or more series of any such classes, with such designations, preferences, rights, powers and duties (which may be senior to existing classes and series of Partnership Interests), as shall be fixed by the Board of Directors, including (i) the right to share in Partnership distributions; (ii) the rights upon dissolution and liquidation of the Partnership; (iii) whether, and the terms and conditions upon which, the Partnership may or shall be required to redeem the Partnership Interest (including sinking fund provisions); (iv) whether such Partnership Interest is issued with the privilege of conversion or exchange and, if so, the terms and conditions of such conversion or exchange; (v) the terms and conditions upon which each Partnership Interest will be issued, evidenced by certificates and assigned or transferred; (vi) the method for determining the Percentage Interest as to such Partnership Interest; and (vii) the right, if any, of each such Partnership Interest to vote on Partnership matters, including matters relating to the relative rights, preferences and privileges of such Partnership Interest.</w:t>
      </w:r>
    </w:p>
    <w:p>
      <w:pPr>
        <w:spacing w:after="0" w:line="215" w:lineRule="exact"/>
        <w:rPr>
          <w:rFonts w:ascii="Arial" w:cs="Arial" w:eastAsia="Arial" w:hAnsi="Arial"/>
          <w:sz w:val="21"/>
          <w:szCs w:val="21"/>
          <w:color w:val="auto"/>
        </w:rPr>
      </w:pPr>
    </w:p>
    <w:p>
      <w:pPr>
        <w:ind w:firstLine="1304"/>
        <w:spacing w:after="0" w:line="244" w:lineRule="auto"/>
        <w:tabs>
          <w:tab w:leader="none" w:pos="2076" w:val="left"/>
        </w:tabs>
        <w:numPr>
          <w:ilvl w:val="0"/>
          <w:numId w:val="15"/>
        </w:numPr>
        <w:rPr>
          <w:rFonts w:ascii="Arial" w:cs="Arial" w:eastAsia="Arial" w:hAnsi="Arial"/>
          <w:sz w:val="21"/>
          <w:szCs w:val="21"/>
          <w:color w:val="auto"/>
        </w:rPr>
      </w:pPr>
      <w:r>
        <w:rPr>
          <w:rFonts w:ascii="Arial" w:cs="Arial" w:eastAsia="Arial" w:hAnsi="Arial"/>
          <w:sz w:val="21"/>
          <w:szCs w:val="21"/>
          <w:color w:val="auto"/>
        </w:rPr>
        <w:t xml:space="preserve">The Board of Directors shall take all actions that it determines to be necessary or appropriate in connection with (i) each issuance of Partnership Interests and options, rights, warrants and appreciation rights relating to Partnership Interests pursuant to this </w:t>
      </w:r>
      <w:r>
        <w:rPr>
          <w:rFonts w:ascii="Arial" w:cs="Arial" w:eastAsia="Arial" w:hAnsi="Arial"/>
          <w:sz w:val="21"/>
          <w:szCs w:val="21"/>
          <w:u w:val="single" w:color="auto"/>
          <w:color w:val="auto"/>
        </w:rPr>
        <w:t>Section 5.2</w:t>
      </w:r>
      <w:r>
        <w:rPr>
          <w:rFonts w:ascii="Arial" w:cs="Arial" w:eastAsia="Arial" w:hAnsi="Arial"/>
          <w:sz w:val="21"/>
          <w:szCs w:val="21"/>
          <w:color w:val="auto"/>
        </w:rPr>
        <w:t>, (ii) the conversion of the General Partner Interest (represented by General Partner Units) into Units pursuant to the terms of this Agreement, (iii) the admission of additional Limited Partners and (iv) all additional issuances of Partnership Interests. The Board of Directors shall determine the relative rights, powers and duties of the holders of the Units or other Partnership Interests being so issued. The Board of Directors shall do all things necessary to comply with the Marshall Islands Act and is authorized and directed to do all things that it determines to be necessary or appropriate in connection with any future issuance of Partnership Interests or in connection with the conversion of the General Partner Interest into Units pursuant to the terms of this Agreement, including compliance with any statute, rule, regulation or guideline of any federal, state or other governmental agency or any National Securities Exchange on which the Units or other Partnership Interests are listed or admitted to trading.</w:t>
      </w:r>
    </w:p>
    <w:p>
      <w:pPr>
        <w:spacing w:after="0" w:line="215" w:lineRule="exact"/>
        <w:rPr>
          <w:sz w:val="20"/>
          <w:szCs w:val="20"/>
          <w:color w:val="auto"/>
        </w:rPr>
      </w:pPr>
    </w:p>
    <w:p>
      <w:pPr>
        <w:ind w:right="180" w:firstLine="1296"/>
        <w:spacing w:after="0"/>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i w:val="1"/>
          <w:iCs w:val="1"/>
          <w:color w:val="auto"/>
        </w:rPr>
        <w:t>Limitations on Issuance of Additional Partnership Interests</w:t>
      </w:r>
      <w:r>
        <w:rPr>
          <w:rFonts w:ascii="Arial" w:cs="Arial" w:eastAsia="Arial" w:hAnsi="Arial"/>
          <w:sz w:val="22"/>
          <w:szCs w:val="22"/>
          <w:color w:val="auto"/>
        </w:rPr>
        <w:t xml:space="preserve">. The Partnership may issue an unlimited number of Partnership Interests (or options, rights, warrants or appreciation rights related thereto)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5.2</w:t>
      </w:r>
      <w:r>
        <w:rPr>
          <w:rFonts w:ascii="Arial" w:cs="Arial" w:eastAsia="Arial" w:hAnsi="Arial"/>
          <w:sz w:val="22"/>
          <w:szCs w:val="22"/>
          <w:color w:val="auto"/>
        </w:rPr>
        <w:t xml:space="preserve"> without the approval of the Partners.</w:t>
      </w:r>
    </w:p>
    <w:p>
      <w:pPr>
        <w:spacing w:after="0" w:line="213" w:lineRule="exact"/>
        <w:rPr>
          <w:sz w:val="20"/>
          <w:szCs w:val="20"/>
          <w:color w:val="auto"/>
        </w:rPr>
      </w:pPr>
    </w:p>
    <w:p>
      <w:pPr>
        <w:ind w:right="100" w:firstLine="1296"/>
        <w:spacing w:after="0" w:line="235" w:lineRule="auto"/>
        <w:rPr>
          <w:sz w:val="20"/>
          <w:szCs w:val="20"/>
          <w:color w:val="auto"/>
        </w:rPr>
      </w:pPr>
      <w:r>
        <w:rPr>
          <w:rFonts w:ascii="Arial" w:cs="Arial" w:eastAsia="Arial" w:hAnsi="Arial"/>
          <w:sz w:val="22"/>
          <w:szCs w:val="22"/>
          <w:color w:val="auto"/>
        </w:rPr>
        <w:t xml:space="preserve">Section 5.4. </w:t>
      </w:r>
      <w:r>
        <w:rPr>
          <w:rFonts w:ascii="Arial" w:cs="Arial" w:eastAsia="Arial" w:hAnsi="Arial"/>
          <w:sz w:val="22"/>
          <w:szCs w:val="22"/>
          <w:i w:val="1"/>
          <w:iCs w:val="1"/>
          <w:color w:val="auto"/>
        </w:rPr>
        <w:t>Limited Preemptive Right.</w:t>
      </w:r>
      <w:r>
        <w:rPr>
          <w:rFonts w:ascii="Arial" w:cs="Arial" w:eastAsia="Arial" w:hAnsi="Arial"/>
          <w:sz w:val="22"/>
          <w:szCs w:val="22"/>
          <w:color w:val="auto"/>
        </w:rPr>
        <w:t xml:space="preserve"> (a) Except as provided in this </w:t>
      </w:r>
      <w:r>
        <w:rPr>
          <w:rFonts w:ascii="Arial" w:cs="Arial" w:eastAsia="Arial" w:hAnsi="Arial"/>
          <w:sz w:val="22"/>
          <w:szCs w:val="22"/>
          <w:u w:val="single" w:color="auto"/>
          <w:color w:val="auto"/>
        </w:rPr>
        <w:t>Section 5.4</w:t>
      </w:r>
      <w:r>
        <w:rPr>
          <w:rFonts w:ascii="Arial" w:cs="Arial" w:eastAsia="Arial" w:hAnsi="Arial"/>
          <w:sz w:val="22"/>
          <w:szCs w:val="22"/>
          <w:color w:val="auto"/>
        </w:rPr>
        <w:t>, no Person shall have any preemptive, preferential or other similar right with respect to the issuance of any Partnership Interest, whether unissued, held in the treasury or hereafter created. The General Partner shall have the right, which it may from time to time assign in whole or in part to any of its Affiliates, to purchase Partnership Interests from the Partnership whenever, and on the same terms that, the Partnership issues Partnership Interests to Persons other than the General Partner and its Affiliates, to the extent necessary to maintain the Percentage Interests of</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32" w:name="page33"/>
    <w:bookmarkEnd w:id="32"/>
    <w:p>
      <w:pPr>
        <w:ind w:right="20"/>
        <w:spacing w:after="0" w:line="287" w:lineRule="auto"/>
        <w:rPr>
          <w:sz w:val="20"/>
          <w:szCs w:val="20"/>
          <w:color w:val="auto"/>
        </w:rPr>
      </w:pPr>
      <w:r>
        <w:rPr>
          <w:rFonts w:ascii="Arial" w:cs="Arial" w:eastAsia="Arial" w:hAnsi="Arial"/>
          <w:sz w:val="19"/>
          <w:szCs w:val="19"/>
          <w:color w:val="auto"/>
        </w:rPr>
        <w:t xml:space="preserve">the General Partner and its Affiliates equal to that which existed immediately prior to the issuance of such Partnership Interests;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amount of any series of Preference Units issued by the Partnership from time to time that the General</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Partner shall have a right to purchase pursuant to this </w:t>
      </w:r>
      <w:r>
        <w:rPr>
          <w:rFonts w:ascii="Arial" w:cs="Arial" w:eastAsia="Arial" w:hAnsi="Arial"/>
          <w:sz w:val="19"/>
          <w:szCs w:val="19"/>
          <w:u w:val="single" w:color="auto"/>
          <w:color w:val="auto"/>
        </w:rPr>
        <w:t>Section 5.4</w:t>
      </w:r>
      <w:r>
        <w:rPr>
          <w:rFonts w:ascii="Arial" w:cs="Arial" w:eastAsia="Arial" w:hAnsi="Arial"/>
          <w:sz w:val="19"/>
          <w:szCs w:val="19"/>
          <w:color w:val="auto"/>
        </w:rPr>
        <w:t xml:space="preserve"> shall equal the product of (a) the aggregate Percentage Interest of the General Partner and its Affiliates multiplied by (b) the number of such series of Preference Units so issued.</w:t>
      </w:r>
    </w:p>
    <w:p>
      <w:pPr>
        <w:spacing w:after="0" w:line="170" w:lineRule="exact"/>
        <w:rPr>
          <w:sz w:val="20"/>
          <w:szCs w:val="20"/>
          <w:color w:val="auto"/>
        </w:rPr>
      </w:pPr>
    </w:p>
    <w:p>
      <w:pPr>
        <w:ind w:right="40" w:firstLine="1304"/>
        <w:spacing w:after="0" w:line="277" w:lineRule="auto"/>
        <w:tabs>
          <w:tab w:leader="none" w:pos="2088" w:val="left"/>
        </w:tabs>
        <w:numPr>
          <w:ilvl w:val="0"/>
          <w:numId w:val="16"/>
        </w:numPr>
        <w:rPr>
          <w:rFonts w:ascii="Arial" w:cs="Arial" w:eastAsia="Arial" w:hAnsi="Arial"/>
          <w:sz w:val="19"/>
          <w:szCs w:val="19"/>
          <w:color w:val="auto"/>
        </w:rPr>
      </w:pPr>
      <w:r>
        <w:rPr>
          <w:rFonts w:ascii="Arial" w:cs="Arial" w:eastAsia="Arial" w:hAnsi="Arial"/>
          <w:sz w:val="19"/>
          <w:szCs w:val="19"/>
          <w:color w:val="auto"/>
        </w:rPr>
        <w:t>Upon the issuance of any additional Limited Partner Interests by the Partnership (other than the issuance of Limited Partner Interests upon conversion of Outstanding Limited Partner Interests), the General Partner may, in exchange for a proportionate number of General Partner Units, make additional Capital Contributions in an amount equal to the product obtained by multiplying (i) the quotient determined by dividing (A) the General Partner’s Percentage Interest immediately prior to such issuance by (B) 100 less the General Partner’s Percentage Interest immediately prior to such issuance by (ii) the amount contributed to the Partnership by the Limited Partners in exchange for such additional Limited Partner Interests. The General Partner shall not be obligated to make additional Capital Contributions to the Partnership.</w:t>
      </w:r>
    </w:p>
    <w:p>
      <w:pPr>
        <w:spacing w:after="0" w:line="179" w:lineRule="exact"/>
        <w:rPr>
          <w:sz w:val="20"/>
          <w:szCs w:val="20"/>
          <w:color w:val="auto"/>
        </w:rPr>
      </w:pPr>
    </w:p>
    <w:p>
      <w:pPr>
        <w:ind w:right="20" w:firstLine="1296"/>
        <w:spacing w:after="0" w:line="275" w:lineRule="auto"/>
        <w:rPr>
          <w:sz w:val="20"/>
          <w:szCs w:val="20"/>
          <w:color w:val="auto"/>
        </w:rPr>
      </w:pPr>
      <w:r>
        <w:rPr>
          <w:rFonts w:ascii="Arial" w:cs="Arial" w:eastAsia="Arial" w:hAnsi="Arial"/>
          <w:sz w:val="19"/>
          <w:szCs w:val="19"/>
          <w:color w:val="auto"/>
        </w:rPr>
        <w:t xml:space="preserve">Section 5.5. </w:t>
      </w:r>
      <w:r>
        <w:rPr>
          <w:rFonts w:ascii="Arial" w:cs="Arial" w:eastAsia="Arial" w:hAnsi="Arial"/>
          <w:sz w:val="19"/>
          <w:szCs w:val="19"/>
          <w:i w:val="1"/>
          <w:iCs w:val="1"/>
          <w:color w:val="auto"/>
        </w:rPr>
        <w:t>Splits and Combinations.</w:t>
      </w:r>
      <w:r>
        <w:rPr>
          <w:rFonts w:ascii="Arial" w:cs="Arial" w:eastAsia="Arial" w:hAnsi="Arial"/>
          <w:sz w:val="19"/>
          <w:szCs w:val="19"/>
          <w:color w:val="auto"/>
        </w:rPr>
        <w:t xml:space="preserve"> (a) Subject to </w:t>
      </w:r>
      <w:r>
        <w:rPr>
          <w:rFonts w:ascii="Arial" w:cs="Arial" w:eastAsia="Arial" w:hAnsi="Arial"/>
          <w:sz w:val="19"/>
          <w:szCs w:val="19"/>
          <w:u w:val="single" w:color="auto"/>
          <w:color w:val="auto"/>
        </w:rPr>
        <w:t>Section 5.5(d)</w:t>
      </w:r>
      <w:r>
        <w:rPr>
          <w:rFonts w:ascii="Arial" w:cs="Arial" w:eastAsia="Arial" w:hAnsi="Arial"/>
          <w:sz w:val="19"/>
          <w:szCs w:val="19"/>
          <w:color w:val="auto"/>
        </w:rPr>
        <w:t>, the Partnership may make a Pro Rata distribution of Partnership Interests (other than Series A Preference Units, Series B Preference Units and Series C Preference Units) to all Record Holders of the same class or series of Partnership Interests or may effect a subdivision or combination of the same class or series of Partnership Interests so long as, after any such event, each Partner holding such class or series of such Partnership Interests shall have the same Percentage Interest in the Partnership as before such event, and any amounts calculated on a per Unit basis (including those based on the Series A Liquidation Preference, the Series B Liquidation Preference, the Series C Liquidation Preference, the Stated Series A Liquidation Preference, the Stated Series B Liquidation Preference or the Stated Series C Liquidation Preference) or stated as a number of Units are proportionately adjusted, to the extent applicable.</w:t>
      </w:r>
    </w:p>
    <w:p>
      <w:pPr>
        <w:spacing w:after="0" w:line="184" w:lineRule="exact"/>
        <w:rPr>
          <w:sz w:val="20"/>
          <w:szCs w:val="20"/>
          <w:color w:val="auto"/>
        </w:rPr>
      </w:pPr>
    </w:p>
    <w:p>
      <w:pPr>
        <w:ind w:right="40" w:firstLine="1304"/>
        <w:spacing w:after="0" w:line="234" w:lineRule="auto"/>
        <w:tabs>
          <w:tab w:leader="none" w:pos="2088" w:val="left"/>
        </w:tabs>
        <w:numPr>
          <w:ilvl w:val="0"/>
          <w:numId w:val="17"/>
        </w:numPr>
        <w:rPr>
          <w:rFonts w:ascii="Arial" w:cs="Arial" w:eastAsia="Arial" w:hAnsi="Arial"/>
          <w:sz w:val="22"/>
          <w:szCs w:val="22"/>
          <w:color w:val="auto"/>
        </w:rPr>
      </w:pPr>
      <w:r>
        <w:rPr>
          <w:rFonts w:ascii="Arial" w:cs="Arial" w:eastAsia="Arial" w:hAnsi="Arial"/>
          <w:sz w:val="22"/>
          <w:szCs w:val="22"/>
          <w:color w:val="auto"/>
        </w:rPr>
        <w:t>Whenever such a Pro Rata distribution, subdivision or combination of Partnership Interests is declared, the Board of Directors shall select a Record Date as of which the distribution, subdivision or combination shall be effective and shall send notice thereof at least 20 days prior to such Record Date to each Record Holder as of a date not less than 10 days prior to the date of such notice. The Board of Directors also may cause a firm of independent public accountants selected by it to calculate the number of Partnership Interests to be held by each Record Holder after giving effect to such distribution, subdivision or combination. The Board of Directors shall be entitled to rely on any certificate provided by such firm as conclusive evidence of the accuracy of such calculation.</w:t>
      </w:r>
    </w:p>
    <w:p>
      <w:pPr>
        <w:spacing w:after="0" w:line="217" w:lineRule="exact"/>
        <w:rPr>
          <w:rFonts w:ascii="Arial" w:cs="Arial" w:eastAsia="Arial" w:hAnsi="Arial"/>
          <w:sz w:val="22"/>
          <w:szCs w:val="22"/>
          <w:color w:val="auto"/>
        </w:rPr>
      </w:pPr>
    </w:p>
    <w:p>
      <w:pPr>
        <w:ind w:firstLine="1304"/>
        <w:spacing w:after="0" w:line="235" w:lineRule="auto"/>
        <w:tabs>
          <w:tab w:leader="none" w:pos="2076" w:val="left"/>
        </w:tabs>
        <w:numPr>
          <w:ilvl w:val="0"/>
          <w:numId w:val="17"/>
        </w:numPr>
        <w:rPr>
          <w:rFonts w:ascii="Arial" w:cs="Arial" w:eastAsia="Arial" w:hAnsi="Arial"/>
          <w:sz w:val="22"/>
          <w:szCs w:val="22"/>
          <w:color w:val="auto"/>
        </w:rPr>
      </w:pPr>
      <w:r>
        <w:rPr>
          <w:rFonts w:ascii="Arial" w:cs="Arial" w:eastAsia="Arial" w:hAnsi="Arial"/>
          <w:sz w:val="22"/>
          <w:szCs w:val="22"/>
          <w:color w:val="auto"/>
        </w:rPr>
        <w:t>Promptly following any such distribution, subdivision or combination, the Partnership may issue Certificates or uncertificated Partnership Interests to the Record Holders of Partnership Interests as of the applicable Record Date representing the new number of Partnership Interests held by such Record Holders, or the Board of Directors may adopt such other procedures that it determines to be necessary or appropriate to reflect such changes. If any such combination results in a smaller total number of Partnership Interests Outstanding, the Partnership shall require, as a condition to the delivery to a Record Holder of such new</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04" w:right="399" w:bottom="1440" w:gutter="0" w:footer="0" w:header="0"/>
        </w:sectPr>
      </w:pPr>
    </w:p>
    <w:bookmarkStart w:id="33" w:name="page34"/>
    <w:bookmarkEnd w:id="33"/>
    <w:p>
      <w:pPr>
        <w:ind w:right="180"/>
        <w:spacing w:after="0" w:line="250" w:lineRule="auto"/>
        <w:rPr>
          <w:sz w:val="20"/>
          <w:szCs w:val="20"/>
          <w:color w:val="auto"/>
        </w:rPr>
      </w:pPr>
      <w:r>
        <w:rPr>
          <w:rFonts w:ascii="Arial" w:cs="Arial" w:eastAsia="Arial" w:hAnsi="Arial"/>
          <w:sz w:val="22"/>
          <w:szCs w:val="22"/>
          <w:color w:val="auto"/>
        </w:rPr>
        <w:t>Certificate or uncertificated Partnership Interest, the surrender of any Certificate held by such Record Holder immediately prior to such Record Date.</w:t>
      </w:r>
    </w:p>
    <w:p>
      <w:pPr>
        <w:spacing w:after="0" w:line="202" w:lineRule="exact"/>
        <w:rPr>
          <w:sz w:val="20"/>
          <w:szCs w:val="20"/>
          <w:color w:val="auto"/>
        </w:rPr>
      </w:pPr>
    </w:p>
    <w:p>
      <w:pPr>
        <w:ind w:firstLine="1304"/>
        <w:spacing w:after="0" w:line="238" w:lineRule="auto"/>
        <w:tabs>
          <w:tab w:leader="none" w:pos="2088" w:val="left"/>
        </w:tabs>
        <w:numPr>
          <w:ilvl w:val="0"/>
          <w:numId w:val="18"/>
        </w:numPr>
        <w:rPr>
          <w:rFonts w:ascii="Arial" w:cs="Arial" w:eastAsia="Arial" w:hAnsi="Arial"/>
          <w:sz w:val="22"/>
          <w:szCs w:val="22"/>
          <w:color w:val="auto"/>
        </w:rPr>
      </w:pPr>
      <w:r>
        <w:rPr>
          <w:rFonts w:ascii="Arial" w:cs="Arial" w:eastAsia="Arial" w:hAnsi="Arial"/>
          <w:sz w:val="22"/>
          <w:szCs w:val="22"/>
          <w:color w:val="auto"/>
        </w:rPr>
        <w:t xml:space="preserve">The Partnership shall not issue fractional Units upon any distribution, subdivision or combination of Units. If a distribution, subdivision or combination of Units would result in the issuance of fractional Units but for the provisions of this </w:t>
      </w:r>
      <w:r>
        <w:rPr>
          <w:rFonts w:ascii="Arial" w:cs="Arial" w:eastAsia="Arial" w:hAnsi="Arial"/>
          <w:sz w:val="22"/>
          <w:szCs w:val="22"/>
          <w:u w:val="single" w:color="auto"/>
          <w:color w:val="auto"/>
        </w:rPr>
        <w:t>Section 5.5(d)</w:t>
      </w:r>
      <w:r>
        <w:rPr>
          <w:rFonts w:ascii="Arial" w:cs="Arial" w:eastAsia="Arial" w:hAnsi="Arial"/>
          <w:sz w:val="22"/>
          <w:szCs w:val="22"/>
          <w:color w:val="auto"/>
        </w:rPr>
        <w:t>, each fractional Unit shall be rounded to the nearest whole Unit (and a 0.5 Unit shall be rounded to the next higher Unit).</w:t>
      </w:r>
    </w:p>
    <w:p>
      <w:pPr>
        <w:spacing w:after="0" w:line="212" w:lineRule="exact"/>
        <w:rPr>
          <w:sz w:val="20"/>
          <w:szCs w:val="20"/>
          <w:color w:val="auto"/>
        </w:rPr>
      </w:pPr>
    </w:p>
    <w:p>
      <w:pPr>
        <w:ind w:right="440" w:firstLine="1296"/>
        <w:spacing w:after="0" w:line="297" w:lineRule="auto"/>
        <w:rPr>
          <w:sz w:val="20"/>
          <w:szCs w:val="20"/>
          <w:color w:val="auto"/>
        </w:rPr>
      </w:pPr>
      <w:r>
        <w:rPr>
          <w:rFonts w:ascii="Arial" w:cs="Arial" w:eastAsia="Arial" w:hAnsi="Arial"/>
          <w:sz w:val="19"/>
          <w:szCs w:val="19"/>
          <w:color w:val="auto"/>
        </w:rPr>
        <w:t xml:space="preserve">Section 5.6. </w:t>
      </w:r>
      <w:r>
        <w:rPr>
          <w:rFonts w:ascii="Arial" w:cs="Arial" w:eastAsia="Arial" w:hAnsi="Arial"/>
          <w:sz w:val="19"/>
          <w:szCs w:val="19"/>
          <w:i w:val="1"/>
          <w:iCs w:val="1"/>
          <w:color w:val="auto"/>
        </w:rPr>
        <w:t>Fully Paid and Non-Assessable Nature of Limited Partner Interests</w:t>
      </w:r>
      <w:r>
        <w:rPr>
          <w:rFonts w:ascii="Arial" w:cs="Arial" w:eastAsia="Arial" w:hAnsi="Arial"/>
          <w:sz w:val="19"/>
          <w:szCs w:val="19"/>
          <w:color w:val="auto"/>
        </w:rPr>
        <w:t xml:space="preserve">. All Limited Partner Interests issued pursuant to, and in accordance with the requirements of,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be fully paid and non-assessable Limited Partner Interests in the Partnership, except as such non-assessability may be affected by the Marshall Islands Act.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DISTRIBUTIONS</w:t>
      </w:r>
    </w:p>
    <w:p>
      <w:pPr>
        <w:spacing w:after="0" w:line="215" w:lineRule="exact"/>
        <w:rPr>
          <w:sz w:val="20"/>
          <w:szCs w:val="20"/>
          <w:color w:val="auto"/>
        </w:rPr>
      </w:pPr>
    </w:p>
    <w:p>
      <w:pPr>
        <w:ind w:right="20" w:firstLine="1296"/>
        <w:spacing w:after="0" w:line="244" w:lineRule="auto"/>
        <w:rPr>
          <w:sz w:val="20"/>
          <w:szCs w:val="20"/>
          <w:color w:val="auto"/>
        </w:rPr>
      </w:pPr>
      <w:r>
        <w:rPr>
          <w:rFonts w:ascii="Arial" w:cs="Arial" w:eastAsia="Arial" w:hAnsi="Arial"/>
          <w:sz w:val="21"/>
          <w:szCs w:val="21"/>
          <w:color w:val="auto"/>
        </w:rPr>
        <w:t xml:space="preserve">Section 6.1. </w:t>
      </w:r>
      <w:r>
        <w:rPr>
          <w:rFonts w:ascii="Arial" w:cs="Arial" w:eastAsia="Arial" w:hAnsi="Arial"/>
          <w:sz w:val="21"/>
          <w:szCs w:val="21"/>
          <w:i w:val="1"/>
          <w:iCs w:val="1"/>
          <w:color w:val="auto"/>
        </w:rPr>
        <w:t>Allocations</w:t>
      </w:r>
      <w:r>
        <w:rPr>
          <w:rFonts w:ascii="Arial" w:cs="Arial" w:eastAsia="Arial" w:hAnsi="Arial"/>
          <w:sz w:val="21"/>
          <w:szCs w:val="21"/>
          <w:color w:val="auto"/>
        </w:rPr>
        <w:t xml:space="preserve">. The Partnership shall determine its profit or loss and allocate such profit or loss among the Partners in a manner determined appropriate so as to cause, to the extent possible, a capital account maintained with respect to each Partnership Interest to equal the excess of (a) the hypothetical distribution that would be paid with respect to such Partnership Interest in the event the Partnership sold all of its assets for their respective book values (as determined for such purpose), satisfied all outstanding liabilities (limited, with respect to nonrecourse liabilities, to the book value of the assets securing such liabilities) and distributed the remaining proceeds in accordance with </w:t>
      </w:r>
      <w:r>
        <w:rPr>
          <w:rFonts w:ascii="Arial" w:cs="Arial" w:eastAsia="Arial" w:hAnsi="Arial"/>
          <w:sz w:val="21"/>
          <w:szCs w:val="21"/>
          <w:u w:val="single" w:color="auto"/>
          <w:color w:val="auto"/>
        </w:rPr>
        <w:t>Section 12.4</w:t>
      </w:r>
      <w:r>
        <w:rPr>
          <w:rFonts w:ascii="Arial" w:cs="Arial" w:eastAsia="Arial" w:hAnsi="Arial"/>
          <w:sz w:val="21"/>
          <w:szCs w:val="21"/>
          <w:color w:val="auto"/>
        </w:rPr>
        <w:t xml:space="preserve">, over (b) the sum of the outstanding balance of any nonrecourse liabilities not required to be repaid in the event of such a hypothetical liquidation that are properly allocable to losses or distributions with respect to such Partnership Interest and the amount (if any) that would be required to be contributed to the Partnership with respect to such Partnership Interest upon such a hypothetical liquidation; </w:t>
      </w:r>
      <w:r>
        <w:rPr>
          <w:rFonts w:ascii="Arial" w:cs="Arial" w:eastAsia="Arial" w:hAnsi="Arial"/>
          <w:sz w:val="21"/>
          <w:szCs w:val="21"/>
          <w:i w:val="1"/>
          <w:iCs w:val="1"/>
          <w:color w:val="auto"/>
        </w:rPr>
        <w:t>provided</w:t>
      </w:r>
      <w:r>
        <w:rPr>
          <w:rFonts w:ascii="Arial" w:cs="Arial" w:eastAsia="Arial" w:hAnsi="Arial"/>
          <w:sz w:val="21"/>
          <w:szCs w:val="21"/>
          <w:color w:val="auto"/>
        </w:rPr>
        <w:t>,</w:t>
      </w:r>
      <w:r>
        <w:rPr>
          <w:rFonts w:ascii="Arial" w:cs="Arial" w:eastAsia="Arial" w:hAnsi="Arial"/>
          <w:sz w:val="21"/>
          <w:szCs w:val="21"/>
          <w:i w:val="1"/>
          <w:iCs w:val="1"/>
          <w:color w:val="auto"/>
        </w:rPr>
        <w:t xml:space="preserve"> however</w:t>
      </w:r>
      <w:r>
        <w:rPr>
          <w:rFonts w:ascii="Arial" w:cs="Arial" w:eastAsia="Arial" w:hAnsi="Arial"/>
          <w:sz w:val="21"/>
          <w:szCs w:val="21"/>
          <w:color w:val="auto"/>
        </w:rPr>
        <w:t>, that the Partnership may deviate from the foregoing, as determined necessary or appropriate, for proper</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administration of the Partnership or otherwise to preserve or achieve uniformity of the Limited Partner Interests (or any class or classes thereof). For the avoidance of doubt, the allocations described in this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shall not apply for U.S. federal income tax purposes.</w:t>
      </w:r>
    </w:p>
    <w:p>
      <w:pPr>
        <w:spacing w:after="0" w:line="210" w:lineRule="exact"/>
        <w:rPr>
          <w:sz w:val="20"/>
          <w:szCs w:val="20"/>
          <w:color w:val="auto"/>
        </w:rPr>
      </w:pPr>
    </w:p>
    <w:p>
      <w:pPr>
        <w:ind w:firstLine="1296"/>
        <w:spacing w:after="0" w:line="279"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i w:val="1"/>
          <w:iCs w:val="1"/>
          <w:color w:val="auto"/>
        </w:rPr>
        <w:t>Requirement and Characterization of Distributions; Distributions to Record Holders</w:t>
      </w:r>
      <w:r>
        <w:rPr>
          <w:rFonts w:ascii="Arial" w:cs="Arial" w:eastAsia="Arial" w:hAnsi="Arial"/>
          <w:sz w:val="19"/>
          <w:szCs w:val="19"/>
          <w:color w:val="auto"/>
        </w:rPr>
        <w:t xml:space="preserve">. (a) Cash or other property available for distribution may, subject to Section 51 of the Marshall Islands Act, be distributed, as determined by the Board of Directors from time to time, in accordance with this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by the Partnership to the Partners as of the Record Date selected by the Board of Directors. Notwithstanding any provision to the contrary contained in this Agreement, the Partnership shall not make a distribution to any Partner on account of its interest in the Partnership if such distribution would violate the Marshall Islands Act or any other applicable law. This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shall not apply to Preference Units.</w:t>
      </w:r>
    </w:p>
    <w:p>
      <w:pPr>
        <w:spacing w:after="0" w:line="177" w:lineRule="exact"/>
        <w:rPr>
          <w:sz w:val="20"/>
          <w:szCs w:val="20"/>
          <w:color w:val="auto"/>
        </w:rPr>
      </w:pPr>
    </w:p>
    <w:p>
      <w:pPr>
        <w:ind w:right="60" w:firstLine="1304"/>
        <w:spacing w:after="0"/>
        <w:tabs>
          <w:tab w:leader="none" w:pos="2088" w:val="left"/>
        </w:tabs>
        <w:numPr>
          <w:ilvl w:val="0"/>
          <w:numId w:val="19"/>
        </w:numPr>
        <w:rPr>
          <w:rFonts w:ascii="Arial" w:cs="Arial" w:eastAsia="Arial" w:hAnsi="Arial"/>
          <w:sz w:val="22"/>
          <w:szCs w:val="22"/>
          <w:color w:val="auto"/>
        </w:rPr>
      </w:pPr>
      <w:r>
        <w:rPr>
          <w:rFonts w:ascii="Arial" w:cs="Arial" w:eastAsia="Arial" w:hAnsi="Arial"/>
          <w:sz w:val="22"/>
          <w:szCs w:val="22"/>
          <w:color w:val="auto"/>
        </w:rPr>
        <w:t xml:space="preserve">Notwithstanding the first sentence of </w:t>
      </w:r>
      <w:r>
        <w:rPr>
          <w:rFonts w:ascii="Arial" w:cs="Arial" w:eastAsia="Arial" w:hAnsi="Arial"/>
          <w:sz w:val="22"/>
          <w:szCs w:val="22"/>
          <w:u w:val="single" w:color="auto"/>
          <w:color w:val="auto"/>
        </w:rPr>
        <w:t>Section 6.2(a)</w:t>
      </w:r>
      <w:r>
        <w:rPr>
          <w:rFonts w:ascii="Arial" w:cs="Arial" w:eastAsia="Arial" w:hAnsi="Arial"/>
          <w:sz w:val="22"/>
          <w:szCs w:val="22"/>
          <w:color w:val="auto"/>
        </w:rPr>
        <w:t>, in the event of the dissolution and liquidation of the Partnership, all receipts received during or after the Quarter in which the Liquidation Date occurs, other than from Working Capital Borrowings, shall be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34" w:name="page35"/>
    <w:bookmarkEnd w:id="34"/>
    <w:p>
      <w:pPr>
        <w:spacing w:after="0"/>
        <w:rPr>
          <w:sz w:val="20"/>
          <w:szCs w:val="20"/>
          <w:color w:val="auto"/>
        </w:rPr>
      </w:pPr>
      <w:r>
        <w:rPr>
          <w:rFonts w:ascii="Arial" w:cs="Arial" w:eastAsia="Arial" w:hAnsi="Arial"/>
          <w:sz w:val="22"/>
          <w:szCs w:val="22"/>
          <w:color w:val="auto"/>
        </w:rPr>
        <w:t xml:space="preserve">applied and distributed solely in accordance with, and subject to the terms and conditions of, </w:t>
      </w:r>
      <w:r>
        <w:rPr>
          <w:rFonts w:ascii="Arial" w:cs="Arial" w:eastAsia="Arial" w:hAnsi="Arial"/>
          <w:sz w:val="22"/>
          <w:szCs w:val="22"/>
          <w:u w:val="single" w:color="auto"/>
          <w:color w:val="auto"/>
        </w:rPr>
        <w:t>Section 12.4</w:t>
      </w:r>
      <w:r>
        <w:rPr>
          <w:rFonts w:ascii="Arial" w:cs="Arial" w:eastAsia="Arial" w:hAnsi="Arial"/>
          <w:sz w:val="22"/>
          <w:szCs w:val="22"/>
          <w:color w:val="auto"/>
        </w:rPr>
        <w:t>.</w:t>
      </w:r>
    </w:p>
    <w:p>
      <w:pPr>
        <w:spacing w:after="0" w:line="233" w:lineRule="exact"/>
        <w:rPr>
          <w:sz w:val="20"/>
          <w:szCs w:val="20"/>
          <w:color w:val="auto"/>
        </w:rPr>
      </w:pPr>
    </w:p>
    <w:p>
      <w:pPr>
        <w:jc w:val="both"/>
        <w:ind w:right="60" w:firstLine="1304"/>
        <w:spacing w:after="0" w:line="236" w:lineRule="auto"/>
        <w:tabs>
          <w:tab w:leader="none" w:pos="2076" w:val="left"/>
        </w:tabs>
        <w:numPr>
          <w:ilvl w:val="0"/>
          <w:numId w:val="20"/>
        </w:numPr>
        <w:rPr>
          <w:rFonts w:ascii="Arial" w:cs="Arial" w:eastAsia="Arial" w:hAnsi="Arial"/>
          <w:sz w:val="22"/>
          <w:szCs w:val="22"/>
          <w:color w:val="auto"/>
        </w:rPr>
      </w:pPr>
      <w:r>
        <w:rPr>
          <w:rFonts w:ascii="Arial" w:cs="Arial" w:eastAsia="Arial" w:hAnsi="Arial"/>
          <w:sz w:val="22"/>
          <w:szCs w:val="22"/>
          <w:color w:val="auto"/>
        </w:rPr>
        <w:t>Each distribution in respect of a Partnership Interest shall be paid by the Partnership, directly or through the Transfer Agent or through any other Person or agent, only to the Record Holder of such Partnership Interest as of the Record Date set for such distribution. Such payment shall constitute full payment and satisfaction of the Partnership’s liability in respect of such payment, regardless of any claim of any Person who may have an interest in such payment by reason of an assignment or otherwise.</w:t>
      </w:r>
    </w:p>
    <w:p>
      <w:pPr>
        <w:spacing w:after="0" w:line="214" w:lineRule="exact"/>
        <w:rPr>
          <w:sz w:val="20"/>
          <w:szCs w:val="20"/>
          <w:color w:val="auto"/>
        </w:rPr>
      </w:pPr>
    </w:p>
    <w:p>
      <w:pPr>
        <w:ind w:right="120" w:firstLine="1296"/>
        <w:spacing w:after="0" w:line="270" w:lineRule="auto"/>
        <w:rPr>
          <w:sz w:val="20"/>
          <w:szCs w:val="20"/>
          <w:color w:val="auto"/>
        </w:rPr>
      </w:pPr>
      <w:r>
        <w:rPr>
          <w:rFonts w:ascii="Arial" w:cs="Arial" w:eastAsia="Arial" w:hAnsi="Arial"/>
          <w:sz w:val="19"/>
          <w:szCs w:val="19"/>
          <w:color w:val="auto"/>
        </w:rPr>
        <w:t xml:space="preserve">Section 6.3. </w:t>
      </w:r>
      <w:r>
        <w:rPr>
          <w:rFonts w:ascii="Arial" w:cs="Arial" w:eastAsia="Arial" w:hAnsi="Arial"/>
          <w:sz w:val="19"/>
          <w:szCs w:val="19"/>
          <w:i w:val="1"/>
          <w:iCs w:val="1"/>
          <w:color w:val="auto"/>
        </w:rPr>
        <w:t>Distributions of Cash or Other Property</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16.3</w:t>
      </w:r>
      <w:r>
        <w:rPr>
          <w:rFonts w:ascii="Arial" w:cs="Arial" w:eastAsia="Arial" w:hAnsi="Arial"/>
          <w:sz w:val="19"/>
          <w:szCs w:val="19"/>
          <w:color w:val="auto"/>
        </w:rPr>
        <w:t xml:space="preserve"> in respect of Series A Preference Units described therein, subject to </w:t>
      </w:r>
      <w:r>
        <w:rPr>
          <w:rFonts w:ascii="Arial" w:cs="Arial" w:eastAsia="Arial" w:hAnsi="Arial"/>
          <w:sz w:val="19"/>
          <w:szCs w:val="19"/>
          <w:u w:val="single" w:color="auto"/>
          <w:color w:val="auto"/>
        </w:rPr>
        <w:t>Section 17.3</w:t>
      </w:r>
      <w:r>
        <w:rPr>
          <w:rFonts w:ascii="Arial" w:cs="Arial" w:eastAsia="Arial" w:hAnsi="Arial"/>
          <w:sz w:val="19"/>
          <w:szCs w:val="19"/>
          <w:color w:val="auto"/>
        </w:rPr>
        <w:t xml:space="preserve"> in respect of Series B Preference Units described therein and subject to </w:t>
      </w:r>
      <w:r>
        <w:rPr>
          <w:rFonts w:ascii="Arial" w:cs="Arial" w:eastAsia="Arial" w:hAnsi="Arial"/>
          <w:sz w:val="19"/>
          <w:szCs w:val="19"/>
          <w:u w:val="single" w:color="auto"/>
          <w:color w:val="auto"/>
        </w:rPr>
        <w:t>Section 18.3</w:t>
      </w:r>
      <w:r>
        <w:rPr>
          <w:rFonts w:ascii="Arial" w:cs="Arial" w:eastAsia="Arial" w:hAnsi="Arial"/>
          <w:sz w:val="19"/>
          <w:szCs w:val="19"/>
          <w:color w:val="auto"/>
        </w:rPr>
        <w:t xml:space="preserve"> in respect of Series C Preference Units described therein and except as otherwise required by </w:t>
      </w:r>
      <w:r>
        <w:rPr>
          <w:rFonts w:ascii="Arial" w:cs="Arial" w:eastAsia="Arial" w:hAnsi="Arial"/>
          <w:sz w:val="19"/>
          <w:szCs w:val="19"/>
          <w:u w:val="single" w:color="auto"/>
          <w:color w:val="auto"/>
        </w:rPr>
        <w:t>Section 5.2(b)</w:t>
      </w:r>
      <w:r>
        <w:rPr>
          <w:rFonts w:ascii="Arial" w:cs="Arial" w:eastAsia="Arial" w:hAnsi="Arial"/>
          <w:sz w:val="19"/>
          <w:szCs w:val="19"/>
          <w:color w:val="auto"/>
        </w:rPr>
        <w:t xml:space="preserve"> in respect of additional Partnership Interests issued pursuant thereto, cash or other property available for distribution shall, subject to Section 51 of the Marshall Islands Act, be distributed (a) to the General Partner in accordance with its Percentage Interest and</w:t>
      </w:r>
    </w:p>
    <w:p>
      <w:pPr>
        <w:spacing w:after="0" w:line="4" w:lineRule="exact"/>
        <w:rPr>
          <w:sz w:val="20"/>
          <w:szCs w:val="20"/>
          <w:color w:val="auto"/>
        </w:rPr>
      </w:pPr>
    </w:p>
    <w:p>
      <w:pPr>
        <w:ind w:right="360" w:firstLine="8"/>
        <w:spacing w:after="0" w:line="256" w:lineRule="auto"/>
        <w:tabs>
          <w:tab w:leader="none" w:pos="306" w:val="left"/>
        </w:tabs>
        <w:numPr>
          <w:ilvl w:val="0"/>
          <w:numId w:val="21"/>
        </w:numPr>
        <w:rPr>
          <w:rFonts w:ascii="Arial" w:cs="Arial" w:eastAsia="Arial" w:hAnsi="Arial"/>
          <w:sz w:val="21"/>
          <w:szCs w:val="21"/>
          <w:color w:val="auto"/>
        </w:rPr>
      </w:pPr>
      <w:r>
        <w:rPr>
          <w:rFonts w:ascii="Arial" w:cs="Arial" w:eastAsia="Arial" w:hAnsi="Arial"/>
          <w:sz w:val="21"/>
          <w:szCs w:val="21"/>
          <w:color w:val="auto"/>
        </w:rPr>
        <w:t xml:space="preserve">to all the Unitholders holding Common Units, Pro Rata, a percentage equal to 100% less the General Partner’s Percentage Interest. No distributions shall be made with respect to Preference Units pursuant to this </w:t>
      </w:r>
      <w:r>
        <w:rPr>
          <w:rFonts w:ascii="Arial" w:cs="Arial" w:eastAsia="Arial" w:hAnsi="Arial"/>
          <w:sz w:val="21"/>
          <w:szCs w:val="21"/>
          <w:u w:val="single" w:color="auto"/>
          <w:color w:val="auto"/>
        </w:rPr>
        <w:t>Section 6.3</w:t>
      </w:r>
      <w:r>
        <w:rPr>
          <w:rFonts w:ascii="Arial" w:cs="Arial" w:eastAsia="Arial" w:hAnsi="Arial"/>
          <w:sz w:val="21"/>
          <w:szCs w:val="21"/>
          <w:color w:val="auto"/>
        </w:rPr>
        <w: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MANAGEMENT AND OPERATION OF BUSINESS</w:t>
      </w:r>
    </w:p>
    <w:p>
      <w:pPr>
        <w:spacing w:after="0" w:line="215" w:lineRule="exact"/>
        <w:rPr>
          <w:sz w:val="20"/>
          <w:szCs w:val="20"/>
          <w:color w:val="auto"/>
        </w:rPr>
      </w:pPr>
    </w:p>
    <w:p>
      <w:pPr>
        <w:ind w:firstLine="1296"/>
        <w:spacing w:after="0" w:line="270" w:lineRule="auto"/>
        <w:rPr>
          <w:sz w:val="20"/>
          <w:szCs w:val="20"/>
          <w:color w:val="auto"/>
        </w:rPr>
      </w:pPr>
      <w:r>
        <w:rPr>
          <w:rFonts w:ascii="Arial" w:cs="Arial" w:eastAsia="Arial" w:hAnsi="Arial"/>
          <w:sz w:val="19"/>
          <w:szCs w:val="19"/>
          <w:color w:val="auto"/>
        </w:rPr>
        <w:t xml:space="preserve">Section 7.1. </w:t>
      </w:r>
      <w:r>
        <w:rPr>
          <w:rFonts w:ascii="Arial" w:cs="Arial" w:eastAsia="Arial" w:hAnsi="Arial"/>
          <w:sz w:val="19"/>
          <w:szCs w:val="19"/>
          <w:i w:val="1"/>
          <w:iCs w:val="1"/>
          <w:color w:val="auto"/>
        </w:rPr>
        <w:t>Management</w:t>
      </w:r>
      <w:r>
        <w:rPr>
          <w:rFonts w:ascii="Arial" w:cs="Arial" w:eastAsia="Arial" w:hAnsi="Arial"/>
          <w:sz w:val="19"/>
          <w:szCs w:val="19"/>
          <w:color w:val="auto"/>
        </w:rPr>
        <w:t xml:space="preserve">. (a) Except as otherwise expressly provided in this Agreement, all management powers over the business and affairs of the Partnership shall be vested exclusively in the Board of Directors and, subject to the direction of the Board of Directors and in accordance with the provisions of </w:t>
      </w:r>
      <w:r>
        <w:rPr>
          <w:rFonts w:ascii="Arial" w:cs="Arial" w:eastAsia="Arial" w:hAnsi="Arial"/>
          <w:sz w:val="19"/>
          <w:szCs w:val="19"/>
          <w:u w:val="single" w:color="auto"/>
          <w:color w:val="auto"/>
        </w:rPr>
        <w:t>Section 7.7</w:t>
      </w:r>
      <w:r>
        <w:rPr>
          <w:rFonts w:ascii="Arial" w:cs="Arial" w:eastAsia="Arial" w:hAnsi="Arial"/>
          <w:sz w:val="19"/>
          <w:szCs w:val="19"/>
          <w:color w:val="auto"/>
        </w:rPr>
        <w:t xml:space="preserve">, the Officers. No Limited Partner shall have any management power or control over the business and affairs of the Partnership. Thus, except as expressly provided in this Agreement, the business and affairs of the Partnership shall be managed by or under the direction of the Board of Directors, and the day-to-day activities of the Partnership shall be conducted on the Partnership’s behalf by the Officers. In order to enable the Board of Directors to manage the business and affairs of the Partnership, the General Partner, except as otherwise expressly provided in this Agreement, hereby irrevocably delegates to the Board of Directors all management powers over the business and affairs of the Partnership that it may now or hereafter possess under applicable law. The General Partner further agrees to take any and all action necessary and appropriate, in the sole discretion of the Board of Directors, to effect any duly authorized actions by the Board of Directors, including executing or filing any agreements, instruments or certificates, delivering all documents, providing all information and taking or refraining from taking action as may be necessary or appropriate to achieve the effective delegation of power described in this </w:t>
      </w:r>
      <w:r>
        <w:rPr>
          <w:rFonts w:ascii="Arial" w:cs="Arial" w:eastAsia="Arial" w:hAnsi="Arial"/>
          <w:sz w:val="19"/>
          <w:szCs w:val="19"/>
          <w:u w:val="single" w:color="auto"/>
          <w:color w:val="auto"/>
        </w:rPr>
        <w:t>Section 7.1(a)</w:t>
      </w:r>
      <w:r>
        <w:rPr>
          <w:rFonts w:ascii="Arial" w:cs="Arial" w:eastAsia="Arial" w:hAnsi="Arial"/>
          <w:sz w:val="19"/>
          <w:szCs w:val="19"/>
          <w:color w:val="auto"/>
        </w:rPr>
        <w:t>. Each of the Partners and each Person who may acquire an interest in a Partnership Interest hereby approves, consents to, ratifies and confirms such delegation. The delegation by the General Partner to the Board of Directors of management powers over the business and affairs of the Partnership pursuant to the provisions of this Agreement shall not cause the General Partner to cease to be a general partner of the Partnership nor shall it cause the Board of Directors or 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35" w:name="page36"/>
    <w:bookmarkEnd w:id="35"/>
    <w:p>
      <w:pPr>
        <w:ind w:right="500"/>
        <w:spacing w:after="0" w:line="250" w:lineRule="auto"/>
        <w:rPr>
          <w:sz w:val="20"/>
          <w:szCs w:val="20"/>
          <w:color w:val="auto"/>
        </w:rPr>
      </w:pPr>
      <w:r>
        <w:rPr>
          <w:rFonts w:ascii="Arial" w:cs="Arial" w:eastAsia="Arial" w:hAnsi="Arial"/>
          <w:sz w:val="22"/>
          <w:szCs w:val="22"/>
          <w:color w:val="auto"/>
        </w:rPr>
        <w:t>member thereof to be a general partner of the Partnership or to have or be subject to the liabilities of a general partner of the Partnership.</w:t>
      </w:r>
    </w:p>
    <w:p>
      <w:pPr>
        <w:spacing w:after="0" w:line="202" w:lineRule="exact"/>
        <w:rPr>
          <w:sz w:val="20"/>
          <w:szCs w:val="20"/>
          <w:color w:val="auto"/>
        </w:rPr>
      </w:pPr>
    </w:p>
    <w:p>
      <w:pPr>
        <w:ind w:right="140" w:firstLine="1304"/>
        <w:spacing w:after="0" w:line="270" w:lineRule="auto"/>
        <w:tabs>
          <w:tab w:leader="none" w:pos="2088" w:val="left"/>
        </w:tabs>
        <w:numPr>
          <w:ilvl w:val="1"/>
          <w:numId w:val="22"/>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Agreement, any Group Member Agreement, the Marshall Islands Act or any applicable law, rule or regulation, each of the Partners and each other Person who may acquire an interest in Partnership Interests hereby (i) approves, consents to, ratifies and confirms the General Partner’s delegation of management powers to the Board of Directors pursuant to </w:t>
      </w:r>
      <w:r>
        <w:rPr>
          <w:rFonts w:ascii="Arial" w:cs="Arial" w:eastAsia="Arial" w:hAnsi="Arial"/>
          <w:sz w:val="19"/>
          <w:szCs w:val="19"/>
          <w:u w:val="single" w:color="auto"/>
          <w:color w:val="auto"/>
        </w:rPr>
        <w:t>paragraph (a)</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7.1</w:t>
      </w:r>
      <w:r>
        <w:rPr>
          <w:rFonts w:ascii="Arial" w:cs="Arial" w:eastAsia="Arial" w:hAnsi="Arial"/>
          <w:sz w:val="19"/>
          <w:szCs w:val="19"/>
          <w:color w:val="auto"/>
        </w:rPr>
        <w:t>; (ii) approves, ratifies and confirms the execution, delivery and performance by the parties thereto of this Agreement, any Group Member Agreement of any other Group Member;</w:t>
      </w:r>
    </w:p>
    <w:p>
      <w:pPr>
        <w:spacing w:after="0" w:line="4" w:lineRule="exact"/>
        <w:rPr>
          <w:rFonts w:ascii="Arial" w:cs="Arial" w:eastAsia="Arial" w:hAnsi="Arial"/>
          <w:sz w:val="19"/>
          <w:szCs w:val="19"/>
          <w:color w:val="auto"/>
        </w:rPr>
      </w:pPr>
    </w:p>
    <w:p>
      <w:pPr>
        <w:ind w:firstLine="8"/>
        <w:spacing w:after="0" w:line="273" w:lineRule="auto"/>
        <w:tabs>
          <w:tab w:leader="none" w:pos="378" w:val="left"/>
        </w:tabs>
        <w:numPr>
          <w:ilvl w:val="0"/>
          <w:numId w:val="23"/>
        </w:numPr>
        <w:rPr>
          <w:rFonts w:ascii="Arial" w:cs="Arial" w:eastAsia="Arial" w:hAnsi="Arial"/>
          <w:sz w:val="19"/>
          <w:szCs w:val="19"/>
          <w:color w:val="auto"/>
        </w:rPr>
      </w:pPr>
      <w:r>
        <w:rPr>
          <w:rFonts w:ascii="Arial" w:cs="Arial" w:eastAsia="Arial" w:hAnsi="Arial"/>
          <w:sz w:val="19"/>
          <w:szCs w:val="19"/>
          <w:color w:val="auto"/>
        </w:rPr>
        <w:t xml:space="preserve">agrees that the General Partner (on behalf of the Partnership) is authorized to execute, deliver and perform the agreements referred to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of this sentence on behalf of the Partnership without any further act, approval or vote of the Partners or the other Persons who may acquire an interest in Partnership Interests; and (iv) agrees that the execution, delivery or performance by the Board of Directors, the General Partner, any Group Member or any Affiliate of any of them of this Agreement or any agreement authorized or permitted under this Agreement shall not constitute a breach by the Board of Directors or the General Partner of any duty that the Board of Directors or the General Partner may owe the Partnership or the Limited Partners or any other Persons under this Agreement (or any other agreements) or of any duty stated or implied by law or equity.</w:t>
      </w:r>
    </w:p>
    <w:p>
      <w:pPr>
        <w:spacing w:after="0" w:line="186" w:lineRule="exact"/>
        <w:rPr>
          <w:sz w:val="20"/>
          <w:szCs w:val="20"/>
          <w:color w:val="auto"/>
        </w:rPr>
      </w:pPr>
    </w:p>
    <w:p>
      <w:pPr>
        <w:ind w:right="200" w:firstLine="1296"/>
        <w:spacing w:after="0" w:line="246" w:lineRule="auto"/>
        <w:rPr>
          <w:sz w:val="20"/>
          <w:szCs w:val="20"/>
          <w:color w:val="auto"/>
        </w:rPr>
      </w:pPr>
      <w:r>
        <w:rPr>
          <w:rFonts w:ascii="Arial" w:cs="Arial" w:eastAsia="Arial" w:hAnsi="Arial"/>
          <w:sz w:val="21"/>
          <w:szCs w:val="21"/>
          <w:color w:val="auto"/>
        </w:rPr>
        <w:t xml:space="preserve">Section 7.2. </w:t>
      </w:r>
      <w:r>
        <w:rPr>
          <w:rFonts w:ascii="Arial" w:cs="Arial" w:eastAsia="Arial" w:hAnsi="Arial"/>
          <w:sz w:val="21"/>
          <w:szCs w:val="21"/>
          <w:i w:val="1"/>
          <w:iCs w:val="1"/>
          <w:color w:val="auto"/>
        </w:rPr>
        <w:t>Election and Appointment; Term; Manner of Acting</w:t>
      </w:r>
      <w:r>
        <w:rPr>
          <w:rFonts w:ascii="Arial" w:cs="Arial" w:eastAsia="Arial" w:hAnsi="Arial"/>
          <w:sz w:val="21"/>
          <w:szCs w:val="21"/>
          <w:color w:val="auto"/>
        </w:rPr>
        <w:t xml:space="preserve">. (a) Subject to </w:t>
      </w: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17.5(b)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18.5(b)</w:t>
      </w:r>
      <w:r>
        <w:rPr>
          <w:rFonts w:ascii="Arial" w:cs="Arial" w:eastAsia="Arial" w:hAnsi="Arial"/>
          <w:sz w:val="21"/>
          <w:szCs w:val="21"/>
          <w:color w:val="auto"/>
        </w:rPr>
        <w:t xml:space="preserve">, following the Effective Time, the Board of Directors shall consist of not less than three nor more than five Appointed Directors. Subject to </w:t>
      </w: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18.5(b)</w:t>
      </w:r>
      <w:r>
        <w:rPr>
          <w:rFonts w:ascii="Arial" w:cs="Arial" w:eastAsia="Arial" w:hAnsi="Arial"/>
          <w:sz w:val="21"/>
          <w:szCs w:val="21"/>
          <w:color w:val="auto"/>
        </w:rPr>
        <w:t xml:space="preserve">, any vacancy among the Appointed Directors shall be filled as if an Appointed Director had resigned, in accordance with </w:t>
      </w:r>
      <w:r>
        <w:rPr>
          <w:rFonts w:ascii="Arial" w:cs="Arial" w:eastAsia="Arial" w:hAnsi="Arial"/>
          <w:sz w:val="21"/>
          <w:szCs w:val="21"/>
          <w:u w:val="single" w:color="auto"/>
          <w:color w:val="auto"/>
        </w:rPr>
        <w:t>Section 7.5</w:t>
      </w:r>
      <w:r>
        <w:rPr>
          <w:rFonts w:ascii="Arial" w:cs="Arial" w:eastAsia="Arial" w:hAnsi="Arial"/>
          <w:sz w:val="21"/>
          <w:szCs w:val="21"/>
          <w:color w:val="auto"/>
        </w:rPr>
        <w:t xml:space="preserve">. The successors of the Appointed Directors shall be appointed by the General Partner, and subject to </w:t>
      </w:r>
      <w:r>
        <w:rPr>
          <w:rFonts w:ascii="Arial" w:cs="Arial" w:eastAsia="Arial" w:hAnsi="Arial"/>
          <w:sz w:val="21"/>
          <w:szCs w:val="21"/>
          <w:u w:val="single" w:color="auto"/>
          <w:color w:val="auto"/>
        </w:rPr>
        <w:t>Section 16.5(b)</w:t>
      </w:r>
      <w:r>
        <w:rPr>
          <w:rFonts w:ascii="Arial" w:cs="Arial" w:eastAsia="Arial" w:hAnsi="Arial"/>
          <w:sz w:val="21"/>
          <w:szCs w:val="21"/>
          <w:color w:val="auto"/>
        </w:rPr>
        <w:t xml:space="preserve">, </w:t>
      </w:r>
      <w:r>
        <w:rPr>
          <w:rFonts w:ascii="Arial" w:cs="Arial" w:eastAsia="Arial" w:hAnsi="Arial"/>
          <w:sz w:val="21"/>
          <w:szCs w:val="21"/>
          <w:u w:val="single" w:color="auto"/>
          <w:color w:val="auto"/>
        </w:rPr>
        <w:t>Section 17.5(b)</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18.5(b)</w:t>
      </w:r>
      <w:r>
        <w:rPr>
          <w:rFonts w:ascii="Arial" w:cs="Arial" w:eastAsia="Arial" w:hAnsi="Arial"/>
          <w:sz w:val="21"/>
          <w:szCs w:val="21"/>
          <w:color w:val="auto"/>
        </w:rPr>
        <w:t>, each Appointed Director shall hold office until his successor is duly appointed by the General Partner and qualified or until his earlier death, resignation or removal.</w:t>
      </w:r>
    </w:p>
    <w:p>
      <w:pPr>
        <w:spacing w:after="0" w:line="211" w:lineRule="exact"/>
        <w:rPr>
          <w:sz w:val="20"/>
          <w:szCs w:val="20"/>
          <w:color w:val="auto"/>
        </w:rPr>
      </w:pPr>
    </w:p>
    <w:p>
      <w:pPr>
        <w:ind w:right="60" w:firstLine="1304"/>
        <w:spacing w:after="0" w:line="235" w:lineRule="auto"/>
        <w:tabs>
          <w:tab w:leader="none" w:pos="2088" w:val="left"/>
        </w:tabs>
        <w:numPr>
          <w:ilvl w:val="0"/>
          <w:numId w:val="24"/>
        </w:numPr>
        <w:rPr>
          <w:rFonts w:ascii="Arial" w:cs="Arial" w:eastAsia="Arial" w:hAnsi="Arial"/>
          <w:sz w:val="22"/>
          <w:szCs w:val="22"/>
          <w:color w:val="auto"/>
        </w:rPr>
      </w:pPr>
      <w:r>
        <w:rPr>
          <w:rFonts w:ascii="Arial" w:cs="Arial" w:eastAsia="Arial" w:hAnsi="Arial"/>
          <w:sz w:val="22"/>
          <w:szCs w:val="22"/>
          <w:color w:val="auto"/>
        </w:rPr>
        <w:t>Each member of the Board of Directors shall have one vote. The vote of the majority of the members of the Board of Directors present at a meeting at which a quorum is present shall be the act of the Board of Directors. A majority of the number of members of the Board of Directors then in office shall constitute a quorum for the transaction of business at any meeting of the Board of Directors, but if less than a quorum is present at a meeting, a majority of the members of the Board of Directors present at such meeting may adjourn the meeting from time to time, without notice other than announcement at the meeting, until a quorum shall be present.</w:t>
      </w:r>
    </w:p>
    <w:p>
      <w:pPr>
        <w:spacing w:after="0" w:line="215" w:lineRule="exact"/>
        <w:rPr>
          <w:sz w:val="20"/>
          <w:szCs w:val="20"/>
          <w:color w:val="auto"/>
        </w:rPr>
      </w:pPr>
    </w:p>
    <w:p>
      <w:pPr>
        <w:ind w:right="280" w:firstLine="1296"/>
        <w:spacing w:after="0"/>
        <w:rPr>
          <w:sz w:val="20"/>
          <w:szCs w:val="20"/>
          <w:color w:val="auto"/>
        </w:rPr>
      </w:pPr>
      <w:r>
        <w:rPr>
          <w:rFonts w:ascii="Arial" w:cs="Arial" w:eastAsia="Arial" w:hAnsi="Arial"/>
          <w:sz w:val="22"/>
          <w:szCs w:val="22"/>
          <w:color w:val="auto"/>
        </w:rPr>
        <w:t xml:space="preserve">Section 7.3. </w:t>
      </w:r>
      <w:r>
        <w:rPr>
          <w:rFonts w:ascii="Arial" w:cs="Arial" w:eastAsia="Arial" w:hAnsi="Arial"/>
          <w:sz w:val="22"/>
          <w:szCs w:val="22"/>
          <w:i w:val="1"/>
          <w:iCs w:val="1"/>
          <w:color w:val="auto"/>
        </w:rPr>
        <w:t>Removal of Members of Board of Directors</w:t>
      </w:r>
      <w:r>
        <w:rPr>
          <w:rFonts w:ascii="Arial" w:cs="Arial" w:eastAsia="Arial" w:hAnsi="Arial"/>
          <w:sz w:val="22"/>
          <w:szCs w:val="22"/>
          <w:color w:val="auto"/>
        </w:rPr>
        <w:t>. Members of the Board of Directors may only be removed as follows: (a) Any Appointed Director may be removed at any time, with or without Cause, only by the General Partner.</w:t>
      </w:r>
    </w:p>
    <w:p>
      <w:pPr>
        <w:spacing w:after="0" w:line="213" w:lineRule="exact"/>
        <w:rPr>
          <w:sz w:val="20"/>
          <w:szCs w:val="20"/>
          <w:color w:val="auto"/>
        </w:rPr>
      </w:pPr>
    </w:p>
    <w:p>
      <w:pPr>
        <w:ind w:right="60" w:firstLine="1304"/>
        <w:spacing w:after="0"/>
        <w:tabs>
          <w:tab w:leader="none" w:pos="2088"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Any member of the Board of Directors elected by the Series A Holders, the Series B Holders, the Series C Holders and the holders of any other Parity Securities in accordance with </w:t>
      </w:r>
      <w:r>
        <w:rPr>
          <w:rFonts w:ascii="Arial" w:cs="Arial" w:eastAsia="Arial" w:hAnsi="Arial"/>
          <w:sz w:val="22"/>
          <w:szCs w:val="22"/>
          <w:u w:val="single" w:color="auto"/>
          <w:color w:val="auto"/>
        </w:rPr>
        <w:t>Section 16.5(b)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17.5(b)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18.5(b)</w:t>
      </w:r>
      <w:r>
        <w:rPr>
          <w:rFonts w:ascii="Arial" w:cs="Arial" w:eastAsia="Arial" w:hAnsi="Arial"/>
          <w:sz w:val="22"/>
          <w:szCs w:val="22"/>
          <w:color w:val="auto"/>
        </w:rPr>
        <w:t>, respectively, may be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36" w:name="page37"/>
    <w:bookmarkEnd w:id="36"/>
    <w:p>
      <w:pPr>
        <w:ind w:right="200"/>
        <w:spacing w:after="0"/>
        <w:rPr>
          <w:sz w:val="20"/>
          <w:szCs w:val="20"/>
          <w:color w:val="auto"/>
        </w:rPr>
      </w:pPr>
      <w:r>
        <w:rPr>
          <w:rFonts w:ascii="Arial" w:cs="Arial" w:eastAsia="Arial" w:hAnsi="Arial"/>
          <w:sz w:val="22"/>
          <w:szCs w:val="22"/>
          <w:color w:val="auto"/>
        </w:rPr>
        <w:t>removed at any time, with or without Cause, only by the affirmative vote of a majority of the Outstanding Preference Units and any other Parity Securities, in each case, upon which voting rights to elect such member of the Board of Directors have been conferred and are exercisable, voting as a single class.</w:t>
      </w:r>
    </w:p>
    <w:p>
      <w:pPr>
        <w:spacing w:after="0" w:line="213" w:lineRule="exact"/>
        <w:rPr>
          <w:sz w:val="20"/>
          <w:szCs w:val="20"/>
          <w:color w:val="auto"/>
        </w:rPr>
      </w:pPr>
    </w:p>
    <w:p>
      <w:pPr>
        <w:ind w:firstLine="1296"/>
        <w:spacing w:after="0"/>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i w:val="1"/>
          <w:iCs w:val="1"/>
          <w:color w:val="auto"/>
        </w:rPr>
        <w:t>Resignations of Members of the Board of Directors</w:t>
      </w:r>
      <w:r>
        <w:rPr>
          <w:rFonts w:ascii="Arial" w:cs="Arial" w:eastAsia="Arial" w:hAnsi="Arial"/>
          <w:sz w:val="22"/>
          <w:szCs w:val="22"/>
          <w:color w:val="auto"/>
        </w:rPr>
        <w:t>. Any member of the Board of Directors may resign at any time by giving written notice to the Board of Directors. Such resignation shall take effect at the time specified therein.</w:t>
      </w:r>
    </w:p>
    <w:p>
      <w:pPr>
        <w:spacing w:after="0" w:line="213" w:lineRule="exact"/>
        <w:rPr>
          <w:sz w:val="20"/>
          <w:szCs w:val="20"/>
          <w:color w:val="auto"/>
        </w:rPr>
      </w:pPr>
    </w:p>
    <w:p>
      <w:pPr>
        <w:ind w:right="100" w:firstLine="1296"/>
        <w:spacing w:after="0"/>
        <w:rPr>
          <w:sz w:val="20"/>
          <w:szCs w:val="20"/>
          <w:color w:val="auto"/>
        </w:rPr>
      </w:pPr>
      <w:r>
        <w:rPr>
          <w:rFonts w:ascii="Arial" w:cs="Arial" w:eastAsia="Arial" w:hAnsi="Arial"/>
          <w:sz w:val="22"/>
          <w:szCs w:val="22"/>
          <w:color w:val="auto"/>
        </w:rPr>
        <w:t xml:space="preserve">Section 7.5. </w:t>
      </w:r>
      <w:r>
        <w:rPr>
          <w:rFonts w:ascii="Arial" w:cs="Arial" w:eastAsia="Arial" w:hAnsi="Arial"/>
          <w:sz w:val="22"/>
          <w:szCs w:val="22"/>
          <w:i w:val="1"/>
          <w:iCs w:val="1"/>
          <w:color w:val="auto"/>
        </w:rPr>
        <w:t>Vacancies on the Board of Directors</w:t>
      </w:r>
      <w:r>
        <w:rPr>
          <w:rFonts w:ascii="Arial" w:cs="Arial" w:eastAsia="Arial" w:hAnsi="Arial"/>
          <w:sz w:val="22"/>
          <w:szCs w:val="22"/>
          <w:color w:val="auto"/>
        </w:rPr>
        <w:t xml:space="preserve">. Subject to </w:t>
      </w:r>
      <w:r>
        <w:rPr>
          <w:rFonts w:ascii="Arial" w:cs="Arial" w:eastAsia="Arial" w:hAnsi="Arial"/>
          <w:sz w:val="22"/>
          <w:szCs w:val="22"/>
          <w:u w:val="single" w:color="auto"/>
          <w:color w:val="auto"/>
        </w:rPr>
        <w:t>Section 16.5(b)</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17.5(b)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18.5(b)</w:t>
      </w:r>
      <w:r>
        <w:rPr>
          <w:rFonts w:ascii="Arial" w:cs="Arial" w:eastAsia="Arial" w:hAnsi="Arial"/>
          <w:sz w:val="22"/>
          <w:szCs w:val="22"/>
          <w:color w:val="auto"/>
        </w:rPr>
        <w:t>, if any Appointed Director is removed, resigns or is otherwise unable to serve as a member of the Board of Directors, the General Partner shall, in its individual capacity, appoint an individual to fill the vacancy.</w:t>
      </w:r>
    </w:p>
    <w:p>
      <w:pPr>
        <w:spacing w:after="0" w:line="213" w:lineRule="exact"/>
        <w:rPr>
          <w:sz w:val="20"/>
          <w:szCs w:val="20"/>
          <w:color w:val="auto"/>
        </w:rPr>
      </w:pPr>
    </w:p>
    <w:p>
      <w:pPr>
        <w:ind w:firstLine="1296"/>
        <w:spacing w:after="0" w:line="271" w:lineRule="auto"/>
        <w:rPr>
          <w:sz w:val="20"/>
          <w:szCs w:val="20"/>
          <w:color w:val="auto"/>
        </w:rPr>
      </w:pPr>
      <w:r>
        <w:rPr>
          <w:rFonts w:ascii="Arial" w:cs="Arial" w:eastAsia="Arial" w:hAnsi="Arial"/>
          <w:sz w:val="19"/>
          <w:szCs w:val="19"/>
          <w:color w:val="auto"/>
        </w:rPr>
        <w:t xml:space="preserve">Section 7.6. </w:t>
      </w:r>
      <w:r>
        <w:rPr>
          <w:rFonts w:ascii="Arial" w:cs="Arial" w:eastAsia="Arial" w:hAnsi="Arial"/>
          <w:sz w:val="19"/>
          <w:szCs w:val="19"/>
          <w:i w:val="1"/>
          <w:iCs w:val="1"/>
          <w:color w:val="auto"/>
        </w:rPr>
        <w:t>Meetings; Committees; Chairman</w:t>
      </w:r>
      <w:r>
        <w:rPr>
          <w:rFonts w:ascii="Arial" w:cs="Arial" w:eastAsia="Arial" w:hAnsi="Arial"/>
          <w:sz w:val="19"/>
          <w:szCs w:val="19"/>
          <w:color w:val="auto"/>
        </w:rPr>
        <w:t xml:space="preserve">. (a) Regular meetings of the Board of Directors shall be held at such times and places as shall be designated from time to time by resolution of the Board of Directors. Notice of such regular meetings shall not be required. Special meetings of the Board of Directors may be called by the Chairman of the Board of Directors and shall be called by the Secretary upon the written request of two members of the Board of Directors, on at least 48 hours prior written notice to the other members. Any such notice, or waiver thereof, need not state the purpose of such meeting except as may otherwise be required by law. Attendance of a member of the Board of Directors at a meeting (including pursuant to the penultimate sentence of this </w:t>
      </w:r>
      <w:r>
        <w:rPr>
          <w:rFonts w:ascii="Arial" w:cs="Arial" w:eastAsia="Arial" w:hAnsi="Arial"/>
          <w:sz w:val="19"/>
          <w:szCs w:val="19"/>
          <w:u w:val="single" w:color="auto"/>
          <w:color w:val="auto"/>
        </w:rPr>
        <w:t>Section 7.6(a)</w:t>
      </w:r>
      <w:r>
        <w:rPr>
          <w:rFonts w:ascii="Arial" w:cs="Arial" w:eastAsia="Arial" w:hAnsi="Arial"/>
          <w:sz w:val="19"/>
          <w:szCs w:val="19"/>
          <w:color w:val="auto"/>
        </w:rPr>
        <w:t>) shall constitute a waiver of notice of such meeting, except where such member attends the meeting for the express purpose of objecting to the transaction of any business on the ground that the meeting is not lawfully called or convened. Any action required or permitted to be taken at a meeting of the Board of Directors may be taken without a meeting, without prior notice and without a vote if a consent or consents in writing, setting forth the action so taken, is signed by all the members of the Board of Directors. Members of the Board of Directors may participate in and hold meetings by means of conference telephone, videoconference or similar communications equipment by means of which all Persons participating in the meeting can hear each other, and participation in such meetings shall constitute presence in person at the meeting. The Board of Directors may establish any additional rules governing the conduct of its meetings that are not inconsistent with the provisions of this Agreement.</w:t>
      </w:r>
    </w:p>
    <w:p>
      <w:pPr>
        <w:spacing w:after="0" w:line="200" w:lineRule="exact"/>
        <w:rPr>
          <w:sz w:val="20"/>
          <w:szCs w:val="20"/>
          <w:color w:val="auto"/>
        </w:rPr>
      </w:pPr>
    </w:p>
    <w:p>
      <w:pPr>
        <w:spacing w:after="0" w:line="234" w:lineRule="exact"/>
        <w:rPr>
          <w:sz w:val="20"/>
          <w:szCs w:val="20"/>
          <w:color w:val="auto"/>
        </w:rPr>
      </w:pPr>
    </w:p>
    <w:p>
      <w:pPr>
        <w:ind w:firstLine="1304"/>
        <w:spacing w:after="0" w:line="245" w:lineRule="auto"/>
        <w:tabs>
          <w:tab w:leader="none" w:pos="2088" w:val="left"/>
        </w:tabs>
        <w:numPr>
          <w:ilvl w:val="0"/>
          <w:numId w:val="26"/>
        </w:numPr>
        <w:rPr>
          <w:rFonts w:ascii="Arial" w:cs="Arial" w:eastAsia="Arial" w:hAnsi="Arial"/>
          <w:sz w:val="21"/>
          <w:szCs w:val="21"/>
          <w:color w:val="auto"/>
        </w:rPr>
      </w:pPr>
      <w:r>
        <w:rPr>
          <w:rFonts w:ascii="Arial" w:cs="Arial" w:eastAsia="Arial" w:hAnsi="Arial"/>
          <w:sz w:val="21"/>
          <w:szCs w:val="21"/>
          <w:color w:val="auto"/>
        </w:rPr>
        <w:t xml:space="preserve">The Board of Directors, by a majority of the whole Board of Directors, may appoint one or more committees of the Board of Directors to consist of one or more members of the Board of Directors, which committee(s) shall have and may exercise such of the powers and authority of the Board of Directors (including in respect of </w:t>
      </w:r>
      <w:r>
        <w:rPr>
          <w:rFonts w:ascii="Arial" w:cs="Arial" w:eastAsia="Arial" w:hAnsi="Arial"/>
          <w:sz w:val="21"/>
          <w:szCs w:val="21"/>
          <w:u w:val="single" w:color="auto"/>
          <w:color w:val="auto"/>
        </w:rPr>
        <w:t>Section 7.1</w:t>
      </w:r>
      <w:r>
        <w:rPr>
          <w:rFonts w:ascii="Arial" w:cs="Arial" w:eastAsia="Arial" w:hAnsi="Arial"/>
          <w:sz w:val="21"/>
          <w:szCs w:val="21"/>
          <w:color w:val="auto"/>
        </w:rPr>
        <w:t xml:space="preserve">) with respect to the management of the business and affairs of the Partnership as may be provided in a resolution of the Board of Directors. Any committee designated pursuant to this </w:t>
      </w:r>
      <w:r>
        <w:rPr>
          <w:rFonts w:ascii="Arial" w:cs="Arial" w:eastAsia="Arial" w:hAnsi="Arial"/>
          <w:sz w:val="21"/>
          <w:szCs w:val="21"/>
          <w:u w:val="single" w:color="auto"/>
          <w:color w:val="auto"/>
        </w:rPr>
        <w:t>Section 7.6(b)</w:t>
      </w:r>
      <w:r>
        <w:rPr>
          <w:rFonts w:ascii="Arial" w:cs="Arial" w:eastAsia="Arial" w:hAnsi="Arial"/>
          <w:sz w:val="21"/>
          <w:szCs w:val="21"/>
          <w:color w:val="auto"/>
        </w:rPr>
        <w:t xml:space="preserve"> shall choose its own chairman, shall keep regular minutes of its proceedings and report the same to the Board of Directors when requested, shall fix its own rules or procedures and shall meet at such times and at such place or places as may be provided by such rules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taking of any action. Any</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37" w:name="page38"/>
    <w:bookmarkEnd w:id="37"/>
    <w:p>
      <w:pPr>
        <w:ind w:right="140"/>
        <w:spacing w:after="0" w:line="277" w:lineRule="auto"/>
        <w:rPr>
          <w:sz w:val="20"/>
          <w:szCs w:val="20"/>
          <w:color w:val="auto"/>
        </w:rPr>
      </w:pPr>
      <w:r>
        <w:rPr>
          <w:rFonts w:ascii="Arial" w:cs="Arial" w:eastAsia="Arial" w:hAnsi="Arial"/>
          <w:sz w:val="19"/>
          <w:szCs w:val="19"/>
          <w:color w:val="auto"/>
        </w:rPr>
        <w:t>action required or permitted to be taken at a meeting of a committee of the Board of Directors may be taken without a meeting, without prior notice and without a vote if a consent or consents in writing, setting forth the action so taken, is signed by all the members of the committee of the Board of Directors. The Board of Directors may designate one or more members of the Board of Directors as alternate members of any committee who may replace any absent or disqualified member at any meeting of such committee. In the absence or disqualification of a member of a committee, the member or members present at any meeting and not disqualified from voting, whether or not constituting a quorum, may unanimously appoint another member of the Board of Directors to act at the meeting in the place of the absent or disqualified member.</w:t>
      </w:r>
    </w:p>
    <w:p>
      <w:pPr>
        <w:spacing w:after="0" w:line="179" w:lineRule="exact"/>
        <w:rPr>
          <w:sz w:val="20"/>
          <w:szCs w:val="20"/>
          <w:color w:val="auto"/>
        </w:rPr>
      </w:pPr>
    </w:p>
    <w:p>
      <w:pPr>
        <w:jc w:val="both"/>
        <w:ind w:right="20" w:firstLine="1304"/>
        <w:spacing w:after="0" w:line="238" w:lineRule="auto"/>
        <w:tabs>
          <w:tab w:leader="none" w:pos="2076"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Appointed Directors may designate one of the members of the Board of Directors as Chairman of the Board of Directors. The Chairman of the Board of Directors, if any, and if present and acting, shall preside at all meetings of the Board of Directors. In the absence of the Chairman of the Board of Directors, another member of the Board of Directors chosen by the Appointed Directors shall preside.</w:t>
      </w:r>
    </w:p>
    <w:p>
      <w:pPr>
        <w:spacing w:after="0" w:line="212" w:lineRule="exact"/>
        <w:rPr>
          <w:sz w:val="20"/>
          <w:szCs w:val="20"/>
          <w:color w:val="auto"/>
        </w:rPr>
      </w:pPr>
    </w:p>
    <w:p>
      <w:pPr>
        <w:jc w:val="both"/>
        <w:ind w:right="40" w:firstLine="1296"/>
        <w:spacing w:after="0" w:line="252" w:lineRule="auto"/>
        <w:rPr>
          <w:sz w:val="20"/>
          <w:szCs w:val="20"/>
          <w:color w:val="auto"/>
        </w:rPr>
      </w:pPr>
      <w:r>
        <w:rPr>
          <w:rFonts w:ascii="Arial" w:cs="Arial" w:eastAsia="Arial" w:hAnsi="Arial"/>
          <w:sz w:val="21"/>
          <w:szCs w:val="21"/>
          <w:color w:val="auto"/>
        </w:rPr>
        <w:t xml:space="preserve">Section 7.7. </w:t>
      </w:r>
      <w:r>
        <w:rPr>
          <w:rFonts w:ascii="Arial" w:cs="Arial" w:eastAsia="Arial" w:hAnsi="Arial"/>
          <w:sz w:val="21"/>
          <w:szCs w:val="21"/>
          <w:i w:val="1"/>
          <w:iCs w:val="1"/>
          <w:color w:val="auto"/>
        </w:rPr>
        <w:t>Officers</w:t>
      </w:r>
      <w:r>
        <w:rPr>
          <w:rFonts w:ascii="Arial" w:cs="Arial" w:eastAsia="Arial" w:hAnsi="Arial"/>
          <w:sz w:val="21"/>
          <w:szCs w:val="21"/>
          <w:color w:val="auto"/>
        </w:rPr>
        <w:t>. (a) The Board of Directors, as set forth below, shall appoint or designate agents of the Partnership, referred to as “</w:t>
      </w:r>
      <w:r>
        <w:rPr>
          <w:rFonts w:ascii="Arial" w:cs="Arial" w:eastAsia="Arial" w:hAnsi="Arial"/>
          <w:sz w:val="21"/>
          <w:szCs w:val="21"/>
          <w:i w:val="1"/>
          <w:iCs w:val="1"/>
          <w:color w:val="auto"/>
        </w:rPr>
        <w:t>Officers</w:t>
      </w:r>
      <w:r>
        <w:rPr>
          <w:rFonts w:ascii="Arial" w:cs="Arial" w:eastAsia="Arial" w:hAnsi="Arial"/>
          <w:sz w:val="21"/>
          <w:szCs w:val="21"/>
          <w:color w:val="auto"/>
        </w:rPr>
        <w:t xml:space="preserve">” of the Partnership as described in this </w:t>
      </w:r>
      <w:r>
        <w:rPr>
          <w:rFonts w:ascii="Arial" w:cs="Arial" w:eastAsia="Arial" w:hAnsi="Arial"/>
          <w:sz w:val="21"/>
          <w:szCs w:val="21"/>
          <w:u w:val="single" w:color="auto"/>
          <w:color w:val="auto"/>
        </w:rPr>
        <w:t>Section 7.7</w:t>
      </w:r>
      <w:r>
        <w:rPr>
          <w:rFonts w:ascii="Arial" w:cs="Arial" w:eastAsia="Arial" w:hAnsi="Arial"/>
          <w:sz w:val="21"/>
          <w:szCs w:val="21"/>
          <w:color w:val="auto"/>
        </w:rPr>
        <w:t>. Such Officers may be employed by any Group Member directly or may be employed by one or more third parties, including GasLog and its Affiliates, and designated by the Board of Directors to perform officer functions for the benefit of the Partnership.</w:t>
      </w:r>
    </w:p>
    <w:p>
      <w:pPr>
        <w:spacing w:after="0" w:line="201" w:lineRule="exact"/>
        <w:rPr>
          <w:sz w:val="20"/>
          <w:szCs w:val="20"/>
          <w:color w:val="auto"/>
        </w:rPr>
      </w:pPr>
    </w:p>
    <w:p>
      <w:pPr>
        <w:ind w:firstLine="1304"/>
        <w:spacing w:after="0" w:line="277" w:lineRule="auto"/>
        <w:tabs>
          <w:tab w:leader="none" w:pos="2088" w:val="left"/>
        </w:tabs>
        <w:numPr>
          <w:ilvl w:val="0"/>
          <w:numId w:val="28"/>
        </w:numPr>
        <w:rPr>
          <w:rFonts w:ascii="Arial" w:cs="Arial" w:eastAsia="Arial" w:hAnsi="Arial"/>
          <w:sz w:val="19"/>
          <w:szCs w:val="19"/>
          <w:color w:val="auto"/>
        </w:rPr>
      </w:pPr>
      <w:r>
        <w:rPr>
          <w:rFonts w:ascii="Arial" w:cs="Arial" w:eastAsia="Arial" w:hAnsi="Arial"/>
          <w:sz w:val="19"/>
          <w:szCs w:val="19"/>
          <w:color w:val="auto"/>
        </w:rPr>
        <w:t xml:space="preserve">The Board of Directors shall appoint or designate such Officers and agents as may from time to time appear to be necessary or advisable in the conduct of the affairs of the Partnership, who shall hold such titles, exercise such powers and authority and perform such duties as shall be determined from time to time by resolution of the Board of Directors. The Officers may include a Chairman of the Board of Directors, an Executive Vice Chairman or Vice Chairman of the Board of Directors, a Chief Executive Officer, a President, a Chief Financial Officer, any and all Vice Presidents, a Secretary, any and all Assistant Secretaries, a Treasurer, any and all Assistant Treasurers and any other Officers appointed or designated by the Board of Directors pursuant to this </w:t>
      </w:r>
      <w:r>
        <w:rPr>
          <w:rFonts w:ascii="Arial" w:cs="Arial" w:eastAsia="Arial" w:hAnsi="Arial"/>
          <w:sz w:val="19"/>
          <w:szCs w:val="19"/>
          <w:u w:val="single" w:color="auto"/>
          <w:color w:val="auto"/>
        </w:rPr>
        <w:t>Section 7.7</w:t>
      </w:r>
      <w:r>
        <w:rPr>
          <w:rFonts w:ascii="Arial" w:cs="Arial" w:eastAsia="Arial" w:hAnsi="Arial"/>
          <w:sz w:val="19"/>
          <w:szCs w:val="19"/>
          <w:color w:val="auto"/>
        </w:rPr>
        <w:t>. Any person may hold two or more offices.</w:t>
      </w:r>
    </w:p>
    <w:p>
      <w:pPr>
        <w:spacing w:after="0" w:line="178" w:lineRule="exact"/>
        <w:rPr>
          <w:rFonts w:ascii="Arial" w:cs="Arial" w:eastAsia="Arial" w:hAnsi="Arial"/>
          <w:sz w:val="19"/>
          <w:szCs w:val="19"/>
          <w:color w:val="auto"/>
        </w:rPr>
      </w:pPr>
    </w:p>
    <w:p>
      <w:pPr>
        <w:ind w:right="80" w:firstLine="1304"/>
        <w:spacing w:after="0" w:line="238" w:lineRule="auto"/>
        <w:tabs>
          <w:tab w:leader="none" w:pos="2076"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Officers, including any Officer employed by a third party and designated by the Board of Directors to perform officer services for the benefit of the Partnership, shall be appointed by the Board of Directors at such time and for such terms as the Board of Directors shall determine. Any Officer may be removed, with or without Cause, only by the Board of Directors. Vacancies in any office may be filled only by the Board of Directors.</w:t>
      </w:r>
    </w:p>
    <w:p>
      <w:pPr>
        <w:spacing w:after="0" w:line="211" w:lineRule="exact"/>
        <w:rPr>
          <w:rFonts w:ascii="Arial" w:cs="Arial" w:eastAsia="Arial" w:hAnsi="Arial"/>
          <w:sz w:val="22"/>
          <w:szCs w:val="22"/>
          <w:color w:val="auto"/>
        </w:rPr>
      </w:pPr>
    </w:p>
    <w:p>
      <w:pPr>
        <w:ind w:right="280" w:firstLine="1304"/>
        <w:spacing w:after="0" w:line="250" w:lineRule="auto"/>
        <w:tabs>
          <w:tab w:leader="none" w:pos="2088"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Board of Directors may grant powers of attorney or other authority as appropriate to establish and evidence the authority of the Officers and other Persons.</w:t>
      </w:r>
    </w:p>
    <w:p>
      <w:pPr>
        <w:spacing w:after="0" w:line="201" w:lineRule="exact"/>
        <w:rPr>
          <w:rFonts w:ascii="Arial" w:cs="Arial" w:eastAsia="Arial" w:hAnsi="Arial"/>
          <w:sz w:val="22"/>
          <w:szCs w:val="22"/>
          <w:color w:val="auto"/>
        </w:rPr>
      </w:pPr>
    </w:p>
    <w:p>
      <w:pPr>
        <w:ind w:right="360" w:firstLine="1304"/>
        <w:spacing w:after="0"/>
        <w:tabs>
          <w:tab w:leader="none" w:pos="2076" w:val="left"/>
        </w:tabs>
        <w:numPr>
          <w:ilvl w:val="0"/>
          <w:numId w:val="28"/>
        </w:numPr>
        <w:rPr>
          <w:rFonts w:ascii="Arial" w:cs="Arial" w:eastAsia="Arial" w:hAnsi="Arial"/>
          <w:sz w:val="22"/>
          <w:szCs w:val="22"/>
          <w:color w:val="auto"/>
        </w:rPr>
      </w:pPr>
      <w:r>
        <w:rPr>
          <w:rFonts w:ascii="Arial" w:cs="Arial" w:eastAsia="Arial" w:hAnsi="Arial"/>
          <w:sz w:val="22"/>
          <w:szCs w:val="22"/>
          <w:color w:val="auto"/>
        </w:rPr>
        <w:t>Unless otherwise provided by resolution of the Board of Directors, no Officer shall have the power or authority to delegate to any Person such Officer’s rights and powers as an Officer to manage the business and affairs of the Partnership.</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38" w:name="page39"/>
    <w:bookmarkEnd w:id="38"/>
    <w:p>
      <w:pPr>
        <w:ind w:right="100" w:firstLine="1296"/>
        <w:spacing w:after="0" w:line="238" w:lineRule="auto"/>
        <w:rPr>
          <w:sz w:val="20"/>
          <w:szCs w:val="20"/>
          <w:color w:val="auto"/>
        </w:rPr>
      </w:pPr>
      <w:r>
        <w:rPr>
          <w:rFonts w:ascii="Arial" w:cs="Arial" w:eastAsia="Arial" w:hAnsi="Arial"/>
          <w:sz w:val="22"/>
          <w:szCs w:val="22"/>
          <w:color w:val="auto"/>
        </w:rPr>
        <w:t xml:space="preserve">Section 7.8. </w:t>
      </w:r>
      <w:r>
        <w:rPr>
          <w:rFonts w:ascii="Arial" w:cs="Arial" w:eastAsia="Arial" w:hAnsi="Arial"/>
          <w:sz w:val="22"/>
          <w:szCs w:val="22"/>
          <w:i w:val="1"/>
          <w:iCs w:val="1"/>
          <w:color w:val="auto"/>
        </w:rPr>
        <w:t>Compensation of Directors</w:t>
      </w:r>
      <w:r>
        <w:rPr>
          <w:rFonts w:ascii="Arial" w:cs="Arial" w:eastAsia="Arial" w:hAnsi="Arial"/>
          <w:sz w:val="22"/>
          <w:szCs w:val="22"/>
          <w:color w:val="auto"/>
        </w:rPr>
        <w:t>. The members of the Board of Directors shall receive such compensation for their services as members of the Board of Directors or members of a committee of the Board of Directors shall determine. In addition, the members of the Board of Directors shall be entitled to be reimbursed for out-of-pocket costs and expenses incurred in the course of their service hereunder.</w:t>
      </w:r>
    </w:p>
    <w:p>
      <w:pPr>
        <w:spacing w:after="0" w:line="212" w:lineRule="exact"/>
        <w:rPr>
          <w:sz w:val="20"/>
          <w:szCs w:val="20"/>
          <w:color w:val="auto"/>
        </w:rPr>
      </w:pPr>
    </w:p>
    <w:p>
      <w:pPr>
        <w:ind w:firstLine="1296"/>
        <w:spacing w:after="0" w:line="272" w:lineRule="auto"/>
        <w:rPr>
          <w:sz w:val="20"/>
          <w:szCs w:val="20"/>
          <w:color w:val="auto"/>
        </w:rPr>
      </w:pPr>
      <w:r>
        <w:rPr>
          <w:rFonts w:ascii="Arial" w:cs="Arial" w:eastAsia="Arial" w:hAnsi="Arial"/>
          <w:sz w:val="19"/>
          <w:szCs w:val="19"/>
          <w:color w:val="auto"/>
        </w:rPr>
        <w:t xml:space="preserve">Section 7.9. </w:t>
      </w:r>
      <w:r>
        <w:rPr>
          <w:rFonts w:ascii="Arial" w:cs="Arial" w:eastAsia="Arial" w:hAnsi="Arial"/>
          <w:sz w:val="19"/>
          <w:szCs w:val="19"/>
          <w:i w:val="1"/>
          <w:iCs w:val="1"/>
          <w:color w:val="auto"/>
        </w:rPr>
        <w:t>Certificate of Limited Partnership</w:t>
      </w:r>
      <w:r>
        <w:rPr>
          <w:rFonts w:ascii="Arial" w:cs="Arial" w:eastAsia="Arial" w:hAnsi="Arial"/>
          <w:sz w:val="19"/>
          <w:szCs w:val="19"/>
          <w:color w:val="auto"/>
        </w:rPr>
        <w:t xml:space="preserve">. The General Partner has caused the Certificate of Limited Partnership to be filed with the Registrar of Corporations of The Marshall Islands as required by the Marshall Islands Act. The General Partner shall use all commercially reasonable efforts to cause to be filed such other certificates or documents that the Board of Directors determines to be necessary or appropriate for the formation, continuation, qualification and operation of a limited partnership (or a partnership or other entity in which the limited partners have limited liability) in The Marshall Islands or any other jurisdiction in which the Partnership may elect to do business or own property. To the extent the Board of Directors determines such action to be necessary or appropriate, the General Partner shall file or cause to be filed amendments to and restatements of the Certificate of Limited Partnership and do all things to maintain the Partnership as a limited partnership (or a partnership or other entity in which the limited partners have limited liability) under the laws of The Marshall Islands or of any other jurisdiction in which the Partnership may elect to do business or own property. Subject to the terms of </w:t>
      </w:r>
      <w:r>
        <w:rPr>
          <w:rFonts w:ascii="Arial" w:cs="Arial" w:eastAsia="Arial" w:hAnsi="Arial"/>
          <w:sz w:val="19"/>
          <w:szCs w:val="19"/>
          <w:u w:val="single" w:color="auto"/>
          <w:color w:val="auto"/>
        </w:rPr>
        <w:t>Section 3.4(a)</w:t>
      </w:r>
      <w:r>
        <w:rPr>
          <w:rFonts w:ascii="Arial" w:cs="Arial" w:eastAsia="Arial" w:hAnsi="Arial"/>
          <w:sz w:val="19"/>
          <w:szCs w:val="19"/>
          <w:color w:val="auto"/>
        </w:rPr>
        <w:t>, the General Partner shall not be required, before or after filing, to deliver or mail a copy of the Certificate of Limited Partnership, any qualification document or any amendment thereto to any Limited Partner.</w:t>
      </w:r>
    </w:p>
    <w:p>
      <w:pPr>
        <w:spacing w:after="0" w:line="188" w:lineRule="exact"/>
        <w:rPr>
          <w:sz w:val="20"/>
          <w:szCs w:val="20"/>
          <w:color w:val="auto"/>
        </w:rPr>
      </w:pPr>
    </w:p>
    <w:p>
      <w:pPr>
        <w:ind w:right="120" w:firstLine="1296"/>
        <w:spacing w:after="0" w:line="236" w:lineRule="auto"/>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i w:val="1"/>
          <w:iCs w:val="1"/>
          <w:color w:val="auto"/>
        </w:rPr>
        <w:t>Restrictions on the Authority of the Board of Directors and the General Partner</w:t>
      </w:r>
      <w:r>
        <w:rPr>
          <w:rFonts w:ascii="Arial" w:cs="Arial" w:eastAsia="Arial" w:hAnsi="Arial"/>
          <w:sz w:val="22"/>
          <w:szCs w:val="22"/>
          <w:color w:val="auto"/>
        </w:rPr>
        <w:t>. Except as otherwise provided in this Agreement, neither the Board of Directors nor the General Partner may, without written approval of the specific act by holders of all of the Outstanding Limited Partner Interests or by other written instrument executed and delivered by holders of all of the Outstanding Limited Partner Interests subsequent to the date of this Agreement, take any action in contravention of this Agreement.</w:t>
      </w:r>
    </w:p>
    <w:p>
      <w:pPr>
        <w:spacing w:after="0" w:line="214" w:lineRule="exact"/>
        <w:rPr>
          <w:sz w:val="20"/>
          <w:szCs w:val="20"/>
          <w:color w:val="auto"/>
        </w:rPr>
      </w:pPr>
    </w:p>
    <w:p>
      <w:pPr>
        <w:jc w:val="both"/>
        <w:ind w:right="560" w:firstLine="1296"/>
        <w:spacing w:after="0"/>
        <w:rPr>
          <w:sz w:val="20"/>
          <w:szCs w:val="20"/>
          <w:color w:val="auto"/>
        </w:rPr>
      </w:pPr>
      <w:r>
        <w:rPr>
          <w:rFonts w:ascii="Arial" w:cs="Arial" w:eastAsia="Arial" w:hAnsi="Arial"/>
          <w:sz w:val="22"/>
          <w:szCs w:val="22"/>
          <w:color w:val="auto"/>
        </w:rPr>
        <w:t xml:space="preserve">Section 7.11. </w:t>
      </w:r>
      <w:r>
        <w:rPr>
          <w:rFonts w:ascii="Arial" w:cs="Arial" w:eastAsia="Arial" w:hAnsi="Arial"/>
          <w:sz w:val="22"/>
          <w:szCs w:val="22"/>
          <w:i w:val="1"/>
          <w:iCs w:val="1"/>
          <w:color w:val="auto"/>
        </w:rPr>
        <w:t>Reimbursement of the General Partner</w:t>
      </w:r>
      <w:r>
        <w:rPr>
          <w:rFonts w:ascii="Arial" w:cs="Arial" w:eastAsia="Arial" w:hAnsi="Arial"/>
          <w:sz w:val="22"/>
          <w:szCs w:val="22"/>
          <w:color w:val="auto"/>
        </w:rPr>
        <w:t xml:space="preserve">. (a) Except as provided in this </w:t>
      </w:r>
      <w:r>
        <w:rPr>
          <w:rFonts w:ascii="Arial" w:cs="Arial" w:eastAsia="Arial" w:hAnsi="Arial"/>
          <w:sz w:val="22"/>
          <w:szCs w:val="22"/>
          <w:u w:val="single" w:color="auto"/>
          <w:color w:val="auto"/>
        </w:rPr>
        <w:t>Section 7.11</w:t>
      </w:r>
      <w:r>
        <w:rPr>
          <w:rFonts w:ascii="Arial" w:cs="Arial" w:eastAsia="Arial" w:hAnsi="Arial"/>
          <w:sz w:val="22"/>
          <w:szCs w:val="22"/>
          <w:color w:val="auto"/>
        </w:rPr>
        <w:t xml:space="preserve"> and elsewhere in this Agreement, the General Partner shall not be compensated for its services as a general partner or managing member of any Group Member.</w:t>
      </w:r>
    </w:p>
    <w:p>
      <w:pPr>
        <w:spacing w:after="0" w:line="213" w:lineRule="exact"/>
        <w:rPr>
          <w:sz w:val="20"/>
          <w:szCs w:val="20"/>
          <w:color w:val="auto"/>
        </w:rPr>
      </w:pPr>
    </w:p>
    <w:p>
      <w:pPr>
        <w:ind w:right="20" w:firstLine="1304"/>
        <w:spacing w:after="0" w:line="246" w:lineRule="auto"/>
        <w:tabs>
          <w:tab w:leader="none" w:pos="2088" w:val="left"/>
        </w:tabs>
        <w:numPr>
          <w:ilvl w:val="0"/>
          <w:numId w:val="29"/>
        </w:numPr>
        <w:rPr>
          <w:rFonts w:ascii="Arial" w:cs="Arial" w:eastAsia="Arial" w:hAnsi="Arial"/>
          <w:sz w:val="21"/>
          <w:szCs w:val="21"/>
          <w:color w:val="auto"/>
        </w:rPr>
      </w:pPr>
      <w:r>
        <w:rPr>
          <w:rFonts w:ascii="Arial" w:cs="Arial" w:eastAsia="Arial" w:hAnsi="Arial"/>
          <w:sz w:val="21"/>
          <w:szCs w:val="21"/>
          <w:color w:val="auto"/>
        </w:rPr>
        <w:t xml:space="preserve">The General Partner shall be reimbursed on a monthly basis, or such other basis as the Board of Directors may determine, for any direct and indirect expenses it incurs that are allocable to the Partnership Group or payments it makes on behalf of the Partnership Group (including salary, bonus, incentive compensation and other amounts paid to any Person, including Affiliates of the General Partner, to perform services for the Partnership Group or for the General Partner in the discharge of its duties to the Partnership Group). The Board of Directors shall determine the expenses that are allocable to the Partnership Group. Reimbursements pursuant to this </w:t>
      </w:r>
      <w:r>
        <w:rPr>
          <w:rFonts w:ascii="Arial" w:cs="Arial" w:eastAsia="Arial" w:hAnsi="Arial"/>
          <w:sz w:val="21"/>
          <w:szCs w:val="21"/>
          <w:u w:val="single" w:color="auto"/>
          <w:color w:val="auto"/>
        </w:rPr>
        <w:t>Section 7.11</w:t>
      </w:r>
      <w:r>
        <w:rPr>
          <w:rFonts w:ascii="Arial" w:cs="Arial" w:eastAsia="Arial" w:hAnsi="Arial"/>
          <w:sz w:val="21"/>
          <w:szCs w:val="21"/>
          <w:color w:val="auto"/>
        </w:rPr>
        <w:t xml:space="preserve"> shall be in addition to any reimbursement to the General Partner as a result of indemnification pursuant to </w:t>
      </w:r>
      <w:r>
        <w:rPr>
          <w:rFonts w:ascii="Arial" w:cs="Arial" w:eastAsia="Arial" w:hAnsi="Arial"/>
          <w:sz w:val="21"/>
          <w:szCs w:val="21"/>
          <w:u w:val="single" w:color="auto"/>
          <w:color w:val="auto"/>
        </w:rPr>
        <w:t>Section 7.13</w:t>
      </w:r>
      <w:r>
        <w:rPr>
          <w:rFonts w:ascii="Arial" w:cs="Arial" w:eastAsia="Arial" w:hAnsi="Arial"/>
          <w:sz w:val="21"/>
          <w:szCs w:val="21"/>
          <w:color w:val="auto"/>
        </w:rPr>
        <w:t>.</w:t>
      </w:r>
    </w:p>
    <w:p>
      <w:pPr>
        <w:spacing w:after="0" w:line="211" w:lineRule="exact"/>
        <w:rPr>
          <w:rFonts w:ascii="Arial" w:cs="Arial" w:eastAsia="Arial" w:hAnsi="Arial"/>
          <w:sz w:val="21"/>
          <w:szCs w:val="21"/>
          <w:color w:val="auto"/>
        </w:rPr>
      </w:pPr>
    </w:p>
    <w:p>
      <w:pPr>
        <w:ind w:firstLine="1304"/>
        <w:spacing w:after="0"/>
        <w:tabs>
          <w:tab w:leader="none" w:pos="2076" w:val="left"/>
        </w:tabs>
        <w:numPr>
          <w:ilvl w:val="0"/>
          <w:numId w:val="29"/>
        </w:numPr>
        <w:rPr>
          <w:rFonts w:ascii="Arial" w:cs="Arial" w:eastAsia="Arial" w:hAnsi="Arial"/>
          <w:sz w:val="22"/>
          <w:szCs w:val="22"/>
          <w:color w:val="auto"/>
        </w:rPr>
      </w:pPr>
      <w:r>
        <w:rPr>
          <w:rFonts w:ascii="Arial" w:cs="Arial" w:eastAsia="Arial" w:hAnsi="Arial"/>
          <w:sz w:val="22"/>
          <w:szCs w:val="22"/>
          <w:color w:val="auto"/>
        </w:rPr>
        <w:t>Subject to the applicable rules and regulations of the National Securities Exchange on which the Units are listed, the Board of Directors, without the approval of the Partners (who shall have no right to vote in respect thereof), may propose and adopt on behalf of</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39" w:name="page40"/>
    <w:bookmarkEnd w:id="39"/>
    <w:p>
      <w:pPr>
        <w:ind w:right="60"/>
        <w:spacing w:after="0" w:line="271" w:lineRule="auto"/>
        <w:rPr>
          <w:sz w:val="20"/>
          <w:szCs w:val="20"/>
          <w:color w:val="auto"/>
        </w:rPr>
      </w:pPr>
      <w:r>
        <w:rPr>
          <w:rFonts w:ascii="Arial" w:cs="Arial" w:eastAsia="Arial" w:hAnsi="Arial"/>
          <w:sz w:val="19"/>
          <w:szCs w:val="19"/>
          <w:color w:val="auto"/>
        </w:rPr>
        <w:t xml:space="preserve">the Partnership employee benefit plans, employee programs and employee practices (including plans, programs and practices involving the issuance of Partnership Interests or options to purchase or rights, warrants or appreciation rights or phantom or tracking interests relating to Partnership Interests), or cause the Partnership to issue Partnership Interests in connection with, or pursuant to, any employee benefit plan, employee program or employee practice maintained or sponsored by the Partnership, the General Partner or any of its Affiliates, in each case for the benefit of employees and directors of the Partnership, the General Partner, any Group Member or any Affiliate thereof, or any of them, in respect of services performed, directly or indirectly, for the benefit of the Partnership Group. The Partnership agrees to issue and sell to the General Partner or any of its Affiliates any Partnership Interests that the General Partner or such Affiliates are obligated to provide to any employees and directors pursuant to any such employee benefit plans, employee programs or employee practices. Expenses incurred by the General Partner in connection with any such plans, programs and practices (including the net cost to the General Partner or such Affiliates of Partnership Interests purchased by the General Partner or such Affiliates from the Partnership or otherwise to fulfill options or awards under such plans, programs and practices) shall be reimbursed in accordance with </w:t>
      </w:r>
      <w:r>
        <w:rPr>
          <w:rFonts w:ascii="Arial" w:cs="Arial" w:eastAsia="Arial" w:hAnsi="Arial"/>
          <w:sz w:val="19"/>
          <w:szCs w:val="19"/>
          <w:u w:val="single" w:color="auto"/>
          <w:color w:val="auto"/>
        </w:rPr>
        <w:t>Section 7.11(b)</w:t>
      </w:r>
      <w:r>
        <w:rPr>
          <w:rFonts w:ascii="Arial" w:cs="Arial" w:eastAsia="Arial" w:hAnsi="Arial"/>
          <w:sz w:val="19"/>
          <w:szCs w:val="19"/>
          <w:color w:val="auto"/>
        </w:rPr>
        <w:t xml:space="preserve">. Any and all obligations of the General Partner under any employee benefit plans, employee programs or employee practices adopted by the General Partner as permitted by this </w:t>
      </w:r>
      <w:r>
        <w:rPr>
          <w:rFonts w:ascii="Arial" w:cs="Arial" w:eastAsia="Arial" w:hAnsi="Arial"/>
          <w:sz w:val="19"/>
          <w:szCs w:val="19"/>
          <w:u w:val="single" w:color="auto"/>
          <w:color w:val="auto"/>
        </w:rPr>
        <w:t>Section 7.11(c)</w:t>
      </w:r>
      <w:r>
        <w:rPr>
          <w:rFonts w:ascii="Arial" w:cs="Arial" w:eastAsia="Arial" w:hAnsi="Arial"/>
          <w:sz w:val="19"/>
          <w:szCs w:val="19"/>
          <w:color w:val="auto"/>
        </w:rPr>
        <w:t xml:space="preserve"> shall constitute obligations of the General Partner hereunder and shall be assumed by any successor General Partner approved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the transferee of or successor to all of the General Partner’s General Partner Interest pursuant to </w:t>
      </w:r>
      <w:r>
        <w:rPr>
          <w:rFonts w:ascii="Arial" w:cs="Arial" w:eastAsia="Arial" w:hAnsi="Arial"/>
          <w:sz w:val="19"/>
          <w:szCs w:val="19"/>
          <w:u w:val="single" w:color="auto"/>
          <w:color w:val="auto"/>
        </w:rPr>
        <w:t>Section 4.6.</w:t>
      </w:r>
    </w:p>
    <w:p>
      <w:pPr>
        <w:spacing w:after="0" w:line="184" w:lineRule="exact"/>
        <w:rPr>
          <w:sz w:val="20"/>
          <w:szCs w:val="20"/>
          <w:color w:val="auto"/>
        </w:rPr>
      </w:pPr>
    </w:p>
    <w:p>
      <w:pPr>
        <w:ind w:right="140" w:firstLine="1296"/>
        <w:spacing w:after="0" w:line="271" w:lineRule="auto"/>
        <w:rPr>
          <w:sz w:val="20"/>
          <w:szCs w:val="20"/>
          <w:color w:val="auto"/>
        </w:rPr>
      </w:pPr>
      <w:r>
        <w:rPr>
          <w:rFonts w:ascii="Arial" w:cs="Arial" w:eastAsia="Arial" w:hAnsi="Arial"/>
          <w:sz w:val="19"/>
          <w:szCs w:val="19"/>
          <w:color w:val="auto"/>
        </w:rPr>
        <w:t xml:space="preserve">Section 7.12. </w:t>
      </w:r>
      <w:r>
        <w:rPr>
          <w:rFonts w:ascii="Arial" w:cs="Arial" w:eastAsia="Arial" w:hAnsi="Arial"/>
          <w:sz w:val="19"/>
          <w:szCs w:val="19"/>
          <w:i w:val="1"/>
          <w:iCs w:val="1"/>
          <w:color w:val="auto"/>
        </w:rPr>
        <w:t>Outside Activities</w:t>
      </w:r>
      <w:r>
        <w:rPr>
          <w:rFonts w:ascii="Arial" w:cs="Arial" w:eastAsia="Arial" w:hAnsi="Arial"/>
          <w:sz w:val="19"/>
          <w:szCs w:val="19"/>
          <w:color w:val="auto"/>
        </w:rPr>
        <w:t>. (a) The General Partner, for so long as it is the general partner of the Partnership (i) agrees that its sole business will be to act as a general partner or managing member, as the case may be, of the Partnership and any other partnership or limited liability company of which the Partnership is, directly or indirectly, a partner or member and to undertake activities that are ancillary or related thereto (including being a limited partner in the Partnership) and</w:t>
      </w:r>
    </w:p>
    <w:p>
      <w:pPr>
        <w:spacing w:after="0" w:line="3" w:lineRule="exact"/>
        <w:rPr>
          <w:sz w:val="20"/>
          <w:szCs w:val="20"/>
          <w:color w:val="auto"/>
        </w:rPr>
      </w:pPr>
    </w:p>
    <w:p>
      <w:pPr>
        <w:ind w:right="200" w:firstLine="8"/>
        <w:spacing w:after="0" w:line="234" w:lineRule="auto"/>
        <w:tabs>
          <w:tab w:leader="none" w:pos="318" w:val="left"/>
        </w:tabs>
        <w:numPr>
          <w:ilvl w:val="0"/>
          <w:numId w:val="30"/>
        </w:numPr>
        <w:rPr>
          <w:rFonts w:ascii="Arial" w:cs="Arial" w:eastAsia="Arial" w:hAnsi="Arial"/>
          <w:sz w:val="22"/>
          <w:szCs w:val="22"/>
          <w:color w:val="auto"/>
        </w:rPr>
      </w:pPr>
      <w:r>
        <w:rPr>
          <w:rFonts w:ascii="Arial" w:cs="Arial" w:eastAsia="Arial" w:hAnsi="Arial"/>
          <w:sz w:val="22"/>
          <w:szCs w:val="22"/>
          <w:color w:val="auto"/>
        </w:rPr>
        <w:t>shall not engage in any business or activity or incur any debts or liabilities except in connection with or incidental to (A) its performance as general partner or managing member, if any, of one or more Group Members or (B) the acquiring, owning or disposing of debt or equity securities in any Group Member.</w:t>
      </w:r>
    </w:p>
    <w:p>
      <w:pPr>
        <w:spacing w:after="0" w:line="214" w:lineRule="exact"/>
        <w:rPr>
          <w:rFonts w:ascii="Arial" w:cs="Arial" w:eastAsia="Arial" w:hAnsi="Arial"/>
          <w:sz w:val="22"/>
          <w:szCs w:val="22"/>
          <w:color w:val="auto"/>
        </w:rPr>
      </w:pPr>
    </w:p>
    <w:p>
      <w:pPr>
        <w:ind w:firstLine="1304"/>
        <w:spacing w:after="0" w:line="273" w:lineRule="auto"/>
        <w:tabs>
          <w:tab w:leader="none" w:pos="2088" w:val="left"/>
        </w:tabs>
        <w:numPr>
          <w:ilvl w:val="1"/>
          <w:numId w:val="30"/>
        </w:numPr>
        <w:rPr>
          <w:rFonts w:ascii="Arial" w:cs="Arial" w:eastAsia="Arial" w:hAnsi="Arial"/>
          <w:sz w:val="19"/>
          <w:szCs w:val="19"/>
          <w:color w:val="auto"/>
        </w:rPr>
      </w:pPr>
      <w:r>
        <w:rPr>
          <w:rFonts w:ascii="Arial" w:cs="Arial" w:eastAsia="Arial" w:hAnsi="Arial"/>
          <w:sz w:val="19"/>
          <w:szCs w:val="19"/>
          <w:color w:val="auto"/>
        </w:rPr>
        <w:t xml:space="preserve">Except as specifically restricted by </w:t>
      </w:r>
      <w:r>
        <w:rPr>
          <w:rFonts w:ascii="Arial" w:cs="Arial" w:eastAsia="Arial" w:hAnsi="Arial"/>
          <w:sz w:val="19"/>
          <w:szCs w:val="19"/>
          <w:u w:val="single" w:color="auto"/>
          <w:color w:val="auto"/>
        </w:rPr>
        <w:t>Section 7.12(a)</w:t>
      </w:r>
      <w:r>
        <w:rPr>
          <w:rFonts w:ascii="Arial" w:cs="Arial" w:eastAsia="Arial" w:hAnsi="Arial"/>
          <w:sz w:val="19"/>
          <w:szCs w:val="19"/>
          <w:color w:val="auto"/>
        </w:rPr>
        <w:t xml:space="preserve">, each Indemnitee (other than the General Partner) shall have the right to engage in businesses of every type and description and other activities for profit and to engage in and possess an interest in other business ventures of any and every type or description, whether in businesses engaged in or anticipated to be engaged in by any Group Member, independently or with others, including business interests and activities in direct competition with the business and activities of any Group Member, and none of the same shall constitute a breach of this Agreement or any duty expressed or implied by law to any Group Member or any Partner. Notwithstanding anything to the contrary in this Agreement, (i) the possessing of competitive interests and engaging in competitive activities by any Indemnitees (other than the General Partner) in accordance with the provisions of this </w:t>
      </w:r>
      <w:r>
        <w:rPr>
          <w:rFonts w:ascii="Arial" w:cs="Arial" w:eastAsia="Arial" w:hAnsi="Arial"/>
          <w:sz w:val="19"/>
          <w:szCs w:val="19"/>
          <w:u w:val="single" w:color="auto"/>
          <w:color w:val="auto"/>
        </w:rPr>
        <w:t>Section 7.12</w:t>
      </w:r>
      <w:r>
        <w:rPr>
          <w:rFonts w:ascii="Arial" w:cs="Arial" w:eastAsia="Arial" w:hAnsi="Arial"/>
          <w:sz w:val="19"/>
          <w:szCs w:val="19"/>
          <w:color w:val="auto"/>
        </w:rPr>
        <w:t xml:space="preserve"> is hereby approved by the Partnership and all Partners and (ii) it shall be deemed not to be a breach of any duty (including any fiduciary duty) or any other obligation of any type whatsoever of the General Partner or of any Indemnitee for the Indemnitees (other than the General Partner) to engage in such business interests and activities in preference to or to the exclusion of the Partnership.</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40" w:name="page41"/>
    <w:bookmarkEnd w:id="40"/>
    <w:p>
      <w:pPr>
        <w:ind w:right="20" w:firstLine="1304"/>
        <w:spacing w:after="0" w:line="244" w:lineRule="auto"/>
        <w:tabs>
          <w:tab w:leader="none" w:pos="2076" w:val="left"/>
        </w:tabs>
        <w:numPr>
          <w:ilvl w:val="0"/>
          <w:numId w:val="31"/>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Agreement, the doctrine of corporate opportunity, or any analogous doctrine, shall not apply to an Indemnitee (including the General Partner) and, subject to the terms of </w:t>
      </w:r>
      <w:r>
        <w:rPr>
          <w:rFonts w:ascii="Arial" w:cs="Arial" w:eastAsia="Arial" w:hAnsi="Arial"/>
          <w:sz w:val="21"/>
          <w:szCs w:val="21"/>
          <w:u w:val="single" w:color="auto"/>
          <w:color w:val="auto"/>
        </w:rPr>
        <w:t>Section 7.12(a)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7.12(b)</w:t>
      </w:r>
      <w:r>
        <w:rPr>
          <w:rFonts w:ascii="Arial" w:cs="Arial" w:eastAsia="Arial" w:hAnsi="Arial"/>
          <w:sz w:val="21"/>
          <w:szCs w:val="21"/>
          <w:color w:val="auto"/>
        </w:rPr>
        <w:t xml:space="preserve">, no Indemnitee (including the General Partner) who acquires knowledge of a potential transaction, agreement, arrangement or other matter that may be an opportunity for the Partnership shall have any duty to communicate or offer such opportunity to the Partnership, and, subject to the terms of </w:t>
      </w:r>
      <w:r>
        <w:rPr>
          <w:rFonts w:ascii="Arial" w:cs="Arial" w:eastAsia="Arial" w:hAnsi="Arial"/>
          <w:sz w:val="21"/>
          <w:szCs w:val="21"/>
          <w:u w:val="single" w:color="auto"/>
          <w:color w:val="auto"/>
        </w:rPr>
        <w:t>Section 7.12(a)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7.12(b)</w:t>
      </w:r>
      <w:r>
        <w:rPr>
          <w:rFonts w:ascii="Arial" w:cs="Arial" w:eastAsia="Arial" w:hAnsi="Arial"/>
          <w:sz w:val="21"/>
          <w:szCs w:val="21"/>
          <w:color w:val="auto"/>
        </w:rPr>
        <w:t xml:space="preserve">, such Indemnitee (including the General Partner) shall not be liable to the Partnership, to any Limited Partner or any other Person for breach of any fiduciary or other duty by reason of the fact that such Indemnitee (including the General Partner) pursues or acquires such opportunity for itself, directs such opportunity to another Person or does not communicate such opportunity or information to the Partnership;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such Indemnitee (including the General Partner) does not engage in such business or activity as a result of using confidential or proprietary information provided by or on behalf of the Partnership to such Indemnitee (including the General Partner).</w:t>
      </w:r>
    </w:p>
    <w:p>
      <w:pPr>
        <w:spacing w:after="0" w:line="215" w:lineRule="exact"/>
        <w:rPr>
          <w:rFonts w:ascii="Arial" w:cs="Arial" w:eastAsia="Arial" w:hAnsi="Arial"/>
          <w:sz w:val="21"/>
          <w:szCs w:val="21"/>
          <w:color w:val="auto"/>
        </w:rPr>
      </w:pPr>
    </w:p>
    <w:p>
      <w:pPr>
        <w:ind w:right="80" w:firstLine="1304"/>
        <w:spacing w:after="0" w:line="238" w:lineRule="auto"/>
        <w:tabs>
          <w:tab w:leader="none" w:pos="2088"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General Partner and each of its Affiliates may own and acquire Units or other Partnership Interests and, except as otherwise provided in this Agreement, shall be entitled to exercise, at their option, all rights relating to all Units or other Partnership Interests acquired by them. The term “</w:t>
      </w:r>
      <w:r>
        <w:rPr>
          <w:rFonts w:ascii="Arial" w:cs="Arial" w:eastAsia="Arial" w:hAnsi="Arial"/>
          <w:sz w:val="22"/>
          <w:szCs w:val="22"/>
          <w:i w:val="1"/>
          <w:iCs w:val="1"/>
          <w:color w:val="auto"/>
        </w:rPr>
        <w:t>Affiliates</w:t>
      </w:r>
      <w:r>
        <w:rPr>
          <w:rFonts w:ascii="Arial" w:cs="Arial" w:eastAsia="Arial" w:hAnsi="Arial"/>
          <w:sz w:val="22"/>
          <w:szCs w:val="22"/>
          <w:color w:val="auto"/>
        </w:rPr>
        <w:t xml:space="preserve">” as used in this </w:t>
      </w:r>
      <w:r>
        <w:rPr>
          <w:rFonts w:ascii="Arial" w:cs="Arial" w:eastAsia="Arial" w:hAnsi="Arial"/>
          <w:sz w:val="22"/>
          <w:szCs w:val="22"/>
          <w:u w:val="single" w:color="auto"/>
          <w:color w:val="auto"/>
        </w:rPr>
        <w:t>Section 7.12(d)</w:t>
      </w:r>
      <w:r>
        <w:rPr>
          <w:rFonts w:ascii="Arial" w:cs="Arial" w:eastAsia="Arial" w:hAnsi="Arial"/>
          <w:sz w:val="22"/>
          <w:szCs w:val="22"/>
          <w:color w:val="auto"/>
        </w:rPr>
        <w:t xml:space="preserve"> with respect to the General Partner shall not include any Group Member.</w:t>
      </w:r>
    </w:p>
    <w:p>
      <w:pPr>
        <w:spacing w:after="0" w:line="212" w:lineRule="exact"/>
        <w:rPr>
          <w:sz w:val="20"/>
          <w:szCs w:val="20"/>
          <w:color w:val="auto"/>
        </w:rPr>
      </w:pPr>
    </w:p>
    <w:p>
      <w:pPr>
        <w:ind w:firstLine="1296"/>
        <w:spacing w:after="0" w:line="244" w:lineRule="auto"/>
        <w:rPr>
          <w:sz w:val="20"/>
          <w:szCs w:val="20"/>
          <w:color w:val="auto"/>
        </w:rPr>
      </w:pPr>
      <w:r>
        <w:rPr>
          <w:rFonts w:ascii="Arial" w:cs="Arial" w:eastAsia="Arial" w:hAnsi="Arial"/>
          <w:sz w:val="21"/>
          <w:szCs w:val="21"/>
          <w:color w:val="auto"/>
        </w:rPr>
        <w:t xml:space="preserve">Section 7.13. </w:t>
      </w:r>
      <w:r>
        <w:rPr>
          <w:rFonts w:ascii="Arial" w:cs="Arial" w:eastAsia="Arial" w:hAnsi="Arial"/>
          <w:sz w:val="21"/>
          <w:szCs w:val="21"/>
          <w:i w:val="1"/>
          <w:iCs w:val="1"/>
          <w:color w:val="auto"/>
        </w:rPr>
        <w:t>Indemnification</w:t>
      </w:r>
      <w:r>
        <w:rPr>
          <w:rFonts w:ascii="Arial" w:cs="Arial" w:eastAsia="Arial" w:hAnsi="Arial"/>
          <w:sz w:val="21"/>
          <w:szCs w:val="21"/>
          <w:color w:val="auto"/>
        </w:rPr>
        <w:t xml:space="preserve">. (a) To the fullest extent permitted by the Marshall Islands Act but subject to the limitations expressly provided in this Agreement, all Indemnitees shall be indemnified and held harmless by the Partnership from and against any and all losses, claims, damages, liabilities, joint or several, expenses (including legal fees and expenses), judgments, fines, penalties, interest, settlements or other amounts arising from any and all claims, demands, actions, suits or proceedings, whether civil, criminal, administrative or investigative, in which any Indemnitee may be involved, or is threatened to be involved, as a party or otherwise, by reason of its status as an Indemnitee;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the Indemnitee shall not be indemnified and held harmless if there has been a final and non-appealable judgment entered by a court of competent jurisdiction determining that, in respect of the matter for which the Indemnitee is seeking indemnification pursuant to this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7.13</w:t>
      </w:r>
      <w:r>
        <w:rPr>
          <w:rFonts w:ascii="Arial" w:cs="Arial" w:eastAsia="Arial" w:hAnsi="Arial"/>
          <w:sz w:val="21"/>
          <w:szCs w:val="21"/>
          <w:color w:val="auto"/>
        </w:rPr>
        <w:t xml:space="preserve">, the Indemnitee acted in bad faith or engaged in fraud or willful misconduct or, in the case of a criminal matter, acted with knowledge that the Indemnitee’s conduct was unlawful. Any indemnification pursuant to this </w:t>
      </w:r>
      <w:r>
        <w:rPr>
          <w:rFonts w:ascii="Arial" w:cs="Arial" w:eastAsia="Arial" w:hAnsi="Arial"/>
          <w:sz w:val="21"/>
          <w:szCs w:val="21"/>
          <w:u w:val="single" w:color="auto"/>
          <w:color w:val="auto"/>
        </w:rPr>
        <w:t>Section 7.13</w:t>
      </w:r>
      <w:r>
        <w:rPr>
          <w:rFonts w:ascii="Arial" w:cs="Arial" w:eastAsia="Arial" w:hAnsi="Arial"/>
          <w:sz w:val="21"/>
          <w:szCs w:val="21"/>
          <w:color w:val="auto"/>
        </w:rPr>
        <w:t xml:space="preserve"> shall be made only out of the assets of the Partnership, it being agreed that the General Partner shall not be personally liable for such indemnification and shall have no obligation to contribute or loan any monies or property to the Partnership to enable it to effectuate such indemnification.</w:t>
      </w:r>
    </w:p>
    <w:p>
      <w:pPr>
        <w:spacing w:after="0" w:line="210" w:lineRule="exact"/>
        <w:rPr>
          <w:sz w:val="20"/>
          <w:szCs w:val="20"/>
          <w:color w:val="auto"/>
        </w:rPr>
      </w:pPr>
    </w:p>
    <w:p>
      <w:pPr>
        <w:ind w:right="80" w:firstLine="1304"/>
        <w:spacing w:after="0" w:line="282" w:lineRule="auto"/>
        <w:tabs>
          <w:tab w:leader="none" w:pos="2088" w:val="left"/>
        </w:tabs>
        <w:numPr>
          <w:ilvl w:val="0"/>
          <w:numId w:val="32"/>
        </w:numPr>
        <w:rPr>
          <w:rFonts w:ascii="Arial" w:cs="Arial" w:eastAsia="Arial" w:hAnsi="Arial"/>
          <w:sz w:val="19"/>
          <w:szCs w:val="19"/>
          <w:color w:val="auto"/>
        </w:rPr>
      </w:pPr>
      <w:r>
        <w:rPr>
          <w:rFonts w:ascii="Arial" w:cs="Arial" w:eastAsia="Arial" w:hAnsi="Arial"/>
          <w:sz w:val="19"/>
          <w:szCs w:val="19"/>
          <w:color w:val="auto"/>
        </w:rPr>
        <w:t xml:space="preserve">To the fullest extent permitted by the Marshall Islands Act, expenses (including legal fees and expenses) incurred by an Indemnitee who is indemnified pursuant to </w:t>
      </w:r>
      <w:r>
        <w:rPr>
          <w:rFonts w:ascii="Arial" w:cs="Arial" w:eastAsia="Arial" w:hAnsi="Arial"/>
          <w:sz w:val="19"/>
          <w:szCs w:val="19"/>
          <w:u w:val="single" w:color="auto"/>
          <w:color w:val="auto"/>
        </w:rPr>
        <w:t>Section 7.13(a)</w:t>
      </w:r>
      <w:r>
        <w:rPr>
          <w:rFonts w:ascii="Arial" w:cs="Arial" w:eastAsia="Arial" w:hAnsi="Arial"/>
          <w:sz w:val="19"/>
          <w:szCs w:val="19"/>
          <w:color w:val="auto"/>
        </w:rPr>
        <w:t xml:space="preserve"> in defending any claim, demand, action, suit or proceeding shall, from time to time, be advanced by the Partnership prior to a determination that the Indemnitee is not entitled to be indemnified upon receipt by the Partnership of any undertaking by or on behalf of the Indemnitee to repay such amount if it shall be determined that the Indemnitee is not entitled to be indemnified as authorized in this </w:t>
      </w:r>
      <w:r>
        <w:rPr>
          <w:rFonts w:ascii="Arial" w:cs="Arial" w:eastAsia="Arial" w:hAnsi="Arial"/>
          <w:sz w:val="19"/>
          <w:szCs w:val="19"/>
          <w:u w:val="single" w:color="auto"/>
          <w:color w:val="auto"/>
        </w:rPr>
        <w:t>Section 7.13</w:t>
      </w:r>
      <w:r>
        <w:rPr>
          <w:rFonts w:ascii="Arial" w:cs="Arial" w:eastAsia="Arial" w:hAnsi="Arial"/>
          <w:sz w:val="19"/>
          <w:szCs w:val="19"/>
          <w:color w:val="auto"/>
        </w:rPr>
        <w:t>.</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41" w:name="page42"/>
    <w:bookmarkEnd w:id="41"/>
    <w:p>
      <w:pPr>
        <w:ind w:right="60" w:firstLine="1304"/>
        <w:spacing w:after="0" w:line="249" w:lineRule="auto"/>
        <w:tabs>
          <w:tab w:leader="none" w:pos="2076" w:val="left"/>
        </w:tabs>
        <w:numPr>
          <w:ilvl w:val="0"/>
          <w:numId w:val="33"/>
        </w:numPr>
        <w:rPr>
          <w:rFonts w:ascii="Arial" w:cs="Arial" w:eastAsia="Arial" w:hAnsi="Arial"/>
          <w:sz w:val="21"/>
          <w:szCs w:val="21"/>
          <w:color w:val="auto"/>
        </w:rPr>
      </w:pPr>
      <w:r>
        <w:rPr>
          <w:rFonts w:ascii="Arial" w:cs="Arial" w:eastAsia="Arial" w:hAnsi="Arial"/>
          <w:sz w:val="21"/>
          <w:szCs w:val="21"/>
          <w:color w:val="auto"/>
        </w:rPr>
        <w:t xml:space="preserve">The indemnification provided by this </w:t>
      </w:r>
      <w:r>
        <w:rPr>
          <w:rFonts w:ascii="Arial" w:cs="Arial" w:eastAsia="Arial" w:hAnsi="Arial"/>
          <w:sz w:val="21"/>
          <w:szCs w:val="21"/>
          <w:u w:val="single" w:color="auto"/>
          <w:color w:val="auto"/>
        </w:rPr>
        <w:t>Section 7.13</w:t>
      </w:r>
      <w:r>
        <w:rPr>
          <w:rFonts w:ascii="Arial" w:cs="Arial" w:eastAsia="Arial" w:hAnsi="Arial"/>
          <w:sz w:val="21"/>
          <w:szCs w:val="21"/>
          <w:color w:val="auto"/>
        </w:rPr>
        <w:t xml:space="preserve"> shall be in addition to any other rights to which an Indemnitee may be entitled under any agreement, pursuant to any vote of the holders of Outstanding Limited Partner Interests, as a matter of law or otherwise, both as to actions in the Indemnitee’s capacity as an Indemnitee and as to actions in any other capacity, and shall continue as to an Indemnitee who has ceased to serve in such capacity and shall inure to the benefit of the heirs, successors, assigns and administrators of the Indemnitee.</w:t>
      </w:r>
    </w:p>
    <w:p>
      <w:pPr>
        <w:spacing w:after="0" w:line="205" w:lineRule="exact"/>
        <w:rPr>
          <w:rFonts w:ascii="Arial" w:cs="Arial" w:eastAsia="Arial" w:hAnsi="Arial"/>
          <w:sz w:val="21"/>
          <w:szCs w:val="21"/>
          <w:color w:val="auto"/>
        </w:rPr>
      </w:pPr>
    </w:p>
    <w:p>
      <w:pPr>
        <w:ind w:right="20" w:firstLine="1304"/>
        <w:spacing w:after="0" w:line="282" w:lineRule="auto"/>
        <w:tabs>
          <w:tab w:leader="none" w:pos="2088"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Partnership may purchase and maintain (or reimburse the General Partner or its Affiliates for the cost of) insurance, on behalf of the Board of Directors and the General Partner, its Affiliates and such other Persons as the Board of Directors shall determine, against any liability that may be asserted against, or expense that may be incurred by, such Person in connection with the Partnership’s activities or such Person’s activities on behalf of the Partnership, regardless of whether the Partnership would have the power to indemnify such Person against such liability under the provisions of this Agreement or law.</w:t>
      </w:r>
    </w:p>
    <w:p>
      <w:pPr>
        <w:spacing w:after="0" w:line="174" w:lineRule="exact"/>
        <w:rPr>
          <w:rFonts w:ascii="Arial" w:cs="Arial" w:eastAsia="Arial" w:hAnsi="Arial"/>
          <w:sz w:val="19"/>
          <w:szCs w:val="19"/>
          <w:color w:val="auto"/>
        </w:rPr>
      </w:pPr>
    </w:p>
    <w:p>
      <w:pPr>
        <w:ind w:right="120" w:firstLine="1304"/>
        <w:spacing w:after="0" w:line="277" w:lineRule="auto"/>
        <w:tabs>
          <w:tab w:leader="none" w:pos="2076" w:val="left"/>
        </w:tabs>
        <w:numPr>
          <w:ilvl w:val="0"/>
          <w:numId w:val="33"/>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7.13</w:t>
      </w:r>
      <w:r>
        <w:rPr>
          <w:rFonts w:ascii="Arial" w:cs="Arial" w:eastAsia="Arial" w:hAnsi="Arial"/>
          <w:sz w:val="19"/>
          <w:szCs w:val="19"/>
          <w:color w:val="auto"/>
        </w:rPr>
        <w:t xml:space="preserve">, the Partnership shall be deemed to have requested an Indemnitee to serve as fiduciary of an employee benefit plan whenever the performance by the Indemnitee of its duties to the Partnership also imposes duties on, or otherwise involves services by, it to the plan or participants or beneficiaries of the plan; excise taxes assessed on an Indemnitee with respect to an employee benefit plan pursuant to applicable law shall constitute “fines” within the meaning of </w:t>
      </w:r>
      <w:r>
        <w:rPr>
          <w:rFonts w:ascii="Arial" w:cs="Arial" w:eastAsia="Arial" w:hAnsi="Arial"/>
          <w:sz w:val="19"/>
          <w:szCs w:val="19"/>
          <w:u w:val="single" w:color="auto"/>
          <w:color w:val="auto"/>
        </w:rPr>
        <w:t>Section 7.13(a)</w:t>
      </w:r>
      <w:r>
        <w:rPr>
          <w:rFonts w:ascii="Arial" w:cs="Arial" w:eastAsia="Arial" w:hAnsi="Arial"/>
          <w:sz w:val="19"/>
          <w:szCs w:val="19"/>
          <w:color w:val="auto"/>
        </w:rPr>
        <w:t>; and action taken or omitted by the Indemnitee with respect to any employee benefit plan in the performance of its duties for a purpose reasonably believed by it to be in the best interest of the participants and beneficiaries of the plan shall be deemed to be for a purpose that is in the best interests of the Partnership.</w:t>
      </w:r>
    </w:p>
    <w:p>
      <w:pPr>
        <w:spacing w:after="0" w:line="178" w:lineRule="exact"/>
        <w:rPr>
          <w:rFonts w:ascii="Arial" w:cs="Arial" w:eastAsia="Arial" w:hAnsi="Arial"/>
          <w:sz w:val="19"/>
          <w:szCs w:val="19"/>
          <w:color w:val="auto"/>
        </w:rPr>
      </w:pPr>
    </w:p>
    <w:p>
      <w:pPr>
        <w:ind w:right="840" w:firstLine="1304"/>
        <w:spacing w:after="0" w:line="250" w:lineRule="auto"/>
        <w:tabs>
          <w:tab w:leader="none" w:pos="2052" w:val="left"/>
        </w:tabs>
        <w:numPr>
          <w:ilvl w:val="0"/>
          <w:numId w:val="33"/>
        </w:numPr>
        <w:rPr>
          <w:rFonts w:ascii="Arial" w:cs="Arial" w:eastAsia="Arial" w:hAnsi="Arial"/>
          <w:sz w:val="22"/>
          <w:szCs w:val="22"/>
          <w:color w:val="auto"/>
        </w:rPr>
      </w:pPr>
      <w:r>
        <w:rPr>
          <w:rFonts w:ascii="Arial" w:cs="Arial" w:eastAsia="Arial" w:hAnsi="Arial"/>
          <w:sz w:val="22"/>
          <w:szCs w:val="22"/>
          <w:color w:val="auto"/>
        </w:rPr>
        <w:t>In no event may an Indemnitee subject the Limited Partners to personal liability by reason of the indemnification provisions set forth in this Agreement.</w:t>
      </w:r>
    </w:p>
    <w:p>
      <w:pPr>
        <w:spacing w:after="0" w:line="201" w:lineRule="exact"/>
        <w:rPr>
          <w:rFonts w:ascii="Arial" w:cs="Arial" w:eastAsia="Arial" w:hAnsi="Arial"/>
          <w:sz w:val="22"/>
          <w:szCs w:val="22"/>
          <w:color w:val="auto"/>
        </w:rPr>
      </w:pPr>
    </w:p>
    <w:p>
      <w:pPr>
        <w:ind w:firstLine="1304"/>
        <w:spacing w:after="0"/>
        <w:tabs>
          <w:tab w:leader="none" w:pos="2088"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An Indemnitee shall not be denied indemnification in whole or in part under this </w:t>
      </w:r>
      <w:r>
        <w:rPr>
          <w:rFonts w:ascii="Arial" w:cs="Arial" w:eastAsia="Arial" w:hAnsi="Arial"/>
          <w:sz w:val="22"/>
          <w:szCs w:val="22"/>
          <w:u w:val="single" w:color="auto"/>
          <w:color w:val="auto"/>
        </w:rPr>
        <w:t>Section 7.13</w:t>
      </w:r>
      <w:r>
        <w:rPr>
          <w:rFonts w:ascii="Arial" w:cs="Arial" w:eastAsia="Arial" w:hAnsi="Arial"/>
          <w:sz w:val="22"/>
          <w:szCs w:val="22"/>
          <w:color w:val="auto"/>
        </w:rPr>
        <w:t xml:space="preserve"> because the Indemnitee had an interest in the transaction with respect to which the indemnification applies if the transaction was otherwise permitted by the terms of this Agreement.</w:t>
      </w:r>
    </w:p>
    <w:p>
      <w:pPr>
        <w:spacing w:after="0" w:line="213" w:lineRule="exact"/>
        <w:rPr>
          <w:rFonts w:ascii="Arial" w:cs="Arial" w:eastAsia="Arial" w:hAnsi="Arial"/>
          <w:sz w:val="22"/>
          <w:szCs w:val="22"/>
          <w:color w:val="auto"/>
        </w:rPr>
      </w:pPr>
    </w:p>
    <w:p>
      <w:pPr>
        <w:ind w:right="140" w:firstLine="1304"/>
        <w:spacing w:after="0" w:line="274" w:lineRule="auto"/>
        <w:tabs>
          <w:tab w:leader="none" w:pos="2088" w:val="left"/>
        </w:tabs>
        <w:numPr>
          <w:ilvl w:val="0"/>
          <w:numId w:val="33"/>
        </w:numPr>
        <w:rPr>
          <w:rFonts w:ascii="Arial" w:cs="Arial" w:eastAsia="Arial" w:hAnsi="Arial"/>
          <w:sz w:val="21"/>
          <w:szCs w:val="21"/>
          <w:color w:val="auto"/>
        </w:rPr>
      </w:pPr>
      <w:r>
        <w:rPr>
          <w:rFonts w:ascii="Arial" w:cs="Arial" w:eastAsia="Arial" w:hAnsi="Arial"/>
          <w:sz w:val="21"/>
          <w:szCs w:val="21"/>
          <w:color w:val="auto"/>
        </w:rPr>
        <w:t xml:space="preserve">The provisions of this </w:t>
      </w:r>
      <w:r>
        <w:rPr>
          <w:rFonts w:ascii="Arial" w:cs="Arial" w:eastAsia="Arial" w:hAnsi="Arial"/>
          <w:sz w:val="21"/>
          <w:szCs w:val="21"/>
          <w:u w:val="single" w:color="auto"/>
          <w:color w:val="auto"/>
        </w:rPr>
        <w:t>Section 7.13</w:t>
      </w:r>
      <w:r>
        <w:rPr>
          <w:rFonts w:ascii="Arial" w:cs="Arial" w:eastAsia="Arial" w:hAnsi="Arial"/>
          <w:sz w:val="21"/>
          <w:szCs w:val="21"/>
          <w:color w:val="auto"/>
        </w:rPr>
        <w:t xml:space="preserve"> are for the benefit of the Indemnitees, their heirs, successors, assigns and administrators and shall not be deemed to create any rights for the benefit of any other Persons.</w:t>
      </w:r>
    </w:p>
    <w:p>
      <w:pPr>
        <w:spacing w:after="0" w:line="177" w:lineRule="exact"/>
        <w:rPr>
          <w:rFonts w:ascii="Arial" w:cs="Arial" w:eastAsia="Arial" w:hAnsi="Arial"/>
          <w:sz w:val="21"/>
          <w:szCs w:val="21"/>
          <w:color w:val="auto"/>
        </w:rPr>
      </w:pPr>
    </w:p>
    <w:p>
      <w:pPr>
        <w:ind w:firstLine="1304"/>
        <w:spacing w:after="0" w:line="235" w:lineRule="auto"/>
        <w:tabs>
          <w:tab w:leader="none" w:pos="2040" w:val="left"/>
        </w:tabs>
        <w:numPr>
          <w:ilvl w:val="0"/>
          <w:numId w:val="33"/>
        </w:numPr>
        <w:rPr>
          <w:rFonts w:ascii="Arial" w:cs="Arial" w:eastAsia="Arial" w:hAnsi="Arial"/>
          <w:sz w:val="22"/>
          <w:szCs w:val="22"/>
          <w:color w:val="auto"/>
        </w:rPr>
      </w:pPr>
      <w:r>
        <w:rPr>
          <w:rFonts w:ascii="Arial" w:cs="Arial" w:eastAsia="Arial" w:hAnsi="Arial"/>
          <w:sz w:val="22"/>
          <w:szCs w:val="22"/>
          <w:color w:val="auto"/>
        </w:rPr>
        <w:t xml:space="preserve">No amendment, modification or repeal of this </w:t>
      </w:r>
      <w:r>
        <w:rPr>
          <w:rFonts w:ascii="Arial" w:cs="Arial" w:eastAsia="Arial" w:hAnsi="Arial"/>
          <w:sz w:val="22"/>
          <w:szCs w:val="22"/>
          <w:u w:val="single" w:color="auto"/>
          <w:color w:val="auto"/>
        </w:rPr>
        <w:t>Section 7.13</w:t>
      </w:r>
      <w:r>
        <w:rPr>
          <w:rFonts w:ascii="Arial" w:cs="Arial" w:eastAsia="Arial" w:hAnsi="Arial"/>
          <w:sz w:val="22"/>
          <w:szCs w:val="22"/>
          <w:color w:val="auto"/>
        </w:rPr>
        <w:t xml:space="preserve"> or any provision hereof shall in any manner terminate, reduce or impair the right of any past, present or future Indemnitee to be indemnified by the Partnership, nor the obligations of the Partnership to indemnify any such Indemnitee under and in accordance with the provisions of this </w:t>
      </w:r>
      <w:r>
        <w:rPr>
          <w:rFonts w:ascii="Arial" w:cs="Arial" w:eastAsia="Arial" w:hAnsi="Arial"/>
          <w:sz w:val="22"/>
          <w:szCs w:val="22"/>
          <w:u w:val="single" w:color="auto"/>
          <w:color w:val="auto"/>
        </w:rPr>
        <w:t>Section 7.13</w:t>
      </w:r>
      <w:r>
        <w:rPr>
          <w:rFonts w:ascii="Arial" w:cs="Arial" w:eastAsia="Arial" w:hAnsi="Arial"/>
          <w:sz w:val="22"/>
          <w:szCs w:val="22"/>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215" w:lineRule="exact"/>
        <w:rPr>
          <w:sz w:val="20"/>
          <w:szCs w:val="20"/>
          <w:color w:val="auto"/>
        </w:rPr>
      </w:pPr>
    </w:p>
    <w:p>
      <w:pPr>
        <w:ind w:right="780" w:firstLine="1296"/>
        <w:spacing w:after="0" w:line="250" w:lineRule="auto"/>
        <w:rPr>
          <w:sz w:val="20"/>
          <w:szCs w:val="20"/>
          <w:color w:val="auto"/>
        </w:rPr>
      </w:pPr>
      <w:r>
        <w:rPr>
          <w:rFonts w:ascii="Arial" w:cs="Arial" w:eastAsia="Arial" w:hAnsi="Arial"/>
          <w:sz w:val="22"/>
          <w:szCs w:val="22"/>
          <w:color w:val="auto"/>
        </w:rPr>
        <w:t xml:space="preserve">Section 7.14. </w:t>
      </w:r>
      <w:r>
        <w:rPr>
          <w:rFonts w:ascii="Arial" w:cs="Arial" w:eastAsia="Arial" w:hAnsi="Arial"/>
          <w:sz w:val="22"/>
          <w:szCs w:val="22"/>
          <w:i w:val="1"/>
          <w:iCs w:val="1"/>
          <w:color w:val="auto"/>
        </w:rPr>
        <w:t>Liability of Indemnitees</w:t>
      </w:r>
      <w:r>
        <w:rPr>
          <w:rFonts w:ascii="Arial" w:cs="Arial" w:eastAsia="Arial" w:hAnsi="Arial"/>
          <w:sz w:val="22"/>
          <w:szCs w:val="22"/>
          <w:color w:val="auto"/>
        </w:rPr>
        <w:t>. (a) Notwithstanding anything to the contrary set forth in this Agreement, no Indemnitee shall be liable for monetary damages to the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42" w:name="page43"/>
    <w:bookmarkEnd w:id="42"/>
    <w:p>
      <w:pPr>
        <w:ind w:right="100"/>
        <w:spacing w:after="0" w:line="271" w:lineRule="auto"/>
        <w:rPr>
          <w:sz w:val="20"/>
          <w:szCs w:val="20"/>
          <w:color w:val="auto"/>
        </w:rPr>
      </w:pPr>
      <w:r>
        <w:rPr>
          <w:rFonts w:ascii="Arial" w:cs="Arial" w:eastAsia="Arial" w:hAnsi="Arial"/>
          <w:sz w:val="19"/>
          <w:szCs w:val="19"/>
          <w:color w:val="auto"/>
        </w:rPr>
        <w:t>Partnership, the Limited Partners or any other Persons who have acquired Partnership Interests or are otherwise bound by this Agreement, for losses sustained or liabilities incurred as a result of any act or omission of an Indemnitee unless there has been a final and non-appealable judgment entered by a court of competent jurisdiction determining that, in respect of the matter in question, the Indemnitee committed (i) acts of active and deliberate dishonesty, (ii) with actual dishonest purpose and intent, and</w:t>
      </w:r>
    </w:p>
    <w:p>
      <w:pPr>
        <w:spacing w:after="0" w:line="3"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which acts were material to the cause of action so adjudicated.</w:t>
      </w:r>
    </w:p>
    <w:p>
      <w:pPr>
        <w:spacing w:after="0" w:line="215" w:lineRule="exact"/>
        <w:rPr>
          <w:rFonts w:ascii="Arial" w:cs="Arial" w:eastAsia="Arial" w:hAnsi="Arial"/>
          <w:sz w:val="22"/>
          <w:szCs w:val="22"/>
          <w:color w:val="auto"/>
        </w:rPr>
      </w:pPr>
    </w:p>
    <w:p>
      <w:pPr>
        <w:ind w:right="100" w:firstLine="1304"/>
        <w:spacing w:after="0" w:line="282" w:lineRule="auto"/>
        <w:tabs>
          <w:tab w:leader="none" w:pos="2088"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Subject to their obligations and duties as members of the Board of Directors or as the General Partner, respectively, set forth in </w:t>
      </w:r>
      <w:r>
        <w:rPr>
          <w:rFonts w:ascii="Arial" w:cs="Arial" w:eastAsia="Arial" w:hAnsi="Arial"/>
          <w:sz w:val="19"/>
          <w:szCs w:val="19"/>
          <w:u w:val="single" w:color="auto"/>
          <w:color w:val="auto"/>
        </w:rPr>
        <w:t>Section 7.1(a)</w:t>
      </w:r>
      <w:r>
        <w:rPr>
          <w:rFonts w:ascii="Arial" w:cs="Arial" w:eastAsia="Arial" w:hAnsi="Arial"/>
          <w:sz w:val="19"/>
          <w:szCs w:val="19"/>
          <w:color w:val="auto"/>
        </w:rPr>
        <w:t>, members of the Board of Directors and the General Partner may exercise any of the powers granted to them and perform any of the duties imposed upon them hereunder either directly or by or through its agents, and the members of the Board of Directors and the General Partner shall not be responsible for any misconduct or negligence on the part of any such agent appointed by the Board of Directors or the General Partner in good faith.</w:t>
      </w:r>
    </w:p>
    <w:p>
      <w:pPr>
        <w:spacing w:after="0" w:line="174" w:lineRule="exact"/>
        <w:rPr>
          <w:rFonts w:ascii="Arial" w:cs="Arial" w:eastAsia="Arial" w:hAnsi="Arial"/>
          <w:sz w:val="19"/>
          <w:szCs w:val="19"/>
          <w:color w:val="auto"/>
        </w:rPr>
      </w:pPr>
    </w:p>
    <w:p>
      <w:pPr>
        <w:ind w:right="20" w:firstLine="1304"/>
        <w:spacing w:after="0" w:line="238" w:lineRule="auto"/>
        <w:tabs>
          <w:tab w:leader="none" w:pos="2076" w:val="left"/>
        </w:tabs>
        <w:numPr>
          <w:ilvl w:val="1"/>
          <w:numId w:val="34"/>
        </w:numPr>
        <w:rPr>
          <w:rFonts w:ascii="Arial" w:cs="Arial" w:eastAsia="Arial" w:hAnsi="Arial"/>
          <w:sz w:val="22"/>
          <w:szCs w:val="22"/>
          <w:color w:val="auto"/>
        </w:rPr>
      </w:pPr>
      <w:r>
        <w:rPr>
          <w:rFonts w:ascii="Arial" w:cs="Arial" w:eastAsia="Arial" w:hAnsi="Arial"/>
          <w:sz w:val="22"/>
          <w:szCs w:val="22"/>
          <w:color w:val="auto"/>
        </w:rPr>
        <w:t>To the extent that, at law or in equity, an Indemnitee has duties (including fiduciary duties) and liabilities relating thereto to the Partnership or to the Partners, the General Partner and any other Indemnitee acting in connection with the Partnership’s business or affairs shall not be liable to the Partnership or to any Partner for its good faith reliance on the provisions of this Agreement.</w:t>
      </w:r>
    </w:p>
    <w:p>
      <w:pPr>
        <w:spacing w:after="0" w:line="211" w:lineRule="exact"/>
        <w:rPr>
          <w:rFonts w:ascii="Arial" w:cs="Arial" w:eastAsia="Arial" w:hAnsi="Arial"/>
          <w:sz w:val="22"/>
          <w:szCs w:val="22"/>
          <w:color w:val="auto"/>
        </w:rPr>
      </w:pPr>
    </w:p>
    <w:p>
      <w:pPr>
        <w:ind w:right="40" w:firstLine="1304"/>
        <w:spacing w:after="0" w:line="287" w:lineRule="auto"/>
        <w:tabs>
          <w:tab w:leader="none" w:pos="2088" w:val="left"/>
        </w:tabs>
        <w:numPr>
          <w:ilvl w:val="1"/>
          <w:numId w:val="34"/>
        </w:numPr>
        <w:rPr>
          <w:rFonts w:ascii="Arial" w:cs="Arial" w:eastAsia="Arial" w:hAnsi="Arial"/>
          <w:sz w:val="19"/>
          <w:szCs w:val="19"/>
          <w:color w:val="auto"/>
        </w:rPr>
      </w:pPr>
      <w:r>
        <w:rPr>
          <w:rFonts w:ascii="Arial" w:cs="Arial" w:eastAsia="Arial" w:hAnsi="Arial"/>
          <w:sz w:val="19"/>
          <w:szCs w:val="19"/>
          <w:color w:val="auto"/>
        </w:rPr>
        <w:t xml:space="preserve">Any amendment, modification or repeal of this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or any provision hereof shall be prospective only and shall not in any way affect the limitations on the liability of the Indemnitees under this </w:t>
      </w:r>
      <w:r>
        <w:rPr>
          <w:rFonts w:ascii="Arial" w:cs="Arial" w:eastAsia="Arial" w:hAnsi="Arial"/>
          <w:sz w:val="19"/>
          <w:szCs w:val="19"/>
          <w:u w:val="single" w:color="auto"/>
          <w:color w:val="auto"/>
        </w:rPr>
        <w:t>Section 7.14</w:t>
      </w:r>
      <w:r>
        <w:rPr>
          <w:rFonts w:ascii="Arial" w:cs="Arial" w:eastAsia="Arial" w:hAnsi="Arial"/>
          <w:sz w:val="19"/>
          <w:szCs w:val="19"/>
          <w:color w:val="auto"/>
        </w:rPr>
        <w:t xml:space="preserve"> as in effect immediately prior to such amendment, modification or repeal with respect to claims arising from or relating to matters occurring, in whole or in part, prior to such amendment, modification or repeal, regardless of when such claims may arise or be asserted.</w:t>
      </w:r>
    </w:p>
    <w:p>
      <w:pPr>
        <w:spacing w:after="0" w:line="170" w:lineRule="exact"/>
        <w:rPr>
          <w:sz w:val="20"/>
          <w:szCs w:val="20"/>
          <w:color w:val="auto"/>
        </w:rPr>
      </w:pPr>
    </w:p>
    <w:p>
      <w:pPr>
        <w:ind w:firstLine="1296"/>
        <w:spacing w:after="0" w:line="243" w:lineRule="auto"/>
        <w:rPr>
          <w:sz w:val="20"/>
          <w:szCs w:val="20"/>
          <w:color w:val="auto"/>
        </w:rPr>
      </w:pPr>
      <w:r>
        <w:rPr>
          <w:rFonts w:ascii="Arial" w:cs="Arial" w:eastAsia="Arial" w:hAnsi="Arial"/>
          <w:sz w:val="21"/>
          <w:szCs w:val="21"/>
          <w:color w:val="auto"/>
        </w:rPr>
        <w:t xml:space="preserve">Section 7.15. </w:t>
      </w:r>
      <w:r>
        <w:rPr>
          <w:rFonts w:ascii="Arial" w:cs="Arial" w:eastAsia="Arial" w:hAnsi="Arial"/>
          <w:sz w:val="21"/>
          <w:szCs w:val="21"/>
          <w:i w:val="1"/>
          <w:iCs w:val="1"/>
          <w:color w:val="auto"/>
        </w:rPr>
        <w:t>Resolution of Conflicts of Interest; Standards of Conduct and Modification of Duties</w:t>
      </w:r>
      <w:r>
        <w:rPr>
          <w:rFonts w:ascii="Arial" w:cs="Arial" w:eastAsia="Arial" w:hAnsi="Arial"/>
          <w:sz w:val="21"/>
          <w:szCs w:val="21"/>
          <w:color w:val="auto"/>
        </w:rPr>
        <w:t>. (a) Unless otherwise expressly provided in this Agreement or any Group Member Agreement, whenever a potential conflict of interest exists or arises between the General Partner or any of its Affiliates, or any member of the Board of Directors, on the one hand, and the Partnership, any Group Member or any Partner, on the other, any resolution or course of action in respect of such conflict of interest shall be permitted and deemed approved by all Partners, and shall not constitute a breach of this Agreement, of any Group Member Agreement, of any agreement contemplated herein or therein, or of any duty stated or implied by law or equity, if the resolution or course of action in respect of such conflict of interest is (i) approved by Special Approval, (ii) on terms no less favorable to the Partnership than those generally being provided to or available from unrelated third parties or (iii) fair and reasonable to the Partnership, taking into account the totality of the relationships between the parties involved (including other transactions that may be particularly favorable or advantageous to the Partnership). The General Partner and the Board of Directors may but shall not be required in connection with the resolution of such conflict of interest to seek Special Approval of such resolution, and the General Partner or the Board of Directors, as the case may be, may also adopt a resolution or course of action that has not received Special Approval. If Special Approval is sought, then, notwithstanding any other provision of this Agreement or law that would otherwise apply, (x) the Disinterested Directors will be authorized in connection with its determination of</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43" w:name="page44"/>
    <w:bookmarkEnd w:id="43"/>
    <w:p>
      <w:pPr>
        <w:ind w:right="40"/>
        <w:spacing w:after="0" w:line="277" w:lineRule="auto"/>
        <w:rPr>
          <w:sz w:val="20"/>
          <w:szCs w:val="20"/>
          <w:color w:val="auto"/>
        </w:rPr>
      </w:pPr>
      <w:r>
        <w:rPr>
          <w:rFonts w:ascii="Arial" w:cs="Arial" w:eastAsia="Arial" w:hAnsi="Arial"/>
          <w:sz w:val="19"/>
          <w:szCs w:val="19"/>
          <w:color w:val="auto"/>
        </w:rPr>
        <w:t xml:space="preserve">whether to provide Special Approval to consider any and all factors as it determines to be relevant or appropriate under the circumstances and (y) it will be presumed that, in making its decision, the Disinterested Directors acted in good faith, and if Special Approval is not sought and the Board of Directors determines that the resolution or course of action taken with respect to a conflict of interest satisfies either of the standards set forth in </w:t>
      </w:r>
      <w:r>
        <w:rPr>
          <w:rFonts w:ascii="Arial" w:cs="Arial" w:eastAsia="Arial" w:hAnsi="Arial"/>
          <w:sz w:val="19"/>
          <w:szCs w:val="19"/>
          <w:u w:val="single" w:color="auto"/>
          <w:color w:val="auto"/>
        </w:rPr>
        <w:t>clauses (ii)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above, then it shall be presumed that, in making its decision the Board of Directors, acted in good faith, and, in either case, in any proceeding brought by any Limited Partner or by or on behalf of such Limited Partner or any other Limited Partner or the Partnership challenging such approval, the Person bringing or prosecuting such proceeding shall have the burden of overcoming such presumption.</w:t>
      </w:r>
    </w:p>
    <w:p>
      <w:pPr>
        <w:spacing w:after="0" w:line="179" w:lineRule="exact"/>
        <w:rPr>
          <w:sz w:val="20"/>
          <w:szCs w:val="20"/>
          <w:color w:val="auto"/>
        </w:rPr>
      </w:pPr>
    </w:p>
    <w:p>
      <w:pPr>
        <w:ind w:firstLine="1304"/>
        <w:spacing w:after="0" w:line="273" w:lineRule="auto"/>
        <w:tabs>
          <w:tab w:leader="none" w:pos="2088" w:val="left"/>
        </w:tabs>
        <w:numPr>
          <w:ilvl w:val="0"/>
          <w:numId w:val="35"/>
        </w:numPr>
        <w:rPr>
          <w:rFonts w:ascii="Arial" w:cs="Arial" w:eastAsia="Arial" w:hAnsi="Arial"/>
          <w:sz w:val="19"/>
          <w:szCs w:val="19"/>
          <w:color w:val="auto"/>
        </w:rPr>
      </w:pPr>
      <w:r>
        <w:rPr>
          <w:rFonts w:ascii="Arial" w:cs="Arial" w:eastAsia="Arial" w:hAnsi="Arial"/>
          <w:sz w:val="19"/>
          <w:szCs w:val="19"/>
          <w:color w:val="auto"/>
        </w:rPr>
        <w:t>Whenever the General Partner makes a determination or takes or declines to take any other action, or any of its Affiliates causes it to do so, in its capacity as the general partner of the Partnership as opposed to in its individual capacity, whether under this Agreement, any Group Member Agreement or any other agreement contemplated hereby or otherwise, then, unless another express standard is provided for in this Agreement, the General Partner, or such Affiliates causing it to do so, shall make such determination or take or decline to take such other action in good faith and shall not be subject to any other or different standards imposed by this Agreement, any Group Member Agreement, any other agreement contemplated hereby or under the Marshall Islands Act or any other law, rule or regulation or at equity. In order for a determination or other action to be in “good faith” for purposes of this Agreement, the Person or Persons making such determination or taking or declining to take such other action must reasonably believe that the determination or other action is in the best interests of the Partnership, unless the context otherwise requires.</w:t>
      </w:r>
    </w:p>
    <w:p>
      <w:pPr>
        <w:spacing w:after="0" w:line="187" w:lineRule="exact"/>
        <w:rPr>
          <w:rFonts w:ascii="Arial" w:cs="Arial" w:eastAsia="Arial" w:hAnsi="Arial"/>
          <w:sz w:val="19"/>
          <w:szCs w:val="19"/>
          <w:color w:val="auto"/>
        </w:rPr>
      </w:pPr>
    </w:p>
    <w:p>
      <w:pPr>
        <w:ind w:firstLine="1304"/>
        <w:spacing w:after="0" w:line="270" w:lineRule="auto"/>
        <w:tabs>
          <w:tab w:leader="none" w:pos="2076" w:val="left"/>
        </w:tabs>
        <w:numPr>
          <w:ilvl w:val="0"/>
          <w:numId w:val="35"/>
        </w:numPr>
        <w:rPr>
          <w:rFonts w:ascii="Arial" w:cs="Arial" w:eastAsia="Arial" w:hAnsi="Arial"/>
          <w:sz w:val="19"/>
          <w:szCs w:val="19"/>
          <w:color w:val="auto"/>
        </w:rPr>
      </w:pPr>
      <w:r>
        <w:rPr>
          <w:rFonts w:ascii="Arial" w:cs="Arial" w:eastAsia="Arial" w:hAnsi="Arial"/>
          <w:sz w:val="19"/>
          <w:szCs w:val="19"/>
          <w:color w:val="auto"/>
        </w:rPr>
        <w:t>Whenever the General Partner makes a determination or takes or declines to take any other action, or any of its Affiliates causes it to do so, in its individual capacity as opposed to in its capacity as the general partner of the Partnership, whether under this Agreement, any Group Member Agreement or any other agreement contemplated hereby or otherwise, then the General Partner, or such Affiliates causing it to do so, are entitled to make such determination or to take or decline to take such other action free of any duty (including any fiduciary duty) or obligation whatsoever to the Partnership or any Limited Partner, any Record Holder or any other Person bound by this Agreement, and, to the fullest extent permitted by law, the General Partner, or such Affiliates causing it to do so, shall not be required to act in good faith or pursuant to any other standard imposed by this Agreement, any Group Member Agreement, any other agreement contemplated hereby or under the Marshall Islands Act or any other law, rule or regulation or at equity. By way of illustration and not of limitation, whenever the phrase, “at the option of the General Partner,” or some variation of that phrase, is used in this Agreement, it indicates that the General Partner is acting in its individual capacity. For the avoidance of doubt, whenever the General Partner votes or transfers its Units or General Partner Interest, if any, to the extent permitted under this Agreement, or refrains from voting or transferring its Units or General Partner Units, as appropriate, it shall be acting in its individual capacity. The General Partner’s organizational documents may provide that determinations to take or decline to take any action in its individual, rather than representative, capacity may or shall be determined by its members, if the General Partner is a limited liability company, stockholders, if the General Partner is a corporation, or the members or stockholders of the General Partner’s general partner, if the General Partner is a limited partnership.</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61" w:right="399" w:bottom="1440" w:gutter="0" w:footer="0" w:header="0"/>
        </w:sectPr>
      </w:pPr>
    </w:p>
    <w:bookmarkStart w:id="44" w:name="page45"/>
    <w:bookmarkEnd w:id="44"/>
    <w:p>
      <w:pPr>
        <w:ind w:right="140" w:firstLine="1304"/>
        <w:spacing w:after="0" w:line="275" w:lineRule="auto"/>
        <w:tabs>
          <w:tab w:leader="none" w:pos="2088" w:val="left"/>
        </w:tabs>
        <w:numPr>
          <w:ilvl w:val="1"/>
          <w:numId w:val="36"/>
        </w:numPr>
        <w:rPr>
          <w:rFonts w:ascii="Arial" w:cs="Arial" w:eastAsia="Arial" w:hAnsi="Arial"/>
          <w:sz w:val="19"/>
          <w:szCs w:val="19"/>
          <w:color w:val="auto"/>
        </w:rPr>
      </w:pPr>
      <w:r>
        <w:rPr>
          <w:rFonts w:ascii="Arial" w:cs="Arial" w:eastAsia="Arial" w:hAnsi="Arial"/>
          <w:sz w:val="19"/>
          <w:szCs w:val="19"/>
          <w:color w:val="auto"/>
        </w:rPr>
        <w:t>Whenever the Board of Directors makes a determination or takes or declines to take any other action, whether under this Agreement, any Group Member Agreement or any other agreement contemplated hereby or otherwise, then, unless another express standard is provided for in this Agreement, the Board of Directors, shall make such determination or take or decline to take such other action in good faith and shall not be subject to any other or different standards imposed by this Agreement, any Group Member Agreement, any other agreement contemplated hereby or under the Marshall Islands Act or any other law, rule or regulation or at equity. In order for a determination or other action to be in “good faith” for purposes of this Agreement, the Person or Persons making such determination or taking or declining to take such other action must reasonably believe that the determination or other action is in the best interests of the Partnership, unless the context otherwise requires.</w:t>
      </w:r>
    </w:p>
    <w:p>
      <w:pPr>
        <w:spacing w:after="0" w:line="184" w:lineRule="exact"/>
        <w:rPr>
          <w:rFonts w:ascii="Arial" w:cs="Arial" w:eastAsia="Arial" w:hAnsi="Arial"/>
          <w:sz w:val="19"/>
          <w:szCs w:val="19"/>
          <w:color w:val="auto"/>
        </w:rPr>
      </w:pPr>
    </w:p>
    <w:p>
      <w:pPr>
        <w:ind w:firstLine="1304"/>
        <w:spacing w:after="0" w:line="276" w:lineRule="auto"/>
        <w:tabs>
          <w:tab w:leader="none" w:pos="2076" w:val="left"/>
        </w:tabs>
        <w:numPr>
          <w:ilvl w:val="1"/>
          <w:numId w:val="36"/>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the General Partner and its Affiliates shall have no duty or obligation, express or implied, to (i) approve the sale or other disposition of any asset of the Partnership Group or</w:t>
      </w:r>
    </w:p>
    <w:p>
      <w:pPr>
        <w:spacing w:after="0" w:line="1" w:lineRule="exact"/>
        <w:rPr>
          <w:rFonts w:ascii="Arial" w:cs="Arial" w:eastAsia="Arial" w:hAnsi="Arial"/>
          <w:sz w:val="19"/>
          <w:szCs w:val="19"/>
          <w:color w:val="auto"/>
        </w:rPr>
      </w:pPr>
    </w:p>
    <w:p>
      <w:pPr>
        <w:jc w:val="both"/>
        <w:ind w:right="200" w:firstLine="8"/>
        <w:spacing w:after="0" w:line="234" w:lineRule="auto"/>
        <w:tabs>
          <w:tab w:leader="none" w:pos="318" w:val="left"/>
        </w:tabs>
        <w:numPr>
          <w:ilvl w:val="0"/>
          <w:numId w:val="37"/>
        </w:numPr>
        <w:rPr>
          <w:rFonts w:ascii="Arial" w:cs="Arial" w:eastAsia="Arial" w:hAnsi="Arial"/>
          <w:sz w:val="22"/>
          <w:szCs w:val="22"/>
          <w:color w:val="auto"/>
        </w:rPr>
      </w:pPr>
      <w:r>
        <w:rPr>
          <w:rFonts w:ascii="Arial" w:cs="Arial" w:eastAsia="Arial" w:hAnsi="Arial"/>
          <w:sz w:val="22"/>
          <w:szCs w:val="22"/>
          <w:color w:val="auto"/>
        </w:rPr>
        <w:t>permit any Group Member to use any facilities or assets of the General Partner and its Affiliates, except as may be provided in contracts entered into from time to time specifically dealing with such use. Any determination by the General Partner or any of its Affiliates to enter into such contracts shall, in each case, be at their option.</w:t>
      </w:r>
    </w:p>
    <w:p>
      <w:pPr>
        <w:spacing w:after="0" w:line="214" w:lineRule="exact"/>
        <w:rPr>
          <w:rFonts w:ascii="Arial" w:cs="Arial" w:eastAsia="Arial" w:hAnsi="Arial"/>
          <w:sz w:val="22"/>
          <w:szCs w:val="22"/>
          <w:color w:val="auto"/>
        </w:rPr>
      </w:pPr>
    </w:p>
    <w:p>
      <w:pPr>
        <w:ind w:firstLine="1304"/>
        <w:spacing w:after="0" w:line="275" w:lineRule="auto"/>
        <w:tabs>
          <w:tab w:leader="none" w:pos="2052" w:val="left"/>
        </w:tabs>
        <w:numPr>
          <w:ilvl w:val="1"/>
          <w:numId w:val="37"/>
        </w:numPr>
        <w:rPr>
          <w:rFonts w:ascii="Arial" w:cs="Arial" w:eastAsia="Arial" w:hAnsi="Arial"/>
          <w:sz w:val="19"/>
          <w:szCs w:val="19"/>
          <w:color w:val="auto"/>
        </w:rPr>
      </w:pPr>
      <w:r>
        <w:rPr>
          <w:rFonts w:ascii="Arial" w:cs="Arial" w:eastAsia="Arial" w:hAnsi="Arial"/>
          <w:sz w:val="19"/>
          <w:szCs w:val="19"/>
          <w:color w:val="auto"/>
        </w:rPr>
        <w:t xml:space="preserve">Except as expressly set forth in this Agreement, neither the General Partner nor the Board of Directors or any other Indemnitee shall have any duties or liabilities, including fiduciary duties, to the Partnership or any Limited Partner, and the provisions of this Agreement, to the extent that they restrict, eliminate or otherwise modify the duties and liabilities, including fiduciary duties, of the Board of Directors or the General Partner or any other Indemnitee otherwise existing at law or in equity, are agreed by the Partners to replace such other duties and liabilities of the Board of Directors or the General Partner or such other Indemnitee. Notwithstanding anything to the contrary, but subject to </w:t>
      </w:r>
      <w:r>
        <w:rPr>
          <w:rFonts w:ascii="Arial" w:cs="Arial" w:eastAsia="Arial" w:hAnsi="Arial"/>
          <w:sz w:val="19"/>
          <w:szCs w:val="19"/>
          <w:u w:val="single" w:color="auto"/>
          <w:color w:val="auto"/>
        </w:rPr>
        <w:t>Section 7.15(c)</w:t>
      </w:r>
      <w:r>
        <w:rPr>
          <w:rFonts w:ascii="Arial" w:cs="Arial" w:eastAsia="Arial" w:hAnsi="Arial"/>
          <w:sz w:val="19"/>
          <w:szCs w:val="19"/>
          <w:color w:val="auto"/>
        </w:rPr>
        <w:t xml:space="preserve"> and without reference to the definition of “good faith” in </w:t>
      </w:r>
      <w:r>
        <w:rPr>
          <w:rFonts w:ascii="Arial" w:cs="Arial" w:eastAsia="Arial" w:hAnsi="Arial"/>
          <w:sz w:val="19"/>
          <w:szCs w:val="19"/>
          <w:u w:val="single" w:color="auto"/>
          <w:color w:val="auto"/>
        </w:rPr>
        <w:t>Section 7.15(b)</w:t>
      </w:r>
      <w:r>
        <w:rPr>
          <w:rFonts w:ascii="Arial" w:cs="Arial" w:eastAsia="Arial" w:hAnsi="Arial"/>
          <w:sz w:val="19"/>
          <w:szCs w:val="19"/>
          <w:color w:val="auto"/>
        </w:rPr>
        <w:t>, neither the General Partner nor the Board of Directors nor any other Indemnitee shall owe any fiduciary duties to holders of Preference Units other than the implied duty of good faith and fair dealing.</w:t>
      </w:r>
    </w:p>
    <w:p>
      <w:pPr>
        <w:spacing w:after="0" w:line="184" w:lineRule="exact"/>
        <w:rPr>
          <w:rFonts w:ascii="Arial" w:cs="Arial" w:eastAsia="Arial" w:hAnsi="Arial"/>
          <w:sz w:val="19"/>
          <w:szCs w:val="19"/>
          <w:color w:val="auto"/>
        </w:rPr>
      </w:pPr>
    </w:p>
    <w:p>
      <w:pPr>
        <w:ind w:right="20" w:firstLine="1304"/>
        <w:spacing w:after="0" w:line="257" w:lineRule="auto"/>
        <w:tabs>
          <w:tab w:leader="none" w:pos="2088" w:val="left"/>
        </w:tabs>
        <w:numPr>
          <w:ilvl w:val="1"/>
          <w:numId w:val="37"/>
        </w:numPr>
        <w:rPr>
          <w:rFonts w:ascii="Arial" w:cs="Arial" w:eastAsia="Arial" w:hAnsi="Arial"/>
          <w:sz w:val="21"/>
          <w:szCs w:val="21"/>
          <w:color w:val="auto"/>
        </w:rPr>
      </w:pPr>
      <w:r>
        <w:rPr>
          <w:rFonts w:ascii="Arial" w:cs="Arial" w:eastAsia="Arial" w:hAnsi="Arial"/>
          <w:sz w:val="21"/>
          <w:szCs w:val="21"/>
          <w:color w:val="auto"/>
        </w:rPr>
        <w:t xml:space="preserve">The Unitholders hereby authorize the Board of Directors, on behalf of the Partnership as a partner or member of a Group Member, to approve of actions by the general partner or managing member of such Group Member similar to those actions permitted to be taken by the Board of Directors pursuant to this </w:t>
      </w:r>
      <w:r>
        <w:rPr>
          <w:rFonts w:ascii="Arial" w:cs="Arial" w:eastAsia="Arial" w:hAnsi="Arial"/>
          <w:sz w:val="21"/>
          <w:szCs w:val="21"/>
          <w:u w:val="single" w:color="auto"/>
          <w:color w:val="auto"/>
        </w:rPr>
        <w:t>Section 7.15</w:t>
      </w:r>
      <w:r>
        <w:rPr>
          <w:rFonts w:ascii="Arial" w:cs="Arial" w:eastAsia="Arial" w:hAnsi="Arial"/>
          <w:sz w:val="21"/>
          <w:szCs w:val="21"/>
          <w:color w:val="auto"/>
        </w:rPr>
        <w:t>.</w:t>
      </w:r>
    </w:p>
    <w:p>
      <w:pPr>
        <w:spacing w:after="0" w:line="196" w:lineRule="exact"/>
        <w:rPr>
          <w:sz w:val="20"/>
          <w:szCs w:val="20"/>
          <w:color w:val="auto"/>
        </w:rPr>
      </w:pPr>
    </w:p>
    <w:p>
      <w:pPr>
        <w:ind w:right="180" w:firstLine="1296"/>
        <w:spacing w:after="0" w:line="252" w:lineRule="auto"/>
        <w:rPr>
          <w:sz w:val="20"/>
          <w:szCs w:val="20"/>
          <w:color w:val="auto"/>
        </w:rPr>
      </w:pPr>
      <w:r>
        <w:rPr>
          <w:rFonts w:ascii="Arial" w:cs="Arial" w:eastAsia="Arial" w:hAnsi="Arial"/>
          <w:sz w:val="21"/>
          <w:szCs w:val="21"/>
          <w:color w:val="auto"/>
        </w:rPr>
        <w:t xml:space="preserve">Section 7.16. </w:t>
      </w:r>
      <w:r>
        <w:rPr>
          <w:rFonts w:ascii="Arial" w:cs="Arial" w:eastAsia="Arial" w:hAnsi="Arial"/>
          <w:sz w:val="21"/>
          <w:szCs w:val="21"/>
          <w:i w:val="1"/>
          <w:iCs w:val="1"/>
          <w:color w:val="auto"/>
        </w:rPr>
        <w:t>Other Matters Concerning the General Partner and the Board of Directors</w:t>
      </w:r>
      <w:r>
        <w:rPr>
          <w:rFonts w:ascii="Arial" w:cs="Arial" w:eastAsia="Arial" w:hAnsi="Arial"/>
          <w:sz w:val="21"/>
          <w:szCs w:val="21"/>
          <w:color w:val="auto"/>
        </w:rPr>
        <w:t>. (a) The General Partner and the Board of Directors may rely and shall be protected in acting or refraining from acting upon any resolution, certificate, statement, instrument, opinion, report, notice, request, consent, order, bond, debenture or other paper or document believed by it to be genuine and to have been signed or presented by the proper party or parties.</w:t>
      </w:r>
    </w:p>
    <w:p>
      <w:pPr>
        <w:spacing w:after="0" w:line="201" w:lineRule="exact"/>
        <w:rPr>
          <w:sz w:val="20"/>
          <w:szCs w:val="20"/>
          <w:color w:val="auto"/>
        </w:rPr>
      </w:pPr>
    </w:p>
    <w:p>
      <w:pPr>
        <w:jc w:val="both"/>
        <w:ind w:right="120" w:firstLine="1304"/>
        <w:spacing w:after="0" w:line="297" w:lineRule="auto"/>
        <w:tabs>
          <w:tab w:leader="none" w:pos="2088"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General Partner and the Board of Directors may consult with legal counsel, accountants, appraisers, management consultants, investment bankers and other consultants and advisers selected by either of them, and any act taken or omitted to be taken in reliance upon the advice or opinion (including an Opinion of Counsel) of such Persons as to</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45" w:name="page46"/>
    <w:bookmarkEnd w:id="45"/>
    <w:p>
      <w:pPr>
        <w:ind w:right="220"/>
        <w:spacing w:after="0"/>
        <w:rPr>
          <w:sz w:val="20"/>
          <w:szCs w:val="20"/>
          <w:color w:val="auto"/>
        </w:rPr>
      </w:pPr>
      <w:r>
        <w:rPr>
          <w:rFonts w:ascii="Arial" w:cs="Arial" w:eastAsia="Arial" w:hAnsi="Arial"/>
          <w:sz w:val="22"/>
          <w:szCs w:val="22"/>
          <w:color w:val="auto"/>
        </w:rPr>
        <w:t>matters that the General Partner or the Board of Directors reasonably believes to be within such Person’s professional or expert competence shall be conclusively presumed to have been done or omitted in good faith and in accordance with such advice or opinion.</w:t>
      </w:r>
    </w:p>
    <w:p>
      <w:pPr>
        <w:spacing w:after="0" w:line="213" w:lineRule="exact"/>
        <w:rPr>
          <w:sz w:val="20"/>
          <w:szCs w:val="20"/>
          <w:color w:val="auto"/>
        </w:rPr>
      </w:pPr>
    </w:p>
    <w:p>
      <w:pPr>
        <w:ind w:right="240" w:firstLine="1304"/>
        <w:spacing w:after="0"/>
        <w:tabs>
          <w:tab w:leader="none" w:pos="2076"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General Partner shall have the right, in respect of any of its powers or obligations hereunder, to act through any of its duly authorized officers, a duly appointed attorney or attorneys-in-fact or the duly authorized officers of the Partnership.</w:t>
      </w:r>
    </w:p>
    <w:p>
      <w:pPr>
        <w:spacing w:after="0" w:line="213" w:lineRule="exact"/>
        <w:rPr>
          <w:sz w:val="20"/>
          <w:szCs w:val="20"/>
          <w:color w:val="auto"/>
        </w:rPr>
      </w:pPr>
    </w:p>
    <w:p>
      <w:pPr>
        <w:ind w:right="180" w:firstLine="1296"/>
        <w:spacing w:after="0" w:line="249" w:lineRule="auto"/>
        <w:rPr>
          <w:sz w:val="20"/>
          <w:szCs w:val="20"/>
          <w:color w:val="auto"/>
        </w:rPr>
      </w:pPr>
      <w:r>
        <w:rPr>
          <w:rFonts w:ascii="Arial" w:cs="Arial" w:eastAsia="Arial" w:hAnsi="Arial"/>
          <w:sz w:val="21"/>
          <w:szCs w:val="21"/>
          <w:color w:val="auto"/>
        </w:rPr>
        <w:t xml:space="preserve">Section 7.17. </w:t>
      </w:r>
      <w:r>
        <w:rPr>
          <w:rFonts w:ascii="Arial" w:cs="Arial" w:eastAsia="Arial" w:hAnsi="Arial"/>
          <w:sz w:val="21"/>
          <w:szCs w:val="21"/>
          <w:i w:val="1"/>
          <w:iCs w:val="1"/>
          <w:color w:val="auto"/>
        </w:rPr>
        <w:t>Purchase or Sale of Partnership Interests</w:t>
      </w:r>
      <w:r>
        <w:rPr>
          <w:rFonts w:ascii="Arial" w:cs="Arial" w:eastAsia="Arial" w:hAnsi="Arial"/>
          <w:sz w:val="21"/>
          <w:szCs w:val="21"/>
          <w:color w:val="auto"/>
        </w:rPr>
        <w:t xml:space="preserve">. The Board of Directors may cause the Partnership to purchase or otherwise acquire Partnership Interests. As long as Partnership Interests are held by any Group Member, such Partnership Interests shall not be considered Outstanding for any purpose, except as otherwise provided herein. The General Partner or any Affiliate of the General Partner may purchase or otherwise acquire and sell or otherwise dispose of Partnership Interests for its own account, subject to the provisions of </w:t>
      </w:r>
      <w:r>
        <w:rPr>
          <w:rFonts w:ascii="Arial" w:cs="Arial" w:eastAsia="Arial" w:hAnsi="Arial"/>
          <w:sz w:val="21"/>
          <w:szCs w:val="21"/>
          <w:u w:val="single" w:color="auto"/>
          <w:color w:val="auto"/>
        </w:rPr>
        <w:t>Articles IV</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X</w:t>
      </w:r>
      <w:r>
        <w:rPr>
          <w:rFonts w:ascii="Arial" w:cs="Arial" w:eastAsia="Arial" w:hAnsi="Arial"/>
          <w:sz w:val="21"/>
          <w:szCs w:val="21"/>
          <w:color w:val="auto"/>
        </w:rPr>
        <w:t>.</w:t>
      </w:r>
    </w:p>
    <w:p>
      <w:pPr>
        <w:spacing w:after="0" w:line="205" w:lineRule="exact"/>
        <w:rPr>
          <w:sz w:val="20"/>
          <w:szCs w:val="20"/>
          <w:color w:val="auto"/>
        </w:rPr>
      </w:pPr>
    </w:p>
    <w:p>
      <w:pPr>
        <w:ind w:firstLine="1296"/>
        <w:spacing w:after="0" w:line="269" w:lineRule="auto"/>
        <w:rPr>
          <w:sz w:val="20"/>
          <w:szCs w:val="20"/>
          <w:color w:val="auto"/>
        </w:rPr>
      </w:pPr>
      <w:r>
        <w:rPr>
          <w:rFonts w:ascii="Arial" w:cs="Arial" w:eastAsia="Arial" w:hAnsi="Arial"/>
          <w:sz w:val="19"/>
          <w:szCs w:val="19"/>
          <w:color w:val="auto"/>
        </w:rPr>
        <w:t xml:space="preserve">Section 7.18. </w:t>
      </w:r>
      <w:r>
        <w:rPr>
          <w:rFonts w:ascii="Arial" w:cs="Arial" w:eastAsia="Arial" w:hAnsi="Arial"/>
          <w:sz w:val="19"/>
          <w:szCs w:val="19"/>
          <w:i w:val="1"/>
          <w:iCs w:val="1"/>
          <w:color w:val="auto"/>
        </w:rPr>
        <w:t>Registration Rights of the General Partner and its Affiliates</w:t>
      </w:r>
      <w:r>
        <w:rPr>
          <w:rFonts w:ascii="Arial" w:cs="Arial" w:eastAsia="Arial" w:hAnsi="Arial"/>
          <w:sz w:val="19"/>
          <w:szCs w:val="19"/>
          <w:color w:val="auto"/>
        </w:rPr>
        <w:t xml:space="preserve">. (a) If (i) the General Partner or any Affiliate of the General Partner (including for purposes of this </w:t>
      </w:r>
      <w:r>
        <w:rPr>
          <w:rFonts w:ascii="Arial" w:cs="Arial" w:eastAsia="Arial" w:hAnsi="Arial"/>
          <w:sz w:val="19"/>
          <w:szCs w:val="19"/>
          <w:u w:val="single" w:color="auto"/>
          <w:color w:val="auto"/>
        </w:rPr>
        <w:t>Section 7.19</w:t>
      </w:r>
      <w:r>
        <w:rPr>
          <w:rFonts w:ascii="Arial" w:cs="Arial" w:eastAsia="Arial" w:hAnsi="Arial"/>
          <w:sz w:val="19"/>
          <w:szCs w:val="19"/>
          <w:color w:val="auto"/>
        </w:rPr>
        <w:t>, any Person that is an Affiliate of the General Partner at the date hereof notwithstanding that it may later cease to be an Affiliate of the General Partner) holds Partnership Interests that it desires to sell and (ii) Rule 144 of the Securities Act (or any successor rule or regulation to Rule 144) or another exemption from registration is not available to enable such holder of Partnership Interests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xml:space="preserve">”) to dispose of the number of Partnership Interests it desires to sell at the time it desires to do so without registration under the Securities Act, then at the option and upon the request of the Holder, the Partnership shall file with the Commission as promptly as practicable after receiving such request, and use its commercially reasonable efforts to cause to become effective and remain effective for a period of not less than six months following its effective date or such shorter period as shall terminate when all Partnership Interests covered by such registration statement have been sold, a registration statement under the Securities Act registering the offering and sale of the number of Partnership Interests specified by the Holder;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Partnership shall not be required to effect more than three registrations in total pursuant to this </w:t>
      </w:r>
      <w:r>
        <w:rPr>
          <w:rFonts w:ascii="Arial" w:cs="Arial" w:eastAsia="Arial" w:hAnsi="Arial"/>
          <w:sz w:val="19"/>
          <w:szCs w:val="19"/>
          <w:u w:val="single" w:color="auto"/>
          <w:color w:val="auto"/>
        </w:rPr>
        <w:t>Section 7.18(a)</w:t>
      </w:r>
      <w:r>
        <w:rPr>
          <w:rFonts w:ascii="Arial" w:cs="Arial" w:eastAsia="Arial" w:hAnsi="Arial"/>
          <w:sz w:val="19"/>
          <w:szCs w:val="19"/>
          <w:color w:val="auto"/>
        </w:rPr>
        <w:t xml:space="preserve">, no more than one of which shall be required to be made at any time that the Partnership is not eligible to use Form F-3 (or a comparable form) for the registration under the Securities Act of its securities. The Partnership shall use its commercially reasonable efforts to resolve any deferral with respect to any such registration and/or filing. Except as provided in the first sentence of this </w:t>
      </w:r>
      <w:r>
        <w:rPr>
          <w:rFonts w:ascii="Arial" w:cs="Arial" w:eastAsia="Arial" w:hAnsi="Arial"/>
          <w:sz w:val="19"/>
          <w:szCs w:val="19"/>
          <w:u w:val="single" w:color="auto"/>
          <w:color w:val="auto"/>
        </w:rPr>
        <w:t>Section 7.18(a)</w:t>
      </w:r>
      <w:r>
        <w:rPr>
          <w:rFonts w:ascii="Arial" w:cs="Arial" w:eastAsia="Arial" w:hAnsi="Arial"/>
          <w:sz w:val="19"/>
          <w:szCs w:val="19"/>
          <w:color w:val="auto"/>
        </w:rPr>
        <w:t xml:space="preserve">, the Partnership shall be deemed not to have used all its commercially reasonable efforts to keep the registration statement effective during the applicable period if it voluntarily takes any action that would result in Holders of Partnership Interests covered thereby not being able to offer and sell such Partnership Interests at any time during such period, unless such action is required by applicable law or regulations. In connection with any registration pursuant to this </w:t>
      </w:r>
      <w:r>
        <w:rPr>
          <w:rFonts w:ascii="Arial" w:cs="Arial" w:eastAsia="Arial" w:hAnsi="Arial"/>
          <w:sz w:val="19"/>
          <w:szCs w:val="19"/>
          <w:u w:val="single" w:color="auto"/>
          <w:color w:val="auto"/>
        </w:rPr>
        <w:t>Section 7.18(a)</w:t>
      </w:r>
      <w:r>
        <w:rPr>
          <w:rFonts w:ascii="Arial" w:cs="Arial" w:eastAsia="Arial" w:hAnsi="Arial"/>
          <w:sz w:val="19"/>
          <w:szCs w:val="19"/>
          <w:color w:val="auto"/>
        </w:rPr>
        <w:t>, the Partnership shall (i) promptly prepare and file (A) such documents as may be necessary to register or qualify the securities subject to such registration under the securities laws of such states as the Holder shall reasonably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 such qualification shall be required in any jurisdiction where, as a result thereof, the Partnership would become subject to general service of process or to taxation or qualification to do business as a foreign corporation or partnership doing business in such jurisdiction solely as a result of</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46" w:name="page47"/>
    <w:bookmarkEnd w:id="46"/>
    <w:p>
      <w:pPr>
        <w:ind w:right="60"/>
        <w:spacing w:after="0" w:line="282" w:lineRule="auto"/>
        <w:rPr>
          <w:sz w:val="20"/>
          <w:szCs w:val="20"/>
          <w:color w:val="auto"/>
        </w:rPr>
      </w:pPr>
      <w:r>
        <w:rPr>
          <w:rFonts w:ascii="Arial" w:cs="Arial" w:eastAsia="Arial" w:hAnsi="Arial"/>
          <w:sz w:val="19"/>
          <w:szCs w:val="19"/>
          <w:color w:val="auto"/>
        </w:rPr>
        <w:t xml:space="preserve">such registration), and (B) such documents as may be necessary to apply for listing or to list the Partnership Interests subject to such registration on such National Securities Exchange as the Holder shall reasonably request, and (ii) do any and all other acts and things that may be necessary or appropriate to enable the Holder to consummate a public sale of such Partnership Interests in such states. Except as set forth in </w:t>
      </w:r>
      <w:r>
        <w:rPr>
          <w:rFonts w:ascii="Arial" w:cs="Arial" w:eastAsia="Arial" w:hAnsi="Arial"/>
          <w:sz w:val="19"/>
          <w:szCs w:val="19"/>
          <w:u w:val="single" w:color="auto"/>
          <w:color w:val="auto"/>
        </w:rPr>
        <w:t>Section 7.18(b)</w:t>
      </w:r>
      <w:r>
        <w:rPr>
          <w:rFonts w:ascii="Arial" w:cs="Arial" w:eastAsia="Arial" w:hAnsi="Arial"/>
          <w:sz w:val="19"/>
          <w:szCs w:val="19"/>
          <w:color w:val="auto"/>
        </w:rPr>
        <w:t>, all costs and expenses of any such registration and offering (other than the underwriting discounts and commissions) shall be paid by the Partnership, without reimbursement by the Holder.</w:t>
      </w:r>
    </w:p>
    <w:p>
      <w:pPr>
        <w:spacing w:after="0" w:line="174" w:lineRule="exact"/>
        <w:rPr>
          <w:sz w:val="20"/>
          <w:szCs w:val="20"/>
          <w:color w:val="auto"/>
        </w:rPr>
      </w:pPr>
    </w:p>
    <w:p>
      <w:pPr>
        <w:ind w:right="20" w:firstLine="1304"/>
        <w:spacing w:after="0" w:line="270" w:lineRule="auto"/>
        <w:tabs>
          <w:tab w:leader="none" w:pos="2088" w:val="left"/>
        </w:tabs>
        <w:numPr>
          <w:ilvl w:val="0"/>
          <w:numId w:val="40"/>
        </w:numPr>
        <w:rPr>
          <w:rFonts w:ascii="Arial" w:cs="Arial" w:eastAsia="Arial" w:hAnsi="Arial"/>
          <w:sz w:val="19"/>
          <w:szCs w:val="19"/>
          <w:color w:val="auto"/>
        </w:rPr>
      </w:pPr>
      <w:r>
        <w:rPr>
          <w:rFonts w:ascii="Arial" w:cs="Arial" w:eastAsia="Arial" w:hAnsi="Arial"/>
          <w:sz w:val="19"/>
          <w:szCs w:val="19"/>
          <w:color w:val="auto"/>
        </w:rPr>
        <w:t xml:space="preserve">If underwriters are engaged in connection with any registration referred to in this </w:t>
      </w:r>
      <w:r>
        <w:rPr>
          <w:rFonts w:ascii="Arial" w:cs="Arial" w:eastAsia="Arial" w:hAnsi="Arial"/>
          <w:sz w:val="19"/>
          <w:szCs w:val="19"/>
          <w:u w:val="single" w:color="auto"/>
          <w:color w:val="auto"/>
        </w:rPr>
        <w:t>Section 7.18</w:t>
      </w:r>
      <w:r>
        <w:rPr>
          <w:rFonts w:ascii="Arial" w:cs="Arial" w:eastAsia="Arial" w:hAnsi="Arial"/>
          <w:sz w:val="19"/>
          <w:szCs w:val="19"/>
          <w:color w:val="auto"/>
        </w:rPr>
        <w:t xml:space="preserve">, the Partnership shall provide indemnification, representations, covenants, opinions and other assurance to the underwriters in form and substance reasonably satisfactory to such underwriters. Further, in addition to and not in limitation of the Partnership’s obligation under </w:t>
      </w:r>
      <w:r>
        <w:rPr>
          <w:rFonts w:ascii="Arial" w:cs="Arial" w:eastAsia="Arial" w:hAnsi="Arial"/>
          <w:sz w:val="19"/>
          <w:szCs w:val="19"/>
          <w:u w:val="single" w:color="auto"/>
          <w:color w:val="auto"/>
        </w:rPr>
        <w:t>Section 7.13</w:t>
      </w:r>
      <w:r>
        <w:rPr>
          <w:rFonts w:ascii="Arial" w:cs="Arial" w:eastAsia="Arial" w:hAnsi="Arial"/>
          <w:sz w:val="19"/>
          <w:szCs w:val="19"/>
          <w:color w:val="auto"/>
        </w:rPr>
        <w:t>, the Partnership shall, to the fullest extent permitted by law, indemnify and hold harmless the Holder, its officers, directors and each Person who controls the Holder (within the meaning of the Securities Act) and any agent thereof (collectively, “</w:t>
      </w:r>
      <w:r>
        <w:rPr>
          <w:rFonts w:ascii="Arial" w:cs="Arial" w:eastAsia="Arial" w:hAnsi="Arial"/>
          <w:sz w:val="19"/>
          <w:szCs w:val="19"/>
          <w:b w:val="1"/>
          <w:bCs w:val="1"/>
          <w:i w:val="1"/>
          <w:iCs w:val="1"/>
          <w:color w:val="auto"/>
        </w:rPr>
        <w:t>Indemnified Persons</w:t>
      </w:r>
      <w:r>
        <w:rPr>
          <w:rFonts w:ascii="Arial" w:cs="Arial" w:eastAsia="Arial" w:hAnsi="Arial"/>
          <w:sz w:val="19"/>
          <w:szCs w:val="19"/>
          <w:color w:val="auto"/>
        </w:rPr>
        <w:t xml:space="preserve">”) from and against any and all losses, claims, demands, actions, causes of action, assessments, damages, liabilities (joint or several), costs and expenses (including interest, penalties and reasonable attorneys’ fees and disbursements), resulting to, imposed upon, or incurred by the Indemnified Persons, directly or indirectly, under the Securities Act or otherwise (hereinafter referred to in this </w:t>
      </w:r>
      <w:r>
        <w:rPr>
          <w:rFonts w:ascii="Arial" w:cs="Arial" w:eastAsia="Arial" w:hAnsi="Arial"/>
          <w:sz w:val="19"/>
          <w:szCs w:val="19"/>
          <w:u w:val="single" w:color="auto"/>
          <w:color w:val="auto"/>
        </w:rPr>
        <w:t>Section 7.18(b)</w:t>
      </w:r>
      <w:r>
        <w:rPr>
          <w:rFonts w:ascii="Arial" w:cs="Arial" w:eastAsia="Arial" w:hAnsi="Arial"/>
          <w:sz w:val="19"/>
          <w:szCs w:val="19"/>
          <w:color w:val="auto"/>
        </w:rPr>
        <w:t xml:space="preserve"> as a “</w:t>
      </w:r>
      <w:r>
        <w:rPr>
          <w:rFonts w:ascii="Arial" w:cs="Arial" w:eastAsia="Arial" w:hAnsi="Arial"/>
          <w:sz w:val="19"/>
          <w:szCs w:val="19"/>
          <w:b w:val="1"/>
          <w:bCs w:val="1"/>
          <w:i w:val="1"/>
          <w:iCs w:val="1"/>
          <w:color w:val="auto"/>
        </w:rPr>
        <w:t>claim</w:t>
      </w:r>
      <w:r>
        <w:rPr>
          <w:rFonts w:ascii="Arial" w:cs="Arial" w:eastAsia="Arial" w:hAnsi="Arial"/>
          <w:sz w:val="19"/>
          <w:szCs w:val="19"/>
          <w:color w:val="auto"/>
        </w:rPr>
        <w:t>” and in the plural as “</w:t>
      </w:r>
      <w:r>
        <w:rPr>
          <w:rFonts w:ascii="Arial" w:cs="Arial" w:eastAsia="Arial" w:hAnsi="Arial"/>
          <w:sz w:val="19"/>
          <w:szCs w:val="19"/>
          <w:b w:val="1"/>
          <w:bCs w:val="1"/>
          <w:i w:val="1"/>
          <w:iCs w:val="1"/>
          <w:color w:val="auto"/>
        </w:rPr>
        <w:t>claims</w:t>
      </w:r>
      <w:r>
        <w:rPr>
          <w:rFonts w:ascii="Arial" w:cs="Arial" w:eastAsia="Arial" w:hAnsi="Arial"/>
          <w:sz w:val="19"/>
          <w:szCs w:val="19"/>
          <w:color w:val="auto"/>
        </w:rPr>
        <w:t xml:space="preserve">”) based upon, arising out of or resulting from any untrue statement or alleged untrue statement of any material fact contained in any registration statement under which any Partnership Interests were registered under the Securities Act or any state securities or Blue Sky laws, in any preliminary prospectus or issuer free writing prospectus as defined in Rule 433 of the Securities Act (if used prior to the effective date of such registration statement), or in any summary, free writing or final prospectus or in any amendment or supplement thereto (if used during the period the Partnership is required to keep the registration statement current), or arising out of, based upon or resulting from the omission or alleged omission to state therein a material fact required to be stated therein or necessary to make the statements made therein not misleading;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Partnership shall not be liable to any Indemnified Person to the extent that any such claim arises out of, is based upon or results from an untrue statement or alleged untrue statement or omission or alleged omission made in such registration statement, such preliminary, summary, free writing or final prospectus or such amendment or supplement, in reliance upon and in conformity with written information furnished to the Partnership by or on behalf of such Indemnified Person specifically for use in the preparation thereof.</w:t>
      </w:r>
    </w:p>
    <w:p>
      <w:pPr>
        <w:spacing w:after="0" w:line="187" w:lineRule="exact"/>
        <w:rPr>
          <w:rFonts w:ascii="Arial" w:cs="Arial" w:eastAsia="Arial" w:hAnsi="Arial"/>
          <w:sz w:val="19"/>
          <w:szCs w:val="19"/>
          <w:color w:val="auto"/>
        </w:rPr>
      </w:pPr>
    </w:p>
    <w:p>
      <w:pPr>
        <w:ind w:firstLine="1304"/>
        <w:spacing w:after="0" w:line="246" w:lineRule="auto"/>
        <w:tabs>
          <w:tab w:leader="none" w:pos="2076"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Section 7.18(a)</w:t>
      </w:r>
      <w:r>
        <w:rPr>
          <w:rFonts w:ascii="Arial" w:cs="Arial" w:eastAsia="Arial" w:hAnsi="Arial"/>
          <w:sz w:val="21"/>
          <w:szCs w:val="21"/>
          <w:color w:val="auto"/>
        </w:rPr>
        <w:t xml:space="preserve"> shall continue to be applicable with respect to the General Partner (and any of the General Partner’s Affiliates) after it ceases to be a general partner of the Partnership, during a period of two years subsequent to the effective date of such cessation and for so long thereafter as is required for the Holder to sell all of the Partnership Interests with respect to which it has requested during such two-year period inclusion in a registration statement otherwise filed or that a registration statement be filed;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xml:space="preserve">, that the Partnership shall not be required to file successive registration statements covering the same Partnership Interests for which registration was demanded during such two-year period. The provisions of </w:t>
      </w:r>
      <w:r>
        <w:rPr>
          <w:rFonts w:ascii="Arial" w:cs="Arial" w:eastAsia="Arial" w:hAnsi="Arial"/>
          <w:sz w:val="21"/>
          <w:szCs w:val="21"/>
          <w:u w:val="single" w:color="auto"/>
          <w:color w:val="auto"/>
        </w:rPr>
        <w:t>Section 7.18(b)</w:t>
      </w:r>
      <w:r>
        <w:rPr>
          <w:rFonts w:ascii="Arial" w:cs="Arial" w:eastAsia="Arial" w:hAnsi="Arial"/>
          <w:sz w:val="21"/>
          <w:szCs w:val="21"/>
          <w:color w:val="auto"/>
        </w:rPr>
        <w:t xml:space="preserve"> shall continue in effect thereafter.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47" w:name="page48"/>
    <w:bookmarkEnd w:id="47"/>
    <w:p>
      <w:pPr>
        <w:ind w:right="80" w:firstLine="1304"/>
        <w:spacing w:after="0" w:line="282" w:lineRule="auto"/>
        <w:tabs>
          <w:tab w:leader="none" w:pos="2088"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The rights to cause the Partnership to register Partnership Interests pursuant to this </w:t>
      </w:r>
      <w:r>
        <w:rPr>
          <w:rFonts w:ascii="Arial" w:cs="Arial" w:eastAsia="Arial" w:hAnsi="Arial"/>
          <w:sz w:val="19"/>
          <w:szCs w:val="19"/>
          <w:u w:val="single" w:color="auto"/>
          <w:color w:val="auto"/>
        </w:rPr>
        <w:t>Section 7.18</w:t>
      </w:r>
      <w:r>
        <w:rPr>
          <w:rFonts w:ascii="Arial" w:cs="Arial" w:eastAsia="Arial" w:hAnsi="Arial"/>
          <w:sz w:val="19"/>
          <w:szCs w:val="19"/>
          <w:color w:val="auto"/>
        </w:rPr>
        <w:t xml:space="preserve"> may be assigned (but only with all related obligations) by a Holder to a transferee or assignee of such Partnership Interests,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 the Partnership is, within a reasonable time after such transfer, furnished with written notice of the name and address of such transferee or assignee and the Partnership Interests with respect to which such registration rights are being assigned, and (ii) such transferee or assignee agrees in writing to be bound by and subject to the terms set forth in this </w:t>
      </w:r>
      <w:r>
        <w:rPr>
          <w:rFonts w:ascii="Arial" w:cs="Arial" w:eastAsia="Arial" w:hAnsi="Arial"/>
          <w:sz w:val="19"/>
          <w:szCs w:val="19"/>
          <w:u w:val="single" w:color="auto"/>
          <w:color w:val="auto"/>
        </w:rPr>
        <w:t>Section 7.18</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ind w:right="80" w:firstLine="1304"/>
        <w:spacing w:after="0" w:line="235" w:lineRule="auto"/>
        <w:tabs>
          <w:tab w:leader="none" w:pos="2076"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Any request to register Partnership Interests pursuant to this </w:t>
      </w:r>
      <w:r>
        <w:rPr>
          <w:rFonts w:ascii="Arial" w:cs="Arial" w:eastAsia="Arial" w:hAnsi="Arial"/>
          <w:sz w:val="22"/>
          <w:szCs w:val="22"/>
          <w:u w:val="single" w:color="auto"/>
          <w:color w:val="auto"/>
        </w:rPr>
        <w:t>Section 7.18</w:t>
      </w:r>
      <w:r>
        <w:rPr>
          <w:rFonts w:ascii="Arial" w:cs="Arial" w:eastAsia="Arial" w:hAnsi="Arial"/>
          <w:sz w:val="22"/>
          <w:szCs w:val="22"/>
          <w:color w:val="auto"/>
        </w:rPr>
        <w:t xml:space="preserve"> shall (i) specify the Partnership Interests intended to be offered and sold by the Person making the request, (ii) express such Person’s present intent to offer such Partnership Interests for distribution, (iii) describe the nature or method of the proposed offer and sale of Partnership Interests, and (iv) contain the undertaking of such Person to provide all such information and materials and take all action as may be required in order to permit the Partnership to comply with all applicable requirements in connection with the registration of such Partnership Interests.</w:t>
      </w:r>
    </w:p>
    <w:p>
      <w:pPr>
        <w:spacing w:after="0" w:line="215" w:lineRule="exact"/>
        <w:rPr>
          <w:sz w:val="20"/>
          <w:szCs w:val="20"/>
          <w:color w:val="auto"/>
        </w:rPr>
      </w:pPr>
    </w:p>
    <w:p>
      <w:pPr>
        <w:ind w:firstLine="1296"/>
        <w:spacing w:after="0" w:line="270" w:lineRule="auto"/>
        <w:rPr>
          <w:sz w:val="20"/>
          <w:szCs w:val="20"/>
          <w:color w:val="auto"/>
        </w:rPr>
      </w:pPr>
      <w:r>
        <w:rPr>
          <w:rFonts w:ascii="Arial" w:cs="Arial" w:eastAsia="Arial" w:hAnsi="Arial"/>
          <w:sz w:val="19"/>
          <w:szCs w:val="19"/>
          <w:color w:val="auto"/>
        </w:rPr>
        <w:t xml:space="preserve">Section 7.19. </w:t>
      </w:r>
      <w:r>
        <w:rPr>
          <w:rFonts w:ascii="Arial" w:cs="Arial" w:eastAsia="Arial" w:hAnsi="Arial"/>
          <w:sz w:val="19"/>
          <w:szCs w:val="19"/>
          <w:i w:val="1"/>
          <w:iCs w:val="1"/>
          <w:color w:val="auto"/>
        </w:rPr>
        <w:t>Reliance by Third Parties</w:t>
      </w:r>
      <w:r>
        <w:rPr>
          <w:rFonts w:ascii="Arial" w:cs="Arial" w:eastAsia="Arial" w:hAnsi="Arial"/>
          <w:sz w:val="19"/>
          <w:szCs w:val="19"/>
          <w:color w:val="auto"/>
        </w:rPr>
        <w:t>. Notwithstanding anything to the contrary in this Agreement, any Person dealing with the Partnership shall be entitled to assume that the Board of Directors, the General Partner and any Officer authorized by the Board of Directors to act on behalf of and in the name of the Partnership has full power and authority to encumber, sell or otherwise use in any manner any and all assets of the Partnership and to enter into any authorized contracts on behalf of the Partnership, and such Person shall be entitled to deal with the Board of Directors, the General Partner or any such Officer as if it were the Partnership’s sole party in interest, both legally and beneficially. Each Limited Partner hereby waives any and all defenses or other remedies that may be available against such Person to contest, negate or disaffirm any action of the Board of Directors, the General Partner or any such Officer in connection with any such dealing. In no event shall any Person dealing with the Board of Directors, the General Partner or any such Officer or its representatives be obligated to ascertain that the terms of this Agreement have been complied with or to inquire into the necessity or expedience of any act or action of the Board of Directors, the General Partner or any such Officer or its representatives. Each and every certificate, document or other instrument executed on behalf of the Partnership by the Board of Directors, the General Partner, the Officers or representatives of the General Partner authorized by the General Partner or the Board of Directors shall be conclusive evidence in favor of any and every Person relying thereon or claiming thereunder that (a) at the time of the execution and delivery of such certificate, document or instrument, this Agreement was in full force and effect, (b) the Person executing and delivering such certificate, document or instrument was duly authorized and empowered to do so for and on behalf of the Partnership and (c) such certificate, document or instrument was duly executed and delivered in accordance with the terms and provisions of this Agreement and is binding upon the Partnership.</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BOOKS, RECORDS, ACCOUNTING AND REPORTS</w:t>
      </w:r>
    </w:p>
    <w:p>
      <w:pPr>
        <w:spacing w:after="0" w:line="215" w:lineRule="exact"/>
        <w:rPr>
          <w:sz w:val="20"/>
          <w:szCs w:val="20"/>
          <w:color w:val="auto"/>
        </w:rPr>
      </w:pPr>
    </w:p>
    <w:p>
      <w:pPr>
        <w:ind w:right="220" w:firstLine="1296"/>
        <w:spacing w:after="0"/>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i w:val="1"/>
          <w:iCs w:val="1"/>
          <w:color w:val="auto"/>
        </w:rPr>
        <w:t>Records and Accounting</w:t>
      </w:r>
      <w:r>
        <w:rPr>
          <w:rFonts w:ascii="Arial" w:cs="Arial" w:eastAsia="Arial" w:hAnsi="Arial"/>
          <w:sz w:val="22"/>
          <w:szCs w:val="22"/>
          <w:color w:val="auto"/>
        </w:rPr>
        <w:t>. The Partnership shall keep or cause to be kept at the principal office of the Partnership appropriate books and records with respect to the Partnership’s business, including all books and records necessary to provide to the Limited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48" w:name="page49"/>
    <w:bookmarkEnd w:id="48"/>
    <w:p>
      <w:pPr>
        <w:ind w:right="40"/>
        <w:spacing w:after="0" w:line="246" w:lineRule="auto"/>
        <w:rPr>
          <w:sz w:val="20"/>
          <w:szCs w:val="20"/>
          <w:color w:val="auto"/>
        </w:rPr>
      </w:pPr>
      <w:r>
        <w:rPr>
          <w:rFonts w:ascii="Arial" w:cs="Arial" w:eastAsia="Arial" w:hAnsi="Arial"/>
          <w:sz w:val="21"/>
          <w:szCs w:val="21"/>
          <w:color w:val="auto"/>
        </w:rPr>
        <w:t xml:space="preserve">Partners any information required to be provided pursuant to </w:t>
      </w:r>
      <w:r>
        <w:rPr>
          <w:rFonts w:ascii="Arial" w:cs="Arial" w:eastAsia="Arial" w:hAnsi="Arial"/>
          <w:sz w:val="21"/>
          <w:szCs w:val="21"/>
          <w:u w:val="single" w:color="auto"/>
          <w:color w:val="auto"/>
        </w:rPr>
        <w:t>Section 3.4(a)</w:t>
      </w:r>
      <w:r>
        <w:rPr>
          <w:rFonts w:ascii="Arial" w:cs="Arial" w:eastAsia="Arial" w:hAnsi="Arial"/>
          <w:sz w:val="21"/>
          <w:szCs w:val="21"/>
          <w:color w:val="auto"/>
        </w:rPr>
        <w:t xml:space="preserve"> and as otherwise required by the Marshall Islands Act. Any books and records maintained by or on behalf of the Partnership in the regular course of its business, including the record of the Record Holders of Units or other Partnership Interests, books of account and records of Partnership proceedings, may be kept on, or be in the form of, computer disks, hard drives, punch cards, magnetic tape, photographs, micrographics or any other information storage device;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books and records so maintained are convertible into clearly legible written form within a reasonable period of time. The books of the Partnership shall be maintained, for financial reporting purposes, on an accrual basis in accordance with IFRS.</w:t>
      </w:r>
    </w:p>
    <w:p>
      <w:pPr>
        <w:spacing w:after="0" w:line="211" w:lineRule="exact"/>
        <w:rPr>
          <w:sz w:val="20"/>
          <w:szCs w:val="20"/>
          <w:color w:val="auto"/>
        </w:rPr>
      </w:pPr>
    </w:p>
    <w:p>
      <w:pPr>
        <w:ind w:left="1300"/>
        <w:spacing w:after="0"/>
        <w:tabs>
          <w:tab w:leader="none" w:pos="2860" w:val="left"/>
        </w:tabs>
        <w:rPr>
          <w:sz w:val="20"/>
          <w:szCs w:val="20"/>
          <w:color w:val="auto"/>
        </w:rPr>
      </w:pPr>
      <w:r>
        <w:rPr>
          <w:rFonts w:ascii="Arial" w:cs="Arial" w:eastAsia="Arial" w:hAnsi="Arial"/>
          <w:sz w:val="22"/>
          <w:szCs w:val="22"/>
          <w:color w:val="auto"/>
        </w:rPr>
        <w:t>Section 8.2.</w:t>
      </w:r>
      <w:r>
        <w:rPr>
          <w:sz w:val="20"/>
          <w:szCs w:val="20"/>
          <w:color w:val="auto"/>
        </w:rPr>
        <w:tab/>
      </w:r>
      <w:r>
        <w:rPr>
          <w:rFonts w:ascii="Arial" w:cs="Arial" w:eastAsia="Arial" w:hAnsi="Arial"/>
          <w:sz w:val="19"/>
          <w:szCs w:val="19"/>
          <w:i w:val="1"/>
          <w:iCs w:val="1"/>
          <w:color w:val="auto"/>
        </w:rPr>
        <w:t>Fiscal Year</w:t>
      </w:r>
      <w:r>
        <w:rPr>
          <w:rFonts w:ascii="Arial" w:cs="Arial" w:eastAsia="Arial" w:hAnsi="Arial"/>
          <w:sz w:val="19"/>
          <w:szCs w:val="19"/>
          <w:color w:val="auto"/>
        </w:rPr>
        <w:t>. The fiscal year of the Partnership shall be a fiscal year ending December 31.</w:t>
      </w:r>
    </w:p>
    <w:p>
      <w:pPr>
        <w:spacing w:after="0" w:line="233" w:lineRule="exact"/>
        <w:rPr>
          <w:sz w:val="20"/>
          <w:szCs w:val="20"/>
          <w:color w:val="auto"/>
        </w:rPr>
      </w:pPr>
    </w:p>
    <w:p>
      <w:pPr>
        <w:ind w:right="20" w:firstLine="1296"/>
        <w:spacing w:after="0" w:line="279"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i w:val="1"/>
          <w:iCs w:val="1"/>
          <w:color w:val="auto"/>
        </w:rPr>
        <w:t>Reports</w:t>
      </w:r>
      <w:r>
        <w:rPr>
          <w:rFonts w:ascii="Arial" w:cs="Arial" w:eastAsia="Arial" w:hAnsi="Arial"/>
          <w:sz w:val="19"/>
          <w:szCs w:val="19"/>
          <w:color w:val="auto"/>
        </w:rPr>
        <w:t>. (a) As soon as practicable, but in no event later than four months after the close of each fiscal year of the Partnership, the Partnership shall cause to be mailed or made available, by any reasonable means (including posting on or accessible through the Partnership’s or the Commission’s website), to each Record Holder of a Unit as of a date selected by the Board of Directors, an annual report containing financial statements of the Partnership for such fiscal year of the Partnership, presented in accordance with IFRS, including a balance sheet and statements of operations, Partnership equity and cash flows, such statements to be audited by a firm of independent public accountants selected by the Board of Directors.</w:t>
      </w:r>
    </w:p>
    <w:p>
      <w:pPr>
        <w:spacing w:after="0" w:line="177" w:lineRule="exact"/>
        <w:rPr>
          <w:sz w:val="20"/>
          <w:szCs w:val="20"/>
          <w:color w:val="auto"/>
        </w:rPr>
      </w:pPr>
    </w:p>
    <w:p>
      <w:pPr>
        <w:ind w:right="20" w:firstLine="1304"/>
        <w:spacing w:after="0" w:line="277" w:lineRule="auto"/>
        <w:tabs>
          <w:tab w:leader="none" w:pos="2088" w:val="left"/>
        </w:tabs>
        <w:numPr>
          <w:ilvl w:val="0"/>
          <w:numId w:val="42"/>
        </w:numPr>
        <w:rPr>
          <w:rFonts w:ascii="Arial" w:cs="Arial" w:eastAsia="Arial" w:hAnsi="Arial"/>
          <w:sz w:val="19"/>
          <w:szCs w:val="19"/>
          <w:color w:val="auto"/>
        </w:rPr>
      </w:pPr>
      <w:r>
        <w:rPr>
          <w:rFonts w:ascii="Arial" w:cs="Arial" w:eastAsia="Arial" w:hAnsi="Arial"/>
          <w:sz w:val="19"/>
          <w:szCs w:val="19"/>
          <w:color w:val="auto"/>
        </w:rPr>
        <w:t>As soon as practicable, but in no event later than six months after the close of each second Quarter in the Partnership’s fiscal year, the Partnership shall cause to be mailed or made available, by any reasonable means (including posting on or accessible through the Partnership’s or the Commission’s website), to each Record Holder of a Unit, as of a date selected by the Board of Directors, a report containing (i) an unaudited balance sheet as of the end of such second Quarter and (ii) an unaudited income statement covering the first two Quarters in such fiscal year and (iii) such other information as may be required by applicable law, regulation or rule of any National Securities Exchange on which the Units are listed or admitted to trading, or as the Board of Directors determines to be necessary or appropriate.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IX</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TAX MATTERS</w:t>
      </w:r>
    </w:p>
    <w:p>
      <w:pPr>
        <w:spacing w:after="0" w:line="215" w:lineRule="exact"/>
        <w:rPr>
          <w:sz w:val="20"/>
          <w:szCs w:val="20"/>
          <w:color w:val="auto"/>
        </w:rPr>
      </w:pPr>
    </w:p>
    <w:p>
      <w:pPr>
        <w:ind w:firstLine="1296"/>
        <w:spacing w:after="0" w:line="238" w:lineRule="auto"/>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i w:val="1"/>
          <w:iCs w:val="1"/>
          <w:color w:val="auto"/>
        </w:rPr>
        <w:t>Tax Elections and Information</w:t>
      </w:r>
      <w:r>
        <w:rPr>
          <w:rFonts w:ascii="Arial" w:cs="Arial" w:eastAsia="Arial" w:hAnsi="Arial"/>
          <w:sz w:val="22"/>
          <w:szCs w:val="22"/>
          <w:color w:val="auto"/>
        </w:rPr>
        <w:t>. (a) The Partnership is authorized and has elected, effective as of January 23, 2014, to be treated as an association taxable as a corporation for U.S. federal income tax purposes. Except as otherwise provided herein, the Board of Directors shall determine whether the Partnership should make any other elections permitted by any applicable tax law.</w:t>
      </w:r>
    </w:p>
    <w:p>
      <w:pPr>
        <w:spacing w:after="0" w:line="212" w:lineRule="exact"/>
        <w:rPr>
          <w:sz w:val="20"/>
          <w:szCs w:val="20"/>
          <w:color w:val="auto"/>
        </w:rPr>
      </w:pPr>
    </w:p>
    <w:p>
      <w:pPr>
        <w:ind w:right="480" w:firstLine="1304"/>
        <w:spacing w:after="0" w:line="328" w:lineRule="auto"/>
        <w:tabs>
          <w:tab w:leader="none" w:pos="2088"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tax information reasonably required by Record Holders for U.S. federal income tax reporting purposes with respect to a calendar taxable year shall be furnished to them within 90 days of the close of each calendar year.</w:t>
      </w:r>
    </w:p>
    <w:p>
      <w:pPr>
        <w:spacing w:after="0" w:line="132" w:lineRule="exact"/>
        <w:rPr>
          <w:sz w:val="20"/>
          <w:szCs w:val="20"/>
          <w:color w:val="auto"/>
        </w:rPr>
      </w:pPr>
    </w:p>
    <w:p>
      <w:pPr>
        <w:ind w:right="840" w:firstLine="1296"/>
        <w:spacing w:after="0" w:line="250" w:lineRule="auto"/>
        <w:rPr>
          <w:sz w:val="20"/>
          <w:szCs w:val="20"/>
          <w:color w:val="auto"/>
        </w:rPr>
      </w:pPr>
      <w:r>
        <w:rPr>
          <w:rFonts w:ascii="Arial" w:cs="Arial" w:eastAsia="Arial" w:hAnsi="Arial"/>
          <w:sz w:val="22"/>
          <w:szCs w:val="22"/>
          <w:color w:val="auto"/>
        </w:rPr>
        <w:t xml:space="preserve">Section 9.2. </w:t>
      </w:r>
      <w:r>
        <w:rPr>
          <w:rFonts w:ascii="Arial" w:cs="Arial" w:eastAsia="Arial" w:hAnsi="Arial"/>
          <w:sz w:val="22"/>
          <w:szCs w:val="22"/>
          <w:i w:val="1"/>
          <w:iCs w:val="1"/>
          <w:color w:val="auto"/>
        </w:rPr>
        <w:t>Tax Withholding</w:t>
      </w:r>
      <w:r>
        <w:rPr>
          <w:rFonts w:ascii="Arial" w:cs="Arial" w:eastAsia="Arial" w:hAnsi="Arial"/>
          <w:sz w:val="22"/>
          <w:szCs w:val="22"/>
          <w:color w:val="auto"/>
        </w:rPr>
        <w:t>. Notwithstanding any other provision of this Agreement, the Board of Directors is authorized to take any action that may be required or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49" w:name="page50"/>
    <w:bookmarkEnd w:id="49"/>
    <w:p>
      <w:pPr>
        <w:spacing w:after="0" w:line="236" w:lineRule="auto"/>
        <w:rPr>
          <w:sz w:val="20"/>
          <w:szCs w:val="20"/>
          <w:color w:val="auto"/>
        </w:rPr>
      </w:pPr>
      <w:r>
        <w:rPr>
          <w:rFonts w:ascii="Arial" w:cs="Arial" w:eastAsia="Arial" w:hAnsi="Arial"/>
          <w:sz w:val="22"/>
          <w:szCs w:val="22"/>
          <w:color w:val="auto"/>
        </w:rPr>
        <w:t>advisable to cause the Partnership and other Group Members to comply with any withholding requirements with respect to any tax established under any U.S. federal, state or local or any non-U.S. law. To the extent that the Partnership is required or elects to withhold and pay over to any taxing authority any amount with respect to a distribution or payment to or for the benefit of any Partner, the Board of Directors may treat the amount withheld as a distribution of cash to such Partner in the amount of such withholding from such Partner.</w:t>
      </w:r>
    </w:p>
    <w:p>
      <w:pPr>
        <w:spacing w:after="0" w:line="214" w:lineRule="exact"/>
        <w:rPr>
          <w:sz w:val="20"/>
          <w:szCs w:val="20"/>
          <w:color w:val="auto"/>
        </w:rPr>
      </w:pPr>
    </w:p>
    <w:p>
      <w:pPr>
        <w:ind w:right="260" w:firstLine="1296"/>
        <w:spacing w:after="0" w:line="238" w:lineRule="auto"/>
        <w:rPr>
          <w:sz w:val="20"/>
          <w:szCs w:val="20"/>
          <w:color w:val="auto"/>
        </w:rPr>
      </w:pPr>
      <w:r>
        <w:rPr>
          <w:rFonts w:ascii="Arial" w:cs="Arial" w:eastAsia="Arial" w:hAnsi="Arial"/>
          <w:sz w:val="22"/>
          <w:szCs w:val="22"/>
          <w:color w:val="auto"/>
        </w:rPr>
        <w:t xml:space="preserve">Section 9.3. </w:t>
      </w:r>
      <w:r>
        <w:rPr>
          <w:rFonts w:ascii="Arial" w:cs="Arial" w:eastAsia="Arial" w:hAnsi="Arial"/>
          <w:sz w:val="22"/>
          <w:szCs w:val="22"/>
          <w:i w:val="1"/>
          <w:iCs w:val="1"/>
          <w:color w:val="auto"/>
        </w:rPr>
        <w:t>Conduct of Operations</w:t>
      </w:r>
      <w:r>
        <w:rPr>
          <w:rFonts w:ascii="Arial" w:cs="Arial" w:eastAsia="Arial" w:hAnsi="Arial"/>
          <w:sz w:val="22"/>
          <w:szCs w:val="22"/>
          <w:color w:val="auto"/>
        </w:rPr>
        <w:t>. The Board of Directors shall use commercially reasonable efforts to conduct the business of the Partnership and its Affiliates in a manner that does not require a holder of Common Units or Preference Units to file a tax return in any jurisdiction with which the holder has no contact other than through ownership of Common Units or Preference Units.</w:t>
      </w:r>
    </w:p>
    <w:p>
      <w:pPr>
        <w:spacing w:after="0" w:line="20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X</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ADMISSION OF PARTNERS</w:t>
      </w:r>
    </w:p>
    <w:p>
      <w:pPr>
        <w:spacing w:after="0" w:line="215" w:lineRule="exact"/>
        <w:rPr>
          <w:sz w:val="20"/>
          <w:szCs w:val="20"/>
          <w:color w:val="auto"/>
        </w:rPr>
      </w:pPr>
    </w:p>
    <w:p>
      <w:pPr>
        <w:ind w:right="20" w:firstLine="1296"/>
        <w:spacing w:after="0" w:line="269" w:lineRule="auto"/>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i w:val="1"/>
          <w:iCs w:val="1"/>
          <w:color w:val="auto"/>
        </w:rPr>
        <w:t>Admission of Additional Limited Partners</w:t>
      </w:r>
      <w:r>
        <w:rPr>
          <w:rFonts w:ascii="Arial" w:cs="Arial" w:eastAsia="Arial" w:hAnsi="Arial"/>
          <w:sz w:val="19"/>
          <w:szCs w:val="19"/>
          <w:color w:val="auto"/>
        </w:rPr>
        <w:t xml:space="preserve">. (a) By acceptance of the transfer of any Limited Partner Interests in accordance with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the acceptance of any Limited Partner Interests issued pursuant to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or pursuant to a merger, consolidation or conversion pursuant to </w:t>
      </w:r>
      <w:r>
        <w:rPr>
          <w:rFonts w:ascii="Arial" w:cs="Arial" w:eastAsia="Arial" w:hAnsi="Arial"/>
          <w:sz w:val="19"/>
          <w:szCs w:val="19"/>
          <w:u w:val="single" w:color="auto"/>
          <w:color w:val="auto"/>
        </w:rPr>
        <w:t>Article XIV</w:t>
      </w:r>
      <w:r>
        <w:rPr>
          <w:rFonts w:ascii="Arial" w:cs="Arial" w:eastAsia="Arial" w:hAnsi="Arial"/>
          <w:sz w:val="19"/>
          <w:szCs w:val="19"/>
          <w:color w:val="auto"/>
        </w:rPr>
        <w:t>, each transferee of, or other such Person acquiring, a Limited Partner Interest (including any nominee holder or an agent or representative acquiring such Limited Partner Interests for the account of another Person) (i) shall be admitted to the Partnership as a Limited Partner with respect to the Limited Partner Interests so transferred or issued to such Person when any such transfer, issuance or admission is reflected in the books and records of the Partnership and such Limited Partner becomes the Record Holder of the Limited Partner Interests so transferred,</w:t>
      </w:r>
    </w:p>
    <w:p>
      <w:pPr>
        <w:spacing w:after="0" w:line="5" w:lineRule="exact"/>
        <w:rPr>
          <w:sz w:val="20"/>
          <w:szCs w:val="20"/>
          <w:color w:val="auto"/>
        </w:rPr>
      </w:pPr>
    </w:p>
    <w:p>
      <w:pPr>
        <w:ind w:firstLine="8"/>
        <w:spacing w:after="0" w:line="243" w:lineRule="auto"/>
        <w:tabs>
          <w:tab w:leader="none" w:pos="318" w:val="left"/>
        </w:tabs>
        <w:numPr>
          <w:ilvl w:val="0"/>
          <w:numId w:val="44"/>
        </w:numPr>
        <w:rPr>
          <w:rFonts w:ascii="Arial" w:cs="Arial" w:eastAsia="Arial" w:hAnsi="Arial"/>
          <w:sz w:val="21"/>
          <w:szCs w:val="21"/>
          <w:color w:val="auto"/>
        </w:rPr>
      </w:pPr>
      <w:r>
        <w:rPr>
          <w:rFonts w:ascii="Arial" w:cs="Arial" w:eastAsia="Arial" w:hAnsi="Arial"/>
          <w:sz w:val="21"/>
          <w:szCs w:val="21"/>
          <w:color w:val="auto"/>
        </w:rPr>
        <w:t>shall become bound, and shall be deemed to have agreed to be bound, by the terms of this Agreement, (iii) represents that the transferee or other recipient has the capacity, power and authority to enter into this Agreement and (iv) makes the consents, acknowledgements and waivers contained in this Agreement, all with or without execution of this Agreement by such Person. The transfer of any Limited Partner Interests and the admission of any new Limited Partner shall not constitute an amendment to this Agreement. A Person may become a Limited Partner or Record Holder of a Limited Partner Interest without the consent or approval of any of the Partners. A Person may not become a Limited Partner until such Person acquires a Limited Partner Interest and until such Person is reflected in the books and records of the Partnership as the Record Holder of such Limited Partner Interest.</w:t>
      </w:r>
    </w:p>
    <w:p>
      <w:pPr>
        <w:spacing w:after="0" w:line="212" w:lineRule="exact"/>
        <w:rPr>
          <w:rFonts w:ascii="Arial" w:cs="Arial" w:eastAsia="Arial" w:hAnsi="Arial"/>
          <w:sz w:val="21"/>
          <w:szCs w:val="21"/>
          <w:color w:val="auto"/>
        </w:rPr>
      </w:pPr>
    </w:p>
    <w:p>
      <w:pPr>
        <w:ind w:right="240" w:firstLine="1304"/>
        <w:spacing w:after="0" w:line="236" w:lineRule="auto"/>
        <w:tabs>
          <w:tab w:leader="none" w:pos="2088" w:val="left"/>
        </w:tabs>
        <w:numPr>
          <w:ilvl w:val="1"/>
          <w:numId w:val="44"/>
        </w:numPr>
        <w:rPr>
          <w:rFonts w:ascii="Arial" w:cs="Arial" w:eastAsia="Arial" w:hAnsi="Arial"/>
          <w:sz w:val="22"/>
          <w:szCs w:val="22"/>
          <w:color w:val="auto"/>
        </w:rPr>
      </w:pPr>
      <w:r>
        <w:rPr>
          <w:rFonts w:ascii="Arial" w:cs="Arial" w:eastAsia="Arial" w:hAnsi="Arial"/>
          <w:sz w:val="22"/>
          <w:szCs w:val="22"/>
          <w:color w:val="auto"/>
        </w:rPr>
        <w:t xml:space="preserve">The name and mailing address of each Limited Partner shall be listed on the books and records of the Partnership maintained for such purpose by the Partnership or the Transfer Agent. The General Partner shall update the books and records of the Partnership from time to time as necessary to reflect accurately the information therein (or shall cause the Transfer Agent to do so, as applicable). A Limited Partner Interest may be represented by a Certificate, as provided in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4.1</w:t>
      </w:r>
      <w:r>
        <w:rPr>
          <w:rFonts w:ascii="Arial" w:cs="Arial" w:eastAsia="Arial" w:hAnsi="Arial"/>
          <w:sz w:val="22"/>
          <w:szCs w:val="22"/>
          <w:color w:val="auto"/>
        </w:rPr>
        <w:t>.</w:t>
      </w:r>
    </w:p>
    <w:p>
      <w:pPr>
        <w:spacing w:after="0" w:line="214" w:lineRule="exact"/>
        <w:rPr>
          <w:rFonts w:ascii="Arial" w:cs="Arial" w:eastAsia="Arial" w:hAnsi="Arial"/>
          <w:sz w:val="22"/>
          <w:szCs w:val="22"/>
          <w:color w:val="auto"/>
        </w:rPr>
      </w:pPr>
    </w:p>
    <w:p>
      <w:pPr>
        <w:ind w:firstLine="1304"/>
        <w:spacing w:after="0" w:line="328" w:lineRule="auto"/>
        <w:tabs>
          <w:tab w:leader="none" w:pos="2076" w:val="left"/>
        </w:tabs>
        <w:numPr>
          <w:ilvl w:val="1"/>
          <w:numId w:val="44"/>
        </w:numPr>
        <w:rPr>
          <w:rFonts w:ascii="Arial" w:cs="Arial" w:eastAsia="Arial" w:hAnsi="Arial"/>
          <w:sz w:val="19"/>
          <w:szCs w:val="19"/>
          <w:color w:val="auto"/>
        </w:rPr>
      </w:pPr>
      <w:r>
        <w:rPr>
          <w:rFonts w:ascii="Arial" w:cs="Arial" w:eastAsia="Arial" w:hAnsi="Arial"/>
          <w:sz w:val="19"/>
          <w:szCs w:val="19"/>
          <w:color w:val="auto"/>
        </w:rPr>
        <w:t xml:space="preserve">Any transfer of a Limited Partner Interest shall not entitle the transferee to receive distributions or to any other rights to which the transferor was entitled until the transferee becomes a Limited Partner pursuant to </w:t>
      </w:r>
      <w:r>
        <w:rPr>
          <w:rFonts w:ascii="Arial" w:cs="Arial" w:eastAsia="Arial" w:hAnsi="Arial"/>
          <w:sz w:val="19"/>
          <w:szCs w:val="19"/>
          <w:u w:val="single" w:color="auto"/>
          <w:color w:val="auto"/>
        </w:rPr>
        <w:t>Section 10.1(a)</w:t>
      </w:r>
      <w:r>
        <w:rPr>
          <w:rFonts w:ascii="Arial" w:cs="Arial" w:eastAsia="Arial" w:hAnsi="Arial"/>
          <w:sz w:val="19"/>
          <w:szCs w:val="19"/>
          <w:color w:val="auto"/>
        </w:rPr>
        <w:t>.</w:t>
      </w: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04" w:right="439" w:bottom="1440" w:gutter="0" w:footer="0" w:header="0"/>
        </w:sectPr>
      </w:pPr>
    </w:p>
    <w:bookmarkStart w:id="50" w:name="page51"/>
    <w:bookmarkEnd w:id="50"/>
    <w:p>
      <w:pPr>
        <w:ind w:firstLine="1296"/>
        <w:spacing w:after="0" w:line="275"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i w:val="1"/>
          <w:iCs w:val="1"/>
          <w:color w:val="auto"/>
        </w:rPr>
        <w:t>Admission of Successor General Partner</w:t>
      </w:r>
      <w:r>
        <w:rPr>
          <w:rFonts w:ascii="Arial" w:cs="Arial" w:eastAsia="Arial" w:hAnsi="Arial"/>
          <w:sz w:val="19"/>
          <w:szCs w:val="19"/>
          <w:color w:val="auto"/>
        </w:rPr>
        <w:t xml:space="preserve">. A successor General Partner approved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the transferee of or successor to all or part of the General Partner Interest (represented by General Partner Units) pursuant to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who is proposed to be admitted as a successor General Partner shall be admitted to the Partnership as the General Partner, effective immediately prior to the withdrawal or removal of the predecessor or transferring General Partner,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the transfer of the General Partner Interest (represented by General Partner Units) pursuant to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no such Person shall be admitted to the Partnership as a successor or additional General Partner until compliance with the terms of </w:t>
      </w:r>
      <w:r>
        <w:rPr>
          <w:rFonts w:ascii="Arial" w:cs="Arial" w:eastAsia="Arial" w:hAnsi="Arial"/>
          <w:sz w:val="19"/>
          <w:szCs w:val="19"/>
          <w:u w:val="single" w:color="auto"/>
          <w:color w:val="auto"/>
        </w:rPr>
        <w:t>Section 4.6</w:t>
      </w:r>
      <w:r>
        <w:rPr>
          <w:rFonts w:ascii="Arial" w:cs="Arial" w:eastAsia="Arial" w:hAnsi="Arial"/>
          <w:sz w:val="19"/>
          <w:szCs w:val="19"/>
          <w:color w:val="auto"/>
        </w:rPr>
        <w:t xml:space="preserve"> has occurred and such Person has executed and delivered such other documents or instruments as may be required to effect such admission.</w:t>
      </w:r>
    </w:p>
    <w:p>
      <w:pPr>
        <w:spacing w:after="0" w:line="184" w:lineRule="exact"/>
        <w:rPr>
          <w:sz w:val="20"/>
          <w:szCs w:val="20"/>
          <w:color w:val="auto"/>
        </w:rPr>
      </w:pPr>
    </w:p>
    <w:p>
      <w:pPr>
        <w:ind w:right="280" w:firstLine="1296"/>
        <w:spacing w:after="0" w:line="250" w:lineRule="auto"/>
        <w:rPr>
          <w:sz w:val="20"/>
          <w:szCs w:val="20"/>
          <w:color w:val="auto"/>
        </w:rPr>
      </w:pPr>
      <w:r>
        <w:rPr>
          <w:rFonts w:ascii="Arial" w:cs="Arial" w:eastAsia="Arial" w:hAnsi="Arial"/>
          <w:sz w:val="22"/>
          <w:szCs w:val="22"/>
          <w:color w:val="auto"/>
        </w:rPr>
        <w:t>Any such successor or additional General Partner is hereby authorized to and shall, subject to the terms hereof, carry on the business of the members of the Partnership Group without dissolution.</w:t>
      </w:r>
    </w:p>
    <w:p>
      <w:pPr>
        <w:spacing w:after="0" w:line="202" w:lineRule="exact"/>
        <w:rPr>
          <w:sz w:val="20"/>
          <w:szCs w:val="20"/>
          <w:color w:val="auto"/>
        </w:rPr>
      </w:pPr>
    </w:p>
    <w:p>
      <w:pPr>
        <w:ind w:right="40" w:firstLine="1296"/>
        <w:spacing w:after="0" w:line="236"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i w:val="1"/>
          <w:iCs w:val="1"/>
          <w:color w:val="auto"/>
        </w:rPr>
        <w:t>Amendment of Agreement and Certificate of Limited Partnership</w:t>
      </w:r>
      <w:r>
        <w:rPr>
          <w:rFonts w:ascii="Arial" w:cs="Arial" w:eastAsia="Arial" w:hAnsi="Arial"/>
          <w:sz w:val="22"/>
          <w:szCs w:val="22"/>
          <w:color w:val="auto"/>
        </w:rPr>
        <w:t>. To effect the admission to the Partnership of any Partner, the Board of Directors shall take all steps necessary or appropriate under the Marshall Islands Act to amend the records of the Partnership to reflect such admission and, if necessary, to prepare as soon as practicable an amendment to this Agreement and, if required by law, the Board of Directors shall prepare and file an amendment to the Certificate of Limited Partnership.</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XI</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WITHDRAWAL OR REMOVAL OF PARTNERS</w:t>
      </w:r>
    </w:p>
    <w:p>
      <w:pPr>
        <w:spacing w:after="0" w:line="215" w:lineRule="exact"/>
        <w:rPr>
          <w:sz w:val="20"/>
          <w:szCs w:val="20"/>
          <w:color w:val="auto"/>
        </w:rPr>
      </w:pPr>
    </w:p>
    <w:p>
      <w:pPr>
        <w:ind w:right="40" w:firstLine="1296"/>
        <w:spacing w:after="0"/>
        <w:rPr>
          <w:sz w:val="20"/>
          <w:szCs w:val="20"/>
          <w:color w:val="auto"/>
        </w:rPr>
      </w:pPr>
      <w:r>
        <w:rPr>
          <w:rFonts w:ascii="Arial" w:cs="Arial" w:eastAsia="Arial" w:hAnsi="Arial"/>
          <w:sz w:val="22"/>
          <w:szCs w:val="22"/>
          <w:color w:val="auto"/>
        </w:rPr>
        <w:t xml:space="preserve">Section 11.1. </w:t>
      </w:r>
      <w:r>
        <w:rPr>
          <w:rFonts w:ascii="Arial" w:cs="Arial" w:eastAsia="Arial" w:hAnsi="Arial"/>
          <w:sz w:val="22"/>
          <w:szCs w:val="22"/>
          <w:i w:val="1"/>
          <w:iCs w:val="1"/>
          <w:color w:val="auto"/>
        </w:rPr>
        <w:t>Withdrawal of the General Partner</w:t>
      </w:r>
      <w:r>
        <w:rPr>
          <w:rFonts w:ascii="Arial" w:cs="Arial" w:eastAsia="Arial" w:hAnsi="Arial"/>
          <w:sz w:val="22"/>
          <w:szCs w:val="22"/>
          <w:color w:val="auto"/>
        </w:rPr>
        <w:t>. (a) The General Partner shall be deemed to have withdrawn from the Partnership upon the occurrence of any one of the following events (each such event herein referred to as an “</w:t>
      </w:r>
      <w:r>
        <w:rPr>
          <w:rFonts w:ascii="Arial" w:cs="Arial" w:eastAsia="Arial" w:hAnsi="Arial"/>
          <w:sz w:val="22"/>
          <w:szCs w:val="22"/>
          <w:b w:val="1"/>
          <w:bCs w:val="1"/>
          <w:i w:val="1"/>
          <w:iCs w:val="1"/>
          <w:color w:val="auto"/>
        </w:rPr>
        <w:t>Event of Withdrawal</w:t>
      </w:r>
      <w:r>
        <w:rPr>
          <w:rFonts w:ascii="Arial" w:cs="Arial" w:eastAsia="Arial" w:hAnsi="Arial"/>
          <w:sz w:val="22"/>
          <w:szCs w:val="22"/>
          <w:color w:val="auto"/>
        </w:rPr>
        <w:t>”):</w:t>
      </w:r>
    </w:p>
    <w:p>
      <w:pPr>
        <w:spacing w:after="0" w:line="213" w:lineRule="exact"/>
        <w:rPr>
          <w:sz w:val="20"/>
          <w:szCs w:val="20"/>
          <w:color w:val="auto"/>
        </w:rPr>
      </w:pPr>
    </w:p>
    <w:p>
      <w:pPr>
        <w:ind w:left="2040" w:hanging="736"/>
        <w:spacing w:after="0"/>
        <w:tabs>
          <w:tab w:leader="none" w:pos="204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General Partner voluntarily withdraws from the Partnership by giving written notice to the other</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Partners;</w:t>
      </w:r>
    </w:p>
    <w:p>
      <w:pPr>
        <w:spacing w:after="0" w:line="215" w:lineRule="exact"/>
        <w:rPr>
          <w:rFonts w:ascii="Arial" w:cs="Arial" w:eastAsia="Arial" w:hAnsi="Arial"/>
          <w:sz w:val="19"/>
          <w:szCs w:val="19"/>
          <w:color w:val="auto"/>
        </w:rPr>
      </w:pPr>
    </w:p>
    <w:p>
      <w:pPr>
        <w:ind w:left="2100" w:hanging="796"/>
        <w:spacing w:after="0"/>
        <w:tabs>
          <w:tab w:leader="none" w:pos="21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The General Partner transfers all of its rights as General Partner pursuant to </w:t>
      </w:r>
      <w:r>
        <w:rPr>
          <w:rFonts w:ascii="Arial" w:cs="Arial" w:eastAsia="Arial" w:hAnsi="Arial"/>
          <w:sz w:val="22"/>
          <w:szCs w:val="22"/>
          <w:u w:val="single" w:color="auto"/>
          <w:color w:val="auto"/>
        </w:rPr>
        <w:t>Section 4.6</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2160" w:hanging="856"/>
        <w:spacing w:after="0"/>
        <w:tabs>
          <w:tab w:leader="none" w:pos="21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 xml:space="preserve">The General Partner is removed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right="20" w:firstLine="644"/>
        <w:spacing w:after="0" w:line="279" w:lineRule="auto"/>
        <w:tabs>
          <w:tab w:leader="none" w:pos="21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The General Partner (A) makes a general assignment for the benefit of creditors; (B) files a voluntary petition in bankruptcy; (C) files a voluntary petition or answer seeking for itself a liquidation, dissolution or similar relief (but not a reorganization) under any law; (D) files an answer or other pleading admitting or failing to contest the material allegations of a petition filed against the General Partner in a proceeding of the type described in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11.1(a)(iv)</w:t>
      </w:r>
      <w:r>
        <w:rPr>
          <w:rFonts w:ascii="Arial" w:cs="Arial" w:eastAsia="Arial" w:hAnsi="Arial"/>
          <w:sz w:val="19"/>
          <w:szCs w:val="19"/>
          <w:color w:val="auto"/>
        </w:rPr>
        <w:t>; or (E) seeks, consents to or acquiesces in the appointment of a trustee (but not a debtor in possession), receiver or liquidating trustee of the General Partner or of all or any substantial part of its properties;</w:t>
      </w: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604" w:right="419" w:bottom="1440" w:gutter="0" w:footer="0" w:header="0"/>
        </w:sectPr>
      </w:pPr>
    </w:p>
    <w:bookmarkStart w:id="51" w:name="page52"/>
    <w:bookmarkEnd w:id="51"/>
    <w:p>
      <w:pPr>
        <w:ind w:left="660" w:right="60" w:firstLine="644"/>
        <w:spacing w:after="0" w:line="250" w:lineRule="auto"/>
        <w:tabs>
          <w:tab w:leader="none" w:pos="21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General Partner is adjudged bankrupt or insolvent, or has entered against it an order for relief in any bankruptcy or insolvency proceeding;</w:t>
      </w:r>
    </w:p>
    <w:p>
      <w:pPr>
        <w:spacing w:after="0" w:line="201" w:lineRule="exact"/>
        <w:rPr>
          <w:rFonts w:ascii="Arial" w:cs="Arial" w:eastAsia="Arial" w:hAnsi="Arial"/>
          <w:sz w:val="22"/>
          <w:szCs w:val="22"/>
          <w:color w:val="auto"/>
        </w:rPr>
      </w:pPr>
    </w:p>
    <w:p>
      <w:pPr>
        <w:ind w:left="660" w:firstLine="644"/>
        <w:spacing w:after="0" w:line="246" w:lineRule="auto"/>
        <w:tabs>
          <w:tab w:leader="none" w:pos="2160" w:val="left"/>
        </w:tabs>
        <w:numPr>
          <w:ilvl w:val="0"/>
          <w:numId w:val="46"/>
        </w:numPr>
        <w:rPr>
          <w:rFonts w:ascii="Arial" w:cs="Arial" w:eastAsia="Arial" w:hAnsi="Arial"/>
          <w:sz w:val="21"/>
          <w:szCs w:val="21"/>
          <w:color w:val="auto"/>
        </w:rPr>
      </w:pPr>
      <w:r>
        <w:rPr>
          <w:rFonts w:ascii="Arial" w:cs="Arial" w:eastAsia="Arial" w:hAnsi="Arial"/>
          <w:sz w:val="21"/>
          <w:szCs w:val="21"/>
          <w:color w:val="auto"/>
        </w:rPr>
        <w:t>(A) in the event the General Partner is a corporation, the filing of a certificate of dissolution, or its equivalent, for the corporation or the revocation of its charter and the expiration of 90 days after the date of notice to the General Partner of revocation without a reinstatement of its charter; (B) in the event the General Partner is a partnership or a limited liability company, the dissolution and commencement of winding up of the General Partner; (C) in the event the General Partner is acting in such capacity by virtue of being a trustee of a trust, the termination of the trust; (D) in the event the General Partner is a natural person, his death or adjudication of incompetency; and (E) otherwise in the event of the termination of the General Partner.</w:t>
      </w:r>
    </w:p>
    <w:p>
      <w:pPr>
        <w:spacing w:after="0" w:line="211" w:lineRule="exact"/>
        <w:rPr>
          <w:sz w:val="20"/>
          <w:szCs w:val="20"/>
          <w:color w:val="auto"/>
        </w:rPr>
      </w:pPr>
    </w:p>
    <w:p>
      <w:pPr>
        <w:jc w:val="both"/>
        <w:ind w:right="140"/>
        <w:spacing w:after="0" w:line="238" w:lineRule="auto"/>
        <w:rPr>
          <w:sz w:val="20"/>
          <w:szCs w:val="20"/>
          <w:color w:val="auto"/>
        </w:rPr>
      </w:pPr>
      <w:r>
        <w:rPr>
          <w:rFonts w:ascii="Arial" w:cs="Arial" w:eastAsia="Arial" w:hAnsi="Arial"/>
          <w:sz w:val="22"/>
          <w:szCs w:val="22"/>
          <w:color w:val="auto"/>
        </w:rPr>
        <w:t xml:space="preserve">If an Event of Withdrawal specified in </w:t>
      </w:r>
      <w:r>
        <w:rPr>
          <w:rFonts w:ascii="Arial" w:cs="Arial" w:eastAsia="Arial" w:hAnsi="Arial"/>
          <w:sz w:val="22"/>
          <w:szCs w:val="22"/>
          <w:u w:val="single" w:color="auto"/>
          <w:color w:val="auto"/>
        </w:rPr>
        <w:t>Section 11.1(a)(iv)</w:t>
      </w:r>
      <w:r>
        <w:rPr>
          <w:rFonts w:ascii="Arial" w:cs="Arial" w:eastAsia="Arial" w:hAnsi="Arial"/>
          <w:sz w:val="22"/>
          <w:szCs w:val="22"/>
          <w:color w:val="auto"/>
        </w:rPr>
        <w:t xml:space="preserve">, </w:t>
      </w:r>
      <w:r>
        <w:rPr>
          <w:rFonts w:ascii="Arial" w:cs="Arial" w:eastAsia="Arial" w:hAnsi="Arial"/>
          <w:sz w:val="22"/>
          <w:szCs w:val="22"/>
          <w:u w:val="single" w:color="auto"/>
          <w:color w:val="auto"/>
        </w:rPr>
        <w:t>11.1(a)(v)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11.1(a)(vi)(A)</w:t>
      </w:r>
      <w:r>
        <w:rPr>
          <w:rFonts w:ascii="Arial" w:cs="Arial" w:eastAsia="Arial" w:hAnsi="Arial"/>
          <w:sz w:val="22"/>
          <w:szCs w:val="22"/>
          <w:color w:val="auto"/>
        </w:rPr>
        <w:t xml:space="preserve">, </w:t>
      </w:r>
      <w:r>
        <w:rPr>
          <w:rFonts w:ascii="Arial" w:cs="Arial" w:eastAsia="Arial" w:hAnsi="Arial"/>
          <w:sz w:val="22"/>
          <w:szCs w:val="22"/>
          <w:u w:val="single" w:color="auto"/>
          <w:color w:val="auto"/>
        </w:rPr>
        <w:t>11.1(a)(vi)(B)</w:t>
      </w:r>
      <w:r>
        <w:rPr>
          <w:rFonts w:ascii="Arial" w:cs="Arial" w:eastAsia="Arial" w:hAnsi="Arial"/>
          <w:sz w:val="22"/>
          <w:szCs w:val="22"/>
          <w:color w:val="auto"/>
        </w:rPr>
        <w:t xml:space="preserve">, </w:t>
      </w:r>
      <w:r>
        <w:rPr>
          <w:rFonts w:ascii="Arial" w:cs="Arial" w:eastAsia="Arial" w:hAnsi="Arial"/>
          <w:sz w:val="22"/>
          <w:szCs w:val="22"/>
          <w:u w:val="single" w:color="auto"/>
          <w:color w:val="auto"/>
        </w:rPr>
        <w:t>11.1(a)(vi)(C)</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11.1(a)</w:t>
      </w:r>
      <w:r>
        <w:rPr>
          <w:rFonts w:ascii="Arial" w:cs="Arial" w:eastAsia="Arial" w:hAnsi="Arial"/>
          <w:sz w:val="22"/>
          <w:szCs w:val="22"/>
          <w:color w:val="auto"/>
        </w:rPr>
        <w:t xml:space="preserve"> </w:t>
      </w:r>
      <w:r>
        <w:rPr>
          <w:rFonts w:ascii="Arial" w:cs="Arial" w:eastAsia="Arial" w:hAnsi="Arial"/>
          <w:sz w:val="22"/>
          <w:szCs w:val="22"/>
          <w:u w:val="single" w:color="auto"/>
          <w:color w:val="auto"/>
        </w:rPr>
        <w:t>(vi)(E)</w:t>
      </w:r>
      <w:r>
        <w:rPr>
          <w:rFonts w:ascii="Arial" w:cs="Arial" w:eastAsia="Arial" w:hAnsi="Arial"/>
          <w:sz w:val="22"/>
          <w:szCs w:val="22"/>
          <w:color w:val="auto"/>
        </w:rPr>
        <w:t xml:space="preserve"> occurs, the withdrawing General Partner shall give notice to the Limited Partners within 30 days after such occurrence. The Partners hereby agree that only the Events of Withdrawal described in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shall result in the withdrawal of the General Partner from the Partnership.</w:t>
      </w:r>
    </w:p>
    <w:p>
      <w:pPr>
        <w:spacing w:after="0" w:line="212" w:lineRule="exact"/>
        <w:rPr>
          <w:sz w:val="20"/>
          <w:szCs w:val="20"/>
          <w:color w:val="auto"/>
        </w:rPr>
      </w:pPr>
    </w:p>
    <w:p>
      <w:pPr>
        <w:ind w:right="120" w:firstLine="1304"/>
        <w:spacing w:after="0" w:line="250" w:lineRule="auto"/>
        <w:tabs>
          <w:tab w:leader="none" w:pos="2088" w:val="left"/>
        </w:tabs>
        <w:numPr>
          <w:ilvl w:val="0"/>
          <w:numId w:val="47"/>
        </w:numPr>
        <w:rPr>
          <w:rFonts w:ascii="Arial" w:cs="Arial" w:eastAsia="Arial" w:hAnsi="Arial"/>
          <w:sz w:val="22"/>
          <w:szCs w:val="22"/>
          <w:color w:val="auto"/>
        </w:rPr>
      </w:pPr>
      <w:r>
        <w:rPr>
          <w:rFonts w:ascii="Arial" w:cs="Arial" w:eastAsia="Arial" w:hAnsi="Arial"/>
          <w:sz w:val="22"/>
          <w:szCs w:val="22"/>
          <w:color w:val="auto"/>
        </w:rPr>
        <w:t>Withdrawal of the General Partner from the Partnership upon the occurrence of an Event of Withdrawal shall not constitute a breach of this Agreement under the following circumstances:</w:t>
      </w:r>
    </w:p>
    <w:p>
      <w:pPr>
        <w:spacing w:after="0" w:line="202" w:lineRule="exact"/>
        <w:rPr>
          <w:sz w:val="20"/>
          <w:szCs w:val="20"/>
          <w:color w:val="auto"/>
        </w:rPr>
      </w:pPr>
    </w:p>
    <w:p>
      <w:pPr>
        <w:ind w:left="660" w:firstLine="644"/>
        <w:spacing w:after="0" w:line="279" w:lineRule="auto"/>
        <w:tabs>
          <w:tab w:leader="none" w:pos="2052" w:val="left"/>
        </w:tabs>
        <w:numPr>
          <w:ilvl w:val="0"/>
          <w:numId w:val="48"/>
        </w:numPr>
        <w:rPr>
          <w:rFonts w:ascii="Arial" w:cs="Arial" w:eastAsia="Arial" w:hAnsi="Arial"/>
          <w:sz w:val="19"/>
          <w:szCs w:val="19"/>
          <w:color w:val="auto"/>
        </w:rPr>
      </w:pPr>
      <w:r>
        <w:rPr>
          <w:rFonts w:ascii="Arial" w:cs="Arial" w:eastAsia="Arial" w:hAnsi="Arial"/>
          <w:sz w:val="19"/>
          <w:szCs w:val="19"/>
          <w:color w:val="auto"/>
        </w:rPr>
        <w:t xml:space="preserve">at any time during the period beginning at the Effective Time and ending at 12:00 midnight, prevailing Eastern Time, on March 31, 2024, the General Partner voluntarily withdraws by giving at least 90 days’ advance notice of its intention to withdraw to the Limited Partners, such withdrawal to take effect on the date specified in the notice;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prior to the effective date of such withdrawal, the General Partner delivers to the Partnership an</w:t>
      </w:r>
      <w:r>
        <w:rPr>
          <w:rFonts w:ascii="Arial" w:cs="Arial" w:eastAsia="Arial" w:hAnsi="Arial"/>
          <w:sz w:val="19"/>
          <w:szCs w:val="19"/>
          <w:i w:val="1"/>
          <w:iCs w:val="1"/>
          <w:color w:val="auto"/>
        </w:rPr>
        <w:t xml:space="preserve"> </w:t>
      </w:r>
      <w:r>
        <w:rPr>
          <w:rFonts w:ascii="Arial" w:cs="Arial" w:eastAsia="Arial" w:hAnsi="Arial"/>
          <w:sz w:val="19"/>
          <w:szCs w:val="19"/>
          <w:color w:val="auto"/>
        </w:rPr>
        <w:t>Opinion of Counsel (“</w:t>
      </w:r>
      <w:r>
        <w:rPr>
          <w:rFonts w:ascii="Arial" w:cs="Arial" w:eastAsia="Arial" w:hAnsi="Arial"/>
          <w:sz w:val="19"/>
          <w:szCs w:val="19"/>
          <w:b w:val="1"/>
          <w:bCs w:val="1"/>
          <w:i w:val="1"/>
          <w:iCs w:val="1"/>
          <w:color w:val="auto"/>
        </w:rPr>
        <w:t>Withdrawal Opinion of Counsel</w:t>
      </w:r>
      <w:r>
        <w:rPr>
          <w:rFonts w:ascii="Arial" w:cs="Arial" w:eastAsia="Arial" w:hAnsi="Arial"/>
          <w:sz w:val="19"/>
          <w:szCs w:val="19"/>
          <w:color w:val="auto"/>
        </w:rPr>
        <w:t>”) that such withdrawal (following the selection of the successor General Partner) would not result in the loss of the limited liability of any Limited Partner or any Group Member;</w:t>
      </w:r>
    </w:p>
    <w:p>
      <w:pPr>
        <w:spacing w:after="0" w:line="177" w:lineRule="exact"/>
        <w:rPr>
          <w:rFonts w:ascii="Arial" w:cs="Arial" w:eastAsia="Arial" w:hAnsi="Arial"/>
          <w:sz w:val="19"/>
          <w:szCs w:val="19"/>
          <w:color w:val="auto"/>
        </w:rPr>
      </w:pPr>
    </w:p>
    <w:p>
      <w:pPr>
        <w:ind w:left="660" w:right="20" w:firstLine="644"/>
        <w:spacing w:after="0" w:line="238" w:lineRule="auto"/>
        <w:tabs>
          <w:tab w:leader="none" w:pos="2112" w:val="left"/>
        </w:tabs>
        <w:numPr>
          <w:ilvl w:val="0"/>
          <w:numId w:val="48"/>
        </w:numPr>
        <w:rPr>
          <w:rFonts w:ascii="Arial" w:cs="Arial" w:eastAsia="Arial" w:hAnsi="Arial"/>
          <w:sz w:val="22"/>
          <w:szCs w:val="22"/>
          <w:color w:val="auto"/>
        </w:rPr>
      </w:pPr>
      <w:r>
        <w:rPr>
          <w:rFonts w:ascii="Arial" w:cs="Arial" w:eastAsia="Arial" w:hAnsi="Arial"/>
          <w:sz w:val="22"/>
          <w:szCs w:val="22"/>
          <w:color w:val="auto"/>
        </w:rPr>
        <w:t>at any time after 12:00 midnight, prevailing Eastern Time, on March 31, 2024, the General Partner voluntarily withdraws by giving at least 90 days’ advance notice to the Unitholders, such withdrawal to take effect on the date specified in such notice (</w:t>
      </w:r>
      <w:r>
        <w:rPr>
          <w:rFonts w:ascii="Arial" w:cs="Arial" w:eastAsia="Arial" w:hAnsi="Arial"/>
          <w:sz w:val="22"/>
          <w:szCs w:val="22"/>
          <w:i w:val="1"/>
          <w:iCs w:val="1"/>
          <w:color w:val="auto"/>
        </w:rPr>
        <w:t>provided</w:t>
      </w:r>
      <w:r>
        <w:rPr>
          <w:rFonts w:ascii="Arial" w:cs="Arial" w:eastAsia="Arial" w:hAnsi="Arial"/>
          <w:sz w:val="22"/>
          <w:szCs w:val="22"/>
          <w:color w:val="auto"/>
        </w:rPr>
        <w:t>, that, prior to the effective date of such withdrawal, the General Partner delivers to the Partnership a Withdrawal Opinion of Counsel);</w:t>
      </w:r>
    </w:p>
    <w:p>
      <w:pPr>
        <w:spacing w:after="0" w:line="211" w:lineRule="exact"/>
        <w:rPr>
          <w:rFonts w:ascii="Arial" w:cs="Arial" w:eastAsia="Arial" w:hAnsi="Arial"/>
          <w:sz w:val="22"/>
          <w:szCs w:val="22"/>
          <w:color w:val="auto"/>
        </w:rPr>
      </w:pPr>
    </w:p>
    <w:p>
      <w:pPr>
        <w:ind w:left="660" w:right="40" w:firstLine="644"/>
        <w:spacing w:after="0" w:line="250" w:lineRule="auto"/>
        <w:tabs>
          <w:tab w:leader="none" w:pos="2172"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at any time that the General Partner ceases to be the General Partner pursuant to </w:t>
      </w:r>
      <w:r>
        <w:rPr>
          <w:rFonts w:ascii="Arial" w:cs="Arial" w:eastAsia="Arial" w:hAnsi="Arial"/>
          <w:sz w:val="22"/>
          <w:szCs w:val="22"/>
          <w:u w:val="single" w:color="auto"/>
          <w:color w:val="auto"/>
        </w:rPr>
        <w:t>Section 11.1(a)(ii)</w:t>
      </w:r>
      <w:r>
        <w:rPr>
          <w:rFonts w:ascii="Arial" w:cs="Arial" w:eastAsia="Arial" w:hAnsi="Arial"/>
          <w:sz w:val="22"/>
          <w:szCs w:val="22"/>
          <w:color w:val="auto"/>
        </w:rPr>
        <w:t xml:space="preserve"> or is removed pursuant to </w:t>
      </w:r>
      <w:r>
        <w:rPr>
          <w:rFonts w:ascii="Arial" w:cs="Arial" w:eastAsia="Arial" w:hAnsi="Arial"/>
          <w:sz w:val="22"/>
          <w:szCs w:val="22"/>
          <w:u w:val="single" w:color="auto"/>
          <w:color w:val="auto"/>
        </w:rPr>
        <w:t>Section 11.2</w:t>
      </w:r>
      <w:r>
        <w:rPr>
          <w:rFonts w:ascii="Arial" w:cs="Arial" w:eastAsia="Arial" w:hAnsi="Arial"/>
          <w:sz w:val="22"/>
          <w:szCs w:val="22"/>
          <w:color w:val="auto"/>
        </w:rPr>
        <w:t>; or</w:t>
      </w:r>
    </w:p>
    <w:p>
      <w:pPr>
        <w:spacing w:after="0" w:line="201" w:lineRule="exact"/>
        <w:rPr>
          <w:rFonts w:ascii="Arial" w:cs="Arial" w:eastAsia="Arial" w:hAnsi="Arial"/>
          <w:sz w:val="22"/>
          <w:szCs w:val="22"/>
          <w:color w:val="auto"/>
        </w:rPr>
      </w:pPr>
    </w:p>
    <w:p>
      <w:pPr>
        <w:ind w:left="660" w:firstLine="644"/>
        <w:spacing w:after="0" w:line="252" w:lineRule="auto"/>
        <w:tabs>
          <w:tab w:leader="none" w:pos="2160" w:val="left"/>
        </w:tabs>
        <w:numPr>
          <w:ilvl w:val="0"/>
          <w:numId w:val="48"/>
        </w:numPr>
        <w:rPr>
          <w:rFonts w:ascii="Arial" w:cs="Arial" w:eastAsia="Arial" w:hAnsi="Arial"/>
          <w:sz w:val="21"/>
          <w:szCs w:val="21"/>
          <w:color w:val="auto"/>
        </w:rPr>
      </w:pPr>
      <w:r>
        <w:rPr>
          <w:rFonts w:ascii="Arial" w:cs="Arial" w:eastAsia="Arial" w:hAnsi="Arial"/>
          <w:sz w:val="21"/>
          <w:szCs w:val="21"/>
          <w:color w:val="auto"/>
        </w:rPr>
        <w:t xml:space="preserve">notwithstanding </w:t>
      </w:r>
      <w:r>
        <w:rPr>
          <w:rFonts w:ascii="Arial" w:cs="Arial" w:eastAsia="Arial" w:hAnsi="Arial"/>
          <w:sz w:val="21"/>
          <w:szCs w:val="21"/>
          <w:u w:val="single" w:color="auto"/>
          <w:color w:val="auto"/>
        </w:rPr>
        <w:t>clause (i)</w:t>
      </w:r>
      <w:r>
        <w:rPr>
          <w:rFonts w:ascii="Arial" w:cs="Arial" w:eastAsia="Arial" w:hAnsi="Arial"/>
          <w:sz w:val="21"/>
          <w:szCs w:val="21"/>
          <w:color w:val="auto"/>
        </w:rPr>
        <w:t xml:space="preserve"> of this </w:t>
      </w:r>
      <w:r>
        <w:rPr>
          <w:rFonts w:ascii="Arial" w:cs="Arial" w:eastAsia="Arial" w:hAnsi="Arial"/>
          <w:sz w:val="21"/>
          <w:szCs w:val="21"/>
          <w:u w:val="single" w:color="auto"/>
          <w:color w:val="auto"/>
        </w:rPr>
        <w:t>Section 11.1(b)</w:t>
      </w:r>
      <w:r>
        <w:rPr>
          <w:rFonts w:ascii="Arial" w:cs="Arial" w:eastAsia="Arial" w:hAnsi="Arial"/>
          <w:sz w:val="21"/>
          <w:szCs w:val="21"/>
          <w:color w:val="auto"/>
        </w:rPr>
        <w:t>, at any time that the General Partner voluntarily withdraws by giving at least 90 days’ advance notice of its intention to withdraw to the Limited Partners, such withdrawal to take effect on the date specified in the notice, if at the time such notice is given one Person and its Affiliates (other than the General Partner and its Affiliates) own beneficially or of record or control</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04" w:right="399" w:bottom="1440" w:gutter="0" w:footer="0" w:header="0"/>
        </w:sectPr>
      </w:pPr>
    </w:p>
    <w:bookmarkStart w:id="52" w:name="page53"/>
    <w:bookmarkEnd w:id="52"/>
    <w:p>
      <w:pPr>
        <w:ind w:left="660"/>
        <w:spacing w:after="0" w:line="273" w:lineRule="auto"/>
        <w:rPr>
          <w:sz w:val="20"/>
          <w:szCs w:val="20"/>
          <w:color w:val="auto"/>
        </w:rPr>
      </w:pPr>
      <w:r>
        <w:rPr>
          <w:rFonts w:ascii="Arial" w:cs="Arial" w:eastAsia="Arial" w:hAnsi="Arial"/>
          <w:sz w:val="19"/>
          <w:szCs w:val="19"/>
          <w:color w:val="auto"/>
        </w:rPr>
        <w:t xml:space="preserve">at least 50% of the Outstanding Units. The withdrawal of the General Partner from the Partnership upon the occurrence of an Event of Withdrawal shall also constitute the withdrawal of the General Partner as general partner or managing member, if any, to the extent applicable, of the other Group Members. If the General Partner gives a notice of withdrawal pursuant to </w:t>
      </w:r>
      <w:r>
        <w:rPr>
          <w:rFonts w:ascii="Arial" w:cs="Arial" w:eastAsia="Arial" w:hAnsi="Arial"/>
          <w:sz w:val="19"/>
          <w:szCs w:val="19"/>
          <w:u w:val="single" w:color="auto"/>
          <w:color w:val="auto"/>
        </w:rPr>
        <w:t>Section 11.1(a)(i)</w:t>
      </w:r>
      <w:r>
        <w:rPr>
          <w:rFonts w:ascii="Arial" w:cs="Arial" w:eastAsia="Arial" w:hAnsi="Arial"/>
          <w:sz w:val="19"/>
          <w:szCs w:val="19"/>
          <w:color w:val="auto"/>
        </w:rPr>
        <w:t xml:space="preserve">, the holders of a Unit Majority, may, prior to the effective date of such withdrawal, elect a successor General Partner. The Person so elected as successor General Partner shall automatically become the successor general partner or managing member, to the extent applicable, of the other Group Members of which the General Partner is a general partner or a managing member. If, prior to the effective date of the General Partner’s withdrawal, a successor is not selected by the Unitholders as provided herein or, if applicable, the Partnership does not receive a Withdrawal Opinion of Counsel, the Partnership shall be dissolved in accordance with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Any successor General Partner elected in accordance with the terms of this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shall be subject to the provisions of </w:t>
      </w:r>
      <w:r>
        <w:rPr>
          <w:rFonts w:ascii="Arial" w:cs="Arial" w:eastAsia="Arial" w:hAnsi="Arial"/>
          <w:sz w:val="19"/>
          <w:szCs w:val="19"/>
          <w:u w:val="single" w:color="auto"/>
          <w:color w:val="auto"/>
        </w:rPr>
        <w:t>Section 10.2.</w:t>
      </w:r>
    </w:p>
    <w:p>
      <w:pPr>
        <w:spacing w:after="0" w:line="188" w:lineRule="exact"/>
        <w:rPr>
          <w:sz w:val="20"/>
          <w:szCs w:val="20"/>
          <w:color w:val="auto"/>
        </w:rPr>
      </w:pPr>
    </w:p>
    <w:p>
      <w:pPr>
        <w:ind w:right="40" w:firstLine="1296"/>
        <w:spacing w:after="0" w:line="252" w:lineRule="auto"/>
        <w:rPr>
          <w:sz w:val="20"/>
          <w:szCs w:val="20"/>
          <w:color w:val="auto"/>
        </w:rPr>
      </w:pPr>
      <w:r>
        <w:rPr>
          <w:rFonts w:ascii="Arial" w:cs="Arial" w:eastAsia="Arial" w:hAnsi="Arial"/>
          <w:sz w:val="21"/>
          <w:szCs w:val="21"/>
          <w:color w:val="auto"/>
        </w:rPr>
        <w:t xml:space="preserve">Section 11.2. </w:t>
      </w:r>
      <w:r>
        <w:rPr>
          <w:rFonts w:ascii="Arial" w:cs="Arial" w:eastAsia="Arial" w:hAnsi="Arial"/>
          <w:sz w:val="21"/>
          <w:szCs w:val="21"/>
          <w:i w:val="1"/>
          <w:iCs w:val="1"/>
          <w:color w:val="auto"/>
        </w:rPr>
        <w:t>Removal of the General Partner</w:t>
      </w:r>
      <w:r>
        <w:rPr>
          <w:rFonts w:ascii="Arial" w:cs="Arial" w:eastAsia="Arial" w:hAnsi="Arial"/>
          <w:sz w:val="21"/>
          <w:szCs w:val="21"/>
          <w:color w:val="auto"/>
        </w:rPr>
        <w:t>. The General Partner may be removed if such removal is approved by the Unitholders holding at least 66 2/3 % of the Outstanding Common Units (including Common Units held by the General Partner and its Affiliates). Any such action by such holders or the Board of Directors for removal of the General Partner must also provide for the election of a successor General Partner by the vote of a Unit Majority.</w:t>
      </w:r>
    </w:p>
    <w:p>
      <w:pPr>
        <w:spacing w:after="0" w:line="201" w:lineRule="exact"/>
        <w:rPr>
          <w:sz w:val="20"/>
          <w:szCs w:val="20"/>
          <w:color w:val="auto"/>
        </w:rPr>
      </w:pPr>
    </w:p>
    <w:p>
      <w:pPr>
        <w:ind w:right="60" w:firstLine="1296"/>
        <w:spacing w:after="0" w:line="273" w:lineRule="auto"/>
        <w:rPr>
          <w:sz w:val="20"/>
          <w:szCs w:val="20"/>
          <w:color w:val="auto"/>
        </w:rPr>
      </w:pPr>
      <w:r>
        <w:rPr>
          <w:rFonts w:ascii="Arial" w:cs="Arial" w:eastAsia="Arial" w:hAnsi="Arial"/>
          <w:sz w:val="19"/>
          <w:szCs w:val="19"/>
          <w:color w:val="auto"/>
        </w:rPr>
        <w:t xml:space="preserve">Such removal shall be effective immediately following the admission of a successor General Partner pursuant to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The removal of the General Partner shall also automatically constitute the removal of the General Partner as general partner or managing member, to the extent applicable, of the other Group Members of which the General Partner is a general partner or a managing member. If a Person is elected as a successor General Partner in accordance with the terms of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such Person shall, upon admission pursuant to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automatically become a successor general partner or managing member, to the extent applicable, of the other Group Members of which the General Partner is a general partner or a managing member. The right of the holders of Outstanding Common Units to remove the General Partner shall not exist or be exercised unless the Partnership has received an Opinion of Counsel opining as to the matters covered by a Withdrawal Opinion of Counsel. Any successor General Partner elected in accordance with the terms of this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shall be subject to the provisions of </w:t>
      </w:r>
      <w:r>
        <w:rPr>
          <w:rFonts w:ascii="Arial" w:cs="Arial" w:eastAsia="Arial" w:hAnsi="Arial"/>
          <w:sz w:val="19"/>
          <w:szCs w:val="19"/>
          <w:u w:val="single" w:color="auto"/>
          <w:color w:val="auto"/>
        </w:rPr>
        <w:t>Section 10.2</w:t>
      </w:r>
      <w:r>
        <w:rPr>
          <w:rFonts w:ascii="Arial" w:cs="Arial" w:eastAsia="Arial" w:hAnsi="Arial"/>
          <w:sz w:val="19"/>
          <w:szCs w:val="19"/>
          <w:color w:val="auto"/>
        </w:rPr>
        <w:t>.</w:t>
      </w:r>
    </w:p>
    <w:p>
      <w:pPr>
        <w:spacing w:after="0" w:line="188" w:lineRule="exact"/>
        <w:rPr>
          <w:sz w:val="20"/>
          <w:szCs w:val="20"/>
          <w:color w:val="auto"/>
        </w:rPr>
      </w:pPr>
    </w:p>
    <w:p>
      <w:pPr>
        <w:ind w:right="20" w:firstLine="1296"/>
        <w:spacing w:after="0" w:line="245" w:lineRule="auto"/>
        <w:rPr>
          <w:sz w:val="20"/>
          <w:szCs w:val="20"/>
          <w:color w:val="auto"/>
        </w:rPr>
      </w:pPr>
      <w:r>
        <w:rPr>
          <w:rFonts w:ascii="Arial" w:cs="Arial" w:eastAsia="Arial" w:hAnsi="Arial"/>
          <w:sz w:val="21"/>
          <w:szCs w:val="21"/>
          <w:color w:val="auto"/>
        </w:rPr>
        <w:t xml:space="preserve">Section 11.3. </w:t>
      </w:r>
      <w:r>
        <w:rPr>
          <w:rFonts w:ascii="Arial" w:cs="Arial" w:eastAsia="Arial" w:hAnsi="Arial"/>
          <w:sz w:val="21"/>
          <w:szCs w:val="21"/>
          <w:i w:val="1"/>
          <w:iCs w:val="1"/>
          <w:color w:val="auto"/>
        </w:rPr>
        <w:t>Interest of Departing General Partner and Successor General Partner</w:t>
      </w:r>
      <w:r>
        <w:rPr>
          <w:rFonts w:ascii="Arial" w:cs="Arial" w:eastAsia="Arial" w:hAnsi="Arial"/>
          <w:sz w:val="21"/>
          <w:szCs w:val="21"/>
          <w:color w:val="auto"/>
        </w:rPr>
        <w:t xml:space="preserve">. (a) In the event of (i) withdrawal of the General Partner under circumstances where such withdrawal does not violate this Agreement or (ii) removal of the General Partner by the holders of Outstanding Common Units under circumstances where Cause does not exist, if the successor General Partner is elected in accordance with the terms of </w:t>
      </w:r>
      <w:r>
        <w:rPr>
          <w:rFonts w:ascii="Arial" w:cs="Arial" w:eastAsia="Arial" w:hAnsi="Arial"/>
          <w:sz w:val="21"/>
          <w:szCs w:val="21"/>
          <w:u w:val="single" w:color="auto"/>
          <w:color w:val="auto"/>
        </w:rPr>
        <w:t>Section 11.1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11.2</w:t>
      </w:r>
      <w:r>
        <w:rPr>
          <w:rFonts w:ascii="Arial" w:cs="Arial" w:eastAsia="Arial" w:hAnsi="Arial"/>
          <w:sz w:val="21"/>
          <w:szCs w:val="21"/>
          <w:color w:val="auto"/>
        </w:rPr>
        <w:t>, the Departing General Partner shall have the option, exercisable prior to the effective date of the departure of such Departing General Partner, to require its successor to purchase its General Partner Interest (represented by General Partner Units) and its general partner interest (or equivalent interest), if any, in the other Group Members (collectively, the “</w:t>
      </w:r>
      <w:r>
        <w:rPr>
          <w:rFonts w:ascii="Arial" w:cs="Arial" w:eastAsia="Arial" w:hAnsi="Arial"/>
          <w:sz w:val="21"/>
          <w:szCs w:val="21"/>
          <w:b w:val="1"/>
          <w:bCs w:val="1"/>
          <w:i w:val="1"/>
          <w:iCs w:val="1"/>
          <w:color w:val="auto"/>
        </w:rPr>
        <w:t>Combined Interest</w:t>
      </w:r>
      <w:r>
        <w:rPr>
          <w:rFonts w:ascii="Arial" w:cs="Arial" w:eastAsia="Arial" w:hAnsi="Arial"/>
          <w:sz w:val="21"/>
          <w:szCs w:val="21"/>
          <w:color w:val="auto"/>
        </w:rPr>
        <w:t>”), in exchange for an amount in cash equal to the fair market value of such Combined Interest, such amount to be determined and payable as of the effective date of its departure. If</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04" w:right="399" w:bottom="1440" w:gutter="0" w:footer="0" w:header="0"/>
        </w:sectPr>
      </w:pPr>
    </w:p>
    <w:bookmarkStart w:id="53" w:name="page54"/>
    <w:bookmarkEnd w:id="53"/>
    <w:p>
      <w:pPr>
        <w:spacing w:after="0" w:line="273" w:lineRule="auto"/>
        <w:rPr>
          <w:sz w:val="20"/>
          <w:szCs w:val="20"/>
          <w:color w:val="auto"/>
        </w:rPr>
      </w:pPr>
      <w:r>
        <w:rPr>
          <w:rFonts w:ascii="Arial" w:cs="Arial" w:eastAsia="Arial" w:hAnsi="Arial"/>
          <w:sz w:val="19"/>
          <w:szCs w:val="19"/>
          <w:color w:val="auto"/>
        </w:rPr>
        <w:t xml:space="preserve">the General Partner is removed by the holders of Outstanding Common Units under circumstances where Cause exists or if the General Partner withdraws under circumstances where such withdrawal violates this Agreement, and if a successor General Partner is elected in accordance with the terms of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if the business of the Partnership is continued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and the successor General Partner is not the former General Partner), such successor shall have the option, exercisable prior to the effective date of the departure of such Departing General Partner (or, in the event the business of the Partnership is continued, prior to the date the business of the Partnership is continued), to purchase the Combined Interest in exchange for an amount in cash equal to such fair market value of such Combined Interest of the Departing General Partner. In either event, the Departing General Partner shall be entitled to receive all reimbursements due such Departing General Partner pursuant to </w:t>
      </w:r>
      <w:r>
        <w:rPr>
          <w:rFonts w:ascii="Arial" w:cs="Arial" w:eastAsia="Arial" w:hAnsi="Arial"/>
          <w:sz w:val="19"/>
          <w:szCs w:val="19"/>
          <w:u w:val="single" w:color="auto"/>
          <w:color w:val="auto"/>
        </w:rPr>
        <w:t>Section 7.11</w:t>
      </w:r>
      <w:r>
        <w:rPr>
          <w:rFonts w:ascii="Arial" w:cs="Arial" w:eastAsia="Arial" w:hAnsi="Arial"/>
          <w:sz w:val="19"/>
          <w:szCs w:val="19"/>
          <w:color w:val="auto"/>
        </w:rPr>
        <w:t>, including any employee related liabilities (including severance liabilities), incurred in connection with the termination of any employees employed by the Departing General Partner or its Affiliates (other than any Group Member) for the benefit of the Partnership or the other Group Members.</w:t>
      </w:r>
    </w:p>
    <w:p>
      <w:pPr>
        <w:spacing w:after="0" w:line="182" w:lineRule="exact"/>
        <w:rPr>
          <w:sz w:val="20"/>
          <w:szCs w:val="20"/>
          <w:color w:val="auto"/>
        </w:rPr>
      </w:pPr>
    </w:p>
    <w:p>
      <w:pPr>
        <w:ind w:firstLine="1296"/>
        <w:spacing w:after="0" w:line="271"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11.3(a)</w:t>
      </w:r>
      <w:r>
        <w:rPr>
          <w:rFonts w:ascii="Arial" w:cs="Arial" w:eastAsia="Arial" w:hAnsi="Arial"/>
          <w:sz w:val="19"/>
          <w:szCs w:val="19"/>
          <w:color w:val="auto"/>
        </w:rPr>
        <w:t>, the fair market value of the Departing General Partner’s Combined Interest shall be determined by agreement between the Departing General Partner and its successor or, failing agreement within 30 days after the effective date of such Departing General Partner’s departure, by an independent investment banking firm or other independent expert selected by the Departing General Partner and its successor, which, in turn, may rely on other experts, and the determination of which shall be conclusive as to such matter. If such parties cannot agree upon one independent investment banking firm or other independent expert within 45 days after the effective date of such departure, then the Departing General Partner shall designate an independent investment banking firm or other independent expert, the Departing General Partner’s successor shall designate an independent investment banking firm or other independent expert, and such firms or experts shall mutually select a third independent investment banking firm or independent expert, which third independent investment banking firm or other independent expert shall determine the fair market value of the Combined Interest of the Departing General Partner. In making its determination, such third independent investment banking firm or other independent expert may consider the then current trading price of Common Units on any National Securities Exchange on which Common Units are then listed or admitted to trading, the value of the Partnership’s assets, the rights and obligations of the Departing General Partner and other factors it may deem relevant.</w:t>
      </w:r>
    </w:p>
    <w:p>
      <w:pPr>
        <w:spacing w:after="0" w:line="200" w:lineRule="exact"/>
        <w:rPr>
          <w:sz w:val="20"/>
          <w:szCs w:val="20"/>
          <w:color w:val="auto"/>
        </w:rPr>
      </w:pPr>
    </w:p>
    <w:p>
      <w:pPr>
        <w:spacing w:after="0" w:line="238" w:lineRule="exact"/>
        <w:rPr>
          <w:sz w:val="20"/>
          <w:szCs w:val="20"/>
          <w:color w:val="auto"/>
        </w:rPr>
      </w:pPr>
    </w:p>
    <w:p>
      <w:pPr>
        <w:ind w:right="380" w:firstLine="1304"/>
        <w:spacing w:after="0" w:line="273" w:lineRule="auto"/>
        <w:tabs>
          <w:tab w:leader="none" w:pos="2088"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If the Combined Interest is not purchased in the manner set forth in </w:t>
      </w:r>
      <w:r>
        <w:rPr>
          <w:rFonts w:ascii="Arial" w:cs="Arial" w:eastAsia="Arial" w:hAnsi="Arial"/>
          <w:sz w:val="19"/>
          <w:szCs w:val="19"/>
          <w:u w:val="single" w:color="auto"/>
          <w:color w:val="auto"/>
        </w:rPr>
        <w:t>Section 11.3(a)</w:t>
      </w:r>
      <w:r>
        <w:rPr>
          <w:rFonts w:ascii="Arial" w:cs="Arial" w:eastAsia="Arial" w:hAnsi="Arial"/>
          <w:sz w:val="19"/>
          <w:szCs w:val="19"/>
          <w:color w:val="auto"/>
        </w:rPr>
        <w:t xml:space="preserve">, the Departing General Partner (or its transferee) shall become a Limited Partner and its Combined Interest shall be converted into Common Units pursuant to a valuation made by an investment banking firm or other independent expert selected pursuant to </w:t>
      </w:r>
      <w:r>
        <w:rPr>
          <w:rFonts w:ascii="Arial" w:cs="Arial" w:eastAsia="Arial" w:hAnsi="Arial"/>
          <w:sz w:val="19"/>
          <w:szCs w:val="19"/>
          <w:u w:val="single" w:color="auto"/>
          <w:color w:val="auto"/>
        </w:rPr>
        <w:t>Section</w:t>
      </w:r>
    </w:p>
    <w:p>
      <w:pPr>
        <w:spacing w:after="0" w:line="1" w:lineRule="exact"/>
        <w:rPr>
          <w:rFonts w:ascii="Arial" w:cs="Arial" w:eastAsia="Arial" w:hAnsi="Arial"/>
          <w:sz w:val="19"/>
          <w:szCs w:val="19"/>
          <w:color w:val="auto"/>
        </w:rPr>
      </w:pPr>
    </w:p>
    <w:p>
      <w:pPr>
        <w:ind w:right="220"/>
        <w:spacing w:after="0" w:line="244" w:lineRule="auto"/>
        <w:rPr>
          <w:rFonts w:ascii="Arial" w:cs="Arial" w:eastAsia="Arial" w:hAnsi="Arial"/>
          <w:sz w:val="19"/>
          <w:szCs w:val="19"/>
          <w:color w:val="auto"/>
        </w:rPr>
      </w:pPr>
      <w:r>
        <w:rPr>
          <w:rFonts w:ascii="Arial" w:cs="Arial" w:eastAsia="Arial" w:hAnsi="Arial"/>
          <w:sz w:val="21"/>
          <w:szCs w:val="21"/>
          <w:u w:val="single" w:color="auto"/>
          <w:color w:val="auto"/>
        </w:rPr>
        <w:t>11.3(a)</w:t>
      </w:r>
      <w:r>
        <w:rPr>
          <w:rFonts w:ascii="Arial" w:cs="Arial" w:eastAsia="Arial" w:hAnsi="Arial"/>
          <w:sz w:val="21"/>
          <w:szCs w:val="21"/>
          <w:color w:val="auto"/>
        </w:rPr>
        <w:t>, without reduction in such Partnership Interest (but subject to proportionate dilution by reason of the admission of its successor). Any successor General Partner shall indemnify the Departing General Partner (or its transferee) as to all debts and liabilities of the Partnership arising on or after the date on which the Departing General Partner (or its transferee) becomes a Limited Partner. For purposes of this Agreement, conversion of the Combined Interest of the Departing General Partner to Common Units will be characterized as if the Departing General Partner (or its transferee) contributed its Combined Interest to the Partnership in exchange for the newly issued Common Units.</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54" w:name="page55"/>
    <w:bookmarkEnd w:id="54"/>
    <w:p>
      <w:pPr>
        <w:ind w:right="20" w:firstLine="1304"/>
        <w:spacing w:after="0" w:line="273" w:lineRule="auto"/>
        <w:tabs>
          <w:tab w:leader="none" w:pos="2076" w:val="left"/>
        </w:tabs>
        <w:numPr>
          <w:ilvl w:val="0"/>
          <w:numId w:val="50"/>
        </w:numPr>
        <w:rPr>
          <w:rFonts w:ascii="Arial" w:cs="Arial" w:eastAsia="Arial" w:hAnsi="Arial"/>
          <w:sz w:val="19"/>
          <w:szCs w:val="19"/>
          <w:color w:val="auto"/>
        </w:rPr>
      </w:pPr>
      <w:r>
        <w:rPr>
          <w:rFonts w:ascii="Arial" w:cs="Arial" w:eastAsia="Arial" w:hAnsi="Arial"/>
          <w:sz w:val="19"/>
          <w:szCs w:val="19"/>
          <w:color w:val="auto"/>
        </w:rPr>
        <w:t xml:space="preserve">If a successor General Partner is elected in accordance with the terms of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if the Partnership is continued pursuant to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and the successor General Partner is not the former General Partner) and the option described in </w:t>
      </w:r>
      <w:r>
        <w:rPr>
          <w:rFonts w:ascii="Arial" w:cs="Arial" w:eastAsia="Arial" w:hAnsi="Arial"/>
          <w:sz w:val="19"/>
          <w:szCs w:val="19"/>
          <w:u w:val="single" w:color="auto"/>
          <w:color w:val="auto"/>
        </w:rPr>
        <w:t>Section 11.3(a)</w:t>
      </w:r>
      <w:r>
        <w:rPr>
          <w:rFonts w:ascii="Arial" w:cs="Arial" w:eastAsia="Arial" w:hAnsi="Arial"/>
          <w:sz w:val="19"/>
          <w:szCs w:val="19"/>
          <w:color w:val="auto"/>
        </w:rPr>
        <w:t xml:space="preserve"> is not exercised by the party entitled to do so, the successor General Partner shall, at the effective date of its admission to the Partnership, contribute to the Partnership cash in the amount equal to the product of (i) the quotient obtained by dividing (A) the Percentage Interest of the General Partner Interest of the Departing General Partner by (B) a percentage equal to 100% less the Percentage Interest of the General Partner Interest of the Departing General Partner and (ii) the Net Agreed Value of the Partnership’s assets on such date. In such event, such successor General Partner shall, subject to the following sentence, be entitled to its Percentage Interest of all Partnership allocations and distributions to which the Departing General Partner was entitled. In addition, the successor General Partner shall cause this Agreement to be amended to reflect that, from and after the date of such successor General Partner’s admission, the successor General Partner’s interest in all Partnership distributions and allocations shall be its Percentage Interest.</w:t>
      </w:r>
    </w:p>
    <w:p>
      <w:pPr>
        <w:spacing w:after="0" w:line="182" w:lineRule="exact"/>
        <w:rPr>
          <w:sz w:val="20"/>
          <w:szCs w:val="20"/>
          <w:color w:val="auto"/>
        </w:rPr>
      </w:pPr>
    </w:p>
    <w:p>
      <w:pPr>
        <w:ind w:right="60" w:firstLine="1296"/>
        <w:spacing w:after="0" w:line="282" w:lineRule="auto"/>
        <w:rPr>
          <w:sz w:val="20"/>
          <w:szCs w:val="20"/>
          <w:color w:val="auto"/>
        </w:rPr>
      </w:pPr>
      <w:r>
        <w:rPr>
          <w:rFonts w:ascii="Arial" w:cs="Arial" w:eastAsia="Arial" w:hAnsi="Arial"/>
          <w:sz w:val="19"/>
          <w:szCs w:val="19"/>
          <w:color w:val="auto"/>
        </w:rPr>
        <w:t xml:space="preserve">Section 11.4. </w:t>
      </w:r>
      <w:r>
        <w:rPr>
          <w:rFonts w:ascii="Arial" w:cs="Arial" w:eastAsia="Arial" w:hAnsi="Arial"/>
          <w:sz w:val="19"/>
          <w:szCs w:val="19"/>
          <w:i w:val="1"/>
          <w:iCs w:val="1"/>
          <w:color w:val="auto"/>
        </w:rPr>
        <w:t>Conversion of General Partner Units Upon General Partner’s Removal Without Cause</w:t>
      </w:r>
      <w:r>
        <w:rPr>
          <w:rFonts w:ascii="Arial" w:cs="Arial" w:eastAsia="Arial" w:hAnsi="Arial"/>
          <w:sz w:val="19"/>
          <w:szCs w:val="19"/>
          <w:color w:val="auto"/>
        </w:rPr>
        <w:t xml:space="preserve">. Notwithstanding any provision of this Agreement, if the General Partner is removed as general partner of the Partnership under circumstances where Cause does not exist and no Common Units held by the General Partner and its Affiliates are voted in favor of such removal, the General Partner will have the right to convert its General Partner Interest (represented by General Partner Units) into Common Units or to receive cash in exchange therefor, as provided in </w:t>
      </w:r>
      <w:r>
        <w:rPr>
          <w:rFonts w:ascii="Arial" w:cs="Arial" w:eastAsia="Arial" w:hAnsi="Arial"/>
          <w:sz w:val="19"/>
          <w:szCs w:val="19"/>
          <w:u w:val="single" w:color="auto"/>
          <w:color w:val="auto"/>
        </w:rPr>
        <w:t>Section 11.3</w:t>
      </w:r>
      <w:r>
        <w:rPr>
          <w:rFonts w:ascii="Arial" w:cs="Arial" w:eastAsia="Arial" w:hAnsi="Arial"/>
          <w:sz w:val="19"/>
          <w:szCs w:val="19"/>
          <w:color w:val="auto"/>
        </w:rPr>
        <w:t>.</w:t>
      </w:r>
    </w:p>
    <w:p>
      <w:pPr>
        <w:spacing w:after="0" w:line="174" w:lineRule="exact"/>
        <w:rPr>
          <w:sz w:val="20"/>
          <w:szCs w:val="20"/>
          <w:color w:val="auto"/>
        </w:rPr>
      </w:pPr>
    </w:p>
    <w:p>
      <w:pPr>
        <w:ind w:firstLine="1296"/>
        <w:spacing w:after="0" w:line="238" w:lineRule="auto"/>
        <w:rPr>
          <w:sz w:val="20"/>
          <w:szCs w:val="20"/>
          <w:color w:val="auto"/>
        </w:rPr>
      </w:pPr>
      <w:r>
        <w:rPr>
          <w:rFonts w:ascii="Arial" w:cs="Arial" w:eastAsia="Arial" w:hAnsi="Arial"/>
          <w:sz w:val="22"/>
          <w:szCs w:val="22"/>
          <w:color w:val="auto"/>
        </w:rPr>
        <w:t xml:space="preserve">Section 11.5. </w:t>
      </w:r>
      <w:r>
        <w:rPr>
          <w:rFonts w:ascii="Arial" w:cs="Arial" w:eastAsia="Arial" w:hAnsi="Arial"/>
          <w:sz w:val="22"/>
          <w:szCs w:val="22"/>
          <w:i w:val="1"/>
          <w:iCs w:val="1"/>
          <w:color w:val="auto"/>
        </w:rPr>
        <w:t>Withdrawal of Limited Partners</w:t>
      </w:r>
      <w:r>
        <w:rPr>
          <w:rFonts w:ascii="Arial" w:cs="Arial" w:eastAsia="Arial" w:hAnsi="Arial"/>
          <w:sz w:val="22"/>
          <w:szCs w:val="22"/>
          <w:color w:val="auto"/>
        </w:rPr>
        <w:t xml:space="preserve">. No Limited Partner shall have any right to withdraw from the Partnership;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when a transferee of a Limited Partner’s Limited Partner Interest becomes a Record Holder of the Limited Partner Interest so transferred, such transferring Limited Partner shall cease to be a Limited Partner with respect to the Limited Partner Interest so transferred.</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XII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DISSOLUTION AND LIQUIDATION</w:t>
      </w:r>
    </w:p>
    <w:p>
      <w:pPr>
        <w:spacing w:after="0" w:line="215" w:lineRule="exact"/>
        <w:rPr>
          <w:sz w:val="20"/>
          <w:szCs w:val="20"/>
          <w:color w:val="auto"/>
        </w:rPr>
      </w:pPr>
    </w:p>
    <w:p>
      <w:pPr>
        <w:ind w:right="120" w:firstLine="1296"/>
        <w:spacing w:after="0" w:line="282" w:lineRule="auto"/>
        <w:rPr>
          <w:sz w:val="20"/>
          <w:szCs w:val="20"/>
          <w:color w:val="auto"/>
        </w:rPr>
      </w:pPr>
      <w:r>
        <w:rPr>
          <w:rFonts w:ascii="Arial" w:cs="Arial" w:eastAsia="Arial" w:hAnsi="Arial"/>
          <w:sz w:val="19"/>
          <w:szCs w:val="19"/>
          <w:color w:val="auto"/>
        </w:rPr>
        <w:t xml:space="preserve">Section 12.1. </w:t>
      </w:r>
      <w:r>
        <w:rPr>
          <w:rFonts w:ascii="Arial" w:cs="Arial" w:eastAsia="Arial" w:hAnsi="Arial"/>
          <w:sz w:val="19"/>
          <w:szCs w:val="19"/>
          <w:i w:val="1"/>
          <w:iCs w:val="1"/>
          <w:color w:val="auto"/>
        </w:rPr>
        <w:t>Dissolution</w:t>
      </w:r>
      <w:r>
        <w:rPr>
          <w:rFonts w:ascii="Arial" w:cs="Arial" w:eastAsia="Arial" w:hAnsi="Arial"/>
          <w:sz w:val="19"/>
          <w:szCs w:val="19"/>
          <w:color w:val="auto"/>
        </w:rPr>
        <w:t xml:space="preserve">. The Partnership shall not be dissolved by the admission of additional Limited Partners or by the admission of a successor or additional General Partner in accordance with the terms of this Agreement. Upon the removal or withdrawal of the General Partner, if a successor General Partner is elected pursuant to </w:t>
      </w:r>
      <w:r>
        <w:rPr>
          <w:rFonts w:ascii="Arial" w:cs="Arial" w:eastAsia="Arial" w:hAnsi="Arial"/>
          <w:sz w:val="19"/>
          <w:szCs w:val="19"/>
          <w:u w:val="single" w:color="auto"/>
          <w:color w:val="auto"/>
        </w:rPr>
        <w:t>Section 11.1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11.2</w:t>
      </w:r>
      <w:r>
        <w:rPr>
          <w:rFonts w:ascii="Arial" w:cs="Arial" w:eastAsia="Arial" w:hAnsi="Arial"/>
          <w:sz w:val="19"/>
          <w:szCs w:val="19"/>
          <w:color w:val="auto"/>
        </w:rPr>
        <w:t xml:space="preserve">, the Partnership shall not be dissolved and the Board of Directors shall continue the business of the Partnership. The Partnership shall dissolve, and (subject to </w:t>
      </w:r>
      <w:r>
        <w:rPr>
          <w:rFonts w:ascii="Arial" w:cs="Arial" w:eastAsia="Arial" w:hAnsi="Arial"/>
          <w:sz w:val="19"/>
          <w:szCs w:val="19"/>
          <w:u w:val="single" w:color="auto"/>
          <w:color w:val="auto"/>
        </w:rPr>
        <w:t>Section 12.2</w:t>
      </w:r>
      <w:r>
        <w:rPr>
          <w:rFonts w:ascii="Arial" w:cs="Arial" w:eastAsia="Arial" w:hAnsi="Arial"/>
          <w:sz w:val="19"/>
          <w:szCs w:val="19"/>
          <w:color w:val="auto"/>
        </w:rPr>
        <w:t>) its affairs shall be wound up, upon:</w:t>
      </w:r>
    </w:p>
    <w:p>
      <w:pPr>
        <w:spacing w:after="0" w:line="174" w:lineRule="exact"/>
        <w:rPr>
          <w:sz w:val="20"/>
          <w:szCs w:val="20"/>
          <w:color w:val="auto"/>
        </w:rPr>
      </w:pPr>
    </w:p>
    <w:p>
      <w:pPr>
        <w:ind w:left="660" w:right="20" w:firstLine="644"/>
        <w:spacing w:after="0" w:line="250" w:lineRule="auto"/>
        <w:tabs>
          <w:tab w:leader="none" w:pos="2088" w:val="left"/>
        </w:tabs>
        <w:numPr>
          <w:ilvl w:val="0"/>
          <w:numId w:val="51"/>
        </w:numPr>
        <w:rPr>
          <w:rFonts w:ascii="Arial" w:cs="Arial" w:eastAsia="Arial" w:hAnsi="Arial"/>
          <w:sz w:val="22"/>
          <w:szCs w:val="22"/>
          <w:color w:val="auto"/>
        </w:rPr>
      </w:pPr>
      <w:r>
        <w:rPr>
          <w:rFonts w:ascii="Arial" w:cs="Arial" w:eastAsia="Arial" w:hAnsi="Arial"/>
          <w:sz w:val="22"/>
          <w:szCs w:val="22"/>
          <w:color w:val="auto"/>
        </w:rPr>
        <w:t>an election to dissolve the Partnership by the General Partner and our Board of Directors that is approved by the holders of a Unit Majority;</w:t>
      </w:r>
    </w:p>
    <w:p>
      <w:pPr>
        <w:spacing w:after="0" w:line="201" w:lineRule="exact"/>
        <w:rPr>
          <w:rFonts w:ascii="Arial" w:cs="Arial" w:eastAsia="Arial" w:hAnsi="Arial"/>
          <w:sz w:val="22"/>
          <w:szCs w:val="22"/>
          <w:color w:val="auto"/>
        </w:rPr>
      </w:pPr>
    </w:p>
    <w:p>
      <w:pPr>
        <w:ind w:left="660" w:right="520" w:firstLine="644"/>
        <w:spacing w:after="0" w:line="250" w:lineRule="auto"/>
        <w:tabs>
          <w:tab w:leader="none" w:pos="21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at any time there are no Limited Partners, unless the Partnership is continued without dissolution in accordance with the Marshall Islands Act;</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55" w:name="page56"/>
    <w:bookmarkEnd w:id="55"/>
    <w:p>
      <w:pPr>
        <w:ind w:left="2080" w:hanging="776"/>
        <w:spacing w:after="0"/>
        <w:tabs>
          <w:tab w:leader="none" w:pos="2080"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entry of a decree of judicial dissolution of the Partnership pursuant to the provisions of the Marshall</w:t>
      </w:r>
    </w:p>
    <w:p>
      <w:pPr>
        <w:spacing w:after="0" w:line="4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Islands Act; or</w:t>
      </w:r>
    </w:p>
    <w:p>
      <w:pPr>
        <w:spacing w:after="0" w:line="215" w:lineRule="exact"/>
        <w:rPr>
          <w:rFonts w:ascii="Arial" w:cs="Arial" w:eastAsia="Arial" w:hAnsi="Arial"/>
          <w:sz w:val="19"/>
          <w:szCs w:val="19"/>
          <w:color w:val="auto"/>
        </w:rPr>
      </w:pPr>
    </w:p>
    <w:p>
      <w:pPr>
        <w:ind w:left="660" w:right="100" w:firstLine="644"/>
        <w:spacing w:after="0" w:line="257" w:lineRule="auto"/>
        <w:tabs>
          <w:tab w:leader="none" w:pos="2100" w:val="left"/>
        </w:tabs>
        <w:numPr>
          <w:ilvl w:val="0"/>
          <w:numId w:val="52"/>
        </w:numPr>
        <w:rPr>
          <w:rFonts w:ascii="Arial" w:cs="Arial" w:eastAsia="Arial" w:hAnsi="Arial"/>
          <w:sz w:val="21"/>
          <w:szCs w:val="21"/>
          <w:color w:val="auto"/>
        </w:rPr>
      </w:pPr>
      <w:r>
        <w:rPr>
          <w:rFonts w:ascii="Arial" w:cs="Arial" w:eastAsia="Arial" w:hAnsi="Arial"/>
          <w:sz w:val="21"/>
          <w:szCs w:val="21"/>
          <w:color w:val="auto"/>
        </w:rPr>
        <w:t xml:space="preserve">an Event of Withdrawal of the General Partner as provided in </w:t>
      </w:r>
      <w:r>
        <w:rPr>
          <w:rFonts w:ascii="Arial" w:cs="Arial" w:eastAsia="Arial" w:hAnsi="Arial"/>
          <w:sz w:val="21"/>
          <w:szCs w:val="21"/>
          <w:u w:val="single" w:color="auto"/>
          <w:color w:val="auto"/>
        </w:rPr>
        <w:t>Section 11.1(a)</w:t>
      </w:r>
      <w:r>
        <w:rPr>
          <w:rFonts w:ascii="Arial" w:cs="Arial" w:eastAsia="Arial" w:hAnsi="Arial"/>
          <w:sz w:val="21"/>
          <w:szCs w:val="21"/>
          <w:color w:val="auto"/>
        </w:rPr>
        <w:t xml:space="preserve"> (other than </w:t>
      </w:r>
      <w:r>
        <w:rPr>
          <w:rFonts w:ascii="Arial" w:cs="Arial" w:eastAsia="Arial" w:hAnsi="Arial"/>
          <w:sz w:val="21"/>
          <w:szCs w:val="21"/>
          <w:u w:val="single" w:color="auto"/>
          <w:color w:val="auto"/>
        </w:rPr>
        <w:t>Section 11.1(a)</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unless a successor is elected and an Opinion of Counsel is received as provided in </w:t>
      </w:r>
      <w:r>
        <w:rPr>
          <w:rFonts w:ascii="Arial" w:cs="Arial" w:eastAsia="Arial" w:hAnsi="Arial"/>
          <w:sz w:val="21"/>
          <w:szCs w:val="21"/>
          <w:u w:val="single" w:color="auto"/>
          <w:color w:val="auto"/>
        </w:rPr>
        <w:t>Section 11.1(b)</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and such successor is admitted to the Partnership pursuant to </w:t>
      </w:r>
      <w:r>
        <w:rPr>
          <w:rFonts w:ascii="Arial" w:cs="Arial" w:eastAsia="Arial" w:hAnsi="Arial"/>
          <w:sz w:val="21"/>
          <w:szCs w:val="21"/>
          <w:u w:val="single" w:color="auto"/>
          <w:color w:val="auto"/>
        </w:rPr>
        <w:t>Section 10.2</w:t>
      </w:r>
      <w:r>
        <w:rPr>
          <w:rFonts w:ascii="Arial" w:cs="Arial" w:eastAsia="Arial" w:hAnsi="Arial"/>
          <w:sz w:val="21"/>
          <w:szCs w:val="21"/>
          <w:color w:val="auto"/>
        </w:rPr>
        <w:t>.</w:t>
      </w:r>
    </w:p>
    <w:p>
      <w:pPr>
        <w:spacing w:after="0" w:line="196" w:lineRule="exact"/>
        <w:rPr>
          <w:sz w:val="20"/>
          <w:szCs w:val="20"/>
          <w:color w:val="auto"/>
        </w:rPr>
      </w:pPr>
    </w:p>
    <w:p>
      <w:pPr>
        <w:jc w:val="both"/>
        <w:ind w:right="20" w:firstLine="1296"/>
        <w:spacing w:after="0" w:line="273" w:lineRule="auto"/>
        <w:rPr>
          <w:sz w:val="20"/>
          <w:szCs w:val="20"/>
          <w:color w:val="auto"/>
        </w:rPr>
      </w:pPr>
      <w:r>
        <w:rPr>
          <w:rFonts w:ascii="Arial" w:cs="Arial" w:eastAsia="Arial" w:hAnsi="Arial"/>
          <w:sz w:val="19"/>
          <w:szCs w:val="19"/>
          <w:color w:val="auto"/>
        </w:rPr>
        <w:t xml:space="preserve">Section 12.2. </w:t>
      </w:r>
      <w:r>
        <w:rPr>
          <w:rFonts w:ascii="Arial" w:cs="Arial" w:eastAsia="Arial" w:hAnsi="Arial"/>
          <w:sz w:val="19"/>
          <w:szCs w:val="19"/>
          <w:i w:val="1"/>
          <w:iCs w:val="1"/>
          <w:color w:val="auto"/>
        </w:rPr>
        <w:t>Continuation of the Business of the Partnership After Dissolution</w:t>
      </w:r>
      <w:r>
        <w:rPr>
          <w:rFonts w:ascii="Arial" w:cs="Arial" w:eastAsia="Arial" w:hAnsi="Arial"/>
          <w:sz w:val="19"/>
          <w:szCs w:val="19"/>
          <w:color w:val="auto"/>
        </w:rPr>
        <w:t xml:space="preserve">. Upon (a) dissolution of the Partnership following an Event of Withdrawal caused by the withdrawal or removal of the General Partner as provided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11.1(a)(i)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11.1(a)(iii)</w:t>
      </w:r>
      <w:r>
        <w:rPr>
          <w:rFonts w:ascii="Arial" w:cs="Arial" w:eastAsia="Arial" w:hAnsi="Arial"/>
          <w:sz w:val="19"/>
          <w:szCs w:val="19"/>
          <w:color w:val="auto"/>
        </w:rPr>
        <w:t xml:space="preserve"> and the failure of the Partners to select a successor to such Departing General Partner pursuant to </w:t>
      </w:r>
      <w:r>
        <w:rPr>
          <w:rFonts w:ascii="Arial" w:cs="Arial" w:eastAsia="Arial" w:hAnsi="Arial"/>
          <w:sz w:val="19"/>
          <w:szCs w:val="19"/>
          <w:u w:val="single" w:color="auto"/>
          <w:color w:val="auto"/>
        </w:rPr>
        <w:t>Section</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21"/>
          <w:szCs w:val="21"/>
          <w:u w:val="single" w:color="auto"/>
          <w:color w:val="auto"/>
        </w:rPr>
        <w:t>11.1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11.2</w:t>
      </w:r>
      <w:r>
        <w:rPr>
          <w:rFonts w:ascii="Arial" w:cs="Arial" w:eastAsia="Arial" w:hAnsi="Arial"/>
          <w:sz w:val="21"/>
          <w:szCs w:val="21"/>
          <w:color w:val="auto"/>
        </w:rPr>
        <w:t xml:space="preserve">, then within 90 days thereafter, or (b) dissolution of the Partnership upon an event constituting an Event of Withdrawal as defined in </w:t>
      </w:r>
      <w:r>
        <w:rPr>
          <w:rFonts w:ascii="Arial" w:cs="Arial" w:eastAsia="Arial" w:hAnsi="Arial"/>
          <w:sz w:val="21"/>
          <w:szCs w:val="21"/>
          <w:u w:val="single" w:color="auto"/>
          <w:color w:val="auto"/>
        </w:rPr>
        <w:t>Section 11.1(a)(iv)</w:t>
      </w:r>
      <w:r>
        <w:rPr>
          <w:rFonts w:ascii="Arial" w:cs="Arial" w:eastAsia="Arial" w:hAnsi="Arial"/>
          <w:sz w:val="21"/>
          <w:szCs w:val="21"/>
          <w:color w:val="auto"/>
        </w:rPr>
        <w:t xml:space="preserve">, </w:t>
      </w:r>
      <w:r>
        <w:rPr>
          <w:rFonts w:ascii="Arial" w:cs="Arial" w:eastAsia="Arial" w:hAnsi="Arial"/>
          <w:sz w:val="21"/>
          <w:szCs w:val="21"/>
          <w:u w:val="single" w:color="auto"/>
          <w:color w:val="auto"/>
        </w:rPr>
        <w:t>11.1(a)(v)</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11.1(a)(vi)</w:t>
      </w:r>
      <w:r>
        <w:rPr>
          <w:rFonts w:ascii="Arial" w:cs="Arial" w:eastAsia="Arial" w:hAnsi="Arial"/>
          <w:sz w:val="21"/>
          <w:szCs w:val="21"/>
          <w:color w:val="auto"/>
        </w:rPr>
        <w:t>, then, to the maximum extent permitted by the Marshall Islands Act, within 180 days thereafter, the holders of a Unit Majority may elect in writing to continue the business of the Partnership on the same terms and conditions set forth in this Agreement by appointing, effective as of the date of the Event of Withdrawal, as a successor General Partner a Person approved by the holders of a Unit Majority. Unless such an election is made within the applicable time period as set forth above, the Partnership shall dissolve and conduct only activities necessary to wind up its affairs. If such an election is so made, then:</w:t>
      </w:r>
    </w:p>
    <w:p>
      <w:pPr>
        <w:spacing w:after="0" w:line="214" w:lineRule="exact"/>
        <w:rPr>
          <w:sz w:val="20"/>
          <w:szCs w:val="20"/>
          <w:color w:val="auto"/>
        </w:rPr>
      </w:pPr>
    </w:p>
    <w:p>
      <w:pPr>
        <w:ind w:left="1300"/>
        <w:spacing w:after="0"/>
        <w:tabs>
          <w:tab w:leader="none" w:pos="206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 xml:space="preserve">the Partnership shall continue without dissolution unless earlier dissolved in accordance with this </w:t>
      </w:r>
      <w:r>
        <w:rPr>
          <w:rFonts w:ascii="Arial" w:cs="Arial" w:eastAsia="Arial" w:hAnsi="Arial"/>
          <w:sz w:val="19"/>
          <w:szCs w:val="19"/>
          <w:u w:val="single" w:color="auto"/>
          <w:color w:val="auto"/>
        </w:rPr>
        <w:t>Article</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XII</w:t>
      </w:r>
      <w:r>
        <w:rPr>
          <w:rFonts w:ascii="Arial" w:cs="Arial" w:eastAsia="Arial" w:hAnsi="Arial"/>
          <w:sz w:val="22"/>
          <w:szCs w:val="22"/>
          <w:color w:val="auto"/>
        </w:rPr>
        <w:t>;</w:t>
      </w:r>
    </w:p>
    <w:p>
      <w:pPr>
        <w:spacing w:after="0" w:line="215" w:lineRule="exact"/>
        <w:rPr>
          <w:sz w:val="20"/>
          <w:szCs w:val="20"/>
          <w:color w:val="auto"/>
        </w:rPr>
      </w:pPr>
    </w:p>
    <w:p>
      <w:pPr>
        <w:ind w:right="60" w:firstLine="1304"/>
        <w:spacing w:after="0" w:line="250" w:lineRule="auto"/>
        <w:tabs>
          <w:tab w:leader="none" w:pos="2088"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if the successor General Partner is not the former General Partner, then the interest of the former General Partner shall be treated in the manner provided in </w:t>
      </w:r>
      <w:r>
        <w:rPr>
          <w:rFonts w:ascii="Arial" w:cs="Arial" w:eastAsia="Arial" w:hAnsi="Arial"/>
          <w:sz w:val="22"/>
          <w:szCs w:val="22"/>
          <w:u w:val="single" w:color="auto"/>
          <w:color w:val="auto"/>
        </w:rPr>
        <w:t>Section 11.3</w:t>
      </w:r>
      <w:r>
        <w:rPr>
          <w:rFonts w:ascii="Arial" w:cs="Arial" w:eastAsia="Arial" w:hAnsi="Arial"/>
          <w:sz w:val="22"/>
          <w:szCs w:val="22"/>
          <w:color w:val="auto"/>
        </w:rPr>
        <w:t>; and</w:t>
      </w:r>
    </w:p>
    <w:p>
      <w:pPr>
        <w:spacing w:after="0" w:line="201" w:lineRule="exact"/>
        <w:rPr>
          <w:rFonts w:ascii="Arial" w:cs="Arial" w:eastAsia="Arial" w:hAnsi="Arial"/>
          <w:sz w:val="22"/>
          <w:szCs w:val="22"/>
          <w:color w:val="auto"/>
        </w:rPr>
      </w:pPr>
    </w:p>
    <w:p>
      <w:pPr>
        <w:jc w:val="both"/>
        <w:ind w:right="60" w:firstLine="1304"/>
        <w:spacing w:after="0" w:line="249" w:lineRule="auto"/>
        <w:tabs>
          <w:tab w:leader="none" w:pos="2076" w:val="left"/>
        </w:tabs>
        <w:numPr>
          <w:ilvl w:val="0"/>
          <w:numId w:val="53"/>
        </w:numPr>
        <w:rPr>
          <w:rFonts w:ascii="Arial" w:cs="Arial" w:eastAsia="Arial" w:hAnsi="Arial"/>
          <w:sz w:val="21"/>
          <w:szCs w:val="21"/>
          <w:color w:val="auto"/>
        </w:rPr>
      </w:pPr>
      <w:r>
        <w:rPr>
          <w:rFonts w:ascii="Arial" w:cs="Arial" w:eastAsia="Arial" w:hAnsi="Arial"/>
          <w:sz w:val="21"/>
          <w:szCs w:val="21"/>
          <w:color w:val="auto"/>
        </w:rPr>
        <w:t xml:space="preserve">the successor General Partner shall be admitted to the Partnership as General Partner, effective as of the Event of Withdrawal, by agreeing in writing to be bound by this Agreement;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right of the holders of a Unit Majority to approve a successor General Partner and to reconstitute and to continue the business of the Partnership shall not exist and may not be exercised unless the Partnership has received an Opinion of Counsel that the exercise of the right would not result in the loss of limited liability of any Limited Partner.</w:t>
      </w:r>
    </w:p>
    <w:p>
      <w:pPr>
        <w:spacing w:after="0" w:line="205" w:lineRule="exact"/>
        <w:rPr>
          <w:sz w:val="20"/>
          <w:szCs w:val="20"/>
          <w:color w:val="auto"/>
        </w:rPr>
      </w:pPr>
    </w:p>
    <w:p>
      <w:pPr>
        <w:ind w:firstLine="1296"/>
        <w:spacing w:after="0" w:line="246" w:lineRule="auto"/>
        <w:rPr>
          <w:sz w:val="20"/>
          <w:szCs w:val="20"/>
          <w:color w:val="auto"/>
        </w:rPr>
      </w:pPr>
      <w:r>
        <w:rPr>
          <w:rFonts w:ascii="Arial" w:cs="Arial" w:eastAsia="Arial" w:hAnsi="Arial"/>
          <w:sz w:val="21"/>
          <w:szCs w:val="21"/>
          <w:color w:val="auto"/>
        </w:rPr>
        <w:t xml:space="preserve">Section 12.3. </w:t>
      </w:r>
      <w:r>
        <w:rPr>
          <w:rFonts w:ascii="Arial" w:cs="Arial" w:eastAsia="Arial" w:hAnsi="Arial"/>
          <w:sz w:val="21"/>
          <w:szCs w:val="21"/>
          <w:i w:val="1"/>
          <w:iCs w:val="1"/>
          <w:color w:val="auto"/>
        </w:rPr>
        <w:t>Liquidating Trustee</w:t>
      </w:r>
      <w:r>
        <w:rPr>
          <w:rFonts w:ascii="Arial" w:cs="Arial" w:eastAsia="Arial" w:hAnsi="Arial"/>
          <w:sz w:val="21"/>
          <w:szCs w:val="21"/>
          <w:color w:val="auto"/>
        </w:rPr>
        <w:t xml:space="preserve">. Upon dissolution of the Partnership, unless the business of the Partnership is continued pursuant to </w:t>
      </w:r>
      <w:r>
        <w:rPr>
          <w:rFonts w:ascii="Arial" w:cs="Arial" w:eastAsia="Arial" w:hAnsi="Arial"/>
          <w:sz w:val="21"/>
          <w:szCs w:val="21"/>
          <w:u w:val="single" w:color="auto"/>
          <w:color w:val="auto"/>
        </w:rPr>
        <w:t>Section 12.2</w:t>
      </w:r>
      <w:r>
        <w:rPr>
          <w:rFonts w:ascii="Arial" w:cs="Arial" w:eastAsia="Arial" w:hAnsi="Arial"/>
          <w:sz w:val="21"/>
          <w:szCs w:val="21"/>
          <w:color w:val="auto"/>
        </w:rPr>
        <w:t>, the Board of Directors shall select one or more Persons to act as Liquidating Trustee. The Liquidating Trustee (if other than the General Partner) shall be entitled to receive such compensation for its services as may be approved by holders of a Unit Majority. The Liquidating Trustee (if other than the General Partner) shall agree not to resign at any time without 15 days’ prior notice and may be removed at any time, with or without Cause, by notice of removal approved by a Unit Majority. Upon dissolution, removal or resignation of the Liquidating Trustee, a successor and substitute Liquidating Trustee (who shall have and succeed to all rights, powers and duties of the original Liquidating Trustee) shall within 30 days thereafter be approved by the holders of a Unit</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56" w:name="page57"/>
    <w:bookmarkEnd w:id="56"/>
    <w:p>
      <w:pPr>
        <w:ind w:right="120"/>
        <w:spacing w:after="0" w:line="246" w:lineRule="auto"/>
        <w:rPr>
          <w:sz w:val="20"/>
          <w:szCs w:val="20"/>
          <w:color w:val="auto"/>
        </w:rPr>
      </w:pPr>
      <w:r>
        <w:rPr>
          <w:rFonts w:ascii="Arial" w:cs="Arial" w:eastAsia="Arial" w:hAnsi="Arial"/>
          <w:sz w:val="21"/>
          <w:szCs w:val="21"/>
          <w:color w:val="auto"/>
        </w:rPr>
        <w:t xml:space="preserve">Majority. The right to approve a successor or substitute Liquidating Trustee in the manner provided herein shall be deemed to refer also to any such successor or substitute Liquidating Trustee approved in the manner herein provided. Except as expressly provided in this </w:t>
      </w:r>
      <w:r>
        <w:rPr>
          <w:rFonts w:ascii="Arial" w:cs="Arial" w:eastAsia="Arial" w:hAnsi="Arial"/>
          <w:sz w:val="21"/>
          <w:szCs w:val="21"/>
          <w:u w:val="single" w:color="auto"/>
          <w:color w:val="auto"/>
        </w:rPr>
        <w:t>Article XII</w:t>
      </w:r>
      <w:r>
        <w:rPr>
          <w:rFonts w:ascii="Arial" w:cs="Arial" w:eastAsia="Arial" w:hAnsi="Arial"/>
          <w:sz w:val="21"/>
          <w:szCs w:val="21"/>
          <w:color w:val="auto"/>
        </w:rPr>
        <w:t>, the Liquidating Trustee approved in the manner provided herein shall have and may exercise, without further authorization or consent of any of the parties hereto, all of the powers conferred upon the Board of Directors and the General Partner under the terms of this Agreement (but subject to all of the applicable limitations, contractual and otherwise, upon the exercise of such powers) necessary or appropriate to carry out the duties and functions of the Liquidating Trustee hereunder for and during the period of time required to complete the winding up and liquidation of the Partnership as provided for herein.</w:t>
      </w:r>
    </w:p>
    <w:p>
      <w:pPr>
        <w:spacing w:after="0" w:line="207" w:lineRule="exact"/>
        <w:rPr>
          <w:sz w:val="20"/>
          <w:szCs w:val="20"/>
          <w:color w:val="auto"/>
        </w:rPr>
      </w:pPr>
    </w:p>
    <w:p>
      <w:pPr>
        <w:jc w:val="both"/>
        <w:ind w:right="120" w:firstLine="1296"/>
        <w:spacing w:after="0"/>
        <w:rPr>
          <w:sz w:val="20"/>
          <w:szCs w:val="20"/>
          <w:color w:val="auto"/>
        </w:rPr>
      </w:pPr>
      <w:r>
        <w:rPr>
          <w:rFonts w:ascii="Arial" w:cs="Arial" w:eastAsia="Arial" w:hAnsi="Arial"/>
          <w:sz w:val="22"/>
          <w:szCs w:val="22"/>
          <w:color w:val="auto"/>
        </w:rPr>
        <w:t xml:space="preserve">Section 12.4. </w:t>
      </w:r>
      <w:r>
        <w:rPr>
          <w:rFonts w:ascii="Arial" w:cs="Arial" w:eastAsia="Arial" w:hAnsi="Arial"/>
          <w:sz w:val="22"/>
          <w:szCs w:val="22"/>
          <w:i w:val="1"/>
          <w:iCs w:val="1"/>
          <w:color w:val="auto"/>
        </w:rPr>
        <w:t>Liquidation</w:t>
      </w:r>
      <w:r>
        <w:rPr>
          <w:rFonts w:ascii="Arial" w:cs="Arial" w:eastAsia="Arial" w:hAnsi="Arial"/>
          <w:sz w:val="22"/>
          <w:szCs w:val="22"/>
          <w:color w:val="auto"/>
        </w:rPr>
        <w:t>. The Liquidating Trustee shall proceed to dispose of the assets of the Partnership, discharge its liabilities, and otherwise wind up its affairs in such manner and over such period as determined by the Liquidating Trustee, subject to the Marshall Islands Act and the following:</w:t>
      </w:r>
    </w:p>
    <w:p>
      <w:pPr>
        <w:spacing w:after="0" w:line="213" w:lineRule="exact"/>
        <w:rPr>
          <w:sz w:val="20"/>
          <w:szCs w:val="20"/>
          <w:color w:val="auto"/>
        </w:rPr>
      </w:pPr>
    </w:p>
    <w:p>
      <w:pPr>
        <w:ind w:right="40" w:firstLine="1304"/>
        <w:spacing w:after="0" w:line="246" w:lineRule="auto"/>
        <w:tabs>
          <w:tab w:leader="none" w:pos="2076" w:val="left"/>
        </w:tabs>
        <w:numPr>
          <w:ilvl w:val="0"/>
          <w:numId w:val="54"/>
        </w:numPr>
        <w:rPr>
          <w:rFonts w:ascii="Arial" w:cs="Arial" w:eastAsia="Arial" w:hAnsi="Arial"/>
          <w:sz w:val="21"/>
          <w:szCs w:val="21"/>
          <w:color w:val="auto"/>
        </w:rPr>
      </w:pPr>
      <w:r>
        <w:rPr>
          <w:rFonts w:ascii="Arial" w:cs="Arial" w:eastAsia="Arial" w:hAnsi="Arial"/>
          <w:sz w:val="21"/>
          <w:szCs w:val="21"/>
          <w:color w:val="auto"/>
        </w:rPr>
        <w:t xml:space="preserve">The assets may be disposed of by public or private sale or by distribution in kind to one or more Partners on such terms as the Liquidating Trustee and such Partner or Partners may agree. If any property is distributed in kind, the Partner receiving the property shall be deemed for purposes of </w:t>
      </w:r>
      <w:r>
        <w:rPr>
          <w:rFonts w:ascii="Arial" w:cs="Arial" w:eastAsia="Arial" w:hAnsi="Arial"/>
          <w:sz w:val="21"/>
          <w:szCs w:val="21"/>
          <w:u w:val="single" w:color="auto"/>
          <w:color w:val="auto"/>
        </w:rPr>
        <w:t>Section 12.4(c)</w:t>
      </w:r>
      <w:r>
        <w:rPr>
          <w:rFonts w:ascii="Arial" w:cs="Arial" w:eastAsia="Arial" w:hAnsi="Arial"/>
          <w:sz w:val="21"/>
          <w:szCs w:val="21"/>
          <w:color w:val="auto"/>
        </w:rPr>
        <w:t xml:space="preserve"> to have received cash equal to its fair market value, and contemporaneously therewith, appropriate cash distributions must be made to the other Partners. The Liquidating Trustee may defer liquidation or distribution of the Partnership’s assets for a reasonable time if it determines that an immediate sale or distribution of all or some of the Partnership’s assets would be impractical or would cause undue loss to the Partners. The Liquidating Trustee may distribute the Partnership’s assets, in whole or in part, in kind if it determines that a sale would be impractical or would cause undue loss to the Partners.</w:t>
      </w:r>
    </w:p>
    <w:p>
      <w:pPr>
        <w:spacing w:after="0" w:line="206" w:lineRule="exact"/>
        <w:rPr>
          <w:rFonts w:ascii="Arial" w:cs="Arial" w:eastAsia="Arial" w:hAnsi="Arial"/>
          <w:sz w:val="21"/>
          <w:szCs w:val="21"/>
          <w:color w:val="auto"/>
        </w:rPr>
      </w:pPr>
    </w:p>
    <w:p>
      <w:pPr>
        <w:ind w:right="120" w:firstLine="1304"/>
        <w:spacing w:after="0" w:line="279" w:lineRule="auto"/>
        <w:tabs>
          <w:tab w:leader="none" w:pos="2088" w:val="left"/>
        </w:tabs>
        <w:numPr>
          <w:ilvl w:val="0"/>
          <w:numId w:val="54"/>
        </w:numPr>
        <w:rPr>
          <w:rFonts w:ascii="Arial" w:cs="Arial" w:eastAsia="Arial" w:hAnsi="Arial"/>
          <w:sz w:val="19"/>
          <w:szCs w:val="19"/>
          <w:color w:val="auto"/>
        </w:rPr>
      </w:pPr>
      <w:r>
        <w:rPr>
          <w:rFonts w:ascii="Arial" w:cs="Arial" w:eastAsia="Arial" w:hAnsi="Arial"/>
          <w:sz w:val="19"/>
          <w:szCs w:val="19"/>
          <w:color w:val="auto"/>
        </w:rPr>
        <w:t xml:space="preserve">The Liquidating Trustee shall first satisfy the liabilities of the Partnership. Liabilities of the Partnership include amounts owed to the Liquidating Trustee as compensation for serving in such capacity (subject to the terms of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12.3</w:t>
      </w:r>
      <w:r>
        <w:rPr>
          <w:rFonts w:ascii="Arial" w:cs="Arial" w:eastAsia="Arial" w:hAnsi="Arial"/>
          <w:sz w:val="19"/>
          <w:szCs w:val="19"/>
          <w:color w:val="auto"/>
        </w:rPr>
        <w:t xml:space="preserve">) and amounts to Partners otherwise than in respect of their distribution rights under </w:t>
      </w:r>
      <w:r>
        <w:rPr>
          <w:rFonts w:ascii="Arial" w:cs="Arial" w:eastAsia="Arial" w:hAnsi="Arial"/>
          <w:sz w:val="19"/>
          <w:szCs w:val="19"/>
          <w:u w:val="single" w:color="auto"/>
          <w:color w:val="auto"/>
        </w:rPr>
        <w:t>Article VI</w:t>
      </w:r>
      <w:r>
        <w:rPr>
          <w:rFonts w:ascii="Arial" w:cs="Arial" w:eastAsia="Arial" w:hAnsi="Arial"/>
          <w:sz w:val="19"/>
          <w:szCs w:val="19"/>
          <w:color w:val="auto"/>
        </w:rPr>
        <w:t>. With respect to any liability that is contingent, conditional or unmatured or is otherwise not yet due and payable, the Liquidating Trustee shall either settle such claim for such amount as it deems appropriate or establish a reserve of cash or other assets to provide for its payment. When paid, any unused portion of the reserve shall be distributed as additional liquidation proceeds.</w:t>
      </w:r>
    </w:p>
    <w:p>
      <w:pPr>
        <w:spacing w:after="0" w:line="177" w:lineRule="exact"/>
        <w:rPr>
          <w:rFonts w:ascii="Arial" w:cs="Arial" w:eastAsia="Arial" w:hAnsi="Arial"/>
          <w:sz w:val="19"/>
          <w:szCs w:val="19"/>
          <w:color w:val="auto"/>
        </w:rPr>
      </w:pPr>
    </w:p>
    <w:p>
      <w:pPr>
        <w:ind w:right="240" w:firstLine="1304"/>
        <w:spacing w:after="0" w:line="236" w:lineRule="auto"/>
        <w:tabs>
          <w:tab w:leader="none" w:pos="2076" w:val="left"/>
        </w:tabs>
        <w:numPr>
          <w:ilvl w:val="0"/>
          <w:numId w:val="54"/>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16.4</w:t>
      </w:r>
      <w:r>
        <w:rPr>
          <w:rFonts w:ascii="Arial" w:cs="Arial" w:eastAsia="Arial" w:hAnsi="Arial"/>
          <w:sz w:val="22"/>
          <w:szCs w:val="22"/>
          <w:color w:val="auto"/>
        </w:rPr>
        <w:t xml:space="preserve"> in respect of Series A Preference Units, </w:t>
      </w:r>
      <w:r>
        <w:rPr>
          <w:rFonts w:ascii="Arial" w:cs="Arial" w:eastAsia="Arial" w:hAnsi="Arial"/>
          <w:sz w:val="22"/>
          <w:szCs w:val="22"/>
          <w:u w:val="single" w:color="auto"/>
          <w:color w:val="auto"/>
        </w:rPr>
        <w:t>Section 17.4</w:t>
      </w:r>
      <w:r>
        <w:rPr>
          <w:rFonts w:ascii="Arial" w:cs="Arial" w:eastAsia="Arial" w:hAnsi="Arial"/>
          <w:sz w:val="22"/>
          <w:szCs w:val="22"/>
          <w:color w:val="auto"/>
        </w:rPr>
        <w:t xml:space="preserve"> in respect of Series B Preference Units and </w:t>
      </w:r>
      <w:r>
        <w:rPr>
          <w:rFonts w:ascii="Arial" w:cs="Arial" w:eastAsia="Arial" w:hAnsi="Arial"/>
          <w:sz w:val="22"/>
          <w:szCs w:val="22"/>
          <w:u w:val="single" w:color="auto"/>
          <w:color w:val="auto"/>
        </w:rPr>
        <w:t>Section 18.4</w:t>
      </w:r>
      <w:r>
        <w:rPr>
          <w:rFonts w:ascii="Arial" w:cs="Arial" w:eastAsia="Arial" w:hAnsi="Arial"/>
          <w:sz w:val="22"/>
          <w:szCs w:val="22"/>
          <w:color w:val="auto"/>
        </w:rPr>
        <w:t xml:space="preserve"> in respect of Series C Preference Units, all property and all cash in excess of that required to discharge liabilities as provided in this </w:t>
      </w:r>
      <w:r>
        <w:rPr>
          <w:rFonts w:ascii="Arial" w:cs="Arial" w:eastAsia="Arial" w:hAnsi="Arial"/>
          <w:sz w:val="22"/>
          <w:szCs w:val="22"/>
          <w:u w:val="single" w:color="auto"/>
          <w:color w:val="auto"/>
        </w:rPr>
        <w:t>Section 12.4</w:t>
      </w:r>
      <w:r>
        <w:rPr>
          <w:rFonts w:ascii="Arial" w:cs="Arial" w:eastAsia="Arial" w:hAnsi="Arial"/>
          <w:sz w:val="22"/>
          <w:szCs w:val="22"/>
          <w:color w:val="auto"/>
        </w:rPr>
        <w:t xml:space="preserve"> shall be distributed (i) to the General Partner in accordance with its Percentage Interest and (ii) to all Unitholders, Pro Rata, a percentage equal to 100% less the General Partner’s Percentage Interest.</w:t>
      </w:r>
    </w:p>
    <w:p>
      <w:pPr>
        <w:spacing w:after="0" w:line="214" w:lineRule="exact"/>
        <w:rPr>
          <w:sz w:val="20"/>
          <w:szCs w:val="20"/>
          <w:color w:val="auto"/>
        </w:rPr>
      </w:pPr>
    </w:p>
    <w:p>
      <w:pPr>
        <w:ind w:firstLine="1296"/>
        <w:spacing w:after="0" w:line="297" w:lineRule="auto"/>
        <w:rPr>
          <w:sz w:val="20"/>
          <w:szCs w:val="20"/>
          <w:color w:val="auto"/>
        </w:rPr>
      </w:pPr>
      <w:r>
        <w:rPr>
          <w:rFonts w:ascii="Arial" w:cs="Arial" w:eastAsia="Arial" w:hAnsi="Arial"/>
          <w:sz w:val="19"/>
          <w:szCs w:val="19"/>
          <w:color w:val="auto"/>
        </w:rPr>
        <w:t xml:space="preserve">Distributions with respect to Series A Preference Units described in </w:t>
      </w:r>
      <w:r>
        <w:rPr>
          <w:rFonts w:ascii="Arial" w:cs="Arial" w:eastAsia="Arial" w:hAnsi="Arial"/>
          <w:sz w:val="19"/>
          <w:szCs w:val="19"/>
          <w:u w:val="single" w:color="auto"/>
          <w:color w:val="auto"/>
        </w:rPr>
        <w:t>Article XVI</w:t>
      </w:r>
      <w:r>
        <w:rPr>
          <w:rFonts w:ascii="Arial" w:cs="Arial" w:eastAsia="Arial" w:hAnsi="Arial"/>
          <w:sz w:val="19"/>
          <w:szCs w:val="19"/>
          <w:color w:val="auto"/>
        </w:rPr>
        <w:t xml:space="preserve">, Series B Preference Units described in </w:t>
      </w:r>
      <w:r>
        <w:rPr>
          <w:rFonts w:ascii="Arial" w:cs="Arial" w:eastAsia="Arial" w:hAnsi="Arial"/>
          <w:sz w:val="19"/>
          <w:szCs w:val="19"/>
          <w:u w:val="single" w:color="auto"/>
          <w:color w:val="auto"/>
        </w:rPr>
        <w:t>Article XVII</w:t>
      </w:r>
      <w:r>
        <w:rPr>
          <w:rFonts w:ascii="Arial" w:cs="Arial" w:eastAsia="Arial" w:hAnsi="Arial"/>
          <w:sz w:val="19"/>
          <w:szCs w:val="19"/>
          <w:color w:val="auto"/>
        </w:rPr>
        <w:t xml:space="preserve"> and Series C Preference Units described in </w:t>
      </w:r>
      <w:r>
        <w:rPr>
          <w:rFonts w:ascii="Arial" w:cs="Arial" w:eastAsia="Arial" w:hAnsi="Arial"/>
          <w:sz w:val="19"/>
          <w:szCs w:val="19"/>
          <w:u w:val="single" w:color="auto"/>
          <w:color w:val="auto"/>
        </w:rPr>
        <w:t>Article XVIII</w:t>
      </w:r>
      <w:r>
        <w:rPr>
          <w:rFonts w:ascii="Arial" w:cs="Arial" w:eastAsia="Arial" w:hAnsi="Arial"/>
          <w:sz w:val="19"/>
          <w:szCs w:val="19"/>
          <w:color w:val="auto"/>
        </w:rPr>
        <w:t xml:space="preserve"> in connection with a liquidation or dissolution of the Partnership shall be made pursuant to </w:t>
      </w:r>
      <w:r>
        <w:rPr>
          <w:rFonts w:ascii="Arial" w:cs="Arial" w:eastAsia="Arial" w:hAnsi="Arial"/>
          <w:sz w:val="19"/>
          <w:szCs w:val="19"/>
          <w:u w:val="single" w:color="auto"/>
          <w:color w:val="auto"/>
        </w:rPr>
        <w:t>Section 16.4</w:t>
      </w:r>
      <w:r>
        <w:rPr>
          <w:rFonts w:ascii="Arial" w:cs="Arial" w:eastAsia="Arial" w:hAnsi="Arial"/>
          <w:sz w:val="19"/>
          <w:szCs w:val="19"/>
          <w:color w:val="auto"/>
        </w:rPr>
        <w:t xml:space="preserve"> with respect to Series A Preference Units, </w:t>
      </w:r>
      <w:r>
        <w:rPr>
          <w:rFonts w:ascii="Arial" w:cs="Arial" w:eastAsia="Arial" w:hAnsi="Arial"/>
          <w:sz w:val="19"/>
          <w:szCs w:val="19"/>
          <w:u w:val="single" w:color="auto"/>
          <w:color w:val="auto"/>
        </w:rPr>
        <w:t>Section 17.4</w:t>
      </w:r>
      <w:r>
        <w:rPr>
          <w:rFonts w:ascii="Arial" w:cs="Arial" w:eastAsia="Arial" w:hAnsi="Arial"/>
          <w:sz w:val="19"/>
          <w:szCs w:val="19"/>
          <w:color w:val="auto"/>
        </w:rPr>
        <w:t xml:space="preserve"> with respect to</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57" w:name="page58"/>
    <w:bookmarkEnd w:id="57"/>
    <w:p>
      <w:pPr>
        <w:spacing w:after="0"/>
        <w:rPr>
          <w:sz w:val="20"/>
          <w:szCs w:val="20"/>
          <w:color w:val="auto"/>
        </w:rPr>
      </w:pPr>
      <w:r>
        <w:rPr>
          <w:rFonts w:ascii="Arial" w:cs="Arial" w:eastAsia="Arial" w:hAnsi="Arial"/>
          <w:sz w:val="19"/>
          <w:szCs w:val="19"/>
          <w:color w:val="auto"/>
        </w:rPr>
        <w:t xml:space="preserve">Series B Preference Units and </w:t>
      </w:r>
      <w:r>
        <w:rPr>
          <w:rFonts w:ascii="Arial" w:cs="Arial" w:eastAsia="Arial" w:hAnsi="Arial"/>
          <w:sz w:val="19"/>
          <w:szCs w:val="19"/>
          <w:u w:val="single" w:color="auto"/>
          <w:color w:val="auto"/>
        </w:rPr>
        <w:t>Section 18.4</w:t>
      </w:r>
      <w:r>
        <w:rPr>
          <w:rFonts w:ascii="Arial" w:cs="Arial" w:eastAsia="Arial" w:hAnsi="Arial"/>
          <w:sz w:val="19"/>
          <w:szCs w:val="19"/>
          <w:color w:val="auto"/>
        </w:rPr>
        <w:t xml:space="preserve"> with respect to Series C Preference Units, rather than pursuant to this </w:t>
      </w:r>
      <w:r>
        <w:rPr>
          <w:rFonts w:ascii="Arial" w:cs="Arial" w:eastAsia="Arial" w:hAnsi="Arial"/>
          <w:sz w:val="19"/>
          <w:szCs w:val="19"/>
          <w:u w:val="single" w:color="auto"/>
          <w:color w:val="auto"/>
        </w:rPr>
        <w:t>Section 12.4(c)</w:t>
      </w:r>
      <w:r>
        <w:rPr>
          <w:rFonts w:ascii="Arial" w:cs="Arial" w:eastAsia="Arial" w:hAnsi="Arial"/>
          <w:sz w:val="19"/>
          <w:szCs w:val="19"/>
          <w:color w:val="auto"/>
        </w:rPr>
        <w:t>.</w:t>
      </w:r>
    </w:p>
    <w:p>
      <w:pPr>
        <w:spacing w:after="0" w:line="268" w:lineRule="exact"/>
        <w:rPr>
          <w:sz w:val="20"/>
          <w:szCs w:val="20"/>
          <w:color w:val="auto"/>
        </w:rPr>
      </w:pPr>
    </w:p>
    <w:p>
      <w:pPr>
        <w:ind w:right="100" w:firstLine="1296"/>
        <w:spacing w:after="0" w:line="287" w:lineRule="auto"/>
        <w:rPr>
          <w:sz w:val="20"/>
          <w:szCs w:val="20"/>
          <w:color w:val="auto"/>
        </w:rPr>
      </w:pPr>
      <w:r>
        <w:rPr>
          <w:rFonts w:ascii="Arial" w:cs="Arial" w:eastAsia="Arial" w:hAnsi="Arial"/>
          <w:sz w:val="19"/>
          <w:szCs w:val="19"/>
          <w:color w:val="auto"/>
        </w:rPr>
        <w:t xml:space="preserve">Section 12.5. </w:t>
      </w:r>
      <w:r>
        <w:rPr>
          <w:rFonts w:ascii="Arial" w:cs="Arial" w:eastAsia="Arial" w:hAnsi="Arial"/>
          <w:sz w:val="19"/>
          <w:szCs w:val="19"/>
          <w:i w:val="1"/>
          <w:iCs w:val="1"/>
          <w:color w:val="auto"/>
        </w:rPr>
        <w:t>Cancellation of Certificate of Limited Partnership</w:t>
      </w:r>
      <w:r>
        <w:rPr>
          <w:rFonts w:ascii="Arial" w:cs="Arial" w:eastAsia="Arial" w:hAnsi="Arial"/>
          <w:sz w:val="19"/>
          <w:szCs w:val="19"/>
          <w:color w:val="auto"/>
        </w:rPr>
        <w:t xml:space="preserve">. Upon the completion of the distribution of Partnership cash and property as provided in </w:t>
      </w:r>
      <w:r>
        <w:rPr>
          <w:rFonts w:ascii="Arial" w:cs="Arial" w:eastAsia="Arial" w:hAnsi="Arial"/>
          <w:sz w:val="19"/>
          <w:szCs w:val="19"/>
          <w:u w:val="single" w:color="auto"/>
          <w:color w:val="auto"/>
        </w:rPr>
        <w:t>Section 12.4</w:t>
      </w:r>
      <w:r>
        <w:rPr>
          <w:rFonts w:ascii="Arial" w:cs="Arial" w:eastAsia="Arial" w:hAnsi="Arial"/>
          <w:sz w:val="19"/>
          <w:szCs w:val="19"/>
          <w:color w:val="auto"/>
        </w:rPr>
        <w:t xml:space="preserve"> in connection with the liquidation of the Partnership, the Certificate of Limited Partnership and all qualifications of the Partnership as a foreign limited partnership in jurisdictions other than the Marshall Islands shall be canceled and such other actions as may be necessary to terminate the Partnership shall be taken.</w:t>
      </w:r>
    </w:p>
    <w:p>
      <w:pPr>
        <w:spacing w:after="0" w:line="170" w:lineRule="exact"/>
        <w:rPr>
          <w:sz w:val="20"/>
          <w:szCs w:val="20"/>
          <w:color w:val="auto"/>
        </w:rPr>
      </w:pPr>
    </w:p>
    <w:p>
      <w:pPr>
        <w:ind w:right="120" w:firstLine="1296"/>
        <w:spacing w:after="0" w:line="238" w:lineRule="auto"/>
        <w:rPr>
          <w:sz w:val="20"/>
          <w:szCs w:val="20"/>
          <w:color w:val="auto"/>
        </w:rPr>
      </w:pPr>
      <w:r>
        <w:rPr>
          <w:rFonts w:ascii="Arial" w:cs="Arial" w:eastAsia="Arial" w:hAnsi="Arial"/>
          <w:sz w:val="22"/>
          <w:szCs w:val="22"/>
          <w:color w:val="auto"/>
        </w:rPr>
        <w:t xml:space="preserve">Section 12.6. </w:t>
      </w:r>
      <w:r>
        <w:rPr>
          <w:rFonts w:ascii="Arial" w:cs="Arial" w:eastAsia="Arial" w:hAnsi="Arial"/>
          <w:sz w:val="22"/>
          <w:szCs w:val="22"/>
          <w:i w:val="1"/>
          <w:iCs w:val="1"/>
          <w:color w:val="auto"/>
        </w:rPr>
        <w:t>Return of Contributions</w:t>
      </w:r>
      <w:r>
        <w:rPr>
          <w:rFonts w:ascii="Arial" w:cs="Arial" w:eastAsia="Arial" w:hAnsi="Arial"/>
          <w:sz w:val="22"/>
          <w:szCs w:val="22"/>
          <w:color w:val="auto"/>
        </w:rPr>
        <w:t>. The General Partner shall not be personally liable for, and shall have no obligation to contribute or loan any monies or property to the Partnership to enable it to effectuate, the return of the Capital Contributions of the Limited Partners or Unitholders, or any portion thereof, it being expressly understood that any such return shall be made solely from Partnership assets.</w:t>
      </w:r>
    </w:p>
    <w:p>
      <w:pPr>
        <w:spacing w:after="0" w:line="212" w:lineRule="exact"/>
        <w:rPr>
          <w:sz w:val="20"/>
          <w:szCs w:val="20"/>
          <w:color w:val="auto"/>
        </w:rPr>
      </w:pPr>
    </w:p>
    <w:p>
      <w:pPr>
        <w:ind w:right="40" w:firstLine="1296"/>
        <w:spacing w:after="0" w:line="250" w:lineRule="auto"/>
        <w:rPr>
          <w:sz w:val="20"/>
          <w:szCs w:val="20"/>
          <w:color w:val="auto"/>
        </w:rPr>
      </w:pPr>
      <w:r>
        <w:rPr>
          <w:rFonts w:ascii="Arial" w:cs="Arial" w:eastAsia="Arial" w:hAnsi="Arial"/>
          <w:sz w:val="22"/>
          <w:szCs w:val="22"/>
          <w:color w:val="auto"/>
        </w:rPr>
        <w:t xml:space="preserve">Section 12.7. </w:t>
      </w:r>
      <w:r>
        <w:rPr>
          <w:rFonts w:ascii="Arial" w:cs="Arial" w:eastAsia="Arial" w:hAnsi="Arial"/>
          <w:sz w:val="22"/>
          <w:szCs w:val="22"/>
          <w:i w:val="1"/>
          <w:iCs w:val="1"/>
          <w:color w:val="auto"/>
        </w:rPr>
        <w:t>Waiver of Partition</w:t>
      </w:r>
      <w:r>
        <w:rPr>
          <w:rFonts w:ascii="Arial" w:cs="Arial" w:eastAsia="Arial" w:hAnsi="Arial"/>
          <w:sz w:val="22"/>
          <w:szCs w:val="22"/>
          <w:color w:val="auto"/>
        </w:rPr>
        <w:t>. To the maximum extent permitted by law, each Partner hereby waives any right to partition of the Partnership property.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XIII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OF PARTNERSHIP AGREEMENT; MEETINGS; RECORD DATE</w:t>
      </w:r>
    </w:p>
    <w:p>
      <w:pPr>
        <w:spacing w:after="0" w:line="215" w:lineRule="exact"/>
        <w:rPr>
          <w:sz w:val="20"/>
          <w:szCs w:val="20"/>
          <w:color w:val="auto"/>
        </w:rPr>
      </w:pPr>
    </w:p>
    <w:p>
      <w:pPr>
        <w:ind w:right="160" w:firstLine="1296"/>
        <w:spacing w:after="0" w:line="287" w:lineRule="auto"/>
        <w:rPr>
          <w:sz w:val="20"/>
          <w:szCs w:val="20"/>
          <w:color w:val="auto"/>
        </w:rPr>
      </w:pPr>
      <w:r>
        <w:rPr>
          <w:rFonts w:ascii="Arial" w:cs="Arial" w:eastAsia="Arial" w:hAnsi="Arial"/>
          <w:sz w:val="19"/>
          <w:szCs w:val="19"/>
          <w:color w:val="auto"/>
        </w:rPr>
        <w:t xml:space="preserve">Section 13.1. </w:t>
      </w:r>
      <w:r>
        <w:rPr>
          <w:rFonts w:ascii="Arial" w:cs="Arial" w:eastAsia="Arial" w:hAnsi="Arial"/>
          <w:sz w:val="19"/>
          <w:szCs w:val="19"/>
          <w:i w:val="1"/>
          <w:iCs w:val="1"/>
          <w:color w:val="auto"/>
        </w:rPr>
        <w:t>Amendments to be Adopted Without Approval of the Limited Partners or the General Partner</w:t>
      </w:r>
      <w:r>
        <w:rPr>
          <w:rFonts w:ascii="Arial" w:cs="Arial" w:eastAsia="Arial" w:hAnsi="Arial"/>
          <w:sz w:val="19"/>
          <w:szCs w:val="19"/>
          <w:color w:val="auto"/>
        </w:rPr>
        <w:t xml:space="preserve">. The General Partner and each Limited Partner agree that the Board of Directors, without the approval of any Limited Partner or, subject to </w:t>
      </w:r>
      <w:r>
        <w:rPr>
          <w:rFonts w:ascii="Arial" w:cs="Arial" w:eastAsia="Arial" w:hAnsi="Arial"/>
          <w:sz w:val="19"/>
          <w:szCs w:val="19"/>
          <w:u w:val="single" w:color="auto"/>
          <w:color w:val="auto"/>
        </w:rPr>
        <w:t>Section 5.3</w:t>
      </w:r>
      <w:r>
        <w:rPr>
          <w:rFonts w:ascii="Arial" w:cs="Arial" w:eastAsia="Arial" w:hAnsi="Arial"/>
          <w:sz w:val="19"/>
          <w:szCs w:val="19"/>
          <w:color w:val="auto"/>
        </w:rPr>
        <w:t>, the General Partner, may amend any provision of this Agreement and execute, swear to, acknowledge, deliver, file and record whatever documents may be required in connection therewith, to reflect:</w:t>
      </w:r>
    </w:p>
    <w:p>
      <w:pPr>
        <w:spacing w:after="0" w:line="170" w:lineRule="exact"/>
        <w:rPr>
          <w:sz w:val="20"/>
          <w:szCs w:val="20"/>
          <w:color w:val="auto"/>
        </w:rPr>
      </w:pPr>
    </w:p>
    <w:p>
      <w:pPr>
        <w:ind w:left="660" w:right="80" w:firstLine="644"/>
        <w:spacing w:after="0" w:line="250" w:lineRule="auto"/>
        <w:tabs>
          <w:tab w:leader="none" w:pos="2088"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change in the name of the Partnership, the location of the principal place of business of the Partnership, the registered agent of the Partnership or the registered office of the Partnership;</w:t>
      </w:r>
    </w:p>
    <w:p>
      <w:pPr>
        <w:spacing w:after="0" w:line="201" w:lineRule="exact"/>
        <w:rPr>
          <w:rFonts w:ascii="Arial" w:cs="Arial" w:eastAsia="Arial" w:hAnsi="Arial"/>
          <w:sz w:val="22"/>
          <w:szCs w:val="22"/>
          <w:color w:val="auto"/>
        </w:rPr>
      </w:pPr>
    </w:p>
    <w:p>
      <w:pPr>
        <w:ind w:left="2100" w:hanging="796"/>
        <w:spacing w:after="0"/>
        <w:tabs>
          <w:tab w:leader="none" w:pos="21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admission, substitution, withdrawal or removal of Partners in accordance with this Agreement;</w:t>
      </w:r>
    </w:p>
    <w:p>
      <w:pPr>
        <w:spacing w:after="0" w:line="233" w:lineRule="exact"/>
        <w:rPr>
          <w:rFonts w:ascii="Arial" w:cs="Arial" w:eastAsia="Arial" w:hAnsi="Arial"/>
          <w:sz w:val="22"/>
          <w:szCs w:val="22"/>
          <w:color w:val="auto"/>
        </w:rPr>
      </w:pPr>
    </w:p>
    <w:p>
      <w:pPr>
        <w:ind w:left="660" w:right="140" w:firstLine="644"/>
        <w:spacing w:after="0"/>
        <w:tabs>
          <w:tab w:leader="none" w:pos="2088" w:val="left"/>
        </w:tabs>
        <w:numPr>
          <w:ilvl w:val="0"/>
          <w:numId w:val="55"/>
        </w:numPr>
        <w:rPr>
          <w:rFonts w:ascii="Arial" w:cs="Arial" w:eastAsia="Arial" w:hAnsi="Arial"/>
          <w:sz w:val="22"/>
          <w:szCs w:val="22"/>
          <w:color w:val="auto"/>
        </w:rPr>
      </w:pPr>
      <w:r>
        <w:rPr>
          <w:rFonts w:ascii="Arial" w:cs="Arial" w:eastAsia="Arial" w:hAnsi="Arial"/>
          <w:sz w:val="22"/>
          <w:szCs w:val="22"/>
          <w:color w:val="auto"/>
        </w:rPr>
        <w:t>a change that the Board of Directors determines to be necessary or appropriate to qualify or continue the qualification of the Partnership as a limited partnership or a partnership in which the Limited Partners have limited liability under the Marshall Islands Act;</w:t>
      </w:r>
    </w:p>
    <w:p>
      <w:pPr>
        <w:spacing w:after="0" w:line="213" w:lineRule="exact"/>
        <w:rPr>
          <w:rFonts w:ascii="Arial" w:cs="Arial" w:eastAsia="Arial" w:hAnsi="Arial"/>
          <w:sz w:val="22"/>
          <w:szCs w:val="22"/>
          <w:color w:val="auto"/>
        </w:rPr>
      </w:pPr>
    </w:p>
    <w:p>
      <w:pPr>
        <w:ind w:left="660" w:firstLine="644"/>
        <w:spacing w:after="0" w:line="235" w:lineRule="auto"/>
        <w:tabs>
          <w:tab w:leader="none" w:pos="21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16.5</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17.5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18.5</w:t>
      </w:r>
      <w:r>
        <w:rPr>
          <w:rFonts w:ascii="Arial" w:cs="Arial" w:eastAsia="Arial" w:hAnsi="Arial"/>
          <w:sz w:val="22"/>
          <w:szCs w:val="22"/>
          <w:color w:val="auto"/>
        </w:rPr>
        <w:t>, to the extent applicable, a change that the Board of Directors determines (i) does not adversely affect the rights of the Limited Partners (including any particular class or series of Partnership Interests as compared to other classes or series of Partnership Interests) in any material respect, (ii) to be necessary or appropriate to (A) satisfy any requirements, conditions or guidelines contained in any opinion, directive, order, ruling or regulation of any Marshall Islands authority (including the Marshall Islands Act) or (B) facilitate the trading of the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58" w:name="page59"/>
    <w:bookmarkEnd w:id="58"/>
    <w:p>
      <w:pPr>
        <w:ind w:right="60"/>
        <w:spacing w:after="0" w:line="238" w:lineRule="auto"/>
        <w:rPr>
          <w:sz w:val="20"/>
          <w:szCs w:val="20"/>
          <w:color w:val="auto"/>
        </w:rPr>
      </w:pPr>
      <w:r>
        <w:rPr>
          <w:rFonts w:ascii="Arial" w:cs="Arial" w:eastAsia="Arial" w:hAnsi="Arial"/>
          <w:sz w:val="22"/>
          <w:szCs w:val="22"/>
          <w:color w:val="auto"/>
        </w:rPr>
        <w:t xml:space="preserve">Units or comply with any rule, regulation, guideline or requirement of any National Securities Exchange on which the Units are or will be listed, or admitted to trading, (iii) to be necessary or appropriate in connection with action taken by the Board of Directors pursuant to </w:t>
      </w:r>
      <w:r>
        <w:rPr>
          <w:rFonts w:ascii="Arial" w:cs="Arial" w:eastAsia="Arial" w:hAnsi="Arial"/>
          <w:sz w:val="22"/>
          <w:szCs w:val="22"/>
          <w:u w:val="single" w:color="auto"/>
          <w:color w:val="auto"/>
        </w:rPr>
        <w:t>Section 5.5</w:t>
      </w:r>
      <w:r>
        <w:rPr>
          <w:rFonts w:ascii="Arial" w:cs="Arial" w:eastAsia="Arial" w:hAnsi="Arial"/>
          <w:sz w:val="22"/>
          <w:szCs w:val="22"/>
          <w:color w:val="auto"/>
        </w:rPr>
        <w:t xml:space="preserve"> or (iv) is required to effect the intent of the provisions of this Agreement or is otherwise contemplated by this Agreement;</w:t>
      </w:r>
    </w:p>
    <w:p>
      <w:pPr>
        <w:spacing w:after="0" w:line="212" w:lineRule="exact"/>
        <w:rPr>
          <w:sz w:val="20"/>
          <w:szCs w:val="20"/>
          <w:color w:val="auto"/>
        </w:rPr>
      </w:pPr>
    </w:p>
    <w:p>
      <w:pPr>
        <w:ind w:right="240" w:firstLine="644"/>
        <w:spacing w:after="0" w:line="236" w:lineRule="auto"/>
        <w:tabs>
          <w:tab w:leader="none" w:pos="1428" w:val="left"/>
        </w:tabs>
        <w:numPr>
          <w:ilvl w:val="0"/>
          <w:numId w:val="56"/>
        </w:numPr>
        <w:rPr>
          <w:rFonts w:ascii="Arial" w:cs="Arial" w:eastAsia="Arial" w:hAnsi="Arial"/>
          <w:sz w:val="22"/>
          <w:szCs w:val="22"/>
          <w:color w:val="auto"/>
        </w:rPr>
      </w:pPr>
      <w:r>
        <w:rPr>
          <w:rFonts w:ascii="Arial" w:cs="Arial" w:eastAsia="Arial" w:hAnsi="Arial"/>
          <w:sz w:val="22"/>
          <w:szCs w:val="22"/>
          <w:color w:val="auto"/>
        </w:rPr>
        <w:t>a change in the fiscal year or taxable year of the Partnership and any other changes that the Board of Directors determines to be necessary or appropriate as a result of a change in the fiscal year or taxable year of the Partnership including, if the Board of Directors shall so determine, a change in the definition of “Quarter” and the dates on which distributions (other than Series A Distributions, Series B Distributions and Series C Distributions) are to be made by the Partnership;</w:t>
      </w:r>
    </w:p>
    <w:p>
      <w:pPr>
        <w:spacing w:after="0" w:line="214" w:lineRule="exact"/>
        <w:rPr>
          <w:rFonts w:ascii="Arial" w:cs="Arial" w:eastAsia="Arial" w:hAnsi="Arial"/>
          <w:sz w:val="22"/>
          <w:szCs w:val="22"/>
          <w:color w:val="auto"/>
        </w:rPr>
      </w:pPr>
    </w:p>
    <w:p>
      <w:pPr>
        <w:ind w:firstLine="644"/>
        <w:spacing w:after="0" w:line="248" w:lineRule="auto"/>
        <w:tabs>
          <w:tab w:leader="none" w:pos="1404" w:val="left"/>
        </w:tabs>
        <w:numPr>
          <w:ilvl w:val="0"/>
          <w:numId w:val="56"/>
        </w:numPr>
        <w:rPr>
          <w:rFonts w:ascii="Arial" w:cs="Arial" w:eastAsia="Arial" w:hAnsi="Arial"/>
          <w:sz w:val="21"/>
          <w:szCs w:val="21"/>
          <w:color w:val="auto"/>
        </w:rPr>
      </w:pPr>
      <w:r>
        <w:rPr>
          <w:rFonts w:ascii="Arial" w:cs="Arial" w:eastAsia="Arial" w:hAnsi="Arial"/>
          <w:sz w:val="21"/>
          <w:szCs w:val="21"/>
          <w:color w:val="auto"/>
        </w:rPr>
        <w:t>an amendment that is necessary, in the Opinion of Counsel, to prevent the Partnership, the members of the Board of Directors, or the General Partner or its or their directors, officers, trustees or agents from in any manner being subjected to the provisions of the U.S. Investment Company Act of 1940, as amended, the U.S. Investment Advisers Act of 1940, as amended, or “plan asset” regulations adopted under the U.S. Employee Retirement Income Security Act of 1974, as amended, regardless of whether such regulations are substantially similar to plan asset regulations currently applied or proposed by the United States Department of Labor;</w:t>
      </w:r>
    </w:p>
    <w:p>
      <w:pPr>
        <w:spacing w:after="0" w:line="203" w:lineRule="exact"/>
        <w:rPr>
          <w:rFonts w:ascii="Arial" w:cs="Arial" w:eastAsia="Arial" w:hAnsi="Arial"/>
          <w:sz w:val="21"/>
          <w:szCs w:val="21"/>
          <w:color w:val="auto"/>
        </w:rPr>
      </w:pPr>
    </w:p>
    <w:p>
      <w:pPr>
        <w:ind w:right="140" w:firstLine="644"/>
        <w:spacing w:after="0" w:line="297" w:lineRule="auto"/>
        <w:tabs>
          <w:tab w:leader="none" w:pos="14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16.5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17.5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18.5</w:t>
      </w:r>
      <w:r>
        <w:rPr>
          <w:rFonts w:ascii="Arial" w:cs="Arial" w:eastAsia="Arial" w:hAnsi="Arial"/>
          <w:sz w:val="19"/>
          <w:szCs w:val="19"/>
          <w:color w:val="auto"/>
        </w:rPr>
        <w:t xml:space="preserve">, an amendment that the Board of Directors, and if required by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the General Partner, determines to be necessary or appropriate in connection with the authorization of issuance of any class or series of Partnership Interests pursuant to </w:t>
      </w:r>
      <w:r>
        <w:rPr>
          <w:rFonts w:ascii="Arial" w:cs="Arial" w:eastAsia="Arial" w:hAnsi="Arial"/>
          <w:sz w:val="19"/>
          <w:szCs w:val="19"/>
          <w:u w:val="single" w:color="auto"/>
          <w:color w:val="auto"/>
        </w:rPr>
        <w:t>Section 5.2</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ind w:right="40" w:firstLine="644"/>
        <w:spacing w:after="0" w:line="238" w:lineRule="auto"/>
        <w:tabs>
          <w:tab w:leader="none" w:pos="14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 amendment that the Board of Directors determines to be necessary or appropriate for the authorization of additional Partnership Interests or rights to acquire Partnership Interests, including any amendment that the Board of Directors determines is necessary or appropriate in connection with any amendment expressly permitted in this Agreement to be made by the Board of Directors acting alone;</w:t>
      </w:r>
    </w:p>
    <w:p>
      <w:pPr>
        <w:spacing w:after="0" w:line="211" w:lineRule="exact"/>
        <w:rPr>
          <w:rFonts w:ascii="Arial" w:cs="Arial" w:eastAsia="Arial" w:hAnsi="Arial"/>
          <w:sz w:val="22"/>
          <w:szCs w:val="22"/>
          <w:color w:val="auto"/>
        </w:rPr>
      </w:pPr>
    </w:p>
    <w:p>
      <w:pPr>
        <w:ind w:right="360" w:firstLine="644"/>
        <w:spacing w:after="0" w:line="250" w:lineRule="auto"/>
        <w:tabs>
          <w:tab w:leader="none" w:pos="1392"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an amendment effected, necessitated or contemplated by a Merger Agreement approved in accordance with </w:t>
      </w:r>
      <w:r>
        <w:rPr>
          <w:rFonts w:ascii="Arial" w:cs="Arial" w:eastAsia="Arial" w:hAnsi="Arial"/>
          <w:sz w:val="22"/>
          <w:szCs w:val="22"/>
          <w:u w:val="single" w:color="auto"/>
          <w:color w:val="auto"/>
        </w:rPr>
        <w:t>Section 14.3</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ind w:right="340" w:firstLine="644"/>
        <w:spacing w:after="0" w:line="238" w:lineRule="auto"/>
        <w:tabs>
          <w:tab w:leader="none" w:pos="1392"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an amendment that the Board of Directors determines to be necessary or appropriate to reflect and account for the formation by the Partnership of, or investment by the Partnership in, any corporation, partnership, joint venture, limited liability company or other Person, in connection with the conduct by the Partnership of activities permitted by the terms of </w:t>
      </w:r>
      <w:r>
        <w:rPr>
          <w:rFonts w:ascii="Arial" w:cs="Arial" w:eastAsia="Arial" w:hAnsi="Arial"/>
          <w:sz w:val="22"/>
          <w:szCs w:val="22"/>
          <w:u w:val="single" w:color="auto"/>
          <w:color w:val="auto"/>
        </w:rPr>
        <w:t>Section 2.4</w:t>
      </w:r>
      <w:r>
        <w:rPr>
          <w:rFonts w:ascii="Arial" w:cs="Arial" w:eastAsia="Arial" w:hAnsi="Arial"/>
          <w:sz w:val="22"/>
          <w:szCs w:val="22"/>
          <w:color w:val="auto"/>
        </w:rPr>
        <w:t>;</w:t>
      </w:r>
    </w:p>
    <w:p>
      <w:pPr>
        <w:spacing w:after="0" w:line="211" w:lineRule="exact"/>
        <w:rPr>
          <w:rFonts w:ascii="Arial" w:cs="Arial" w:eastAsia="Arial" w:hAnsi="Arial"/>
          <w:sz w:val="22"/>
          <w:szCs w:val="22"/>
          <w:color w:val="auto"/>
        </w:rPr>
      </w:pPr>
    </w:p>
    <w:p>
      <w:pPr>
        <w:ind w:left="1440" w:hanging="796"/>
        <w:spacing w:after="0"/>
        <w:tabs>
          <w:tab w:leader="none" w:pos="1440" w:val="left"/>
        </w:tabs>
        <w:numPr>
          <w:ilvl w:val="0"/>
          <w:numId w:val="56"/>
        </w:numPr>
        <w:rPr>
          <w:rFonts w:ascii="Arial" w:cs="Arial" w:eastAsia="Arial" w:hAnsi="Arial"/>
          <w:sz w:val="22"/>
          <w:szCs w:val="22"/>
          <w:color w:val="auto"/>
        </w:rPr>
      </w:pPr>
      <w:r>
        <w:rPr>
          <w:rFonts w:ascii="Arial" w:cs="Arial" w:eastAsia="Arial" w:hAnsi="Arial"/>
          <w:sz w:val="22"/>
          <w:szCs w:val="22"/>
          <w:color w:val="auto"/>
        </w:rPr>
        <w:t xml:space="preserve">a conversion, merger or conveyance pursuant to </w:t>
      </w:r>
      <w:r>
        <w:rPr>
          <w:rFonts w:ascii="Arial" w:cs="Arial" w:eastAsia="Arial" w:hAnsi="Arial"/>
          <w:sz w:val="22"/>
          <w:szCs w:val="22"/>
          <w:u w:val="single" w:color="auto"/>
          <w:color w:val="auto"/>
        </w:rPr>
        <w:t>Section 14.3(d)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1380" w:hanging="736"/>
        <w:spacing w:after="0"/>
        <w:tabs>
          <w:tab w:leader="none" w:pos="138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 amendment to cure any ambiguity, defect or inconsistency; or</w:t>
      </w:r>
    </w:p>
    <w:p>
      <w:pPr>
        <w:spacing w:after="0" w:line="233" w:lineRule="exact"/>
        <w:rPr>
          <w:rFonts w:ascii="Arial" w:cs="Arial" w:eastAsia="Arial" w:hAnsi="Arial"/>
          <w:sz w:val="22"/>
          <w:szCs w:val="22"/>
          <w:color w:val="auto"/>
        </w:rPr>
      </w:pPr>
    </w:p>
    <w:p>
      <w:pPr>
        <w:ind w:left="1500" w:hanging="856"/>
        <w:spacing w:after="0"/>
        <w:tabs>
          <w:tab w:leader="none" w:pos="15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any other amendments substantially similar to the foregoing.</w:t>
      </w:r>
    </w:p>
    <w:p>
      <w:pPr>
        <w:spacing w:after="0" w:line="200" w:lineRule="exact"/>
        <w:rPr>
          <w:sz w:val="20"/>
          <w:szCs w:val="20"/>
          <w:color w:val="auto"/>
        </w:rPr>
      </w:pPr>
    </w:p>
    <w:p>
      <w:pPr>
        <w:spacing w:after="0" w:line="211" w:lineRule="exact"/>
        <w:rPr>
          <w:sz w:val="20"/>
          <w:szCs w:val="20"/>
          <w:color w:val="auto"/>
        </w:rPr>
      </w:pPr>
    </w:p>
    <w:p>
      <w:pPr>
        <w:ind w:left="4900"/>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38100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04" w:right="339" w:bottom="1440" w:gutter="0" w:footer="0" w:header="0"/>
        </w:sectPr>
      </w:pPr>
    </w:p>
    <w:bookmarkStart w:id="59" w:name="page60"/>
    <w:bookmarkEnd w:id="59"/>
    <w:p>
      <w:pPr>
        <w:ind w:firstLine="1296"/>
        <w:spacing w:after="0" w:line="271" w:lineRule="auto"/>
        <w:rPr>
          <w:sz w:val="20"/>
          <w:szCs w:val="20"/>
          <w:color w:val="auto"/>
        </w:rPr>
      </w:pPr>
      <w:r>
        <w:rPr>
          <w:rFonts w:ascii="Arial" w:cs="Arial" w:eastAsia="Arial" w:hAnsi="Arial"/>
          <w:sz w:val="19"/>
          <w:szCs w:val="19"/>
          <w:color w:val="auto"/>
        </w:rPr>
        <w:t xml:space="preserve">Section 13.2. </w:t>
      </w:r>
      <w:r>
        <w:rPr>
          <w:rFonts w:ascii="Arial" w:cs="Arial" w:eastAsia="Arial" w:hAnsi="Arial"/>
          <w:sz w:val="19"/>
          <w:szCs w:val="19"/>
          <w:i w:val="1"/>
          <w:iCs w:val="1"/>
          <w:color w:val="auto"/>
        </w:rPr>
        <w:t>Amendment Procedures</w:t>
      </w:r>
      <w:r>
        <w:rPr>
          <w:rFonts w:ascii="Arial" w:cs="Arial" w:eastAsia="Arial" w:hAnsi="Arial"/>
          <w:sz w:val="19"/>
          <w:szCs w:val="19"/>
          <w:color w:val="auto"/>
        </w:rPr>
        <w:t xml:space="preserve">. Except as provided in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13.3</w:t>
      </w:r>
      <w:r>
        <w:rPr>
          <w:rFonts w:ascii="Arial" w:cs="Arial" w:eastAsia="Arial" w:hAnsi="Arial"/>
          <w:sz w:val="19"/>
          <w:szCs w:val="19"/>
          <w:color w:val="auto"/>
        </w:rPr>
        <w:t xml:space="preserve">, all amendments to this Agreement shall be made in accordance with the following requirements. Amendments to this Agreement may be proposed only by, or with the written consent of, the Board of Directors;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the Board of Directors shall have no duty or obligation to propose any amendment to this Agreement and may decline to do so free of any fiduciary duty or obligation whatsoever to the Partnership or any Limited Partner, any Record Holder or any other Person and, in declining to propose an amendment, to the fullest extent permitted by applicable law shall not be required to act in good faith or pursuant to any other standard imposed by this Agreement, any Group Member Agreement, any other agreement contemplated hereby or under the Marshall Islands Act or any other law, rule or regulation. Subject to </w:t>
      </w:r>
      <w:r>
        <w:rPr>
          <w:rFonts w:ascii="Arial" w:cs="Arial" w:eastAsia="Arial" w:hAnsi="Arial"/>
          <w:sz w:val="19"/>
          <w:szCs w:val="19"/>
          <w:u w:val="single" w:color="auto"/>
          <w:color w:val="auto"/>
        </w:rPr>
        <w:t>Section 16.5</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17.5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18.5</w:t>
      </w:r>
      <w:r>
        <w:rPr>
          <w:rFonts w:ascii="Arial" w:cs="Arial" w:eastAsia="Arial" w:hAnsi="Arial"/>
          <w:sz w:val="19"/>
          <w:szCs w:val="19"/>
          <w:color w:val="auto"/>
        </w:rPr>
        <w:t>, to the extent applicable, a proposed amendment shall be effective upon its approval by the Board of Directors and, if applicable, the holders of a Unit Majority, unless a greater or different percentage is required under this Agreement or by the Marshall Islands Act. Each proposed amendment that requires the approval of the holders of a specified percentage of Outstanding Units shall be set forth in a writing that contains the text of the proposed amendment. If such an amendment is proposed, the Board of Directors shall seek the written approval of the requisite percentage of Outstanding Units or call a meeting of the Unitholders to consider and vote on such proposed amendment. The Board of Directors shall notify all Record Holders upon final adoption of any such proposed amendments.</w:t>
      </w:r>
    </w:p>
    <w:p>
      <w:pPr>
        <w:spacing w:after="0" w:line="200" w:lineRule="exact"/>
        <w:rPr>
          <w:sz w:val="20"/>
          <w:szCs w:val="20"/>
          <w:color w:val="auto"/>
        </w:rPr>
      </w:pPr>
    </w:p>
    <w:p>
      <w:pPr>
        <w:spacing w:after="0" w:line="234"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9"/>
          <w:szCs w:val="19"/>
          <w:color w:val="auto"/>
        </w:rPr>
        <w:t xml:space="preserve">Section 13.3. </w:t>
      </w:r>
      <w:r>
        <w:rPr>
          <w:rFonts w:ascii="Arial" w:cs="Arial" w:eastAsia="Arial" w:hAnsi="Arial"/>
          <w:sz w:val="19"/>
          <w:szCs w:val="19"/>
          <w:i w:val="1"/>
          <w:iCs w:val="1"/>
          <w:color w:val="auto"/>
        </w:rPr>
        <w:t>Amendment Requirements</w:t>
      </w:r>
      <w:r>
        <w:rPr>
          <w:rFonts w:ascii="Arial" w:cs="Arial" w:eastAsia="Arial" w:hAnsi="Arial"/>
          <w:sz w:val="19"/>
          <w:szCs w:val="19"/>
          <w:color w:val="auto"/>
        </w:rPr>
        <w:t xml:space="preserve">. (a) Notwithstanding the provisions of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13.2</w:t>
      </w:r>
      <w:r>
        <w:rPr>
          <w:rFonts w:ascii="Arial" w:cs="Arial" w:eastAsia="Arial" w:hAnsi="Arial"/>
          <w:sz w:val="19"/>
          <w:szCs w:val="19"/>
          <w:color w:val="auto"/>
        </w:rPr>
        <w:t xml:space="preserve">, no provision of this Agreement that establishes a percentage of Outstanding Units (including Units deemed owned by the General Partner and its Affiliates) required to take any action shall be amended, altered, changed, repealed or rescinded in any respect that would have the effect of (i) in the case of any provision of this Agreement other than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13.4</w:t>
      </w:r>
      <w:r>
        <w:rPr>
          <w:rFonts w:ascii="Arial" w:cs="Arial" w:eastAsia="Arial" w:hAnsi="Arial"/>
          <w:sz w:val="19"/>
          <w:szCs w:val="19"/>
          <w:color w:val="auto"/>
        </w:rPr>
        <w:t xml:space="preserve">, reducing such percentage or (ii) in the case of </w:t>
      </w:r>
      <w:r>
        <w:rPr>
          <w:rFonts w:ascii="Arial" w:cs="Arial" w:eastAsia="Arial" w:hAnsi="Arial"/>
          <w:sz w:val="19"/>
          <w:szCs w:val="19"/>
          <w:u w:val="single" w:color="auto"/>
          <w:color w:val="auto"/>
        </w:rPr>
        <w:t>Section 11.2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13.4</w:t>
      </w:r>
      <w:r>
        <w:rPr>
          <w:rFonts w:ascii="Arial" w:cs="Arial" w:eastAsia="Arial" w:hAnsi="Arial"/>
          <w:sz w:val="19"/>
          <w:szCs w:val="19"/>
          <w:color w:val="auto"/>
        </w:rPr>
        <w:t>, increasing such percentage, unless such amendment is approved by the written consent or the affirmative vote of holders of Outstanding Units whose aggregate Outstanding Units constitute not less than the voting requirement sought to be reduced.</w:t>
      </w:r>
    </w:p>
    <w:p>
      <w:pPr>
        <w:spacing w:after="0" w:line="179" w:lineRule="exact"/>
        <w:rPr>
          <w:sz w:val="20"/>
          <w:szCs w:val="20"/>
          <w:color w:val="auto"/>
        </w:rPr>
      </w:pPr>
    </w:p>
    <w:p>
      <w:pPr>
        <w:ind w:left="2100" w:hanging="796"/>
        <w:spacing w:after="0"/>
        <w:tabs>
          <w:tab w:leader="none" w:pos="2100" w:val="left"/>
        </w:tabs>
        <w:numPr>
          <w:ilvl w:val="1"/>
          <w:numId w:val="57"/>
        </w:numPr>
        <w:rPr>
          <w:rFonts w:ascii="Arial" w:cs="Arial" w:eastAsia="Arial" w:hAnsi="Arial"/>
          <w:sz w:val="19"/>
          <w:szCs w:val="19"/>
          <w:color w:val="auto"/>
        </w:rPr>
      </w:pPr>
      <w:r>
        <w:rPr>
          <w:rFonts w:ascii="Arial" w:cs="Arial" w:eastAsia="Arial" w:hAnsi="Arial"/>
          <w:sz w:val="19"/>
          <w:szCs w:val="19"/>
          <w:color w:val="auto"/>
        </w:rPr>
        <w:t xml:space="preserve">Notwithstanding the provisions of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13.2</w:t>
      </w:r>
      <w:r>
        <w:rPr>
          <w:rFonts w:ascii="Arial" w:cs="Arial" w:eastAsia="Arial" w:hAnsi="Arial"/>
          <w:sz w:val="19"/>
          <w:szCs w:val="19"/>
          <w:color w:val="auto"/>
        </w:rPr>
        <w:t>, no amendment to this Agreement may</w:t>
      </w:r>
    </w:p>
    <w:p>
      <w:pPr>
        <w:spacing w:after="0" w:line="42" w:lineRule="exact"/>
        <w:rPr>
          <w:rFonts w:ascii="Arial" w:cs="Arial" w:eastAsia="Arial" w:hAnsi="Arial"/>
          <w:sz w:val="19"/>
          <w:szCs w:val="19"/>
          <w:color w:val="auto"/>
        </w:rPr>
      </w:pPr>
    </w:p>
    <w:p>
      <w:pPr>
        <w:jc w:val="both"/>
        <w:ind w:right="40" w:firstLine="8"/>
        <w:spacing w:after="0" w:line="280" w:lineRule="auto"/>
        <w:tabs>
          <w:tab w:leader="none" w:pos="258"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enlarge the obligations of any Limited Partner without its consent, unless such enlargement shall be deemed to have occurred as a result of an amendment approved pursuant to </w:t>
      </w:r>
      <w:r>
        <w:rPr>
          <w:rFonts w:ascii="Arial" w:cs="Arial" w:eastAsia="Arial" w:hAnsi="Arial"/>
          <w:sz w:val="19"/>
          <w:szCs w:val="19"/>
          <w:u w:val="single" w:color="auto"/>
          <w:color w:val="auto"/>
        </w:rPr>
        <w:t>Section 13.3(c)</w:t>
      </w:r>
      <w:r>
        <w:rPr>
          <w:rFonts w:ascii="Arial" w:cs="Arial" w:eastAsia="Arial" w:hAnsi="Arial"/>
          <w:sz w:val="19"/>
          <w:szCs w:val="19"/>
          <w:color w:val="auto"/>
        </w:rPr>
        <w:t xml:space="preserve"> or (ii) enlarge the obligations of, restrict in any way any action by or rights of, or reduce in any way the amounts distributable, reimbursable or otherwise payable to, the General Partner or any of its Affiliates without its consent, which consent may be given or withheld at the General Partner’s option.</w:t>
      </w:r>
    </w:p>
    <w:p>
      <w:pPr>
        <w:spacing w:after="0" w:line="177" w:lineRule="exact"/>
        <w:rPr>
          <w:rFonts w:ascii="Arial" w:cs="Arial" w:eastAsia="Arial" w:hAnsi="Arial"/>
          <w:sz w:val="19"/>
          <w:szCs w:val="19"/>
          <w:color w:val="auto"/>
        </w:rPr>
      </w:pPr>
    </w:p>
    <w:p>
      <w:pPr>
        <w:ind w:firstLine="1304"/>
        <w:spacing w:after="0" w:line="277" w:lineRule="auto"/>
        <w:tabs>
          <w:tab w:leader="none" w:pos="2076" w:val="left"/>
        </w:tabs>
        <w:numPr>
          <w:ilvl w:val="1"/>
          <w:numId w:val="58"/>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14.3</w:t>
      </w:r>
      <w:r>
        <w:rPr>
          <w:rFonts w:ascii="Arial" w:cs="Arial" w:eastAsia="Arial" w:hAnsi="Arial"/>
          <w:sz w:val="19"/>
          <w:szCs w:val="19"/>
          <w:color w:val="auto"/>
        </w:rPr>
        <w:t xml:space="preserve"> and subject to </w:t>
      </w:r>
      <w:r>
        <w:rPr>
          <w:rFonts w:ascii="Arial" w:cs="Arial" w:eastAsia="Arial" w:hAnsi="Arial"/>
          <w:sz w:val="19"/>
          <w:szCs w:val="19"/>
          <w:u w:val="single" w:color="auto"/>
          <w:color w:val="auto"/>
        </w:rPr>
        <w:t>Section 16.5(c)(i)</w:t>
      </w:r>
      <w:r>
        <w:rPr>
          <w:rFonts w:ascii="Arial" w:cs="Arial" w:eastAsia="Arial" w:hAnsi="Arial"/>
          <w:sz w:val="19"/>
          <w:szCs w:val="19"/>
          <w:color w:val="auto"/>
        </w:rPr>
        <w:t xml:space="preserve"> with respect to Series A Preference Units, </w:t>
      </w:r>
      <w:r>
        <w:rPr>
          <w:rFonts w:ascii="Arial" w:cs="Arial" w:eastAsia="Arial" w:hAnsi="Arial"/>
          <w:sz w:val="19"/>
          <w:szCs w:val="19"/>
          <w:u w:val="single" w:color="auto"/>
          <w:color w:val="auto"/>
        </w:rPr>
        <w:t>Section 17.5(c)(i)</w:t>
      </w:r>
      <w:r>
        <w:rPr>
          <w:rFonts w:ascii="Arial" w:cs="Arial" w:eastAsia="Arial" w:hAnsi="Arial"/>
          <w:sz w:val="19"/>
          <w:szCs w:val="19"/>
          <w:color w:val="auto"/>
        </w:rPr>
        <w:t xml:space="preserve"> with respect to Series B Preference Units and </w:t>
      </w:r>
      <w:r>
        <w:rPr>
          <w:rFonts w:ascii="Arial" w:cs="Arial" w:eastAsia="Arial" w:hAnsi="Arial"/>
          <w:sz w:val="19"/>
          <w:szCs w:val="19"/>
          <w:u w:val="single" w:color="auto"/>
          <w:color w:val="auto"/>
        </w:rPr>
        <w:t>Section 18.5(c)(i)</w:t>
      </w:r>
      <w:r>
        <w:rPr>
          <w:rFonts w:ascii="Arial" w:cs="Arial" w:eastAsia="Arial" w:hAnsi="Arial"/>
          <w:sz w:val="19"/>
          <w:szCs w:val="19"/>
          <w:color w:val="auto"/>
        </w:rPr>
        <w:t xml:space="preserve"> with respect to Series C Preference Units, and without limitation of the Board of Directors’ authority to adopt amendments to this Agreement without the approval of any Partners as contemplated in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any amendment that would have a material adverse effect on the rights or preferences of any class or series of Partnership Interests in relation to other classes or series of Partnership Interests must be approved by the holders of not less than a majority of the Outstanding Partnership Interests of the class or series affected. If the General Partner determines an amendment does not satisfy the requirements of </w:t>
      </w:r>
      <w:r>
        <w:rPr>
          <w:rFonts w:ascii="Arial" w:cs="Arial" w:eastAsia="Arial" w:hAnsi="Arial"/>
          <w:sz w:val="19"/>
          <w:szCs w:val="19"/>
          <w:u w:val="single" w:color="auto"/>
          <w:color w:val="auto"/>
        </w:rPr>
        <w:t>Section 13.1(d)(i)</w:t>
      </w:r>
      <w:r>
        <w:rPr>
          <w:rFonts w:ascii="Arial" w:cs="Arial" w:eastAsia="Arial" w:hAnsi="Arial"/>
          <w:sz w:val="19"/>
          <w:szCs w:val="19"/>
          <w:color w:val="auto"/>
        </w:rPr>
        <w:t xml:space="preserve"> because</w:t>
      </w:r>
    </w:p>
    <w:p>
      <w:pPr>
        <w:spacing w:after="0" w:line="35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04" w:right="399" w:bottom="1440" w:gutter="0" w:footer="0" w:header="0"/>
        </w:sectPr>
      </w:pPr>
    </w:p>
    <w:bookmarkStart w:id="60" w:name="page61"/>
    <w:bookmarkEnd w:id="60"/>
    <w:p>
      <w:pPr>
        <w:ind w:right="520"/>
        <w:spacing w:after="0" w:line="328" w:lineRule="auto"/>
        <w:rPr>
          <w:sz w:val="20"/>
          <w:szCs w:val="20"/>
          <w:color w:val="auto"/>
        </w:rPr>
      </w:pPr>
      <w:r>
        <w:rPr>
          <w:rFonts w:ascii="Arial" w:cs="Arial" w:eastAsia="Arial" w:hAnsi="Arial"/>
          <w:sz w:val="19"/>
          <w:szCs w:val="19"/>
          <w:color w:val="auto"/>
        </w:rPr>
        <w:t>it adversely affects one or more classes of Partnership Interests, as compared to other classes of Partnership Interests, in any material respect, such amendment shall only be required to be approved by the adversely affected class or classes.</w:t>
      </w:r>
    </w:p>
    <w:p>
      <w:pPr>
        <w:spacing w:after="0" w:line="132" w:lineRule="exact"/>
        <w:rPr>
          <w:sz w:val="20"/>
          <w:szCs w:val="20"/>
          <w:color w:val="auto"/>
        </w:rPr>
      </w:pPr>
    </w:p>
    <w:p>
      <w:pPr>
        <w:jc w:val="both"/>
        <w:ind w:right="100" w:firstLine="1304"/>
        <w:spacing w:after="0" w:line="287" w:lineRule="auto"/>
        <w:tabs>
          <w:tab w:leader="none" w:pos="2088" w:val="left"/>
        </w:tabs>
        <w:numPr>
          <w:ilvl w:val="0"/>
          <w:numId w:val="59"/>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Agreement, except for amendments pursuant to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except as otherwise provided by </w:t>
      </w:r>
      <w:r>
        <w:rPr>
          <w:rFonts w:ascii="Arial" w:cs="Arial" w:eastAsia="Arial" w:hAnsi="Arial"/>
          <w:sz w:val="19"/>
          <w:szCs w:val="19"/>
          <w:u w:val="single" w:color="auto"/>
          <w:color w:val="auto"/>
        </w:rPr>
        <w:t>Section 14.3(b)</w:t>
      </w:r>
      <w:r>
        <w:rPr>
          <w:rFonts w:ascii="Arial" w:cs="Arial" w:eastAsia="Arial" w:hAnsi="Arial"/>
          <w:sz w:val="19"/>
          <w:szCs w:val="19"/>
          <w:color w:val="auto"/>
        </w:rPr>
        <w:t>, no amendments shall become effective without the approval of the holders of at least 90% of the Outstanding Units, voting as a single class, unless the Partnership obtains an Opinion of Counsel to the effect that such amendment will not affect the limited liability of any Limited Partner under applicable law.</w:t>
      </w:r>
    </w:p>
    <w:p>
      <w:pPr>
        <w:spacing w:after="0" w:line="169" w:lineRule="exact"/>
        <w:rPr>
          <w:rFonts w:ascii="Arial" w:cs="Arial" w:eastAsia="Arial" w:hAnsi="Arial"/>
          <w:sz w:val="19"/>
          <w:szCs w:val="19"/>
          <w:color w:val="auto"/>
        </w:rPr>
      </w:pPr>
    </w:p>
    <w:p>
      <w:pPr>
        <w:ind w:right="480" w:firstLine="1304"/>
        <w:spacing w:after="0" w:line="250" w:lineRule="auto"/>
        <w:tabs>
          <w:tab w:leader="none" w:pos="2076" w:val="left"/>
        </w:tabs>
        <w:numPr>
          <w:ilvl w:val="0"/>
          <w:numId w:val="59"/>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13.1</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Section 13.3</w:t>
      </w:r>
      <w:r>
        <w:rPr>
          <w:rFonts w:ascii="Arial" w:cs="Arial" w:eastAsia="Arial" w:hAnsi="Arial"/>
          <w:sz w:val="22"/>
          <w:szCs w:val="22"/>
          <w:color w:val="auto"/>
        </w:rPr>
        <w:t xml:space="preserve"> shall only be amended with the approval of the holders of at least 90% of the Outstanding Units.</w:t>
      </w:r>
    </w:p>
    <w:p>
      <w:pPr>
        <w:spacing w:after="0" w:line="202" w:lineRule="exact"/>
        <w:rPr>
          <w:sz w:val="20"/>
          <w:szCs w:val="20"/>
          <w:color w:val="auto"/>
        </w:rPr>
      </w:pPr>
    </w:p>
    <w:p>
      <w:pPr>
        <w:jc w:val="both"/>
        <w:ind w:right="100" w:firstLine="1296"/>
        <w:spacing w:after="0"/>
        <w:rPr>
          <w:sz w:val="20"/>
          <w:szCs w:val="20"/>
          <w:color w:val="auto"/>
        </w:rPr>
      </w:pPr>
      <w:r>
        <w:rPr>
          <w:rFonts w:ascii="Arial" w:cs="Arial" w:eastAsia="Arial" w:hAnsi="Arial"/>
          <w:sz w:val="22"/>
          <w:szCs w:val="22"/>
          <w:color w:val="auto"/>
        </w:rPr>
        <w:t xml:space="preserve">Section 13.4. </w:t>
      </w:r>
      <w:r>
        <w:rPr>
          <w:rFonts w:ascii="Arial" w:cs="Arial" w:eastAsia="Arial" w:hAnsi="Arial"/>
          <w:sz w:val="22"/>
          <w:szCs w:val="22"/>
          <w:i w:val="1"/>
          <w:iCs w:val="1"/>
          <w:color w:val="auto"/>
        </w:rPr>
        <w:t>Special Meetings</w:t>
      </w:r>
      <w:r>
        <w:rPr>
          <w:rFonts w:ascii="Arial" w:cs="Arial" w:eastAsia="Arial" w:hAnsi="Arial"/>
          <w:sz w:val="22"/>
          <w:szCs w:val="22"/>
          <w:color w:val="auto"/>
        </w:rPr>
        <w:t xml:space="preserve">. All acts of Limited Partners to be taken pursuant to this Agreement shall be taken in the manner provided in this </w:t>
      </w:r>
      <w:r>
        <w:rPr>
          <w:rFonts w:ascii="Arial" w:cs="Arial" w:eastAsia="Arial" w:hAnsi="Arial"/>
          <w:sz w:val="22"/>
          <w:szCs w:val="22"/>
          <w:u w:val="single" w:color="auto"/>
          <w:color w:val="auto"/>
        </w:rPr>
        <w:t>Article XIII</w:t>
      </w:r>
      <w:r>
        <w:rPr>
          <w:rFonts w:ascii="Arial" w:cs="Arial" w:eastAsia="Arial" w:hAnsi="Arial"/>
          <w:sz w:val="22"/>
          <w:szCs w:val="22"/>
          <w:color w:val="auto"/>
        </w:rPr>
        <w:t>. Special meetings of the Limited Partners may be called by the General Partner or the Board of Directors.</w:t>
      </w:r>
    </w:p>
    <w:p>
      <w:pPr>
        <w:spacing w:after="0" w:line="213" w:lineRule="exact"/>
        <w:rPr>
          <w:sz w:val="20"/>
          <w:szCs w:val="20"/>
          <w:color w:val="auto"/>
        </w:rPr>
      </w:pPr>
    </w:p>
    <w:p>
      <w:pPr>
        <w:ind w:firstLine="1296"/>
        <w:spacing w:after="0" w:line="273" w:lineRule="auto"/>
        <w:rPr>
          <w:sz w:val="20"/>
          <w:szCs w:val="20"/>
          <w:color w:val="auto"/>
        </w:rPr>
      </w:pPr>
      <w:r>
        <w:rPr>
          <w:rFonts w:ascii="Arial" w:cs="Arial" w:eastAsia="Arial" w:hAnsi="Arial"/>
          <w:sz w:val="19"/>
          <w:szCs w:val="19"/>
          <w:color w:val="auto"/>
        </w:rPr>
        <w:t xml:space="preserve">Section 13.5. </w:t>
      </w:r>
      <w:r>
        <w:rPr>
          <w:rFonts w:ascii="Arial" w:cs="Arial" w:eastAsia="Arial" w:hAnsi="Arial"/>
          <w:sz w:val="19"/>
          <w:szCs w:val="19"/>
          <w:i w:val="1"/>
          <w:iCs w:val="1"/>
          <w:color w:val="auto"/>
        </w:rPr>
        <w:t>Record Date</w:t>
      </w:r>
      <w:r>
        <w:rPr>
          <w:rFonts w:ascii="Arial" w:cs="Arial" w:eastAsia="Arial" w:hAnsi="Arial"/>
          <w:sz w:val="19"/>
          <w:szCs w:val="19"/>
          <w:color w:val="auto"/>
        </w:rPr>
        <w:t xml:space="preserve">. For purposes of determining the Limited Partners entitled to notice of or to vote at a meeting of the Limited Partners or to give approvals without a meeting as provided in </w:t>
      </w:r>
      <w:r>
        <w:rPr>
          <w:rFonts w:ascii="Arial" w:cs="Arial" w:eastAsia="Arial" w:hAnsi="Arial"/>
          <w:sz w:val="19"/>
          <w:szCs w:val="19"/>
          <w:u w:val="single" w:color="auto"/>
          <w:color w:val="auto"/>
        </w:rPr>
        <w:t>Section 13.10</w:t>
      </w:r>
      <w:r>
        <w:rPr>
          <w:rFonts w:ascii="Arial" w:cs="Arial" w:eastAsia="Arial" w:hAnsi="Arial"/>
          <w:sz w:val="19"/>
          <w:szCs w:val="19"/>
          <w:color w:val="auto"/>
        </w:rPr>
        <w:t xml:space="preserve">, the Board of Directors may set a Record Date, which shall not be less than 10 nor more than 60 days before (a) the date of the meeting (unless such requirement conflicts with any rule, regulation, guideline or requirement of any National Securities Exchange on which the Units are listed or admitted to trading, in which case the rule, regulation, guideline or requirement of such National Securities Exchange shall govern) or (b) in the event that approvals are sought without a meeting, the date by which Limited Partners are requested in writing by the Board of Directors to give such approvals. If the Board of Directors does not set a Record Date, then (a) the Record Date for determining the Limited Partners entitled to notice of or to vote at a meeting of the Limited Partners shall be the close of business on the day next preceding the day on which notice is given, and (b) the Record Date for determining the Limited Partners entitled to give approvals without a meeting shall be the date the first written approval is deposited with the Partnership in care of the Board of Directors in accordance with </w:t>
      </w:r>
      <w:r>
        <w:rPr>
          <w:rFonts w:ascii="Arial" w:cs="Arial" w:eastAsia="Arial" w:hAnsi="Arial"/>
          <w:sz w:val="19"/>
          <w:szCs w:val="19"/>
          <w:u w:val="single" w:color="auto"/>
          <w:color w:val="auto"/>
        </w:rPr>
        <w:t>Section 13.10</w:t>
      </w:r>
      <w:r>
        <w:rPr>
          <w:rFonts w:ascii="Arial" w:cs="Arial" w:eastAsia="Arial" w:hAnsi="Arial"/>
          <w:sz w:val="19"/>
          <w:szCs w:val="19"/>
          <w:color w:val="auto"/>
        </w:rPr>
        <w:t>.</w:t>
      </w:r>
    </w:p>
    <w:p>
      <w:pPr>
        <w:spacing w:after="0" w:line="182" w:lineRule="exact"/>
        <w:rPr>
          <w:sz w:val="20"/>
          <w:szCs w:val="20"/>
          <w:color w:val="auto"/>
        </w:rPr>
      </w:pPr>
    </w:p>
    <w:p>
      <w:pPr>
        <w:ind w:right="120" w:firstLine="1296"/>
        <w:spacing w:after="0" w:line="235" w:lineRule="auto"/>
        <w:rPr>
          <w:sz w:val="20"/>
          <w:szCs w:val="20"/>
          <w:color w:val="auto"/>
        </w:rPr>
      </w:pPr>
      <w:r>
        <w:rPr>
          <w:rFonts w:ascii="Arial" w:cs="Arial" w:eastAsia="Arial" w:hAnsi="Arial"/>
          <w:sz w:val="22"/>
          <w:szCs w:val="22"/>
          <w:color w:val="auto"/>
        </w:rPr>
        <w:t xml:space="preserve">Section 13.6. </w:t>
      </w:r>
      <w:r>
        <w:rPr>
          <w:rFonts w:ascii="Arial" w:cs="Arial" w:eastAsia="Arial" w:hAnsi="Arial"/>
          <w:sz w:val="22"/>
          <w:szCs w:val="22"/>
          <w:i w:val="1"/>
          <w:iCs w:val="1"/>
          <w:color w:val="auto"/>
        </w:rPr>
        <w:t>Adjournment</w:t>
      </w:r>
      <w:r>
        <w:rPr>
          <w:rFonts w:ascii="Arial" w:cs="Arial" w:eastAsia="Arial" w:hAnsi="Arial"/>
          <w:sz w:val="22"/>
          <w:szCs w:val="22"/>
          <w:color w:val="auto"/>
        </w:rPr>
        <w:t xml:space="preserve">. When a meeting is adjourned to another time or place, notice need not be given of the adjourned meeting and a new Record Date need not be fixed, if the time and place thereof are announced at the meeting at which the adjournment is taken, unless such adjournment shall be for more than 45 days. At the adjourned meeting, the Partnership may transact any business which might have been transacted at the original meeting. If the adjournment is for more than 45 days or if a new Record Date is fixed for the adjourned meeting, a notice of the adjourned meeting shall be given in accordance with this </w:t>
      </w:r>
      <w:r>
        <w:rPr>
          <w:rFonts w:ascii="Arial" w:cs="Arial" w:eastAsia="Arial" w:hAnsi="Arial"/>
          <w:sz w:val="22"/>
          <w:szCs w:val="22"/>
          <w:u w:val="single" w:color="auto"/>
          <w:color w:val="auto"/>
        </w:rPr>
        <w:t>Article XIII</w:t>
      </w:r>
      <w:r>
        <w:rPr>
          <w:rFonts w:ascii="Arial" w:cs="Arial" w:eastAsia="Arial" w:hAnsi="Arial"/>
          <w:sz w:val="22"/>
          <w:szCs w:val="22"/>
          <w:color w:val="auto"/>
        </w:rPr>
        <w:t>.</w:t>
      </w:r>
    </w:p>
    <w:p>
      <w:pPr>
        <w:spacing w:after="0" w:line="215" w:lineRule="exact"/>
        <w:rPr>
          <w:sz w:val="20"/>
          <w:szCs w:val="20"/>
          <w:color w:val="auto"/>
        </w:rPr>
      </w:pPr>
    </w:p>
    <w:p>
      <w:pPr>
        <w:ind w:right="100" w:firstLine="1296"/>
        <w:spacing w:after="0" w:line="287" w:lineRule="auto"/>
        <w:rPr>
          <w:sz w:val="20"/>
          <w:szCs w:val="20"/>
          <w:color w:val="auto"/>
        </w:rPr>
      </w:pPr>
      <w:r>
        <w:rPr>
          <w:rFonts w:ascii="Arial" w:cs="Arial" w:eastAsia="Arial" w:hAnsi="Arial"/>
          <w:sz w:val="19"/>
          <w:szCs w:val="19"/>
          <w:color w:val="auto"/>
        </w:rPr>
        <w:t xml:space="preserve">Section 13.7. </w:t>
      </w:r>
      <w:r>
        <w:rPr>
          <w:rFonts w:ascii="Arial" w:cs="Arial" w:eastAsia="Arial" w:hAnsi="Arial"/>
          <w:sz w:val="19"/>
          <w:szCs w:val="19"/>
          <w:i w:val="1"/>
          <w:iCs w:val="1"/>
          <w:color w:val="auto"/>
        </w:rPr>
        <w:t>Waiver of Notice; Approval of Meeting; Approval of Minutes</w:t>
      </w:r>
      <w:r>
        <w:rPr>
          <w:rFonts w:ascii="Arial" w:cs="Arial" w:eastAsia="Arial" w:hAnsi="Arial"/>
          <w:sz w:val="19"/>
          <w:szCs w:val="19"/>
          <w:color w:val="auto"/>
        </w:rPr>
        <w:t>. The transactions of any meeting of Limited Partners, however called and noticed, and whenever held, shall be as valid as if it had occurred at a meeting duly held after regular call and notice, if a quorum is present either in person or by proxy. Attendance of a Limited Partner at a meeting shall constitute a waiver of notice of the meeting, except when the Limited Partner attends the</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61" w:name="page62"/>
    <w:bookmarkEnd w:id="61"/>
    <w:p>
      <w:pPr>
        <w:ind w:right="120"/>
        <w:spacing w:after="0" w:line="238" w:lineRule="auto"/>
        <w:rPr>
          <w:sz w:val="20"/>
          <w:szCs w:val="20"/>
          <w:color w:val="auto"/>
        </w:rPr>
      </w:pPr>
      <w:r>
        <w:rPr>
          <w:rFonts w:ascii="Arial" w:cs="Arial" w:eastAsia="Arial" w:hAnsi="Arial"/>
          <w:sz w:val="22"/>
          <w:szCs w:val="22"/>
          <w:color w:val="auto"/>
        </w:rPr>
        <w:t>meeting for the express purpose of objecting, at the beginning of the meeting, to the transaction of any business because the meeting is not lawfully called or convened; and except that attendance at a meeting is not a waiver of any right to disapprove the consideration of matters required to be included in the notice of the meeting, but not so included, if the disapproval is expressly made at the meeting.</w:t>
      </w:r>
    </w:p>
    <w:p>
      <w:pPr>
        <w:spacing w:after="0" w:line="212" w:lineRule="exact"/>
        <w:rPr>
          <w:sz w:val="20"/>
          <w:szCs w:val="20"/>
          <w:color w:val="auto"/>
        </w:rPr>
      </w:pPr>
    </w:p>
    <w:p>
      <w:pPr>
        <w:ind w:firstLine="1296"/>
        <w:spacing w:after="0" w:line="270" w:lineRule="auto"/>
        <w:rPr>
          <w:sz w:val="20"/>
          <w:szCs w:val="20"/>
          <w:color w:val="auto"/>
        </w:rPr>
      </w:pPr>
      <w:r>
        <w:rPr>
          <w:rFonts w:ascii="Arial" w:cs="Arial" w:eastAsia="Arial" w:hAnsi="Arial"/>
          <w:sz w:val="19"/>
          <w:szCs w:val="19"/>
          <w:color w:val="auto"/>
        </w:rPr>
        <w:t xml:space="preserve">Section 13.8. </w:t>
      </w:r>
      <w:r>
        <w:rPr>
          <w:rFonts w:ascii="Arial" w:cs="Arial" w:eastAsia="Arial" w:hAnsi="Arial"/>
          <w:sz w:val="19"/>
          <w:szCs w:val="19"/>
          <w:i w:val="1"/>
          <w:iCs w:val="1"/>
          <w:color w:val="auto"/>
        </w:rPr>
        <w:t>Quorum and Voting</w:t>
      </w:r>
      <w:r>
        <w:rPr>
          <w:rFonts w:ascii="Arial" w:cs="Arial" w:eastAsia="Arial" w:hAnsi="Arial"/>
          <w:sz w:val="19"/>
          <w:szCs w:val="19"/>
          <w:color w:val="auto"/>
        </w:rPr>
        <w:t xml:space="preserve">. The holders of 33⅓% of the Outstanding Units of the class, classes or series for which a meeting has been called (including Outstanding Units deemed owned by the General Partner and its Affiliates) represented in person or by proxy shall constitute a quorum at a meeting of Limited Partners of such class, classes or series unless any such action by the Limited Partners requires approval by holders of a greater percentage of such Units, in which case the quorum shall be such greater percentage. At any meeting of the Limited Partners duly called and held in accordance with this Agreement at which a quorum is present, the act of Limited Partners holding Outstanding Units that in the aggregate represent a majority of the Outstanding Units entitled to vote and be present in person or by proxy at such meeting shall be deemed to constitute the act of all Limited Partners, unless a greater or different percentage is required with respect to such action under the provisions of this Agreement, in which case the act of the Limited Partners holding Outstanding Units that in the aggregate represent at least such greater or different percentage shall be required. The Limited Partners present at a duly called or held meeting at which a quorum is present may continue to transact business until adjournment, notwithstanding the withdrawal of enough Limited Partners to leave less than a quorum, if any action taken (other than adjournment) is approved by the required percentage of Outstanding Units specified in this Agreement (including Outstanding Units deemed owned by the General Partner and its Affiliates). In the absence of a quorum, any meeting of Limited Partners may be adjourned from time to time by the affirmative vote of holders of at least a majority of the Outstanding Units entitled to vote at such meeting (including Outstanding Units deemed owned by the General Partner and its Affiliates) and represented either in person or by proxy, but no other business may be transacted, except as provided in </w:t>
      </w:r>
      <w:r>
        <w:rPr>
          <w:rFonts w:ascii="Arial" w:cs="Arial" w:eastAsia="Arial" w:hAnsi="Arial"/>
          <w:sz w:val="19"/>
          <w:szCs w:val="19"/>
          <w:u w:val="single" w:color="auto"/>
          <w:color w:val="auto"/>
        </w:rPr>
        <w:t>Section 13.6</w:t>
      </w:r>
      <w:r>
        <w:rPr>
          <w:rFonts w:ascii="Arial" w:cs="Arial" w:eastAsia="Arial" w:hAnsi="Arial"/>
          <w:sz w:val="19"/>
          <w:szCs w:val="19"/>
          <w:color w:val="auto"/>
        </w:rPr>
        <w:t>.</w:t>
      </w:r>
    </w:p>
    <w:p>
      <w:pPr>
        <w:spacing w:after="0" w:line="200" w:lineRule="exact"/>
        <w:rPr>
          <w:sz w:val="20"/>
          <w:szCs w:val="20"/>
          <w:color w:val="auto"/>
        </w:rPr>
      </w:pPr>
    </w:p>
    <w:p>
      <w:pPr>
        <w:spacing w:after="0" w:line="241" w:lineRule="exact"/>
        <w:rPr>
          <w:sz w:val="20"/>
          <w:szCs w:val="20"/>
          <w:color w:val="auto"/>
        </w:rPr>
      </w:pPr>
    </w:p>
    <w:p>
      <w:pPr>
        <w:ind w:firstLine="1296"/>
        <w:spacing w:after="0" w:line="273" w:lineRule="auto"/>
        <w:rPr>
          <w:sz w:val="20"/>
          <w:szCs w:val="20"/>
          <w:color w:val="auto"/>
        </w:rPr>
      </w:pPr>
      <w:r>
        <w:rPr>
          <w:rFonts w:ascii="Arial" w:cs="Arial" w:eastAsia="Arial" w:hAnsi="Arial"/>
          <w:sz w:val="19"/>
          <w:szCs w:val="19"/>
          <w:color w:val="auto"/>
        </w:rPr>
        <w:t xml:space="preserve">Section 13.9. </w:t>
      </w:r>
      <w:r>
        <w:rPr>
          <w:rFonts w:ascii="Arial" w:cs="Arial" w:eastAsia="Arial" w:hAnsi="Arial"/>
          <w:sz w:val="19"/>
          <w:szCs w:val="19"/>
          <w:i w:val="1"/>
          <w:iCs w:val="1"/>
          <w:color w:val="auto"/>
        </w:rPr>
        <w:t>Conduct of a Meeting</w:t>
      </w:r>
      <w:r>
        <w:rPr>
          <w:rFonts w:ascii="Arial" w:cs="Arial" w:eastAsia="Arial" w:hAnsi="Arial"/>
          <w:sz w:val="19"/>
          <w:szCs w:val="19"/>
          <w:color w:val="auto"/>
        </w:rPr>
        <w:t>. The Board of Directors shall have full power and authority concerning the manner of conducting any meeting of the Limited Partners or solicitation of approvals in writing, including the determination of Persons entitled to vote, the existence of a quorum, the conduct of voting, the validity and effect of any proxies and the determination of any controversies, votes or challenges arising in connection with or during the meeting or voting. The Chairman of the Board of Directors shall serve as chairman of any meeting and shall further designate a Person to take the minutes of any meeting. All minutes shall be kept with the records of the Partnership maintained by the Board of Directors. The Board of Directors may make such other regulations consistent with applicable law and this Agreement as it may deem advisable concerning the conduct of any meeting of the Limited Partners or solicitation of approvals in writing, including regulations in regard to the appointment of proxies, the appointment and duties of inspectors of votes and approvals, the submission and examination of proxies and other evidence of the right to vote, and the revocation of approvals in writing.</w:t>
      </w:r>
    </w:p>
    <w:p>
      <w:pPr>
        <w:spacing w:after="0" w:line="188" w:lineRule="exact"/>
        <w:rPr>
          <w:sz w:val="20"/>
          <w:szCs w:val="20"/>
          <w:color w:val="auto"/>
        </w:rPr>
      </w:pPr>
    </w:p>
    <w:p>
      <w:pPr>
        <w:ind w:right="340" w:firstLine="1296"/>
        <w:spacing w:after="0" w:line="250" w:lineRule="auto"/>
        <w:rPr>
          <w:sz w:val="20"/>
          <w:szCs w:val="20"/>
          <w:color w:val="auto"/>
        </w:rPr>
      </w:pPr>
      <w:r>
        <w:rPr>
          <w:rFonts w:ascii="Arial" w:cs="Arial" w:eastAsia="Arial" w:hAnsi="Arial"/>
          <w:sz w:val="22"/>
          <w:szCs w:val="22"/>
          <w:color w:val="auto"/>
        </w:rPr>
        <w:t xml:space="preserve">Section 13.10. </w:t>
      </w:r>
      <w:r>
        <w:rPr>
          <w:rFonts w:ascii="Arial" w:cs="Arial" w:eastAsia="Arial" w:hAnsi="Arial"/>
          <w:sz w:val="22"/>
          <w:szCs w:val="22"/>
          <w:i w:val="1"/>
          <w:iCs w:val="1"/>
          <w:color w:val="auto"/>
        </w:rPr>
        <w:t>Action Without a Meeting</w:t>
      </w:r>
      <w:r>
        <w:rPr>
          <w:rFonts w:ascii="Arial" w:cs="Arial" w:eastAsia="Arial" w:hAnsi="Arial"/>
          <w:sz w:val="22"/>
          <w:szCs w:val="22"/>
          <w:color w:val="auto"/>
        </w:rPr>
        <w:t>. If authorized by the Board of Directors, any action that may be taken at a meeting of the Limited Partners may be taken without a</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62" w:name="page63"/>
    <w:bookmarkEnd w:id="62"/>
    <w:p>
      <w:pPr>
        <w:spacing w:after="0" w:line="270" w:lineRule="auto"/>
        <w:rPr>
          <w:sz w:val="20"/>
          <w:szCs w:val="20"/>
          <w:color w:val="auto"/>
        </w:rPr>
      </w:pPr>
      <w:r>
        <w:rPr>
          <w:rFonts w:ascii="Arial" w:cs="Arial" w:eastAsia="Arial" w:hAnsi="Arial"/>
          <w:sz w:val="19"/>
          <w:szCs w:val="19"/>
          <w:color w:val="auto"/>
        </w:rPr>
        <w:t>meeting if an approval in writing setting forth the action so taken is signed by Limited Partners owning not less than the minimum percentage of the Outstanding Units (including Units deemed owned by the General Partner and its Affiliates) that would be necessary to authorize or take such action at a meeting at which all the Limited Partners were present and voted (unless such provision conflicts with any rule, regulation, guideline or requirement of any National Securities Exchange on which the Units are listed or admitted to trading, in which case the rule, regulation, guideline or requirement of such National Securities Exchange shall govern). Prompt notice of the taking of action without a meeting shall be given to the Limited Partners who have not approved the action in writing. The Board of Directors may specify that any written ballot submitted to Limited Partners for the purpose of taking any action without a meeting shall be returned to the Partnership within the time period, which shall be not less than 20 days, specified by the Board of Directors. If a ballot returned to the Partnership does not vote all of the Units held by the Limited Partners, the Partnership shall be deemed to have failed to receive a ballot for the Units that were not voted. If approval of the taking of any action by the Limited Partners is solicited by any Person other than by or on behalf of the Board of Directors, the written approvals shall have no force and effect unless and until (a) they are deposited with the Partnership in care of the Board of Directors, (b) approvals sufficient to take the action proposed are dated as of a date not more than 90 days prior to the date sufficient approvals are deposited with the Partnership and (c) an Opinion of Counsel is delivered to the Board of Directors to the effect that the exercise of such right and the action proposed to be taken with respect to any particular matter (i) will not cause the Limited Partners to be deemed to be taking part in the management and control of the business and affairs of the Partnership so as to jeopardize the Limited Partners’ limited liability, and (ii) is otherwise permissible under the applicable statutes then governing the rights, duties and liabilities of the Partnership and the Partners.</w:t>
      </w:r>
    </w:p>
    <w:p>
      <w:pPr>
        <w:spacing w:after="0" w:line="193" w:lineRule="exact"/>
        <w:rPr>
          <w:sz w:val="20"/>
          <w:szCs w:val="20"/>
          <w:color w:val="auto"/>
        </w:rPr>
      </w:pPr>
    </w:p>
    <w:p>
      <w:pPr>
        <w:ind w:firstLine="1296"/>
        <w:spacing w:after="0" w:line="236" w:lineRule="auto"/>
        <w:rPr>
          <w:sz w:val="20"/>
          <w:szCs w:val="20"/>
          <w:color w:val="auto"/>
        </w:rPr>
      </w:pPr>
      <w:r>
        <w:rPr>
          <w:rFonts w:ascii="Arial" w:cs="Arial" w:eastAsia="Arial" w:hAnsi="Arial"/>
          <w:sz w:val="22"/>
          <w:szCs w:val="22"/>
          <w:color w:val="auto"/>
        </w:rPr>
        <w:t xml:space="preserve">Section 13.11. </w:t>
      </w:r>
      <w:r>
        <w:rPr>
          <w:rFonts w:ascii="Arial" w:cs="Arial" w:eastAsia="Arial" w:hAnsi="Arial"/>
          <w:sz w:val="22"/>
          <w:szCs w:val="22"/>
          <w:i w:val="1"/>
          <w:iCs w:val="1"/>
          <w:color w:val="auto"/>
        </w:rPr>
        <w:t>Right to Vote and Related Matters</w:t>
      </w:r>
      <w:r>
        <w:rPr>
          <w:rFonts w:ascii="Arial" w:cs="Arial" w:eastAsia="Arial" w:hAnsi="Arial"/>
          <w:sz w:val="22"/>
          <w:szCs w:val="22"/>
          <w:color w:val="auto"/>
        </w:rPr>
        <w:t xml:space="preserve">. (a) Only those Record Holders of the Units on the Record Date set pursuant to </w:t>
      </w:r>
      <w:r>
        <w:rPr>
          <w:rFonts w:ascii="Arial" w:cs="Arial" w:eastAsia="Arial" w:hAnsi="Arial"/>
          <w:sz w:val="22"/>
          <w:szCs w:val="22"/>
          <w:u w:val="single" w:color="auto"/>
          <w:color w:val="auto"/>
        </w:rPr>
        <w:t>Section 13.5</w:t>
      </w:r>
      <w:r>
        <w:rPr>
          <w:rFonts w:ascii="Arial" w:cs="Arial" w:eastAsia="Arial" w:hAnsi="Arial"/>
          <w:sz w:val="22"/>
          <w:szCs w:val="22"/>
          <w:color w:val="auto"/>
        </w:rPr>
        <w:t xml:space="preserve"> shall be entitled to notice of, and to vote at, a meeting of Limited Partners or to act with respect to matters as to which the holders of the Outstanding Units have the right to vote or to act. All references in this Agreement to votes of, or other acts that may be taken by, the Outstanding Units shall be deemed to be references to the votes or acts of the Record Holders of such Outstanding Units.</w:t>
      </w:r>
    </w:p>
    <w:p>
      <w:pPr>
        <w:spacing w:after="0" w:line="214" w:lineRule="exact"/>
        <w:rPr>
          <w:sz w:val="20"/>
          <w:szCs w:val="20"/>
          <w:color w:val="auto"/>
        </w:rPr>
      </w:pPr>
    </w:p>
    <w:p>
      <w:pPr>
        <w:ind w:right="100" w:firstLine="1304"/>
        <w:spacing w:after="0" w:line="279" w:lineRule="auto"/>
        <w:tabs>
          <w:tab w:leader="none" w:pos="2088" w:val="left"/>
        </w:tabs>
        <w:numPr>
          <w:ilvl w:val="0"/>
          <w:numId w:val="60"/>
        </w:numPr>
        <w:rPr>
          <w:rFonts w:ascii="Arial" w:cs="Arial" w:eastAsia="Arial" w:hAnsi="Arial"/>
          <w:sz w:val="19"/>
          <w:szCs w:val="19"/>
          <w:color w:val="auto"/>
        </w:rPr>
      </w:pPr>
      <w:r>
        <w:rPr>
          <w:rFonts w:ascii="Arial" w:cs="Arial" w:eastAsia="Arial" w:hAnsi="Arial"/>
          <w:sz w:val="19"/>
          <w:szCs w:val="19"/>
          <w:color w:val="auto"/>
        </w:rPr>
        <w:t xml:space="preserve">With respect to Units that are held for a Person’s account by another Person (such as a broker, dealer, bank, trust company or clearing corporation, or an agent of any of the foregoing), in whose name such Units are registered, such other Person shall, in exercising the voting rights in respect of such Units on any matter, and unless the arrangement between such Persons provides otherwise, vote such Units in favor of, and at the direction of, the Person who is the beneficial owner, and the Partnership shall be entitled to assume it is so acting without further inquiry. The provisions of this </w:t>
      </w:r>
      <w:r>
        <w:rPr>
          <w:rFonts w:ascii="Arial" w:cs="Arial" w:eastAsia="Arial" w:hAnsi="Arial"/>
          <w:sz w:val="19"/>
          <w:szCs w:val="19"/>
          <w:u w:val="single" w:color="auto"/>
          <w:color w:val="auto"/>
        </w:rPr>
        <w:t>Section 13.11(b)</w:t>
      </w:r>
      <w:r>
        <w:rPr>
          <w:rFonts w:ascii="Arial" w:cs="Arial" w:eastAsia="Arial" w:hAnsi="Arial"/>
          <w:sz w:val="19"/>
          <w:szCs w:val="19"/>
          <w:color w:val="auto"/>
        </w:rPr>
        <w:t xml:space="preserve"> (as well as all other provisions of this Agreement) are subject to the provisions of </w:t>
      </w:r>
      <w:r>
        <w:rPr>
          <w:rFonts w:ascii="Arial" w:cs="Arial" w:eastAsia="Arial" w:hAnsi="Arial"/>
          <w:sz w:val="19"/>
          <w:szCs w:val="19"/>
          <w:u w:val="single" w:color="auto"/>
          <w:color w:val="auto"/>
        </w:rPr>
        <w:t>Section 4.3</w:t>
      </w:r>
      <w:r>
        <w:rPr>
          <w:rFonts w:ascii="Arial" w:cs="Arial" w:eastAsia="Arial" w:hAnsi="Arial"/>
          <w:sz w:val="19"/>
          <w:szCs w:val="19"/>
          <w:color w:val="auto"/>
        </w:rPr>
        <w: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XIV</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MERGER, CONSOLIDATION OR CONVERSION</w:t>
      </w:r>
    </w:p>
    <w:p>
      <w:pPr>
        <w:spacing w:after="0" w:line="215" w:lineRule="exact"/>
        <w:rPr>
          <w:sz w:val="20"/>
          <w:szCs w:val="20"/>
          <w:color w:val="auto"/>
        </w:rPr>
      </w:pPr>
    </w:p>
    <w:p>
      <w:pPr>
        <w:jc w:val="both"/>
        <w:ind w:right="260" w:firstLine="1296"/>
        <w:spacing w:after="0"/>
        <w:rPr>
          <w:sz w:val="20"/>
          <w:szCs w:val="20"/>
          <w:color w:val="auto"/>
        </w:rPr>
      </w:pPr>
      <w:r>
        <w:rPr>
          <w:rFonts w:ascii="Arial" w:cs="Arial" w:eastAsia="Arial" w:hAnsi="Arial"/>
          <w:sz w:val="22"/>
          <w:szCs w:val="22"/>
          <w:color w:val="auto"/>
        </w:rPr>
        <w:t xml:space="preserve">Section 14.1. </w:t>
      </w:r>
      <w:r>
        <w:rPr>
          <w:rFonts w:ascii="Arial" w:cs="Arial" w:eastAsia="Arial" w:hAnsi="Arial"/>
          <w:sz w:val="22"/>
          <w:szCs w:val="22"/>
          <w:i w:val="1"/>
          <w:iCs w:val="1"/>
          <w:color w:val="auto"/>
        </w:rPr>
        <w:t>Authority</w:t>
      </w:r>
      <w:r>
        <w:rPr>
          <w:rFonts w:ascii="Arial" w:cs="Arial" w:eastAsia="Arial" w:hAnsi="Arial"/>
          <w:sz w:val="22"/>
          <w:szCs w:val="22"/>
          <w:color w:val="auto"/>
        </w:rPr>
        <w:t>. The Partnership may merge or consolidate with or into one or more corporations, limited liability companies, statutory trusts or associations, real estate investment trusts, common law trusts or unincorporated businesses, including a partnership</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63" w:name="page64"/>
    <w:bookmarkEnd w:id="63"/>
    <w:p>
      <w:pPr>
        <w:ind w:right="40"/>
        <w:spacing w:after="0"/>
        <w:rPr>
          <w:sz w:val="20"/>
          <w:szCs w:val="20"/>
          <w:color w:val="auto"/>
        </w:rPr>
      </w:pPr>
      <w:r>
        <w:rPr>
          <w:rFonts w:ascii="Arial" w:cs="Arial" w:eastAsia="Arial" w:hAnsi="Arial"/>
          <w:sz w:val="22"/>
          <w:szCs w:val="22"/>
          <w:color w:val="auto"/>
        </w:rPr>
        <w:t>(whether general or limited (including a limited liability partnership)) or convert into any such entity, pursuant to a written agreement of merger or consolidation (“</w:t>
      </w:r>
      <w:r>
        <w:rPr>
          <w:rFonts w:ascii="Arial" w:cs="Arial" w:eastAsia="Arial" w:hAnsi="Arial"/>
          <w:sz w:val="22"/>
          <w:szCs w:val="22"/>
          <w:b w:val="1"/>
          <w:bCs w:val="1"/>
          <w:i w:val="1"/>
          <w:iCs w:val="1"/>
          <w:color w:val="auto"/>
        </w:rPr>
        <w:t>Merger Agreement</w:t>
      </w:r>
      <w:r>
        <w:rPr>
          <w:rFonts w:ascii="Arial" w:cs="Arial" w:eastAsia="Arial" w:hAnsi="Arial"/>
          <w:sz w:val="22"/>
          <w:szCs w:val="22"/>
          <w:color w:val="auto"/>
        </w:rPr>
        <w:t>”) or a written plan of conversion (“</w:t>
      </w:r>
      <w:r>
        <w:rPr>
          <w:rFonts w:ascii="Arial" w:cs="Arial" w:eastAsia="Arial" w:hAnsi="Arial"/>
          <w:sz w:val="22"/>
          <w:szCs w:val="22"/>
          <w:b w:val="1"/>
          <w:bCs w:val="1"/>
          <w:i w:val="1"/>
          <w:iCs w:val="1"/>
          <w:color w:val="auto"/>
        </w:rPr>
        <w:t>Plan of Conversion</w:t>
      </w:r>
      <w:r>
        <w:rPr>
          <w:rFonts w:ascii="Arial" w:cs="Arial" w:eastAsia="Arial" w:hAnsi="Arial"/>
          <w:sz w:val="22"/>
          <w:szCs w:val="22"/>
          <w:color w:val="auto"/>
        </w:rPr>
        <w:t xml:space="preserve">”), as the case may be, in accordance with this </w:t>
      </w:r>
      <w:r>
        <w:rPr>
          <w:rFonts w:ascii="Arial" w:cs="Arial" w:eastAsia="Arial" w:hAnsi="Arial"/>
          <w:sz w:val="22"/>
          <w:szCs w:val="22"/>
          <w:u w:val="single" w:color="auto"/>
          <w:color w:val="auto"/>
        </w:rPr>
        <w:t>Article XIV</w:t>
      </w:r>
      <w:r>
        <w:rPr>
          <w:rFonts w:ascii="Arial" w:cs="Arial" w:eastAsia="Arial" w:hAnsi="Arial"/>
          <w:sz w:val="22"/>
          <w:szCs w:val="22"/>
          <w:color w:val="auto"/>
        </w:rPr>
        <w:t>.</w:t>
      </w:r>
    </w:p>
    <w:p>
      <w:pPr>
        <w:spacing w:after="0" w:line="213" w:lineRule="exact"/>
        <w:rPr>
          <w:sz w:val="20"/>
          <w:szCs w:val="20"/>
          <w:color w:val="auto"/>
        </w:rPr>
      </w:pPr>
    </w:p>
    <w:p>
      <w:pPr>
        <w:ind w:right="40" w:firstLine="1296"/>
        <w:spacing w:after="0" w:line="246" w:lineRule="auto"/>
        <w:rPr>
          <w:sz w:val="20"/>
          <w:szCs w:val="20"/>
          <w:color w:val="auto"/>
        </w:rPr>
      </w:pPr>
      <w:r>
        <w:rPr>
          <w:rFonts w:ascii="Arial" w:cs="Arial" w:eastAsia="Arial" w:hAnsi="Arial"/>
          <w:sz w:val="21"/>
          <w:szCs w:val="21"/>
          <w:color w:val="auto"/>
        </w:rPr>
        <w:t xml:space="preserve">Section 14.2. </w:t>
      </w:r>
      <w:r>
        <w:rPr>
          <w:rFonts w:ascii="Arial" w:cs="Arial" w:eastAsia="Arial" w:hAnsi="Arial"/>
          <w:sz w:val="21"/>
          <w:szCs w:val="21"/>
          <w:i w:val="1"/>
          <w:iCs w:val="1"/>
          <w:color w:val="auto"/>
        </w:rPr>
        <w:t>Procedure for Merger, Consolidation or Conversion</w:t>
      </w:r>
      <w:r>
        <w:rPr>
          <w:rFonts w:ascii="Arial" w:cs="Arial" w:eastAsia="Arial" w:hAnsi="Arial"/>
          <w:sz w:val="21"/>
          <w:szCs w:val="21"/>
          <w:color w:val="auto"/>
        </w:rPr>
        <w:t xml:space="preserve">. (a) Merger, consolidation or conversion of the Partnership pursuant to this </w:t>
      </w:r>
      <w:r>
        <w:rPr>
          <w:rFonts w:ascii="Arial" w:cs="Arial" w:eastAsia="Arial" w:hAnsi="Arial"/>
          <w:sz w:val="21"/>
          <w:szCs w:val="21"/>
          <w:u w:val="single" w:color="auto"/>
          <w:color w:val="auto"/>
        </w:rPr>
        <w:t>Article XIV</w:t>
      </w:r>
      <w:r>
        <w:rPr>
          <w:rFonts w:ascii="Arial" w:cs="Arial" w:eastAsia="Arial" w:hAnsi="Arial"/>
          <w:sz w:val="21"/>
          <w:szCs w:val="21"/>
          <w:color w:val="auto"/>
        </w:rPr>
        <w:t xml:space="preserve"> requires the approval of the Board of Directors and the prior consent of the General Partner;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to the fullest extent permitted by law, neither the Board of Directors nor the General Partner shall have a duty or obligation to consent to any merger, consolidation or conversion of the Partnership and may decline to do so free of any fiduciary duty or obligation whatsoever to the Partnership or any Limited Partner and, in declining to consent to a merger, consolidation or conversion, shall not be required to act in good faith or pursuant to any other standard imposed by this Agreement, any Group Member Agreement, any other agreement contemplated hereby or under the Marshall Islands Act or any other law, rule or regulation or at equity.</w:t>
      </w:r>
    </w:p>
    <w:p>
      <w:pPr>
        <w:spacing w:after="0" w:line="207" w:lineRule="exact"/>
        <w:rPr>
          <w:sz w:val="20"/>
          <w:szCs w:val="20"/>
          <w:color w:val="auto"/>
        </w:rPr>
      </w:pPr>
    </w:p>
    <w:p>
      <w:pPr>
        <w:ind w:right="100" w:firstLine="1304"/>
        <w:spacing w:after="0" w:line="328" w:lineRule="auto"/>
        <w:tabs>
          <w:tab w:leader="none" w:pos="2088" w:val="left"/>
        </w:tabs>
        <w:numPr>
          <w:ilvl w:val="0"/>
          <w:numId w:val="61"/>
        </w:numPr>
        <w:rPr>
          <w:rFonts w:ascii="Arial" w:cs="Arial" w:eastAsia="Arial" w:hAnsi="Arial"/>
          <w:sz w:val="19"/>
          <w:szCs w:val="19"/>
          <w:color w:val="auto"/>
        </w:rPr>
      </w:pPr>
      <w:r>
        <w:rPr>
          <w:rFonts w:ascii="Arial" w:cs="Arial" w:eastAsia="Arial" w:hAnsi="Arial"/>
          <w:sz w:val="19"/>
          <w:szCs w:val="19"/>
          <w:color w:val="auto"/>
        </w:rPr>
        <w:t>If the Board of Directors and the General Partner shall determine to consent to the merger, consolidation or conversion, the Board of Directors and the General Partner shall approve the Merger Agreement, which shall set forth:</w:t>
      </w:r>
    </w:p>
    <w:p>
      <w:pPr>
        <w:spacing w:after="0" w:line="132" w:lineRule="exact"/>
        <w:rPr>
          <w:sz w:val="20"/>
          <w:szCs w:val="20"/>
          <w:color w:val="auto"/>
        </w:rPr>
      </w:pPr>
    </w:p>
    <w:p>
      <w:pPr>
        <w:ind w:left="660" w:right="480" w:firstLine="644"/>
        <w:spacing w:after="0" w:line="250" w:lineRule="auto"/>
        <w:tabs>
          <w:tab w:leader="none" w:pos="2052"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names and jurisdictions of formation or organization of each of the business entities proposing to merge or consolidate;</w:t>
      </w:r>
    </w:p>
    <w:p>
      <w:pPr>
        <w:spacing w:after="0" w:line="201" w:lineRule="exact"/>
        <w:rPr>
          <w:rFonts w:ascii="Arial" w:cs="Arial" w:eastAsia="Arial" w:hAnsi="Arial"/>
          <w:sz w:val="22"/>
          <w:szCs w:val="22"/>
          <w:color w:val="auto"/>
        </w:rPr>
      </w:pPr>
    </w:p>
    <w:p>
      <w:pPr>
        <w:ind w:left="660" w:right="720" w:firstLine="644"/>
        <w:spacing w:after="0" w:line="250" w:lineRule="auto"/>
        <w:tabs>
          <w:tab w:leader="none" w:pos="2112"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name and jurisdiction of formation or organization of the business entity that is to survive the proposed merger or consolidation (the “</w:t>
      </w:r>
      <w:r>
        <w:rPr>
          <w:rFonts w:ascii="Arial" w:cs="Arial" w:eastAsia="Arial" w:hAnsi="Arial"/>
          <w:sz w:val="22"/>
          <w:szCs w:val="22"/>
          <w:b w:val="1"/>
          <w:bCs w:val="1"/>
          <w:i w:val="1"/>
          <w:iCs w:val="1"/>
          <w:color w:val="auto"/>
        </w:rPr>
        <w:t>Surviving Business Entity</w:t>
      </w:r>
      <w:r>
        <w:rPr>
          <w:rFonts w:ascii="Arial" w:cs="Arial" w:eastAsia="Arial" w:hAnsi="Arial"/>
          <w:sz w:val="22"/>
          <w:szCs w:val="22"/>
          <w:color w:val="auto"/>
        </w:rPr>
        <w:t>”);</w:t>
      </w:r>
    </w:p>
    <w:p>
      <w:pPr>
        <w:spacing w:after="0" w:line="201" w:lineRule="exact"/>
        <w:rPr>
          <w:rFonts w:ascii="Arial" w:cs="Arial" w:eastAsia="Arial" w:hAnsi="Arial"/>
          <w:sz w:val="22"/>
          <w:szCs w:val="22"/>
          <w:color w:val="auto"/>
        </w:rPr>
      </w:pPr>
    </w:p>
    <w:p>
      <w:pPr>
        <w:ind w:left="2160" w:hanging="856"/>
        <w:spacing w:after="0"/>
        <w:tabs>
          <w:tab w:leader="none" w:pos="2160"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terms and conditions of the proposed merger or consolidation;</w:t>
      </w:r>
    </w:p>
    <w:p>
      <w:pPr>
        <w:spacing w:after="0" w:line="233" w:lineRule="exact"/>
        <w:rPr>
          <w:rFonts w:ascii="Arial" w:cs="Arial" w:eastAsia="Arial" w:hAnsi="Arial"/>
          <w:sz w:val="22"/>
          <w:szCs w:val="22"/>
          <w:color w:val="auto"/>
        </w:rPr>
      </w:pPr>
    </w:p>
    <w:p>
      <w:pPr>
        <w:ind w:left="660" w:firstLine="644"/>
        <w:spacing w:after="0" w:line="273" w:lineRule="auto"/>
        <w:tabs>
          <w:tab w:leader="none" w:pos="21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manner and basis of exchanging or converting the equity securities of each constituent business entity for, or into, cash, property or interests, rights, securities or obligations of the Surviving Business Entity; and (A) if any interests, securities or rights of any constituent business entity are not to be exchanged or converted solely for, or into, cash, property or interests, rights, securities or obligations of the Surviving Business Entity, the cash, property or interests, rights, securities or obligations of any general or limited partnership, corporation, trust, limited liability company, unincorporated business or other Person (other than the Surviving Business Entity) which the holders of such interests, securities or rights are to receive in exchange for, or upon conversion of their interests, securities or rights, and (B) in the case of securities represented by certificates, upon the surrender of such certificates, which cash, property or interests, rights, securities or obligations of the Surviving Business Entity or any general or limited partnership, corporation, trust, limited liability company, unincorporated business or other Person (other than the Surviving Business Entity), or evidences thereof, are to be delivered;</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660" w:right="260" w:firstLine="644"/>
        <w:spacing w:after="0" w:line="250" w:lineRule="auto"/>
        <w:tabs>
          <w:tab w:leader="none" w:pos="210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 statement of any changes in the constituent documents or the adoption of new constituent documents (the articles or certificate of incorporation, articles of trust,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64" w:name="page65"/>
    <w:bookmarkEnd w:id="64"/>
    <w:p>
      <w:pPr>
        <w:ind w:left="640" w:right="120"/>
        <w:spacing w:after="0" w:line="250" w:lineRule="auto"/>
        <w:rPr>
          <w:sz w:val="20"/>
          <w:szCs w:val="20"/>
          <w:color w:val="auto"/>
        </w:rPr>
      </w:pPr>
      <w:r>
        <w:rPr>
          <w:rFonts w:ascii="Arial" w:cs="Arial" w:eastAsia="Arial" w:hAnsi="Arial"/>
          <w:sz w:val="22"/>
          <w:szCs w:val="22"/>
          <w:color w:val="auto"/>
        </w:rPr>
        <w:t>declaration of trust, certificate or agreement of limited partnership or other similar charter or governing document) of the Surviving Business Entity to be effected by such merger or consolidation;</w:t>
      </w:r>
    </w:p>
    <w:p>
      <w:pPr>
        <w:spacing w:after="0" w:line="202" w:lineRule="exact"/>
        <w:rPr>
          <w:sz w:val="20"/>
          <w:szCs w:val="20"/>
          <w:color w:val="auto"/>
        </w:rPr>
      </w:pPr>
    </w:p>
    <w:p>
      <w:pPr>
        <w:jc w:val="both"/>
        <w:ind w:left="640" w:firstLine="644"/>
        <w:spacing w:after="0" w:line="287" w:lineRule="auto"/>
        <w:tabs>
          <w:tab w:leader="none" w:pos="21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the effective time of the merger, which may be the date of the filing of the certificate of merger pursuant to </w:t>
      </w:r>
      <w:r>
        <w:rPr>
          <w:rFonts w:ascii="Arial" w:cs="Arial" w:eastAsia="Arial" w:hAnsi="Arial"/>
          <w:sz w:val="19"/>
          <w:szCs w:val="19"/>
          <w:u w:val="single" w:color="auto"/>
          <w:color w:val="auto"/>
        </w:rPr>
        <w:t>Section 14.4</w:t>
      </w:r>
      <w:r>
        <w:rPr>
          <w:rFonts w:ascii="Arial" w:cs="Arial" w:eastAsia="Arial" w:hAnsi="Arial"/>
          <w:sz w:val="19"/>
          <w:szCs w:val="19"/>
          <w:color w:val="auto"/>
        </w:rPr>
        <w:t xml:space="preserve"> or a later date specified in or determinable in accordance with the Merger Agreement (</w:t>
      </w:r>
      <w:r>
        <w:rPr>
          <w:rFonts w:ascii="Arial" w:cs="Arial" w:eastAsia="Arial" w:hAnsi="Arial"/>
          <w:sz w:val="19"/>
          <w:szCs w:val="19"/>
          <w:i w:val="1"/>
          <w:iCs w:val="1"/>
          <w:color w:val="auto"/>
        </w:rPr>
        <w:t>provided</w:t>
      </w:r>
      <w:r>
        <w:rPr>
          <w:rFonts w:ascii="Arial" w:cs="Arial" w:eastAsia="Arial" w:hAnsi="Arial"/>
          <w:sz w:val="19"/>
          <w:szCs w:val="19"/>
          <w:color w:val="auto"/>
        </w:rPr>
        <w:t>, that if the effective time of the merger is to be later than the date of the filing of such certificate of merger, the effective time shall be fixed at a date or time certain at or prior to the time of the filing of such certificate of merger and stated therein); and</w:t>
      </w:r>
    </w:p>
    <w:p>
      <w:pPr>
        <w:spacing w:after="0" w:line="169" w:lineRule="exact"/>
        <w:rPr>
          <w:rFonts w:ascii="Arial" w:cs="Arial" w:eastAsia="Arial" w:hAnsi="Arial"/>
          <w:sz w:val="19"/>
          <w:szCs w:val="19"/>
          <w:color w:val="auto"/>
        </w:rPr>
      </w:pPr>
    </w:p>
    <w:p>
      <w:pPr>
        <w:ind w:left="640" w:right="180" w:firstLine="644"/>
        <w:spacing w:after="0" w:line="250" w:lineRule="auto"/>
        <w:tabs>
          <w:tab w:leader="none" w:pos="2200" w:val="left"/>
        </w:tabs>
        <w:numPr>
          <w:ilvl w:val="0"/>
          <w:numId w:val="63"/>
        </w:numPr>
        <w:rPr>
          <w:rFonts w:ascii="Arial" w:cs="Arial" w:eastAsia="Arial" w:hAnsi="Arial"/>
          <w:sz w:val="22"/>
          <w:szCs w:val="22"/>
          <w:color w:val="auto"/>
        </w:rPr>
      </w:pPr>
      <w:r>
        <w:rPr>
          <w:rFonts w:ascii="Arial" w:cs="Arial" w:eastAsia="Arial" w:hAnsi="Arial"/>
          <w:sz w:val="22"/>
          <w:szCs w:val="22"/>
          <w:color w:val="auto"/>
        </w:rPr>
        <w:t>such other provisions with respect to the proposed merger or consolidation that the Board of Directors and the General Partner determine to be necessary or appropriate.</w:t>
      </w:r>
    </w:p>
    <w:p>
      <w:pPr>
        <w:spacing w:after="0" w:line="202" w:lineRule="exact"/>
        <w:rPr>
          <w:sz w:val="20"/>
          <w:szCs w:val="20"/>
          <w:color w:val="auto"/>
        </w:rPr>
      </w:pPr>
    </w:p>
    <w:p>
      <w:pPr>
        <w:ind w:left="-20" w:right="140" w:firstLine="1304"/>
        <w:spacing w:after="0" w:line="274" w:lineRule="auto"/>
        <w:tabs>
          <w:tab w:leader="none" w:pos="2056" w:val="left"/>
        </w:tabs>
        <w:numPr>
          <w:ilvl w:val="0"/>
          <w:numId w:val="64"/>
        </w:numPr>
        <w:rPr>
          <w:rFonts w:ascii="Arial" w:cs="Arial" w:eastAsia="Arial" w:hAnsi="Arial"/>
          <w:sz w:val="21"/>
          <w:szCs w:val="21"/>
          <w:color w:val="auto"/>
        </w:rPr>
      </w:pPr>
      <w:r>
        <w:rPr>
          <w:rFonts w:ascii="Arial" w:cs="Arial" w:eastAsia="Arial" w:hAnsi="Arial"/>
          <w:sz w:val="21"/>
          <w:szCs w:val="21"/>
          <w:color w:val="auto"/>
        </w:rPr>
        <w:t>If the Board of Directors and the General Partner shall determine to consent to the conversion the Board of Directors and the General Partner shall approve the Plan of Conversion, which shall set forth:</w:t>
      </w:r>
    </w:p>
    <w:p>
      <w:pPr>
        <w:spacing w:after="0" w:line="178" w:lineRule="exact"/>
        <w:rPr>
          <w:sz w:val="20"/>
          <w:szCs w:val="20"/>
          <w:color w:val="auto"/>
        </w:rPr>
      </w:pPr>
    </w:p>
    <w:p>
      <w:pPr>
        <w:ind w:left="2020" w:hanging="736"/>
        <w:spacing w:after="0"/>
        <w:tabs>
          <w:tab w:leader="none" w:pos="202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name of the converting entity and the converted entity;</w:t>
      </w:r>
    </w:p>
    <w:p>
      <w:pPr>
        <w:spacing w:after="0" w:line="233" w:lineRule="exact"/>
        <w:rPr>
          <w:rFonts w:ascii="Arial" w:cs="Arial" w:eastAsia="Arial" w:hAnsi="Arial"/>
          <w:sz w:val="22"/>
          <w:szCs w:val="22"/>
          <w:color w:val="auto"/>
        </w:rPr>
      </w:pPr>
    </w:p>
    <w:p>
      <w:pPr>
        <w:ind w:left="2080" w:hanging="796"/>
        <w:spacing w:after="0"/>
        <w:tabs>
          <w:tab w:leader="none" w:pos="2080" w:val="left"/>
        </w:tabs>
        <w:numPr>
          <w:ilvl w:val="0"/>
          <w:numId w:val="65"/>
        </w:numPr>
        <w:rPr>
          <w:rFonts w:ascii="Arial" w:cs="Arial" w:eastAsia="Arial" w:hAnsi="Arial"/>
          <w:sz w:val="19"/>
          <w:szCs w:val="19"/>
          <w:color w:val="auto"/>
        </w:rPr>
      </w:pPr>
      <w:r>
        <w:rPr>
          <w:rFonts w:ascii="Arial" w:cs="Arial" w:eastAsia="Arial" w:hAnsi="Arial"/>
          <w:sz w:val="19"/>
          <w:szCs w:val="19"/>
          <w:color w:val="auto"/>
        </w:rPr>
        <w:t>a statement that the Partnership is continuing its existence in the organizational form of the converted</w:t>
      </w:r>
    </w:p>
    <w:p>
      <w:pPr>
        <w:spacing w:after="0" w:line="43" w:lineRule="exact"/>
        <w:rPr>
          <w:sz w:val="20"/>
          <w:szCs w:val="20"/>
          <w:color w:val="auto"/>
        </w:rPr>
      </w:pPr>
    </w:p>
    <w:p>
      <w:pPr>
        <w:ind w:left="640"/>
        <w:spacing w:after="0"/>
        <w:rPr>
          <w:sz w:val="20"/>
          <w:szCs w:val="20"/>
          <w:color w:val="auto"/>
        </w:rPr>
      </w:pPr>
      <w:r>
        <w:rPr>
          <w:rFonts w:ascii="Arial" w:cs="Arial" w:eastAsia="Arial" w:hAnsi="Arial"/>
          <w:sz w:val="22"/>
          <w:szCs w:val="22"/>
          <w:color w:val="auto"/>
        </w:rPr>
        <w:t>entity;</w:t>
      </w:r>
    </w:p>
    <w:p>
      <w:pPr>
        <w:spacing w:after="0" w:line="215" w:lineRule="exact"/>
        <w:rPr>
          <w:sz w:val="20"/>
          <w:szCs w:val="20"/>
          <w:color w:val="auto"/>
        </w:rPr>
      </w:pPr>
    </w:p>
    <w:p>
      <w:pPr>
        <w:ind w:left="640" w:right="320" w:firstLine="644"/>
        <w:spacing w:after="0" w:line="250" w:lineRule="auto"/>
        <w:tabs>
          <w:tab w:leader="none" w:pos="2152" w:val="left"/>
        </w:tabs>
        <w:numPr>
          <w:ilvl w:val="0"/>
          <w:numId w:val="66"/>
        </w:numPr>
        <w:rPr>
          <w:rFonts w:ascii="Arial" w:cs="Arial" w:eastAsia="Arial" w:hAnsi="Arial"/>
          <w:sz w:val="22"/>
          <w:szCs w:val="22"/>
          <w:color w:val="auto"/>
        </w:rPr>
      </w:pPr>
      <w:r>
        <w:rPr>
          <w:rFonts w:ascii="Arial" w:cs="Arial" w:eastAsia="Arial" w:hAnsi="Arial"/>
          <w:sz w:val="22"/>
          <w:szCs w:val="22"/>
          <w:color w:val="auto"/>
        </w:rPr>
        <w:t>a statement as to the type of entity that the converted entity is to be and the state or country under the laws of which the converted entity is to be incorporated, formed or organized;</w:t>
      </w:r>
    </w:p>
    <w:p>
      <w:pPr>
        <w:spacing w:after="0" w:line="201" w:lineRule="exact"/>
        <w:rPr>
          <w:rFonts w:ascii="Arial" w:cs="Arial" w:eastAsia="Arial" w:hAnsi="Arial"/>
          <w:sz w:val="22"/>
          <w:szCs w:val="22"/>
          <w:color w:val="auto"/>
        </w:rPr>
      </w:pPr>
    </w:p>
    <w:p>
      <w:pPr>
        <w:ind w:left="640" w:right="220" w:firstLine="644"/>
        <w:spacing w:after="0"/>
        <w:tabs>
          <w:tab w:leader="none" w:pos="21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manner and basis of exchanging or converting the equity securities of each constituent business entity for, or into, cash, property or interests, rights, securities or obligations of the converted entity or another entity, or for the cancellation of such equity securities;</w:t>
      </w:r>
    </w:p>
    <w:p>
      <w:pPr>
        <w:spacing w:after="0" w:line="213" w:lineRule="exact"/>
        <w:rPr>
          <w:rFonts w:ascii="Arial" w:cs="Arial" w:eastAsia="Arial" w:hAnsi="Arial"/>
          <w:sz w:val="22"/>
          <w:szCs w:val="22"/>
          <w:color w:val="auto"/>
        </w:rPr>
      </w:pPr>
    </w:p>
    <w:p>
      <w:pPr>
        <w:ind w:left="2080" w:hanging="796"/>
        <w:spacing w:after="0"/>
        <w:tabs>
          <w:tab w:leader="none" w:pos="20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in an attachment or exhibit, the certificate of limited partnership of the Partnership;</w:t>
      </w:r>
    </w:p>
    <w:p>
      <w:pPr>
        <w:spacing w:after="0" w:line="233" w:lineRule="exact"/>
        <w:rPr>
          <w:rFonts w:ascii="Arial" w:cs="Arial" w:eastAsia="Arial" w:hAnsi="Arial"/>
          <w:sz w:val="22"/>
          <w:szCs w:val="22"/>
          <w:color w:val="auto"/>
        </w:rPr>
      </w:pPr>
    </w:p>
    <w:p>
      <w:pPr>
        <w:ind w:left="640" w:right="460" w:firstLine="644"/>
        <w:spacing w:after="0" w:line="250" w:lineRule="auto"/>
        <w:tabs>
          <w:tab w:leader="none" w:pos="21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in an attachment or exhibit, the certificate of limited partnership, certificate of formation, articles of incorporation, or other organizational documents of the converted entity;</w:t>
      </w:r>
    </w:p>
    <w:p>
      <w:pPr>
        <w:spacing w:after="0" w:line="201" w:lineRule="exact"/>
        <w:rPr>
          <w:rFonts w:ascii="Arial" w:cs="Arial" w:eastAsia="Arial" w:hAnsi="Arial"/>
          <w:sz w:val="22"/>
          <w:szCs w:val="22"/>
          <w:color w:val="auto"/>
        </w:rPr>
      </w:pPr>
    </w:p>
    <w:p>
      <w:pPr>
        <w:jc w:val="both"/>
        <w:ind w:left="640" w:right="120" w:firstLine="644"/>
        <w:spacing w:after="0" w:line="252" w:lineRule="auto"/>
        <w:tabs>
          <w:tab w:leader="none" w:pos="2200" w:val="left"/>
        </w:tabs>
        <w:numPr>
          <w:ilvl w:val="0"/>
          <w:numId w:val="66"/>
        </w:numPr>
        <w:rPr>
          <w:rFonts w:ascii="Arial" w:cs="Arial" w:eastAsia="Arial" w:hAnsi="Arial"/>
          <w:sz w:val="21"/>
          <w:szCs w:val="21"/>
          <w:color w:val="auto"/>
        </w:rPr>
      </w:pPr>
      <w:r>
        <w:rPr>
          <w:rFonts w:ascii="Arial" w:cs="Arial" w:eastAsia="Arial" w:hAnsi="Arial"/>
          <w:sz w:val="21"/>
          <w:szCs w:val="21"/>
          <w:color w:val="auto"/>
        </w:rPr>
        <w:t>the effective time of the conversion, which may be the date of the filing of the articles of conversion or a later date specified in or determinable in accordance with the Plan of Conversion (</w:t>
      </w:r>
      <w:r>
        <w:rPr>
          <w:rFonts w:ascii="Arial" w:cs="Arial" w:eastAsia="Arial" w:hAnsi="Arial"/>
          <w:sz w:val="21"/>
          <w:szCs w:val="21"/>
          <w:i w:val="1"/>
          <w:iCs w:val="1"/>
          <w:color w:val="auto"/>
        </w:rPr>
        <w:t>provided</w:t>
      </w:r>
      <w:r>
        <w:rPr>
          <w:rFonts w:ascii="Arial" w:cs="Arial" w:eastAsia="Arial" w:hAnsi="Arial"/>
          <w:sz w:val="21"/>
          <w:szCs w:val="21"/>
          <w:color w:val="auto"/>
        </w:rPr>
        <w:t>, that if the effective time of the conversion is to be later than the date of the filing of such articles of conversion, the effective time shall be fixed at a date or time certain and stated in such articles of conversion); and</w:t>
      </w:r>
    </w:p>
    <w:p>
      <w:pPr>
        <w:spacing w:after="0" w:line="200" w:lineRule="exact"/>
        <w:rPr>
          <w:rFonts w:ascii="Arial" w:cs="Arial" w:eastAsia="Arial" w:hAnsi="Arial"/>
          <w:sz w:val="21"/>
          <w:szCs w:val="21"/>
          <w:color w:val="auto"/>
        </w:rPr>
      </w:pPr>
    </w:p>
    <w:p>
      <w:pPr>
        <w:ind w:left="640" w:right="200" w:firstLine="644"/>
        <w:spacing w:after="0" w:line="250" w:lineRule="auto"/>
        <w:tabs>
          <w:tab w:leader="none" w:pos="2260" w:val="left"/>
        </w:tabs>
        <w:numPr>
          <w:ilvl w:val="0"/>
          <w:numId w:val="66"/>
        </w:numPr>
        <w:rPr>
          <w:rFonts w:ascii="Arial" w:cs="Arial" w:eastAsia="Arial" w:hAnsi="Arial"/>
          <w:sz w:val="22"/>
          <w:szCs w:val="22"/>
          <w:color w:val="auto"/>
        </w:rPr>
      </w:pPr>
      <w:r>
        <w:rPr>
          <w:rFonts w:ascii="Arial" w:cs="Arial" w:eastAsia="Arial" w:hAnsi="Arial"/>
          <w:sz w:val="22"/>
          <w:szCs w:val="22"/>
          <w:color w:val="auto"/>
        </w:rPr>
        <w:t>such other provisions with respect to the proposed conversion the Board of Directors and the General Partner determines to be necessary or appropriate.</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604" w:right="359" w:bottom="1440" w:gutter="0" w:footer="0" w:header="0"/>
        </w:sectPr>
      </w:pPr>
    </w:p>
    <w:bookmarkStart w:id="65" w:name="page66"/>
    <w:bookmarkEnd w:id="65"/>
    <w:p>
      <w:pPr>
        <w:ind w:firstLine="1296"/>
        <w:spacing w:after="0" w:line="234" w:lineRule="auto"/>
        <w:rPr>
          <w:sz w:val="20"/>
          <w:szCs w:val="20"/>
          <w:color w:val="auto"/>
        </w:rPr>
      </w:pPr>
      <w:r>
        <w:rPr>
          <w:rFonts w:ascii="Arial" w:cs="Arial" w:eastAsia="Arial" w:hAnsi="Arial"/>
          <w:sz w:val="22"/>
          <w:szCs w:val="22"/>
          <w:color w:val="auto"/>
        </w:rPr>
        <w:t xml:space="preserve">Section 14.3. </w:t>
      </w:r>
      <w:r>
        <w:rPr>
          <w:rFonts w:ascii="Arial" w:cs="Arial" w:eastAsia="Arial" w:hAnsi="Arial"/>
          <w:sz w:val="22"/>
          <w:szCs w:val="22"/>
          <w:i w:val="1"/>
          <w:iCs w:val="1"/>
          <w:color w:val="auto"/>
        </w:rPr>
        <w:t>Approval by Limited Partners of Merger, Consolidation or Conversion</w:t>
      </w:r>
      <w:r>
        <w:rPr>
          <w:rFonts w:ascii="Arial" w:cs="Arial" w:eastAsia="Arial" w:hAnsi="Arial"/>
          <w:sz w:val="22"/>
          <w:szCs w:val="22"/>
          <w:color w:val="auto"/>
        </w:rPr>
        <w:t xml:space="preserve">. (a) Except as provided in </w:t>
      </w:r>
      <w:r>
        <w:rPr>
          <w:rFonts w:ascii="Arial" w:cs="Arial" w:eastAsia="Arial" w:hAnsi="Arial"/>
          <w:sz w:val="22"/>
          <w:szCs w:val="22"/>
          <w:u w:val="single" w:color="auto"/>
          <w:color w:val="auto"/>
        </w:rPr>
        <w:t>Section 14.3(d)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14.3(e)</w:t>
      </w:r>
      <w:r>
        <w:rPr>
          <w:rFonts w:ascii="Arial" w:cs="Arial" w:eastAsia="Arial" w:hAnsi="Arial"/>
          <w:sz w:val="22"/>
          <w:szCs w:val="22"/>
          <w:color w:val="auto"/>
        </w:rPr>
        <w:t xml:space="preserve">, the Board of Directors, upon its and the General Partner’s approval of the Merger Agreement or the Plan of Conversion, as the case may be, shall direct that the Merger Agreement or the Plan of Conversion and the merger, consolidation or conversion contemplated thereby, as applicable, be submitted to a vote of Limited Partners, whether at a special meeting or by written consent, in either case in accordance with the requirements of </w:t>
      </w:r>
      <w:r>
        <w:rPr>
          <w:rFonts w:ascii="Arial" w:cs="Arial" w:eastAsia="Arial" w:hAnsi="Arial"/>
          <w:sz w:val="22"/>
          <w:szCs w:val="22"/>
          <w:u w:val="single" w:color="auto"/>
          <w:color w:val="auto"/>
        </w:rPr>
        <w:t>Article XIII</w:t>
      </w:r>
      <w:r>
        <w:rPr>
          <w:rFonts w:ascii="Arial" w:cs="Arial" w:eastAsia="Arial" w:hAnsi="Arial"/>
          <w:sz w:val="22"/>
          <w:szCs w:val="22"/>
          <w:color w:val="auto"/>
        </w:rPr>
        <w:t>. A copy or a summary of the Merger Agreement or the Plan of Conversion, as the case may be, shall be included in or enclosed with the notice of a special meeting or the written consent.</w:t>
      </w:r>
    </w:p>
    <w:p>
      <w:pPr>
        <w:spacing w:after="0" w:line="218" w:lineRule="exact"/>
        <w:rPr>
          <w:sz w:val="20"/>
          <w:szCs w:val="20"/>
          <w:color w:val="auto"/>
        </w:rPr>
      </w:pPr>
    </w:p>
    <w:p>
      <w:pPr>
        <w:ind w:right="200" w:firstLine="1304"/>
        <w:spacing w:after="0" w:line="328" w:lineRule="auto"/>
        <w:tabs>
          <w:tab w:leader="none" w:pos="2088"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14.3(d)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14.3(e)</w:t>
      </w:r>
      <w:r>
        <w:rPr>
          <w:rFonts w:ascii="Arial" w:cs="Arial" w:eastAsia="Arial" w:hAnsi="Arial"/>
          <w:sz w:val="19"/>
          <w:szCs w:val="19"/>
          <w:color w:val="auto"/>
        </w:rPr>
        <w:t>, the Merger Agreement or Plan of Conversion, as the case may be, shall be approved upon receiving the affirmative vote or consent of the holders of a Unit Majority.</w:t>
      </w:r>
    </w:p>
    <w:p>
      <w:pPr>
        <w:spacing w:after="0" w:line="131" w:lineRule="exact"/>
        <w:rPr>
          <w:rFonts w:ascii="Arial" w:cs="Arial" w:eastAsia="Arial" w:hAnsi="Arial"/>
          <w:sz w:val="19"/>
          <w:szCs w:val="19"/>
          <w:color w:val="auto"/>
        </w:rPr>
      </w:pPr>
    </w:p>
    <w:p>
      <w:pPr>
        <w:ind w:right="80" w:firstLine="1304"/>
        <w:spacing w:after="0" w:line="238" w:lineRule="auto"/>
        <w:tabs>
          <w:tab w:leader="none" w:pos="2076"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Except as provided in </w:t>
      </w:r>
      <w:r>
        <w:rPr>
          <w:rFonts w:ascii="Arial" w:cs="Arial" w:eastAsia="Arial" w:hAnsi="Arial"/>
          <w:sz w:val="22"/>
          <w:szCs w:val="22"/>
          <w:u w:val="single" w:color="auto"/>
          <w:color w:val="auto"/>
        </w:rPr>
        <w:t>Section 14.3(d)</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14.3(e)</w:t>
      </w:r>
      <w:r>
        <w:rPr>
          <w:rFonts w:ascii="Arial" w:cs="Arial" w:eastAsia="Arial" w:hAnsi="Arial"/>
          <w:sz w:val="22"/>
          <w:szCs w:val="22"/>
          <w:color w:val="auto"/>
        </w:rPr>
        <w:t xml:space="preserve">, after such approval by vote or consent of the Limited Partners, and at any time prior to the filing of the certificate of merger or certificate of conversion pursuant to </w:t>
      </w:r>
      <w:r>
        <w:rPr>
          <w:rFonts w:ascii="Arial" w:cs="Arial" w:eastAsia="Arial" w:hAnsi="Arial"/>
          <w:sz w:val="22"/>
          <w:szCs w:val="22"/>
          <w:u w:val="single" w:color="auto"/>
          <w:color w:val="auto"/>
        </w:rPr>
        <w:t>Section 14.4</w:t>
      </w:r>
      <w:r>
        <w:rPr>
          <w:rFonts w:ascii="Arial" w:cs="Arial" w:eastAsia="Arial" w:hAnsi="Arial"/>
          <w:sz w:val="22"/>
          <w:szCs w:val="22"/>
          <w:color w:val="auto"/>
        </w:rPr>
        <w:t>, the merger, consolidation or conversion may be abandoned pursuant to provisions therefor, if any, set forth in the Merger Agreement or Plan of Conversion, as the case may be.</w:t>
      </w:r>
    </w:p>
    <w:p>
      <w:pPr>
        <w:spacing w:after="0" w:line="211" w:lineRule="exact"/>
        <w:rPr>
          <w:rFonts w:ascii="Arial" w:cs="Arial" w:eastAsia="Arial" w:hAnsi="Arial"/>
          <w:sz w:val="22"/>
          <w:szCs w:val="22"/>
          <w:color w:val="auto"/>
        </w:rPr>
      </w:pPr>
    </w:p>
    <w:p>
      <w:pPr>
        <w:ind w:right="40" w:firstLine="1304"/>
        <w:spacing w:after="0" w:line="274" w:lineRule="auto"/>
        <w:tabs>
          <w:tab w:leader="none" w:pos="2088" w:val="left"/>
        </w:tabs>
        <w:numPr>
          <w:ilvl w:val="0"/>
          <w:numId w:val="67"/>
        </w:numPr>
        <w:rPr>
          <w:rFonts w:ascii="Arial" w:cs="Arial" w:eastAsia="Arial" w:hAnsi="Arial"/>
          <w:sz w:val="19"/>
          <w:szCs w:val="19"/>
          <w:color w:val="auto"/>
        </w:rPr>
      </w:pPr>
      <w:r>
        <w:rPr>
          <w:rFonts w:ascii="Arial" w:cs="Arial" w:eastAsia="Arial" w:hAnsi="Arial"/>
          <w:sz w:val="19"/>
          <w:szCs w:val="19"/>
          <w:color w:val="auto"/>
        </w:rPr>
        <w:t xml:space="preserve">Notwithstanding anything else contained in this </w:t>
      </w:r>
      <w:r>
        <w:rPr>
          <w:rFonts w:ascii="Arial" w:cs="Arial" w:eastAsia="Arial" w:hAnsi="Arial"/>
          <w:sz w:val="19"/>
          <w:szCs w:val="19"/>
          <w:u w:val="single" w:color="auto"/>
          <w:color w:val="auto"/>
        </w:rPr>
        <w:t>Article XIV</w:t>
      </w:r>
      <w:r>
        <w:rPr>
          <w:rFonts w:ascii="Arial" w:cs="Arial" w:eastAsia="Arial" w:hAnsi="Arial"/>
          <w:sz w:val="19"/>
          <w:szCs w:val="19"/>
          <w:color w:val="auto"/>
        </w:rPr>
        <w:t xml:space="preserve"> or in this Agreement, the Board of Directors is permitted, without Limited Partner approval, to convert the Partnership or any Group Member into a new limited liability entity, to merge the Partnership or any Group Member into, or convey all of the Partnership’s assets to, another limited liability entity which shall be newly formed and shall have no assets, liabilities or operations at the time of such conversion, merger or conveyance other than those it receives from the Partnership or other Group Member if (i) the Board of Directors has received an Opinion of Counsel that the conversion, merger or conveyance, as the case may be, would not result in the loss of the limited liability of any Limited Partner, (ii) the sole purpose of such conversion, merger or conveyance is to effect a mere change in the legal form of the Partnership into another limited liability entity and (iii) the governing instruments of the new entity provide the Limited Partners, the General Partner and the Board of Directors with the same rights and obligations as are herein contained.</w:t>
      </w:r>
    </w:p>
    <w:p>
      <w:pPr>
        <w:spacing w:after="0" w:line="185" w:lineRule="exact"/>
        <w:rPr>
          <w:rFonts w:ascii="Arial" w:cs="Arial" w:eastAsia="Arial" w:hAnsi="Arial"/>
          <w:sz w:val="19"/>
          <w:szCs w:val="19"/>
          <w:color w:val="auto"/>
        </w:rPr>
      </w:pPr>
    </w:p>
    <w:p>
      <w:pPr>
        <w:ind w:right="20" w:firstLine="1304"/>
        <w:spacing w:after="0" w:line="245" w:lineRule="auto"/>
        <w:tabs>
          <w:tab w:leader="none" w:pos="2076" w:val="left"/>
        </w:tabs>
        <w:numPr>
          <w:ilvl w:val="0"/>
          <w:numId w:val="67"/>
        </w:numPr>
        <w:rPr>
          <w:rFonts w:ascii="Arial" w:cs="Arial" w:eastAsia="Arial" w:hAnsi="Arial"/>
          <w:sz w:val="21"/>
          <w:szCs w:val="21"/>
          <w:color w:val="auto"/>
        </w:rPr>
      </w:pPr>
      <w:r>
        <w:rPr>
          <w:rFonts w:ascii="Arial" w:cs="Arial" w:eastAsia="Arial" w:hAnsi="Arial"/>
          <w:sz w:val="21"/>
          <w:szCs w:val="21"/>
          <w:color w:val="auto"/>
        </w:rPr>
        <w:t xml:space="preserve">Additionally, notwithstanding anything else contained in this </w:t>
      </w:r>
      <w:r>
        <w:rPr>
          <w:rFonts w:ascii="Arial" w:cs="Arial" w:eastAsia="Arial" w:hAnsi="Arial"/>
          <w:sz w:val="21"/>
          <w:szCs w:val="21"/>
          <w:u w:val="single" w:color="auto"/>
          <w:color w:val="auto"/>
        </w:rPr>
        <w:t>Article XIV</w:t>
      </w:r>
      <w:r>
        <w:rPr>
          <w:rFonts w:ascii="Arial" w:cs="Arial" w:eastAsia="Arial" w:hAnsi="Arial"/>
          <w:sz w:val="21"/>
          <w:szCs w:val="21"/>
          <w:color w:val="auto"/>
        </w:rPr>
        <w:t xml:space="preserve"> or in this Agreement, the Board of Directors, with the prior consent of the General Partner, is permitted, without Limited Partner approval, to merge or consolidate the Partnership with or into another entity if (i) the Board of Directors has received an Opinion of Counsel that the merger or consolidation, as the case may be, would not result in the loss of the limited liability of any Limited Partner, (ii) the merger or consolidation would not result in an amendment to this Agreement, other than any amendments that could be adopted pursuant to </w:t>
      </w:r>
      <w:r>
        <w:rPr>
          <w:rFonts w:ascii="Arial" w:cs="Arial" w:eastAsia="Arial" w:hAnsi="Arial"/>
          <w:sz w:val="21"/>
          <w:szCs w:val="21"/>
          <w:u w:val="single" w:color="auto"/>
          <w:color w:val="auto"/>
        </w:rPr>
        <w:t>Section 13.1</w:t>
      </w:r>
      <w:r>
        <w:rPr>
          <w:rFonts w:ascii="Arial" w:cs="Arial" w:eastAsia="Arial" w:hAnsi="Arial"/>
          <w:sz w:val="21"/>
          <w:szCs w:val="21"/>
          <w:color w:val="auto"/>
        </w:rPr>
        <w:t>, (iii) the Partnership is the Surviving Business Entity in such merger or consolidation, (iv) each Unit outstanding immediately prior to the effective date of the merger or consolidation is to be an identical Unit of the Partnership after the effective date of the merger or consolidation, and (v) the number of Partnership Interests to be issued by the Partnership in such merger or consolidation does not exceed 20% of the Partnership Interests Outstanding immediately prior to the effective date of such merger or consolidation.</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66" w:name="page67"/>
    <w:bookmarkEnd w:id="66"/>
    <w:p>
      <w:pPr>
        <w:ind w:right="40" w:firstLine="1296"/>
        <w:spacing w:after="0" w:line="297" w:lineRule="auto"/>
        <w:rPr>
          <w:sz w:val="20"/>
          <w:szCs w:val="20"/>
          <w:color w:val="auto"/>
        </w:rPr>
      </w:pPr>
      <w:r>
        <w:rPr>
          <w:rFonts w:ascii="Arial" w:cs="Arial" w:eastAsia="Arial" w:hAnsi="Arial"/>
          <w:sz w:val="19"/>
          <w:szCs w:val="19"/>
          <w:color w:val="auto"/>
        </w:rPr>
        <w:t xml:space="preserve">Section 14.4. </w:t>
      </w:r>
      <w:r>
        <w:rPr>
          <w:rFonts w:ascii="Arial" w:cs="Arial" w:eastAsia="Arial" w:hAnsi="Arial"/>
          <w:sz w:val="19"/>
          <w:szCs w:val="19"/>
          <w:i w:val="1"/>
          <w:iCs w:val="1"/>
          <w:color w:val="auto"/>
        </w:rPr>
        <w:t>Certificate of Merger or Conversion</w:t>
      </w:r>
      <w:r>
        <w:rPr>
          <w:rFonts w:ascii="Arial" w:cs="Arial" w:eastAsia="Arial" w:hAnsi="Arial"/>
          <w:sz w:val="19"/>
          <w:szCs w:val="19"/>
          <w:color w:val="auto"/>
        </w:rPr>
        <w:t>. Upon the required approval by the Board of Directors, the General Partner and the Unitholders of a Merger Agreement or Plan of Conversion, as the case may be, a certificate of merger or conversion, as applicable, shall be executed and filed in conformity with the requirements of the Marshall Islands Act.</w:t>
      </w:r>
    </w:p>
    <w:p>
      <w:pPr>
        <w:spacing w:after="0" w:line="161" w:lineRule="exact"/>
        <w:rPr>
          <w:sz w:val="20"/>
          <w:szCs w:val="20"/>
          <w:color w:val="auto"/>
        </w:rPr>
      </w:pPr>
    </w:p>
    <w:p>
      <w:pPr>
        <w:ind w:right="20" w:firstLine="1296"/>
        <w:spacing w:after="0" w:line="236" w:lineRule="auto"/>
        <w:rPr>
          <w:sz w:val="20"/>
          <w:szCs w:val="20"/>
          <w:color w:val="auto"/>
        </w:rPr>
      </w:pPr>
      <w:r>
        <w:rPr>
          <w:rFonts w:ascii="Arial" w:cs="Arial" w:eastAsia="Arial" w:hAnsi="Arial"/>
          <w:sz w:val="22"/>
          <w:szCs w:val="22"/>
          <w:color w:val="auto"/>
        </w:rPr>
        <w:t xml:space="preserve">Section 14.5. </w:t>
      </w:r>
      <w:r>
        <w:rPr>
          <w:rFonts w:ascii="Arial" w:cs="Arial" w:eastAsia="Arial" w:hAnsi="Arial"/>
          <w:sz w:val="22"/>
          <w:szCs w:val="22"/>
          <w:i w:val="1"/>
          <w:iCs w:val="1"/>
          <w:color w:val="auto"/>
        </w:rPr>
        <w:t>Amendment of Partnership Agreement</w:t>
      </w:r>
      <w:r>
        <w:rPr>
          <w:rFonts w:ascii="Arial" w:cs="Arial" w:eastAsia="Arial" w:hAnsi="Arial"/>
          <w:sz w:val="22"/>
          <w:szCs w:val="22"/>
          <w:color w:val="auto"/>
        </w:rPr>
        <w:t xml:space="preserve">. Pursuant to Section 20(2) of the Marshall Islands Act, an agreement of merger or consolidation approved in accordance with Section 20(2) of the Marshall Islands Act may (a) effect any amendment to this Agreement or (b) effect the adoption of a new partnership agreement for a limited partnership if it is the Surviving Business Entity. Any such amendment or adoption made pursuant to this </w:t>
      </w:r>
      <w:r>
        <w:rPr>
          <w:rFonts w:ascii="Arial" w:cs="Arial" w:eastAsia="Arial" w:hAnsi="Arial"/>
          <w:sz w:val="22"/>
          <w:szCs w:val="22"/>
          <w:u w:val="single" w:color="auto"/>
          <w:color w:val="auto"/>
        </w:rPr>
        <w:t>Section 14.5</w:t>
      </w:r>
      <w:r>
        <w:rPr>
          <w:rFonts w:ascii="Arial" w:cs="Arial" w:eastAsia="Arial" w:hAnsi="Arial"/>
          <w:sz w:val="22"/>
          <w:szCs w:val="22"/>
          <w:color w:val="auto"/>
        </w:rPr>
        <w:t xml:space="preserve"> shall be effective at the effective time or date of the merger or consolidation.</w:t>
      </w:r>
    </w:p>
    <w:p>
      <w:pPr>
        <w:spacing w:after="0" w:line="214"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14.6.</w:t>
      </w:r>
      <w:r>
        <w:rPr>
          <w:sz w:val="20"/>
          <w:szCs w:val="20"/>
          <w:color w:val="auto"/>
        </w:rPr>
        <w:tab/>
      </w:r>
      <w:r>
        <w:rPr>
          <w:rFonts w:ascii="Arial" w:cs="Arial" w:eastAsia="Arial" w:hAnsi="Arial"/>
          <w:sz w:val="19"/>
          <w:szCs w:val="19"/>
          <w:i w:val="1"/>
          <w:iCs w:val="1"/>
          <w:color w:val="auto"/>
        </w:rPr>
        <w:t>Effect of Merger, Consolidation or Conversion</w:t>
      </w:r>
      <w:r>
        <w:rPr>
          <w:rFonts w:ascii="Arial" w:cs="Arial" w:eastAsia="Arial" w:hAnsi="Arial"/>
          <w:sz w:val="19"/>
          <w:szCs w:val="19"/>
          <w:color w:val="auto"/>
        </w:rPr>
        <w:t>. (a) At the effective time of the certificate of</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merger:</w:t>
      </w:r>
    </w:p>
    <w:p>
      <w:pPr>
        <w:spacing w:after="0" w:line="215" w:lineRule="exact"/>
        <w:rPr>
          <w:sz w:val="20"/>
          <w:szCs w:val="20"/>
          <w:color w:val="auto"/>
        </w:rPr>
      </w:pPr>
    </w:p>
    <w:p>
      <w:pPr>
        <w:ind w:left="660" w:right="40" w:firstLine="644"/>
        <w:spacing w:after="0" w:line="236" w:lineRule="auto"/>
        <w:tabs>
          <w:tab w:leader="none" w:pos="2052" w:val="left"/>
        </w:tabs>
        <w:numPr>
          <w:ilvl w:val="0"/>
          <w:numId w:val="68"/>
        </w:numPr>
        <w:rPr>
          <w:rFonts w:ascii="Arial" w:cs="Arial" w:eastAsia="Arial" w:hAnsi="Arial"/>
          <w:sz w:val="22"/>
          <w:szCs w:val="22"/>
          <w:color w:val="auto"/>
        </w:rPr>
      </w:pPr>
      <w:r>
        <w:rPr>
          <w:rFonts w:ascii="Arial" w:cs="Arial" w:eastAsia="Arial" w:hAnsi="Arial"/>
          <w:sz w:val="22"/>
          <w:szCs w:val="22"/>
          <w:color w:val="auto"/>
        </w:rPr>
        <w:t>all of the rights, privileges and powers of each of the business entities that has merged or consolidated, and all property, real, personal and mixed, and all debts due to any of those business entities and all other things and causes of action belonging to each of those business entities, shall be vested in the Surviving Business Entity and after the merger or consolidation shall be the property of the Surviving Business Entity to the extent they were of each constituent business entity;</w:t>
      </w:r>
    </w:p>
    <w:p>
      <w:pPr>
        <w:spacing w:after="0" w:line="214" w:lineRule="exact"/>
        <w:rPr>
          <w:rFonts w:ascii="Arial" w:cs="Arial" w:eastAsia="Arial" w:hAnsi="Arial"/>
          <w:sz w:val="22"/>
          <w:szCs w:val="22"/>
          <w:color w:val="auto"/>
        </w:rPr>
      </w:pPr>
    </w:p>
    <w:p>
      <w:pPr>
        <w:ind w:left="660" w:firstLine="644"/>
        <w:spacing w:after="0" w:line="250" w:lineRule="auto"/>
        <w:tabs>
          <w:tab w:leader="none" w:pos="2112"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title to any real property vested by deed or otherwise in any of those constituent business entities shall not revert and is not in any way impaired because of the merger or consolidation;</w:t>
      </w:r>
    </w:p>
    <w:p>
      <w:pPr>
        <w:spacing w:after="0" w:line="201" w:lineRule="exact"/>
        <w:rPr>
          <w:rFonts w:ascii="Arial" w:cs="Arial" w:eastAsia="Arial" w:hAnsi="Arial"/>
          <w:sz w:val="22"/>
          <w:szCs w:val="22"/>
          <w:color w:val="auto"/>
        </w:rPr>
      </w:pPr>
    </w:p>
    <w:p>
      <w:pPr>
        <w:ind w:left="660" w:right="20" w:firstLine="644"/>
        <w:spacing w:after="0" w:line="250" w:lineRule="auto"/>
        <w:tabs>
          <w:tab w:leader="none" w:pos="2172" w:val="left"/>
        </w:tabs>
        <w:numPr>
          <w:ilvl w:val="0"/>
          <w:numId w:val="68"/>
        </w:numPr>
        <w:rPr>
          <w:rFonts w:ascii="Arial" w:cs="Arial" w:eastAsia="Arial" w:hAnsi="Arial"/>
          <w:sz w:val="22"/>
          <w:szCs w:val="22"/>
          <w:color w:val="auto"/>
        </w:rPr>
      </w:pPr>
      <w:r>
        <w:rPr>
          <w:rFonts w:ascii="Arial" w:cs="Arial" w:eastAsia="Arial" w:hAnsi="Arial"/>
          <w:sz w:val="22"/>
          <w:szCs w:val="22"/>
          <w:color w:val="auto"/>
        </w:rPr>
        <w:t>all rights of creditors and all liens on or security interests in property of any of those constituent business entities shall be preserved unimpaired; and</w:t>
      </w:r>
    </w:p>
    <w:p>
      <w:pPr>
        <w:spacing w:after="0" w:line="201" w:lineRule="exact"/>
        <w:rPr>
          <w:rFonts w:ascii="Arial" w:cs="Arial" w:eastAsia="Arial" w:hAnsi="Arial"/>
          <w:sz w:val="22"/>
          <w:szCs w:val="22"/>
          <w:color w:val="auto"/>
        </w:rPr>
      </w:pPr>
    </w:p>
    <w:p>
      <w:pPr>
        <w:ind w:left="660" w:firstLine="644"/>
        <w:spacing w:after="0"/>
        <w:tabs>
          <w:tab w:leader="none" w:pos="216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all debts, liabilities and duties of those constituent business entities shall attach to the Surviving Business Entity and may be enforced against it to the same extent as if the debts, liabilities and duties had been incurred or contracted by it.</w:t>
      </w:r>
    </w:p>
    <w:p>
      <w:pPr>
        <w:spacing w:after="0" w:line="213" w:lineRule="exact"/>
        <w:rPr>
          <w:sz w:val="20"/>
          <w:szCs w:val="20"/>
          <w:color w:val="auto"/>
        </w:rPr>
      </w:pPr>
    </w:p>
    <w:p>
      <w:pPr>
        <w:ind w:left="2100" w:hanging="796"/>
        <w:spacing w:after="0"/>
        <w:tabs>
          <w:tab w:leader="none" w:pos="21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At the effective time of the certificate of conversion, for all purposes of the laws of the Marshall Islands:</w:t>
      </w:r>
    </w:p>
    <w:p>
      <w:pPr>
        <w:spacing w:after="0" w:line="268" w:lineRule="exact"/>
        <w:rPr>
          <w:sz w:val="20"/>
          <w:szCs w:val="20"/>
          <w:color w:val="auto"/>
        </w:rPr>
      </w:pPr>
    </w:p>
    <w:p>
      <w:pPr>
        <w:ind w:left="660" w:right="860" w:firstLine="644"/>
        <w:spacing w:after="0" w:line="250" w:lineRule="auto"/>
        <w:tabs>
          <w:tab w:leader="none" w:pos="2052"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Partnership shall continue to exist, without interruption, but in the organizational form of the converted entity rather than in its prior organizational form;</w:t>
      </w:r>
    </w:p>
    <w:p>
      <w:pPr>
        <w:spacing w:after="0" w:line="201" w:lineRule="exact"/>
        <w:rPr>
          <w:rFonts w:ascii="Arial" w:cs="Arial" w:eastAsia="Arial" w:hAnsi="Arial"/>
          <w:sz w:val="22"/>
          <w:szCs w:val="22"/>
          <w:color w:val="auto"/>
        </w:rPr>
      </w:pPr>
    </w:p>
    <w:p>
      <w:pPr>
        <w:ind w:left="660" w:right="60" w:firstLine="644"/>
        <w:spacing w:after="0" w:line="297" w:lineRule="auto"/>
        <w:tabs>
          <w:tab w:leader="none" w:pos="2112" w:val="left"/>
        </w:tabs>
        <w:numPr>
          <w:ilvl w:val="0"/>
          <w:numId w:val="70"/>
        </w:numPr>
        <w:rPr>
          <w:rFonts w:ascii="Arial" w:cs="Arial" w:eastAsia="Arial" w:hAnsi="Arial"/>
          <w:sz w:val="19"/>
          <w:szCs w:val="19"/>
          <w:color w:val="auto"/>
        </w:rPr>
      </w:pPr>
      <w:r>
        <w:rPr>
          <w:rFonts w:ascii="Arial" w:cs="Arial" w:eastAsia="Arial" w:hAnsi="Arial"/>
          <w:sz w:val="19"/>
          <w:szCs w:val="19"/>
          <w:color w:val="auto"/>
        </w:rPr>
        <w:t>all rights, title, and interests to all real estate and other property owned by the Partnership shall remain vested in the converted entity in its new organizational form without reversion or impairment, without further act or deed, and without any transfer or assignment having occurred, but subject to any existing liens or other encumbrances thereon;</w:t>
      </w:r>
    </w:p>
    <w:p>
      <w:pPr>
        <w:spacing w:after="0" w:line="160" w:lineRule="exact"/>
        <w:rPr>
          <w:rFonts w:ascii="Arial" w:cs="Arial" w:eastAsia="Arial" w:hAnsi="Arial"/>
          <w:sz w:val="19"/>
          <w:szCs w:val="19"/>
          <w:color w:val="auto"/>
        </w:rPr>
      </w:pPr>
    </w:p>
    <w:p>
      <w:pPr>
        <w:ind w:left="660" w:right="500" w:firstLine="644"/>
        <w:spacing w:after="0" w:line="328" w:lineRule="auto"/>
        <w:tabs>
          <w:tab w:leader="none" w:pos="2172" w:val="left"/>
        </w:tabs>
        <w:numPr>
          <w:ilvl w:val="0"/>
          <w:numId w:val="70"/>
        </w:numPr>
        <w:rPr>
          <w:rFonts w:ascii="Arial" w:cs="Arial" w:eastAsia="Arial" w:hAnsi="Arial"/>
          <w:sz w:val="19"/>
          <w:szCs w:val="19"/>
          <w:color w:val="auto"/>
        </w:rPr>
      </w:pPr>
      <w:r>
        <w:rPr>
          <w:rFonts w:ascii="Arial" w:cs="Arial" w:eastAsia="Arial" w:hAnsi="Arial"/>
          <w:sz w:val="19"/>
          <w:szCs w:val="19"/>
          <w:color w:val="auto"/>
        </w:rPr>
        <w:t>all liabilities and obligations of the Partnership shall continue to be liabilities and obligations of the converted entity in its new organizational form without impairment or diminution by reason of the conversion;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67" w:name="page68"/>
    <w:bookmarkEnd w:id="67"/>
    <w:p>
      <w:pPr>
        <w:ind w:left="660" w:right="60" w:firstLine="644"/>
        <w:spacing w:after="0" w:line="236" w:lineRule="auto"/>
        <w:tabs>
          <w:tab w:leader="none" w:pos="2160" w:val="left"/>
        </w:tabs>
        <w:numPr>
          <w:ilvl w:val="0"/>
          <w:numId w:val="71"/>
        </w:numPr>
        <w:rPr>
          <w:rFonts w:ascii="Arial" w:cs="Arial" w:eastAsia="Arial" w:hAnsi="Arial"/>
          <w:sz w:val="22"/>
          <w:szCs w:val="22"/>
          <w:color w:val="auto"/>
        </w:rPr>
      </w:pPr>
      <w:r>
        <w:rPr>
          <w:rFonts w:ascii="Arial" w:cs="Arial" w:eastAsia="Arial" w:hAnsi="Arial"/>
          <w:sz w:val="22"/>
          <w:szCs w:val="22"/>
          <w:color w:val="auto"/>
        </w:rPr>
        <w:t>all rights of creditors or other parties with respect to or against the prior interest holders or other owners of the Partnership in their capacities as such in existence as of the effective time of the conversion will continue in existence as to those liabilities and obligations and are enforceable against the converted entity by such creditors and obligees to the same extent as if the liabilities and obligations had originally been incurred or contracted by the converted entity; and</w:t>
      </w:r>
    </w:p>
    <w:p>
      <w:pPr>
        <w:spacing w:after="0" w:line="214" w:lineRule="exact"/>
        <w:rPr>
          <w:rFonts w:ascii="Arial" w:cs="Arial" w:eastAsia="Arial" w:hAnsi="Arial"/>
          <w:sz w:val="22"/>
          <w:szCs w:val="22"/>
          <w:color w:val="auto"/>
        </w:rPr>
      </w:pPr>
    </w:p>
    <w:p>
      <w:pPr>
        <w:ind w:left="660" w:right="260" w:firstLine="644"/>
        <w:spacing w:after="0" w:line="257" w:lineRule="auto"/>
        <w:tabs>
          <w:tab w:leader="none" w:pos="2100"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the Partnership Interests that are to be converted into partnership interests, shares, evidences of ownership, or other rights or securities in the converted entity or cash as provided in the Plan of Conversion shall be so converted, and Partners shall be entitled only to the rights provided in the Plan of Conversion.</w:t>
      </w:r>
    </w:p>
    <w:p>
      <w:pPr>
        <w:spacing w:after="0" w:line="190"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ARTICLE XV</w:t>
      </w:r>
    </w:p>
    <w:p>
      <w:pPr>
        <w:spacing w:after="0" w:line="14"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[RESERVED]</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XVI</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SERIES A CUMULATIVE REDEEMABLE PERPETUAL FIXED TO FLOATING RATE PREFERENCE UNITS</w:t>
      </w:r>
    </w:p>
    <w:p>
      <w:pPr>
        <w:spacing w:after="0" w:line="215" w:lineRule="exact"/>
        <w:rPr>
          <w:sz w:val="20"/>
          <w:szCs w:val="20"/>
          <w:color w:val="auto"/>
        </w:rPr>
      </w:pPr>
    </w:p>
    <w:p>
      <w:pPr>
        <w:ind w:right="220" w:firstLine="1296"/>
        <w:spacing w:after="0" w:line="277" w:lineRule="auto"/>
        <w:rPr>
          <w:sz w:val="20"/>
          <w:szCs w:val="20"/>
          <w:color w:val="auto"/>
        </w:rPr>
      </w:pPr>
      <w:r>
        <w:rPr>
          <w:rFonts w:ascii="Arial" w:cs="Arial" w:eastAsia="Arial" w:hAnsi="Arial"/>
          <w:sz w:val="19"/>
          <w:szCs w:val="19"/>
          <w:color w:val="auto"/>
        </w:rPr>
        <w:t xml:space="preserve">Section 16.1. </w:t>
      </w:r>
      <w:r>
        <w:rPr>
          <w:rFonts w:ascii="Arial" w:cs="Arial" w:eastAsia="Arial" w:hAnsi="Arial"/>
          <w:sz w:val="19"/>
          <w:szCs w:val="19"/>
          <w:i w:val="1"/>
          <w:iCs w:val="1"/>
          <w:color w:val="auto"/>
        </w:rPr>
        <w:t>Designations</w:t>
      </w:r>
      <w:r>
        <w:rPr>
          <w:rFonts w:ascii="Arial" w:cs="Arial" w:eastAsia="Arial" w:hAnsi="Arial"/>
          <w:sz w:val="19"/>
          <w:szCs w:val="19"/>
          <w:color w:val="auto"/>
        </w:rPr>
        <w:t xml:space="preserve">. On May 15, 2017, the Board of Directors designated and created a series of Preference Units designated as “8.625% Series A Cumulative Redeemable Perpetual Fixed to Floating Rate Preference Units,” and fixed the preferences, rights, powers and duties of the holders of the Series A Preference Units as set forth in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XVI</w:t>
      </w:r>
      <w:r>
        <w:rPr>
          <w:rFonts w:ascii="Arial" w:cs="Arial" w:eastAsia="Arial" w:hAnsi="Arial"/>
          <w:sz w:val="19"/>
          <w:szCs w:val="19"/>
          <w:color w:val="auto"/>
        </w:rPr>
        <w:t>. Each Series A Preference Unit shall be identical in all respects to every other Series A Preference Unit, except as to the respective dates from which the Series A Liquidation Preference shall increase or from which Series A Distributions may begin accruing, to the extent such dates may differ. The Series A Preference Units represent perpetual equity interests in the Partnership and shall not give rise to a claim by the holder for redemption thereof at a particular date.</w:t>
      </w:r>
    </w:p>
    <w:p>
      <w:pPr>
        <w:spacing w:after="0" w:line="179"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16.2.</w:t>
      </w:r>
      <w:r>
        <w:rPr>
          <w:sz w:val="20"/>
          <w:szCs w:val="20"/>
          <w:color w:val="auto"/>
        </w:rPr>
        <w:tab/>
      </w:r>
      <w:r>
        <w:rPr>
          <w:rFonts w:ascii="Arial" w:cs="Arial" w:eastAsia="Arial" w:hAnsi="Arial"/>
          <w:sz w:val="19"/>
          <w:szCs w:val="19"/>
          <w:i w:val="1"/>
          <w:iCs w:val="1"/>
          <w:color w:val="auto"/>
        </w:rPr>
        <w:t>Units</w:t>
      </w:r>
      <w:r>
        <w:rPr>
          <w:rFonts w:ascii="Arial" w:cs="Arial" w:eastAsia="Arial" w:hAnsi="Arial"/>
          <w:sz w:val="19"/>
          <w:szCs w:val="19"/>
          <w:color w:val="auto"/>
        </w:rPr>
        <w:t>.</w:t>
      </w:r>
    </w:p>
    <w:p>
      <w:pPr>
        <w:spacing w:after="0" w:line="233" w:lineRule="exact"/>
        <w:rPr>
          <w:sz w:val="20"/>
          <w:szCs w:val="20"/>
          <w:color w:val="auto"/>
        </w:rPr>
      </w:pPr>
    </w:p>
    <w:p>
      <w:pPr>
        <w:ind w:right="240" w:firstLine="1304"/>
        <w:spacing w:after="0" w:line="250" w:lineRule="auto"/>
        <w:tabs>
          <w:tab w:leader="none" w:pos="2076"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authorized number of Series A Preference Units shall be unlimited. Series A Preference Units that are purchased or otherwise acquired by the Partnership shall be cancelled.</w:t>
      </w:r>
    </w:p>
    <w:p>
      <w:pPr>
        <w:spacing w:after="0" w:line="201" w:lineRule="exact"/>
        <w:rPr>
          <w:rFonts w:ascii="Arial" w:cs="Arial" w:eastAsia="Arial" w:hAnsi="Arial"/>
          <w:sz w:val="22"/>
          <w:szCs w:val="22"/>
          <w:color w:val="auto"/>
        </w:rPr>
      </w:pPr>
    </w:p>
    <w:p>
      <w:pPr>
        <w:ind w:firstLine="1304"/>
        <w:spacing w:after="0" w:line="246" w:lineRule="auto"/>
        <w:tabs>
          <w:tab w:leader="none" w:pos="2088" w:val="left"/>
        </w:tabs>
        <w:numPr>
          <w:ilvl w:val="0"/>
          <w:numId w:val="72"/>
        </w:numPr>
        <w:rPr>
          <w:rFonts w:ascii="Arial" w:cs="Arial" w:eastAsia="Arial" w:hAnsi="Arial"/>
          <w:sz w:val="21"/>
          <w:szCs w:val="21"/>
          <w:color w:val="auto"/>
        </w:rPr>
      </w:pPr>
      <w:r>
        <w:rPr>
          <w:rFonts w:ascii="Arial" w:cs="Arial" w:eastAsia="Arial" w:hAnsi="Arial"/>
          <w:sz w:val="21"/>
          <w:szCs w:val="21"/>
          <w:color w:val="auto"/>
        </w:rPr>
        <w:t>The Series A Preference Units shall be represented by a single Certificate registered in the name of the Depositary or its nominee, and no Series A Holder shall be entitled to receive a Certificate evidencing such applicable Units, unless otherwise required by law or the Depositary gives notice of its intention to resign or is no longer eligible to act as such with respect to such series of Preference Units and the Partnership shall have not selected a substitute Depositary within 60 calendar days thereafter. So long as the Depositary shall have been appointed and is serving with respect to such series of Preference Units, payments and communications made by the Partnership to Series A Holders shall be made by making payments to, and communicating with, the Depositary.</w:t>
      </w:r>
    </w:p>
    <w:p>
      <w:pPr>
        <w:spacing w:after="0" w:line="211"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16.3.</w:t>
      </w:r>
      <w:r>
        <w:rPr>
          <w:sz w:val="20"/>
          <w:szCs w:val="20"/>
          <w:color w:val="auto"/>
        </w:rPr>
        <w:tab/>
      </w:r>
      <w:r>
        <w:rPr>
          <w:rFonts w:ascii="Arial" w:cs="Arial" w:eastAsia="Arial" w:hAnsi="Arial"/>
          <w:sz w:val="19"/>
          <w:szCs w:val="19"/>
          <w:i w:val="1"/>
          <w:iCs w:val="1"/>
          <w:color w:val="auto"/>
        </w:rPr>
        <w:t>Distributions</w:t>
      </w:r>
      <w:r>
        <w:rPr>
          <w:rFonts w:ascii="Arial" w:cs="Arial" w:eastAsia="Arial" w:hAnsi="Arial"/>
          <w:sz w:val="19"/>
          <w:szCs w:val="19"/>
          <w:color w:val="auto"/>
        </w:rPr>
        <w:t>.</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68" w:name="page69"/>
    <w:bookmarkEnd w:id="68"/>
    <w:p>
      <w:pPr>
        <w:ind w:left="-20" w:firstLine="1304"/>
        <w:spacing w:after="0" w:line="270" w:lineRule="auto"/>
        <w:tabs>
          <w:tab w:leader="none" w:pos="2056"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Distributions on each Series A Preference Unit shall be cumulative and shall accrue at the Series A Distribution Rate from the Series A Original Issue Date (or, for any subsequently issued and newly Outstanding Series A Preference Units, from the Series A Distribution Payment Date immediately preceding the issuance date of such Units) until such time as the Partnership pays the Series A Distribution or redeems the Series A Preference Units in full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16.6</w:t>
      </w:r>
      <w:r>
        <w:rPr>
          <w:rFonts w:ascii="Arial" w:cs="Arial" w:eastAsia="Arial" w:hAnsi="Arial"/>
          <w:sz w:val="19"/>
          <w:szCs w:val="19"/>
          <w:color w:val="auto"/>
        </w:rPr>
        <w:t xml:space="preserve"> below, whether or not such Series A Distributions shall have been declared. Series A Holders shall be entitled to receive Series A Distributions from time to time out of any assets of the Partnership legally available for the payment of distributions at the Series A Distribution Rate per Series A Preference Unit when, as, and if declared by the Board of Directors. Series A Distributions, to the extent declared by the Board of Directors to be paid by the Partnership in accordance with this </w:t>
      </w:r>
      <w:r>
        <w:rPr>
          <w:rFonts w:ascii="Arial" w:cs="Arial" w:eastAsia="Arial" w:hAnsi="Arial"/>
          <w:sz w:val="19"/>
          <w:szCs w:val="19"/>
          <w:u w:val="single" w:color="auto"/>
          <w:color w:val="auto"/>
        </w:rPr>
        <w:t>Section 16.3</w:t>
      </w:r>
      <w:r>
        <w:rPr>
          <w:rFonts w:ascii="Arial" w:cs="Arial" w:eastAsia="Arial" w:hAnsi="Arial"/>
          <w:sz w:val="19"/>
          <w:szCs w:val="19"/>
          <w:color w:val="auto"/>
        </w:rPr>
        <w:t>, shall be paid quarterly on each Series A Distribution Payment Date. Distributions shall accumulate in each Series A Distribution Period from and including the preceding Series A Distribution Payment Date (other than the initial Series A Distribution Period, which shall commence on and include the Series A Original Issue Date), to but excluding the next Series A Distribution Payment Date for such Series A Distribution Period and distributions shall accrue on accumulated Series A Distributions at the Series A Distribution Rate. If any Series A Distribution Payment Date during the Series A Fixed Rate Period would otherwise occur on a date that is not a Business Day, declared Series A Distributions shall be paid on the immediately succeeding Business Day without the accumulation of additional distributions. If any Series A Distribution Payment Date during the Series A Floating Rate Period would otherwise occur on a date that is not a Business Day, then the Series A Distribution Payment Date will be the next day that is a Business Day. Series A Distributions payable for any Series A Distribution Period during the Series A Fixed Rate Period will be calculated based on a 360-day year consisting of twelve 30-day months. Series A Distributions payable for any Series A Distribution Period during the Series A Floating Rate Period will be calculated based on a 360-day year and the number of days actually elapsed during such Series A Distribution Period.</w:t>
      </w:r>
    </w:p>
    <w:p>
      <w:pPr>
        <w:spacing w:after="0" w:line="187" w:lineRule="exact"/>
        <w:rPr>
          <w:rFonts w:ascii="Arial" w:cs="Arial" w:eastAsia="Arial" w:hAnsi="Arial"/>
          <w:sz w:val="19"/>
          <w:szCs w:val="19"/>
          <w:color w:val="auto"/>
        </w:rPr>
      </w:pPr>
    </w:p>
    <w:p>
      <w:pPr>
        <w:ind w:left="-20" w:right="100" w:firstLine="1304"/>
        <w:spacing w:after="0" w:line="236" w:lineRule="auto"/>
        <w:tabs>
          <w:tab w:leader="none" w:pos="2068" w:val="left"/>
        </w:tabs>
        <w:numPr>
          <w:ilvl w:val="0"/>
          <w:numId w:val="73"/>
        </w:numPr>
        <w:rPr>
          <w:rFonts w:ascii="Arial" w:cs="Arial" w:eastAsia="Arial" w:hAnsi="Arial"/>
          <w:sz w:val="22"/>
          <w:szCs w:val="22"/>
          <w:color w:val="auto"/>
        </w:rPr>
      </w:pPr>
      <w:r>
        <w:rPr>
          <w:rFonts w:ascii="Arial" w:cs="Arial" w:eastAsia="Arial" w:hAnsi="Arial"/>
          <w:sz w:val="22"/>
          <w:szCs w:val="22"/>
          <w:color w:val="auto"/>
        </w:rPr>
        <w:t>For each Series A Distribution Period during the Series A Floating Rate Period, the applicable Series A Distribution Rate will be determined by the Partnership as of the applicable Series A Distribution Determination Date for such Series A Distribution Period. For purposes of determining the applicable Series A Distribution Rate, the Series A Three-Month LIBOR Rate will be determined by the Partnership, as of the applicable Series A Distribution Determination Date, in accordance with the following provisions:</w:t>
      </w:r>
    </w:p>
    <w:p>
      <w:pPr>
        <w:spacing w:after="0" w:line="214" w:lineRule="exact"/>
        <w:rPr>
          <w:sz w:val="20"/>
          <w:szCs w:val="20"/>
          <w:color w:val="auto"/>
        </w:rPr>
      </w:pPr>
    </w:p>
    <w:p>
      <w:pPr>
        <w:ind w:left="640" w:right="200" w:firstLine="644"/>
        <w:spacing w:after="0" w:line="238" w:lineRule="auto"/>
        <w:tabs>
          <w:tab w:leader="none" w:pos="2032" w:val="left"/>
        </w:tabs>
        <w:numPr>
          <w:ilvl w:val="0"/>
          <w:numId w:val="74"/>
        </w:numPr>
        <w:rPr>
          <w:rFonts w:ascii="Arial" w:cs="Arial" w:eastAsia="Arial" w:hAnsi="Arial"/>
          <w:sz w:val="22"/>
          <w:szCs w:val="22"/>
          <w:color w:val="auto"/>
        </w:rPr>
      </w:pPr>
      <w:r>
        <w:rPr>
          <w:rFonts w:ascii="Arial" w:cs="Arial" w:eastAsia="Arial" w:hAnsi="Arial"/>
          <w:sz w:val="22"/>
          <w:szCs w:val="22"/>
          <w:color w:val="auto"/>
        </w:rPr>
        <w:t>the Series A Three-Month LIBOR Rate will be the rate (expressed as a percentage per year) for deposits in U.S. dollars having an index maturity of three months, in amounts of at least $1,000,000, as such rate appears on Reuters Page LIBOR01 at approximately 11:00 a.m. (London time) on the relevant Series A Distribution Determination Date; or</w:t>
      </w:r>
    </w:p>
    <w:p>
      <w:pPr>
        <w:spacing w:after="0" w:line="211" w:lineRule="exact"/>
        <w:rPr>
          <w:rFonts w:ascii="Arial" w:cs="Arial" w:eastAsia="Arial" w:hAnsi="Arial"/>
          <w:sz w:val="22"/>
          <w:szCs w:val="22"/>
          <w:color w:val="auto"/>
        </w:rPr>
      </w:pPr>
    </w:p>
    <w:p>
      <w:pPr>
        <w:ind w:left="640" w:right="60" w:firstLine="644"/>
        <w:spacing w:after="0" w:line="236" w:lineRule="auto"/>
        <w:tabs>
          <w:tab w:leader="none" w:pos="2092" w:val="left"/>
        </w:tabs>
        <w:numPr>
          <w:ilvl w:val="0"/>
          <w:numId w:val="74"/>
        </w:numPr>
        <w:rPr>
          <w:rFonts w:ascii="Arial" w:cs="Arial" w:eastAsia="Arial" w:hAnsi="Arial"/>
          <w:sz w:val="22"/>
          <w:szCs w:val="22"/>
          <w:color w:val="auto"/>
        </w:rPr>
      </w:pPr>
      <w:r>
        <w:rPr>
          <w:rFonts w:ascii="Arial" w:cs="Arial" w:eastAsia="Arial" w:hAnsi="Arial"/>
          <w:sz w:val="22"/>
          <w:szCs w:val="22"/>
          <w:color w:val="auto"/>
        </w:rPr>
        <w:t>if no such rate appears on Reuters Page LIBOR01 or if the Reuters Page LIBOR01 is not available at approximately 11:00 a.m. (London time) on the relevant Series A Distribution Determination Date, then the Partnership will select four nationally-recognized banks in the London interbank market and request that the principal London offices of those four selected banks provide their offered quotation for deposits in U.S. dollars for a period of three months, commencing on the first day of the applicable Series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604" w:right="359" w:bottom="1440" w:gutter="0" w:footer="0" w:header="0"/>
        </w:sectPr>
      </w:pPr>
    </w:p>
    <w:bookmarkStart w:id="69" w:name="page70"/>
    <w:bookmarkEnd w:id="69"/>
    <w:p>
      <w:pPr>
        <w:ind w:left="640"/>
        <w:spacing w:after="0" w:line="270" w:lineRule="auto"/>
        <w:rPr>
          <w:sz w:val="20"/>
          <w:szCs w:val="20"/>
          <w:color w:val="auto"/>
        </w:rPr>
      </w:pPr>
      <w:r>
        <w:rPr>
          <w:rFonts w:ascii="Arial" w:cs="Arial" w:eastAsia="Arial" w:hAnsi="Arial"/>
          <w:sz w:val="19"/>
          <w:szCs w:val="19"/>
          <w:color w:val="auto"/>
        </w:rPr>
        <w:t>A Distribution Period, to prime banks in the London interbank market at approximately 11:00 a.m. (London time) on that Series A Distribution Determination Date for the applicable Series A Distribution Period. Offered quotations must be based on a principal amount equal to an amount that, in the Partnership’s discretion, is representative of a single transaction in U.S. dollars in the London interbank market at that time. If at least two quotations are provided, the Series A Three-Month LIBOR Rate for such Series A Distribution Period will be the arithmetic mean (rounded upward if necessary, to the nearest 0.00001 of 1%) of those quotations. If fewer than two quotations are provided, the Series A Three-Month LIBOR Rate for such Series A Distribution Period will be the arithmetic mean (rounded upward if necessary, to the nearest 0.00001 of 1%) of the rates quoted at approximately 11:00 a.m. (New York City time) on that Series A Distribution Determination Date for such Series A Distribution Period by three nationally-recognized banks in New York, New York selected by the Partnership, for loans in U.S. dollars to nationally-recognized European banks (as selected by the Partnership), for a period of three months commencing on the first day of such Series A Distribution Period. The rates quoted must be based on an amount that, in the Partnership’s discretion, is representative of a single transaction in U.S. dollars in that market at that time. If fewer than three New York City banks selected by the Partnership provide quote rates in the manner described above, the Series A Three-Month LIBOR Rate for the applicable Series A Distribution Period will be the same as for the immediately preceding Series A Distribution Period, or, if there was no such Series A Distribution Period, the distribution shall be calculated at the Series A Distribution Rate in effect for the immediately preceding Series A Distribution Period.</w:t>
      </w:r>
    </w:p>
    <w:p>
      <w:pPr>
        <w:spacing w:after="0" w:line="200" w:lineRule="exact"/>
        <w:rPr>
          <w:sz w:val="20"/>
          <w:szCs w:val="20"/>
          <w:color w:val="auto"/>
        </w:rPr>
      </w:pPr>
    </w:p>
    <w:p>
      <w:pPr>
        <w:spacing w:after="0" w:line="241" w:lineRule="exact"/>
        <w:rPr>
          <w:sz w:val="20"/>
          <w:szCs w:val="20"/>
          <w:color w:val="auto"/>
        </w:rPr>
      </w:pPr>
    </w:p>
    <w:p>
      <w:pPr>
        <w:ind w:left="-20" w:right="20" w:firstLine="1304"/>
        <w:spacing w:after="0" w:line="270" w:lineRule="auto"/>
        <w:tabs>
          <w:tab w:leader="none" w:pos="2056" w:val="left"/>
        </w:tabs>
        <w:numPr>
          <w:ilvl w:val="0"/>
          <w:numId w:val="75"/>
        </w:numPr>
        <w:rPr>
          <w:rFonts w:ascii="Arial" w:cs="Arial" w:eastAsia="Arial" w:hAnsi="Arial"/>
          <w:sz w:val="19"/>
          <w:szCs w:val="19"/>
          <w:color w:val="auto"/>
        </w:rPr>
      </w:pPr>
      <w:r>
        <w:rPr>
          <w:rFonts w:ascii="Arial" w:cs="Arial" w:eastAsia="Arial" w:hAnsi="Arial"/>
          <w:sz w:val="19"/>
          <w:szCs w:val="19"/>
          <w:color w:val="auto"/>
        </w:rPr>
        <w:t>Not later than 5:00 p.m., New York City time, on each Series A Distribution Payment Date, the Partnership shall pay those Series A Distributions, if any, that shall have been declared by the Board of Directors to Series A Holders on the Record Date for the applicable Series A Distribution. The Record Date (the “</w:t>
      </w:r>
      <w:r>
        <w:rPr>
          <w:rFonts w:ascii="Arial" w:cs="Arial" w:eastAsia="Arial" w:hAnsi="Arial"/>
          <w:sz w:val="19"/>
          <w:szCs w:val="19"/>
          <w:b w:val="1"/>
          <w:bCs w:val="1"/>
          <w:i w:val="1"/>
          <w:iCs w:val="1"/>
          <w:color w:val="auto"/>
        </w:rPr>
        <w:t>Series A Distribution Record Date</w:t>
      </w:r>
      <w:r>
        <w:rPr>
          <w:rFonts w:ascii="Arial" w:cs="Arial" w:eastAsia="Arial" w:hAnsi="Arial"/>
          <w:sz w:val="19"/>
          <w:szCs w:val="19"/>
          <w:color w:val="auto"/>
        </w:rPr>
        <w:t xml:space="preserve">”) for the payment of any Series A Distributions shall be the fifth Business Day immediately preceding the applicable Series A Distribution Payment Date, except that in the case of payments of Series A Distributions in Arrears, the Series A Distribution Record Date with respect to a Series A Distribution Payment Date shall be such date as may be designated by the Board of Directors in accordance with this </w:t>
      </w:r>
      <w:r>
        <w:rPr>
          <w:rFonts w:ascii="Arial" w:cs="Arial" w:eastAsia="Arial" w:hAnsi="Arial"/>
          <w:sz w:val="19"/>
          <w:szCs w:val="19"/>
          <w:u w:val="single" w:color="auto"/>
          <w:color w:val="auto"/>
        </w:rPr>
        <w:t>Article XVI</w:t>
      </w:r>
      <w:r>
        <w:rPr>
          <w:rFonts w:ascii="Arial" w:cs="Arial" w:eastAsia="Arial" w:hAnsi="Arial"/>
          <w:sz w:val="19"/>
          <w:szCs w:val="19"/>
          <w:color w:val="auto"/>
        </w:rPr>
        <w:t>. No distribution shall be declared or paid or set apart for payment on any Junior Securities (other than a distribution payable solely in Junior Securities) unless full cumulative Series A Distributions have been or contemporaneously are being paid or provided for on all Outstanding Series A Preference Units and any other Parity Securities through the most recent respective Series A Distribution Payment Dates. Accumulated Series A Distributions in Arrears for any past Series A Distribution Period may be declared by the Board of Directors and paid on any date fixed by the Board of Directors, whether or not a Series A Distribution Payment Date, to Series A Holders on the record date for such payment, which may not be more than 60 days, nor less than 15 days, before such payment date. Subject to the next succeeding sentence, if all accumulated Series A Distributions in Arrears on all Outstanding Series A Preference Units and any other Parity Securities shall not have been declared and paid, or if sufficient funds for the payment thereof shall not have been set apart, payment of accumulated distributions in Arrears on the Series A Preference Units and any such Parity Securities shall be made in order of their respective distribution payment dates, commencing with the earliest. If less than all distributions payable with respect to all Series A</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04" w:right="339" w:bottom="1440" w:gutter="0" w:footer="0" w:header="0"/>
        </w:sectPr>
      </w:pPr>
    </w:p>
    <w:bookmarkStart w:id="70" w:name="page71"/>
    <w:bookmarkEnd w:id="70"/>
    <w:p>
      <w:pPr>
        <w:spacing w:after="0" w:line="274" w:lineRule="auto"/>
        <w:rPr>
          <w:sz w:val="20"/>
          <w:szCs w:val="20"/>
          <w:color w:val="auto"/>
        </w:rPr>
      </w:pPr>
      <w:r>
        <w:rPr>
          <w:rFonts w:ascii="Arial" w:cs="Arial" w:eastAsia="Arial" w:hAnsi="Arial"/>
          <w:sz w:val="19"/>
          <w:szCs w:val="19"/>
          <w:color w:val="auto"/>
        </w:rPr>
        <w:t xml:space="preserve">Preference Units and any other Parity Securities are paid, any partial payment shall be made pro rata with respect to the Series A Preference Units and any such other Parity Securities entitled to a distribution payment at such time in proportion to the aggregate distribution amounts remaining due in respect of such Series A Preference Units and such other Parity Securities at such time. Subject to </w:t>
      </w:r>
      <w:r>
        <w:rPr>
          <w:rFonts w:ascii="Arial" w:cs="Arial" w:eastAsia="Arial" w:hAnsi="Arial"/>
          <w:sz w:val="19"/>
          <w:szCs w:val="19"/>
          <w:u w:val="single" w:color="auto"/>
          <w:color w:val="auto"/>
        </w:rPr>
        <w:t>Sections 12.4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16.6</w:t>
      </w:r>
      <w:r>
        <w:rPr>
          <w:rFonts w:ascii="Arial" w:cs="Arial" w:eastAsia="Arial" w:hAnsi="Arial"/>
          <w:sz w:val="19"/>
          <w:szCs w:val="19"/>
          <w:color w:val="auto"/>
        </w:rPr>
        <w:t xml:space="preserve">, Series A Holders shall not be entitled to any distribution, whether payable in cash, property or stock, in excess of full cumulative Series A Distributions. Except insofar as distributions accrue on the amount of any accumulated and unpaid Series A Distributions as described in </w:t>
      </w:r>
      <w:r>
        <w:rPr>
          <w:rFonts w:ascii="Arial" w:cs="Arial" w:eastAsia="Arial" w:hAnsi="Arial"/>
          <w:sz w:val="19"/>
          <w:szCs w:val="19"/>
          <w:u w:val="single" w:color="auto"/>
          <w:color w:val="auto"/>
        </w:rPr>
        <w:t>Section 16.3(a)</w:t>
      </w:r>
      <w:r>
        <w:rPr>
          <w:rFonts w:ascii="Arial" w:cs="Arial" w:eastAsia="Arial" w:hAnsi="Arial"/>
          <w:sz w:val="19"/>
          <w:szCs w:val="19"/>
          <w:color w:val="auto"/>
        </w:rPr>
        <w:t>, no interest or sum of money in lieu of interest shall be payable in respect of any distribution payment which may be in Arrears on the Series A Preference Units. So long as the Series A Preference Units are held of record by the nominee of the Depositary, declared Series A Distributions shall be paid to the Depositary in same-day funds on each Series A Distribution Payment Date.</w:t>
      </w:r>
    </w:p>
    <w:p>
      <w:pPr>
        <w:spacing w:after="0" w:line="185"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16.4.</w:t>
      </w:r>
      <w:r>
        <w:rPr>
          <w:sz w:val="20"/>
          <w:szCs w:val="20"/>
          <w:color w:val="auto"/>
        </w:rPr>
        <w:tab/>
      </w:r>
      <w:r>
        <w:rPr>
          <w:rFonts w:ascii="Arial" w:cs="Arial" w:eastAsia="Arial" w:hAnsi="Arial"/>
          <w:sz w:val="19"/>
          <w:szCs w:val="19"/>
          <w:i w:val="1"/>
          <w:iCs w:val="1"/>
          <w:color w:val="auto"/>
        </w:rPr>
        <w:t>Liquidation Rights</w:t>
      </w:r>
      <w:r>
        <w:rPr>
          <w:rFonts w:ascii="Arial" w:cs="Arial" w:eastAsia="Arial" w:hAnsi="Arial"/>
          <w:sz w:val="19"/>
          <w:szCs w:val="19"/>
          <w:color w:val="auto"/>
        </w:rPr>
        <w:t>.</w:t>
      </w:r>
    </w:p>
    <w:p>
      <w:pPr>
        <w:spacing w:after="0" w:line="233" w:lineRule="exact"/>
        <w:rPr>
          <w:sz w:val="20"/>
          <w:szCs w:val="20"/>
          <w:color w:val="auto"/>
        </w:rPr>
      </w:pPr>
    </w:p>
    <w:p>
      <w:pPr>
        <w:ind w:firstLine="1304"/>
        <w:spacing w:after="0" w:line="270" w:lineRule="auto"/>
        <w:tabs>
          <w:tab w:leader="none" w:pos="2076" w:val="left"/>
        </w:tabs>
        <w:numPr>
          <w:ilvl w:val="0"/>
          <w:numId w:val="76"/>
        </w:numPr>
        <w:rPr>
          <w:rFonts w:ascii="Arial" w:cs="Arial" w:eastAsia="Arial" w:hAnsi="Arial"/>
          <w:sz w:val="19"/>
          <w:szCs w:val="19"/>
          <w:color w:val="auto"/>
        </w:rPr>
      </w:pPr>
      <w:r>
        <w:rPr>
          <w:rFonts w:ascii="Arial" w:cs="Arial" w:eastAsia="Arial" w:hAnsi="Arial"/>
          <w:sz w:val="19"/>
          <w:szCs w:val="19"/>
          <w:color w:val="auto"/>
        </w:rPr>
        <w:t>Upon the occurrence of any Liquidation Event, Series A Holders shall be entitled to receive out of the assets of the Partnership or proceeds thereof legally available for distribution to the Partners, (i) after satisfaction of all liabilities, if any, to creditors of the Partnership, (ii) after all applicable distributions of such assets or proceeds being made to or set aside for the holders of any Senior Securities then Outstanding in respect of such Liquidation Event, (iii) concurrently with any applicable distributions of such assets or proceeds being made to or set aside for holders of any Series A Preference Units or other Parity Securities then Outstanding in respect of such Liquidation Event and (iv) before any distribution of such assets or proceeds is made to or set aside for the holders of Common Units and any other classes or series of Junior Securities as to such distribution, a liquidating distribution or payment in full redemption of such Series A Preference Units in an amount equal to the Series A Liquidation Preference. For purposes of clarity, upon the occurrence of any Liquidation Event, (x) the holders of then Outstanding Senior Securities shall be entitled to receive the applicable Liquidation Preference on such Senior Securities before any distribution shall be made with respect to the Series A Preference Units or any Parity Securities and (y) the Series A Holders shall be entitled to the Series A Liquidation Preference per Series A Preference Unit in cash, concurrently with any distribution made to the holders of any Parity Securities and before any distribution shall be made to the holders of Common Units or any other Junior Securities. Series A Holders shall not be entitled to any other amounts from the Partnership, in their capacity as Series A Holders, after they have received the Series A Liquidation Preference. The payment of the Series A Liquidation Preference shall be a payment in redemption of the Series A Preference Units such that, from and after payment of the full Series A Liquidation Preference, any such Series A Preference Unit shall thereafter be cancelled and no longer be Outstanding.</w:t>
      </w:r>
    </w:p>
    <w:p>
      <w:pPr>
        <w:spacing w:after="0" w:line="195" w:lineRule="exact"/>
        <w:rPr>
          <w:rFonts w:ascii="Arial" w:cs="Arial" w:eastAsia="Arial" w:hAnsi="Arial"/>
          <w:sz w:val="19"/>
          <w:szCs w:val="19"/>
          <w:color w:val="auto"/>
        </w:rPr>
      </w:pPr>
    </w:p>
    <w:p>
      <w:pPr>
        <w:ind w:right="60" w:firstLine="1304"/>
        <w:spacing w:after="0" w:line="279" w:lineRule="auto"/>
        <w:tabs>
          <w:tab w:leader="none" w:pos="2088"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If, in the event of any distribution or payment described in </w:t>
      </w:r>
      <w:r>
        <w:rPr>
          <w:rFonts w:ascii="Arial" w:cs="Arial" w:eastAsia="Arial" w:hAnsi="Arial"/>
          <w:sz w:val="19"/>
          <w:szCs w:val="19"/>
          <w:u w:val="single" w:color="auto"/>
          <w:color w:val="auto"/>
        </w:rPr>
        <w:t>Section 16.4(a)</w:t>
      </w:r>
      <w:r>
        <w:rPr>
          <w:rFonts w:ascii="Arial" w:cs="Arial" w:eastAsia="Arial" w:hAnsi="Arial"/>
          <w:sz w:val="19"/>
          <w:szCs w:val="19"/>
          <w:color w:val="auto"/>
        </w:rPr>
        <w:t xml:space="preserve"> above where the Partnership’s assets available for distribution to holders of the Outstanding Series A Preference Units and any other Parity Securities are insufficient to satisfy the applicable Liquidation Preference for such Series A Preference Units and Parity Securities, the Partnership’s then remaining assets or proceeds thereof legally available for distribution to unitholders of the Partnership shall be distributed among the holders of Outstanding Series A Preference Units and such Parity Securities, as applicable, ratably on the basis of their relative aggregate Liquidation Preferences. To the extent that the Series A Holders receive a partial</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71" w:name="page72"/>
    <w:bookmarkEnd w:id="71"/>
    <w:p>
      <w:pPr>
        <w:ind w:right="140"/>
        <w:spacing w:after="0" w:line="250" w:lineRule="auto"/>
        <w:rPr>
          <w:sz w:val="20"/>
          <w:szCs w:val="20"/>
          <w:color w:val="auto"/>
        </w:rPr>
      </w:pPr>
      <w:r>
        <w:rPr>
          <w:rFonts w:ascii="Arial" w:cs="Arial" w:eastAsia="Arial" w:hAnsi="Arial"/>
          <w:sz w:val="22"/>
          <w:szCs w:val="22"/>
          <w:color w:val="auto"/>
        </w:rPr>
        <w:t>payment of their Series A Liquidation Preference, such partial payment shall reduce the Series A Liquidation Preference of their Series A Preference Units, but only to the extent of such amount paid.</w:t>
      </w:r>
    </w:p>
    <w:p>
      <w:pPr>
        <w:spacing w:after="0" w:line="202" w:lineRule="exact"/>
        <w:rPr>
          <w:sz w:val="20"/>
          <w:szCs w:val="20"/>
          <w:color w:val="auto"/>
        </w:rPr>
      </w:pPr>
    </w:p>
    <w:p>
      <w:pPr>
        <w:ind w:right="440" w:firstLine="1304"/>
        <w:spacing w:after="0" w:line="238" w:lineRule="auto"/>
        <w:tabs>
          <w:tab w:leader="none" w:pos="2076" w:val="left"/>
        </w:tabs>
        <w:numPr>
          <w:ilvl w:val="0"/>
          <w:numId w:val="77"/>
        </w:numPr>
        <w:rPr>
          <w:rFonts w:ascii="Arial" w:cs="Arial" w:eastAsia="Arial" w:hAnsi="Arial"/>
          <w:sz w:val="22"/>
          <w:szCs w:val="22"/>
          <w:color w:val="auto"/>
        </w:rPr>
      </w:pPr>
      <w:r>
        <w:rPr>
          <w:rFonts w:ascii="Arial" w:cs="Arial" w:eastAsia="Arial" w:hAnsi="Arial"/>
          <w:sz w:val="22"/>
          <w:szCs w:val="22"/>
          <w:color w:val="auto"/>
        </w:rPr>
        <w:t>After payment of the applicable Liquidation Preference to the holders of the Outstanding Series A Preference Units and any other Parity Securities, the Partnership’s remaining assets and funds shall be distributed among the holders of the Common Units and any other Junior Securities then Outstanding according to their respective rights and preferences.</w:t>
      </w:r>
    </w:p>
    <w:p>
      <w:pPr>
        <w:spacing w:after="0" w:line="212"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16.5.</w:t>
      </w:r>
      <w:r>
        <w:rPr>
          <w:sz w:val="20"/>
          <w:szCs w:val="20"/>
          <w:color w:val="auto"/>
        </w:rPr>
        <w:tab/>
      </w:r>
      <w:r>
        <w:rPr>
          <w:rFonts w:ascii="Arial" w:cs="Arial" w:eastAsia="Arial" w:hAnsi="Arial"/>
          <w:sz w:val="19"/>
          <w:szCs w:val="19"/>
          <w:i w:val="1"/>
          <w:iCs w:val="1"/>
          <w:color w:val="auto"/>
        </w:rPr>
        <w:t>Voting Rights</w:t>
      </w:r>
      <w:r>
        <w:rPr>
          <w:rFonts w:ascii="Arial" w:cs="Arial" w:eastAsia="Arial" w:hAnsi="Arial"/>
          <w:sz w:val="19"/>
          <w:szCs w:val="19"/>
          <w:color w:val="auto"/>
        </w:rPr>
        <w:t>.</w:t>
      </w:r>
    </w:p>
    <w:p>
      <w:pPr>
        <w:spacing w:after="0" w:line="233" w:lineRule="exact"/>
        <w:rPr>
          <w:sz w:val="20"/>
          <w:szCs w:val="20"/>
          <w:color w:val="auto"/>
        </w:rPr>
      </w:pPr>
    </w:p>
    <w:p>
      <w:pPr>
        <w:ind w:right="60" w:firstLine="1304"/>
        <w:spacing w:after="0" w:line="328" w:lineRule="auto"/>
        <w:tabs>
          <w:tab w:leader="none" w:pos="2076"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Series A Preference Units shall not have any voting rights except as set forth in </w:t>
      </w:r>
      <w:r>
        <w:rPr>
          <w:rFonts w:ascii="Arial" w:cs="Arial" w:eastAsia="Arial" w:hAnsi="Arial"/>
          <w:sz w:val="19"/>
          <w:szCs w:val="19"/>
          <w:u w:val="single" w:color="auto"/>
          <w:color w:val="auto"/>
        </w:rPr>
        <w:t>Section 13.3(d)</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16.5</w:t>
      </w:r>
      <w:r>
        <w:rPr>
          <w:rFonts w:ascii="Arial" w:cs="Arial" w:eastAsia="Arial" w:hAnsi="Arial"/>
          <w:sz w:val="19"/>
          <w:szCs w:val="19"/>
          <w:color w:val="auto"/>
        </w:rPr>
        <w:t xml:space="preserve"> or as otherwise provided by the Marshall Islands Act.</w:t>
      </w:r>
    </w:p>
    <w:p>
      <w:pPr>
        <w:spacing w:after="0" w:line="131" w:lineRule="exact"/>
        <w:rPr>
          <w:rFonts w:ascii="Arial" w:cs="Arial" w:eastAsia="Arial" w:hAnsi="Arial"/>
          <w:sz w:val="19"/>
          <w:szCs w:val="19"/>
          <w:color w:val="auto"/>
        </w:rPr>
      </w:pPr>
    </w:p>
    <w:p>
      <w:pPr>
        <w:ind w:firstLine="1304"/>
        <w:spacing w:after="0" w:line="270" w:lineRule="auto"/>
        <w:tabs>
          <w:tab w:leader="none" w:pos="2088"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In the event that six quarterly Series A Distributions, whether consecutive or not, are in Arrears, the Series A Holders shall have the right, voting as a class together with holders of any other Parity Securities upon which like voting rights have been conferred and are exercisable, at a meeting of the Board of Directors called for such purpose within 30 days after receipt by the General Partner of a request by Series A Holders holding a majority of the Outstanding Series A Preference Units, to elect one member of the Board of Directors, and the size of the Board of Directors shall be increased as needed to accommodate such 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right of the Series A Holders shall not apply to the election of another director if (i) Series A Holders and holders of Parity Securities upon which like voting rights have been conferred, voting as a class, have previously elected a member of the Board of Directors and (ii) such director continues then to serve on the Board of Directors. Such right of such Series A Holders to elect a member of the Board of Directors shall continue until the Partnership pays in full, or declares and sets aside funds for the payment of, all Series A Distributions accumulated and in Arrears on the Series A Preference Units, at which time such right shall terminate, subject to the revesting of such right in the event of each and every subsequent failure to pay six quarterly Series A Distributions as described above in this </w:t>
      </w:r>
      <w:r>
        <w:rPr>
          <w:rFonts w:ascii="Arial" w:cs="Arial" w:eastAsia="Arial" w:hAnsi="Arial"/>
          <w:sz w:val="19"/>
          <w:szCs w:val="19"/>
          <w:u w:val="single" w:color="auto"/>
          <w:color w:val="auto"/>
        </w:rPr>
        <w:t>Section 16.5(b)</w:t>
      </w:r>
      <w:r>
        <w:rPr>
          <w:rFonts w:ascii="Arial" w:cs="Arial" w:eastAsia="Arial" w:hAnsi="Arial"/>
          <w:sz w:val="19"/>
          <w:szCs w:val="19"/>
          <w:color w:val="auto"/>
        </w:rPr>
        <w:t xml:space="preserve">. Upon any termination of the right of the Series A Holders and holders of any other Parity Securities to vote as a class for such director, the term of office of the director then in office elected by such Series A Holders and holders voting as a class shall terminate immediately. Any director elected by the Series A Holders and holders of any other Parity Securities shall be entitled to one vote on any matter before the Board of Directors. Upon each election of a member of the Board of Directors by Series A Holders pursuant to this </w:t>
      </w:r>
      <w:r>
        <w:rPr>
          <w:rFonts w:ascii="Arial" w:cs="Arial" w:eastAsia="Arial" w:hAnsi="Arial"/>
          <w:sz w:val="19"/>
          <w:szCs w:val="19"/>
          <w:u w:val="single" w:color="auto"/>
          <w:color w:val="auto"/>
        </w:rPr>
        <w:t>Section 16.5(b)</w:t>
      </w:r>
      <w:r>
        <w:rPr>
          <w:rFonts w:ascii="Arial" w:cs="Arial" w:eastAsia="Arial" w:hAnsi="Arial"/>
          <w:sz w:val="19"/>
          <w:szCs w:val="19"/>
          <w:color w:val="auto"/>
        </w:rPr>
        <w:t>, the General Partner shall have the right to appoint an additional member of the Board of Directors, which member shall be an Appointed Director for purposes of this Agreement, the term of such director to begin and end on the same dates as the corresponding director elected by the Series A Holders.</w:t>
      </w:r>
    </w:p>
    <w:p>
      <w:pPr>
        <w:spacing w:after="0" w:line="189" w:lineRule="exact"/>
        <w:rPr>
          <w:rFonts w:ascii="Arial" w:cs="Arial" w:eastAsia="Arial" w:hAnsi="Arial"/>
          <w:sz w:val="19"/>
          <w:szCs w:val="19"/>
          <w:color w:val="auto"/>
        </w:rPr>
      </w:pPr>
    </w:p>
    <w:p>
      <w:pPr>
        <w:jc w:val="both"/>
        <w:ind w:right="120" w:firstLine="1304"/>
        <w:spacing w:after="0" w:line="238" w:lineRule="auto"/>
        <w:tabs>
          <w:tab w:leader="none" w:pos="2076" w:val="left"/>
        </w:tabs>
        <w:numPr>
          <w:ilvl w:val="0"/>
          <w:numId w:val="78"/>
        </w:numPr>
        <w:rPr>
          <w:rFonts w:ascii="Arial" w:cs="Arial" w:eastAsia="Arial" w:hAnsi="Arial"/>
          <w:sz w:val="22"/>
          <w:szCs w:val="22"/>
          <w:color w:val="auto"/>
        </w:rPr>
      </w:pPr>
      <w:r>
        <w:rPr>
          <w:rFonts w:ascii="Arial" w:cs="Arial" w:eastAsia="Arial" w:hAnsi="Arial"/>
          <w:sz w:val="22"/>
          <w:szCs w:val="22"/>
          <w:color w:val="auto"/>
        </w:rPr>
        <w:t>(i) Unless the Board of Directors shall have received the affirmative vote or consent of the holders of at least 66 2/3% of the Outstanding Series A Preference Units, voting as a separate class, neither the General Partner nor the Board of Directors shall adopt any amendment to this Agreement that would have a material adverse effect on the existing terms of the Series A Preference Units.</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72" w:name="page73"/>
    <w:bookmarkEnd w:id="72"/>
    <w:p>
      <w:pPr>
        <w:ind w:left="660" w:firstLine="644"/>
        <w:spacing w:after="0" w:line="236" w:lineRule="auto"/>
        <w:tabs>
          <w:tab w:leader="none" w:pos="2112" w:val="left"/>
        </w:tabs>
        <w:numPr>
          <w:ilvl w:val="0"/>
          <w:numId w:val="79"/>
        </w:numPr>
        <w:rPr>
          <w:rFonts w:ascii="Arial" w:cs="Arial" w:eastAsia="Arial" w:hAnsi="Arial"/>
          <w:sz w:val="22"/>
          <w:szCs w:val="22"/>
          <w:color w:val="auto"/>
        </w:rPr>
      </w:pPr>
      <w:r>
        <w:rPr>
          <w:rFonts w:ascii="Arial" w:cs="Arial" w:eastAsia="Arial" w:hAnsi="Arial"/>
          <w:sz w:val="22"/>
          <w:szCs w:val="22"/>
          <w:color w:val="auto"/>
        </w:rPr>
        <w:t>Unless the Board of Directors shall have received the affirmative vote or consent of the holders of at least 66 2/3% of the Outstanding Series A Preference Units voting as a class together with holders of any other Parity Securities upon which like voting rights have been conferred and are exercisable, the Partnership shall not (x) issue any Parity Securities if the cumulative dividends payable on Outstanding Series A Preference Units are in Arrears or (y) create or issue any Senior Securities.</w:t>
      </w:r>
    </w:p>
    <w:p>
      <w:pPr>
        <w:spacing w:after="0" w:line="214" w:lineRule="exact"/>
        <w:rPr>
          <w:sz w:val="20"/>
          <w:szCs w:val="20"/>
          <w:color w:val="auto"/>
        </w:rPr>
      </w:pPr>
    </w:p>
    <w:p>
      <w:pPr>
        <w:jc w:val="both"/>
        <w:ind w:right="120" w:firstLine="1304"/>
        <w:spacing w:after="0" w:line="238" w:lineRule="auto"/>
        <w:tabs>
          <w:tab w:leader="none" w:pos="2088" w:val="left"/>
        </w:tabs>
        <w:numPr>
          <w:ilvl w:val="0"/>
          <w:numId w:val="80"/>
        </w:numPr>
        <w:rPr>
          <w:rFonts w:ascii="Arial" w:cs="Arial" w:eastAsia="Arial" w:hAnsi="Arial"/>
          <w:sz w:val="22"/>
          <w:szCs w:val="22"/>
          <w:color w:val="auto"/>
        </w:rPr>
      </w:pPr>
      <w:r>
        <w:rPr>
          <w:rFonts w:ascii="Arial" w:cs="Arial" w:eastAsia="Arial" w:hAnsi="Arial"/>
          <w:sz w:val="22"/>
          <w:szCs w:val="22"/>
          <w:color w:val="auto"/>
        </w:rPr>
        <w:t xml:space="preserve">For any matter described in this </w:t>
      </w:r>
      <w:r>
        <w:rPr>
          <w:rFonts w:ascii="Arial" w:cs="Arial" w:eastAsia="Arial" w:hAnsi="Arial"/>
          <w:sz w:val="22"/>
          <w:szCs w:val="22"/>
          <w:u w:val="single" w:color="auto"/>
          <w:color w:val="auto"/>
        </w:rPr>
        <w:t>Section 16.5</w:t>
      </w:r>
      <w:r>
        <w:rPr>
          <w:rFonts w:ascii="Arial" w:cs="Arial" w:eastAsia="Arial" w:hAnsi="Arial"/>
          <w:sz w:val="22"/>
          <w:szCs w:val="22"/>
          <w:color w:val="auto"/>
        </w:rPr>
        <w:t xml:space="preserve"> in which the Series A Holders are entitled to vote as a class (whether separately or together with the holders of any Parity Securities), such Series A Holders shall be entitled to one vote per Series A Preference Unit. Any Series A Preference Units held by the Partnership or any of its subsidiaries or Affiliates shall not be entitled to vote.</w:t>
      </w:r>
    </w:p>
    <w:p>
      <w:pPr>
        <w:spacing w:after="0" w:line="212"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16.6.</w:t>
      </w:r>
      <w:r>
        <w:rPr>
          <w:sz w:val="20"/>
          <w:szCs w:val="20"/>
          <w:color w:val="auto"/>
        </w:rPr>
        <w:tab/>
      </w:r>
      <w:r>
        <w:rPr>
          <w:rFonts w:ascii="Arial" w:cs="Arial" w:eastAsia="Arial" w:hAnsi="Arial"/>
          <w:sz w:val="19"/>
          <w:szCs w:val="19"/>
          <w:i w:val="1"/>
          <w:iCs w:val="1"/>
          <w:color w:val="auto"/>
        </w:rPr>
        <w:t>Optional Redemption</w:t>
      </w:r>
      <w:r>
        <w:rPr>
          <w:rFonts w:ascii="Arial" w:cs="Arial" w:eastAsia="Arial" w:hAnsi="Arial"/>
          <w:sz w:val="19"/>
          <w:szCs w:val="19"/>
          <w:color w:val="auto"/>
        </w:rPr>
        <w:t>.</w:t>
      </w:r>
    </w:p>
    <w:p>
      <w:pPr>
        <w:spacing w:after="0" w:line="233" w:lineRule="exact"/>
        <w:rPr>
          <w:sz w:val="20"/>
          <w:szCs w:val="20"/>
          <w:color w:val="auto"/>
        </w:rPr>
      </w:pPr>
    </w:p>
    <w:p>
      <w:pPr>
        <w:ind w:right="60" w:firstLine="1296"/>
        <w:spacing w:after="0" w:line="257" w:lineRule="auto"/>
        <w:rPr>
          <w:sz w:val="20"/>
          <w:szCs w:val="20"/>
          <w:color w:val="auto"/>
        </w:rPr>
      </w:pPr>
      <w:r>
        <w:rPr>
          <w:rFonts w:ascii="Arial" w:cs="Arial" w:eastAsia="Arial" w:hAnsi="Arial"/>
          <w:sz w:val="21"/>
          <w:szCs w:val="21"/>
          <w:color w:val="auto"/>
        </w:rPr>
        <w:t>The Partnership shall have the right at any time, and from time to time, on or after June 15, 2027 to redeem the Series A Preference Units, in whole or in part, from any source of funds legally available for such purpose. Any such redemption shall occur on a date set by the Board of Directors (the “</w:t>
      </w:r>
      <w:r>
        <w:rPr>
          <w:rFonts w:ascii="Arial" w:cs="Arial" w:eastAsia="Arial" w:hAnsi="Arial"/>
          <w:sz w:val="21"/>
          <w:szCs w:val="21"/>
          <w:b w:val="1"/>
          <w:bCs w:val="1"/>
          <w:i w:val="1"/>
          <w:iCs w:val="1"/>
          <w:color w:val="auto"/>
        </w:rPr>
        <w:t>Series A Redemption Date</w:t>
      </w:r>
      <w:r>
        <w:rPr>
          <w:rFonts w:ascii="Arial" w:cs="Arial" w:eastAsia="Arial" w:hAnsi="Arial"/>
          <w:sz w:val="21"/>
          <w:szCs w:val="21"/>
          <w:color w:val="auto"/>
        </w:rPr>
        <w:t>”).</w:t>
      </w:r>
    </w:p>
    <w:p>
      <w:pPr>
        <w:spacing w:after="0" w:line="196" w:lineRule="exact"/>
        <w:rPr>
          <w:sz w:val="20"/>
          <w:szCs w:val="20"/>
          <w:color w:val="auto"/>
        </w:rPr>
      </w:pPr>
    </w:p>
    <w:p>
      <w:pPr>
        <w:jc w:val="both"/>
        <w:ind w:right="60" w:firstLine="1304"/>
        <w:spacing w:after="0" w:line="287" w:lineRule="auto"/>
        <w:tabs>
          <w:tab w:leader="none" w:pos="2076"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Partnership shall effect any such redemption by paying cash for each Series A Preference Unit to be redeemed equal to the Series A Liquidation Preference for such Series A Preference Unit on such Series A Redemption Date (the “</w:t>
      </w:r>
      <w:r>
        <w:rPr>
          <w:rFonts w:ascii="Arial" w:cs="Arial" w:eastAsia="Arial" w:hAnsi="Arial"/>
          <w:sz w:val="19"/>
          <w:szCs w:val="19"/>
          <w:b w:val="1"/>
          <w:bCs w:val="1"/>
          <w:i w:val="1"/>
          <w:iCs w:val="1"/>
          <w:color w:val="auto"/>
        </w:rPr>
        <w:t>Series A Redemption Price</w:t>
      </w:r>
      <w:r>
        <w:rPr>
          <w:rFonts w:ascii="Arial" w:cs="Arial" w:eastAsia="Arial" w:hAnsi="Arial"/>
          <w:sz w:val="19"/>
          <w:szCs w:val="19"/>
          <w:color w:val="auto"/>
        </w:rPr>
        <w:t>”). So long as the Series A Preference Units to be redeemed are held of record by the nominee of the Depositary, the Series A Redemption Price shall be paid by the Paying Agent to the Depositary on the Series A Redemption Date.</w:t>
      </w:r>
    </w:p>
    <w:p>
      <w:pPr>
        <w:spacing w:after="0" w:line="169" w:lineRule="exact"/>
        <w:rPr>
          <w:rFonts w:ascii="Arial" w:cs="Arial" w:eastAsia="Arial" w:hAnsi="Arial"/>
          <w:sz w:val="19"/>
          <w:szCs w:val="19"/>
          <w:color w:val="auto"/>
        </w:rPr>
      </w:pPr>
    </w:p>
    <w:p>
      <w:pPr>
        <w:ind w:right="220" w:firstLine="1304"/>
        <w:spacing w:after="0" w:line="273" w:lineRule="auto"/>
        <w:tabs>
          <w:tab w:leader="none" w:pos="2088"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Partnership shall give notice of any redemption by mail, postage prepaid, not less than 30 days and not more than 60 days before the scheduled Series A Redemption Date to the Series A Holders (as of 5:00 p.m. New York City time on the Business Day next preceding the day on which notice is given) of any Series A Preference Units to be redeemed as such Series A Holders’ names appear on the books of the Transfer Agent and at the address of such Series A Holders shown therein. Such notice (the “</w:t>
      </w:r>
      <w:r>
        <w:rPr>
          <w:rFonts w:ascii="Arial" w:cs="Arial" w:eastAsia="Arial" w:hAnsi="Arial"/>
          <w:sz w:val="19"/>
          <w:szCs w:val="19"/>
          <w:b w:val="1"/>
          <w:bCs w:val="1"/>
          <w:i w:val="1"/>
          <w:iCs w:val="1"/>
          <w:color w:val="auto"/>
        </w:rPr>
        <w:t>Series A Redemption Notice</w:t>
      </w:r>
      <w:r>
        <w:rPr>
          <w:rFonts w:ascii="Arial" w:cs="Arial" w:eastAsia="Arial" w:hAnsi="Arial"/>
          <w:sz w:val="19"/>
          <w:szCs w:val="19"/>
          <w:color w:val="auto"/>
        </w:rPr>
        <w:t>”) shall state, as applicable: (1) the Series A Redemption Date, (2) the number of Series A Preference Units to be redeemed and, if less than all Outstanding Series A Preference Units are to be redeemed, the number (and the identification) of Units to be redeemed from such Series A Holder, (3) the Series A Redemption Price, (4) the place where the Series A Preference Units are to be redeemed and shall be presented and surrendered for payment of the Series A Redemption Price therefor and (5) that distributions on the Units to be redeemed shall cease to accumulate from and after such Series A Redemption Date.</w:t>
      </w:r>
    </w:p>
    <w:p>
      <w:pPr>
        <w:spacing w:after="0" w:line="187" w:lineRule="exact"/>
        <w:rPr>
          <w:rFonts w:ascii="Arial" w:cs="Arial" w:eastAsia="Arial" w:hAnsi="Arial"/>
          <w:sz w:val="19"/>
          <w:szCs w:val="19"/>
          <w:color w:val="auto"/>
        </w:rPr>
      </w:pPr>
    </w:p>
    <w:p>
      <w:pPr>
        <w:ind w:right="120" w:firstLine="1304"/>
        <w:spacing w:after="0" w:line="249" w:lineRule="auto"/>
        <w:tabs>
          <w:tab w:leader="none" w:pos="2076" w:val="left"/>
        </w:tabs>
        <w:numPr>
          <w:ilvl w:val="0"/>
          <w:numId w:val="81"/>
        </w:numPr>
        <w:rPr>
          <w:rFonts w:ascii="Arial" w:cs="Arial" w:eastAsia="Arial" w:hAnsi="Arial"/>
          <w:sz w:val="21"/>
          <w:szCs w:val="21"/>
          <w:color w:val="auto"/>
        </w:rPr>
      </w:pPr>
      <w:r>
        <w:rPr>
          <w:rFonts w:ascii="Arial" w:cs="Arial" w:eastAsia="Arial" w:hAnsi="Arial"/>
          <w:sz w:val="21"/>
          <w:szCs w:val="21"/>
          <w:color w:val="auto"/>
        </w:rPr>
        <w:t>If the Partnership elects to redeem less than all of the Outstanding Series A Preference Units, the number of Series A Preference Units to be redeemed shall be determined by the Board of Directors, and such Series A Preference Units shall be redeemed by such method of selection as the Depositary shall determine either Pro Rata or by lot, with adjustments to avoid redemption of fractional Series A Preference Units. The aggregate Series A Redemption Price for any such partial redemption of the Outstanding Series A Preference Units shall be allocated</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73" w:name="page74"/>
    <w:bookmarkEnd w:id="73"/>
    <w:p>
      <w:pPr>
        <w:ind w:right="600"/>
        <w:spacing w:after="0" w:line="250" w:lineRule="auto"/>
        <w:rPr>
          <w:sz w:val="20"/>
          <w:szCs w:val="20"/>
          <w:color w:val="auto"/>
        </w:rPr>
      </w:pPr>
      <w:r>
        <w:rPr>
          <w:rFonts w:ascii="Arial" w:cs="Arial" w:eastAsia="Arial" w:hAnsi="Arial"/>
          <w:sz w:val="22"/>
          <w:szCs w:val="22"/>
          <w:color w:val="auto"/>
        </w:rPr>
        <w:t xml:space="preserve">correspondingly among the redeemed Series A Preference Units. The Series A Preference Units not redeemed shall remain Outstanding and entitled to all the rights and preferences provided in this </w:t>
      </w:r>
      <w:r>
        <w:rPr>
          <w:rFonts w:ascii="Arial" w:cs="Arial" w:eastAsia="Arial" w:hAnsi="Arial"/>
          <w:sz w:val="22"/>
          <w:szCs w:val="22"/>
          <w:u w:val="single" w:color="auto"/>
          <w:color w:val="auto"/>
        </w:rPr>
        <w:t>Article XVI</w:t>
      </w:r>
      <w:r>
        <w:rPr>
          <w:rFonts w:ascii="Arial" w:cs="Arial" w:eastAsia="Arial" w:hAnsi="Arial"/>
          <w:sz w:val="22"/>
          <w:szCs w:val="22"/>
          <w:color w:val="auto"/>
        </w:rPr>
        <w:t>.</w:t>
      </w:r>
    </w:p>
    <w:p>
      <w:pPr>
        <w:spacing w:after="0" w:line="202" w:lineRule="exact"/>
        <w:rPr>
          <w:sz w:val="20"/>
          <w:szCs w:val="20"/>
          <w:color w:val="auto"/>
        </w:rPr>
      </w:pPr>
    </w:p>
    <w:p>
      <w:pPr>
        <w:ind w:firstLine="1304"/>
        <w:spacing w:after="0" w:line="269" w:lineRule="auto"/>
        <w:tabs>
          <w:tab w:leader="none" w:pos="2088" w:val="left"/>
        </w:tabs>
        <w:numPr>
          <w:ilvl w:val="0"/>
          <w:numId w:val="82"/>
        </w:numPr>
        <w:rPr>
          <w:rFonts w:ascii="Arial" w:cs="Arial" w:eastAsia="Arial" w:hAnsi="Arial"/>
          <w:sz w:val="19"/>
          <w:szCs w:val="19"/>
          <w:color w:val="auto"/>
        </w:rPr>
      </w:pPr>
      <w:r>
        <w:rPr>
          <w:rFonts w:ascii="Arial" w:cs="Arial" w:eastAsia="Arial" w:hAnsi="Arial"/>
          <w:sz w:val="19"/>
          <w:szCs w:val="19"/>
          <w:color w:val="auto"/>
        </w:rPr>
        <w:t>If the Partnership gives or causes to be given a Series A Redemption Notice, the Partnership shall deposit with the Paying Agent funds, sufficient to redeem the Series A Preference Units, as to which such Series A Redemption Notice shall have been given, no later than 5:00 p.m. New York City time on the Business Day immediately preceding the Series A Redemption Date, and shall give the Paying Agent irrevocable instructions and authority to pay the Series A Redemption Price to the Series A Holders to be redeemed upon surrender or deemed surrender (which shall occur automatically if the Certificate representing such Series A Preference Units is issued in the name of the Depositary or its nominee) of the Certificates therefor as set forth in the Series A Redemption Notice. If the Series A Redemption Notice shall have been given, from and after the Series A Redemption Date, unless the Partnership defaults in providing funds sufficient for such redemption at the time and place specified for payment pursuant to the Series A Redemption Notice, all Series A Distributions on such Series A Preference Units to be redeemed shall cease to accumulate and all rights of holders of such Series A Preference Units as Limited Partners with respect to such Series A Preference Units to be redeemed shall cease, except the right to receive the Series A Redemption Price, and such Series A Preference Units shall not thereafter be transferred on the books of the Transfer Agent or be deemed to be Outstanding for any purpose whatsoever. The Partnership shall be entitled to receive from the Paying Agent the interest income, if any, earned on such funds deposited with the Paying Agent (to the extent that such interest income is not required to pay the Series A Redemption Price of the Series A Preference Units to be redeemed), and the holders of any Series A Preference Units so redeemed shall have no claim to any such interest income. Any funds deposited with the Paying Agent hereunder by the Partnership for any reason, including redemption of Series A Preference Units, that remain unclaimed or unpaid after two years after the applicable Series A Redemption Date or other payment date, as applicable, shall be, to the extent permitted by law, repaid to the Partnership upon its written request, after which repayment the Series A Holders entitled to such redemption or other payment shall have recourse only to the Partnership. Notwithstanding any Series A Redemption Notice, there shall be no redemption of any Series A Preference Units called for redemption until funds sufficient to pay the full Series A Redemption Price of such Series A Preference Units shall have been deposited by the Partnership with the Paying Agent.</w:t>
      </w:r>
    </w:p>
    <w:p>
      <w:pPr>
        <w:spacing w:after="0" w:line="201" w:lineRule="exact"/>
        <w:rPr>
          <w:rFonts w:ascii="Arial" w:cs="Arial" w:eastAsia="Arial" w:hAnsi="Arial"/>
          <w:sz w:val="19"/>
          <w:szCs w:val="19"/>
          <w:color w:val="auto"/>
        </w:rPr>
      </w:pPr>
    </w:p>
    <w:p>
      <w:pPr>
        <w:ind w:right="140" w:firstLine="1304"/>
        <w:spacing w:after="0" w:line="279" w:lineRule="auto"/>
        <w:tabs>
          <w:tab w:leader="none" w:pos="2076" w:val="left"/>
        </w:tabs>
        <w:numPr>
          <w:ilvl w:val="0"/>
          <w:numId w:val="82"/>
        </w:numPr>
        <w:rPr>
          <w:rFonts w:ascii="Arial" w:cs="Arial" w:eastAsia="Arial" w:hAnsi="Arial"/>
          <w:sz w:val="19"/>
          <w:szCs w:val="19"/>
          <w:color w:val="auto"/>
        </w:rPr>
      </w:pPr>
      <w:r>
        <w:rPr>
          <w:rFonts w:ascii="Arial" w:cs="Arial" w:eastAsia="Arial" w:hAnsi="Arial"/>
          <w:sz w:val="19"/>
          <w:szCs w:val="19"/>
          <w:color w:val="auto"/>
        </w:rPr>
        <w:t>Any Series A Preference Units that are redeemed or otherwise acquired by the Partnership shall be canceled. If only a portion of the Series A Preference Units represented by a Certificate shall have been called for redemption, upon surrender of the Certificate to the Paying Agent (which shall occur automatically if the Certificate representing such Series A Preference Units is registered in the name of the Depositary or its nominee), the Paying Agent shall issue to the Series A Holders a new Certificate (or adjust the applicable book-entry account) representing the number of Series A Preference Units represented by the surrendered Certificate that have not been called for redemption.</w:t>
      </w:r>
    </w:p>
    <w:p>
      <w:pPr>
        <w:spacing w:after="0" w:line="177" w:lineRule="exact"/>
        <w:rPr>
          <w:rFonts w:ascii="Arial" w:cs="Arial" w:eastAsia="Arial" w:hAnsi="Arial"/>
          <w:sz w:val="19"/>
          <w:szCs w:val="19"/>
          <w:color w:val="auto"/>
        </w:rPr>
      </w:pPr>
    </w:p>
    <w:p>
      <w:pPr>
        <w:ind w:right="280" w:firstLine="1304"/>
        <w:spacing w:after="0"/>
        <w:tabs>
          <w:tab w:leader="none" w:pos="2052" w:val="left"/>
        </w:tabs>
        <w:numPr>
          <w:ilvl w:val="0"/>
          <w:numId w:val="82"/>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this </w:t>
      </w:r>
      <w:r>
        <w:rPr>
          <w:rFonts w:ascii="Arial" w:cs="Arial" w:eastAsia="Arial" w:hAnsi="Arial"/>
          <w:sz w:val="22"/>
          <w:szCs w:val="22"/>
          <w:u w:val="single" w:color="auto"/>
          <w:color w:val="auto"/>
        </w:rPr>
        <w:t>Article XVI</w:t>
      </w:r>
      <w:r>
        <w:rPr>
          <w:rFonts w:ascii="Arial" w:cs="Arial" w:eastAsia="Arial" w:hAnsi="Arial"/>
          <w:sz w:val="22"/>
          <w:szCs w:val="22"/>
          <w:color w:val="auto"/>
        </w:rPr>
        <w:t>, in the event that full cumulative distributions on the Series A Preference Units and any other Parity Securities shall not have been paid or declared and set apart for payment, none of the Partnership, the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74" w:name="page75"/>
    <w:bookmarkEnd w:id="74"/>
    <w:p>
      <w:pPr>
        <w:spacing w:after="0" w:line="279" w:lineRule="auto"/>
        <w:rPr>
          <w:sz w:val="20"/>
          <w:szCs w:val="20"/>
          <w:color w:val="auto"/>
        </w:rPr>
      </w:pPr>
      <w:r>
        <w:rPr>
          <w:rFonts w:ascii="Arial" w:cs="Arial" w:eastAsia="Arial" w:hAnsi="Arial"/>
          <w:sz w:val="19"/>
          <w:szCs w:val="19"/>
          <w:color w:val="auto"/>
        </w:rPr>
        <w:t>General Partner or any Affiliate of the General Partner shall be permitted to repurchase, redeem or otherwise acquire, in whole or in part, any Series A Preference Units or other Parity Securities except pursuant to a purchase or exchange offer made on the same terms to all Series A Holders and holders of any other Parity Securities. None of the Partnership, the General Partner or any Affiliate of the General Partner shall be permitted to redeem, repurchase or otherwise acquire any Common Units or any other Junior Securities unless full cumulative distributions on the Series A Preference Units and any other Parity Securities for all prior and the then-ending Series A Distribution Periods shall have been paid or declared and set apart for payment.</w:t>
      </w:r>
    </w:p>
    <w:p>
      <w:pPr>
        <w:spacing w:after="0" w:line="177"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16.7.</w:t>
      </w:r>
      <w:r>
        <w:rPr>
          <w:sz w:val="20"/>
          <w:szCs w:val="20"/>
          <w:color w:val="auto"/>
        </w:rPr>
        <w:tab/>
      </w:r>
      <w:r>
        <w:rPr>
          <w:rFonts w:ascii="Arial" w:cs="Arial" w:eastAsia="Arial" w:hAnsi="Arial"/>
          <w:sz w:val="19"/>
          <w:szCs w:val="19"/>
          <w:i w:val="1"/>
          <w:iCs w:val="1"/>
          <w:color w:val="auto"/>
        </w:rPr>
        <w:t>Rank</w:t>
      </w:r>
      <w:r>
        <w:rPr>
          <w:rFonts w:ascii="Arial" w:cs="Arial" w:eastAsia="Arial" w:hAnsi="Arial"/>
          <w:sz w:val="19"/>
          <w:szCs w:val="19"/>
          <w:color w:val="auto"/>
        </w:rPr>
        <w:t>. The Series A Preference Units shall each be deemed to rank:</w:t>
      </w:r>
    </w:p>
    <w:p>
      <w:pPr>
        <w:spacing w:after="0" w:line="233" w:lineRule="exact"/>
        <w:rPr>
          <w:sz w:val="20"/>
          <w:szCs w:val="20"/>
          <w:color w:val="auto"/>
        </w:rPr>
      </w:pPr>
    </w:p>
    <w:p>
      <w:pPr>
        <w:ind w:left="2080" w:hanging="776"/>
        <w:spacing w:after="0"/>
        <w:tabs>
          <w:tab w:leader="none" w:pos="20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senior to any Junior Securities;</w:t>
      </w:r>
    </w:p>
    <w:p>
      <w:pPr>
        <w:spacing w:after="0" w:line="233" w:lineRule="exact"/>
        <w:rPr>
          <w:rFonts w:ascii="Arial" w:cs="Arial" w:eastAsia="Arial" w:hAnsi="Arial"/>
          <w:sz w:val="22"/>
          <w:szCs w:val="22"/>
          <w:color w:val="auto"/>
        </w:rPr>
      </w:pPr>
    </w:p>
    <w:p>
      <w:pPr>
        <w:ind w:left="2100" w:hanging="796"/>
        <w:spacing w:after="0"/>
        <w:tabs>
          <w:tab w:leader="none" w:pos="2100" w:val="left"/>
        </w:tabs>
        <w:numPr>
          <w:ilvl w:val="0"/>
          <w:numId w:val="83"/>
        </w:numPr>
        <w:rPr>
          <w:rFonts w:ascii="Arial" w:cs="Arial" w:eastAsia="Arial" w:hAnsi="Arial"/>
          <w:sz w:val="22"/>
          <w:szCs w:val="22"/>
          <w:color w:val="auto"/>
        </w:rPr>
      </w:pPr>
      <w:r>
        <w:rPr>
          <w:rFonts w:ascii="Arial" w:cs="Arial" w:eastAsia="Arial" w:hAnsi="Arial"/>
          <w:sz w:val="22"/>
          <w:szCs w:val="22"/>
          <w:color w:val="auto"/>
        </w:rPr>
        <w:t>on a parity with any Parity Securities; and</w:t>
      </w:r>
    </w:p>
    <w:p>
      <w:pPr>
        <w:spacing w:after="0" w:line="233" w:lineRule="exact"/>
        <w:rPr>
          <w:rFonts w:ascii="Arial" w:cs="Arial" w:eastAsia="Arial" w:hAnsi="Arial"/>
          <w:sz w:val="22"/>
          <w:szCs w:val="22"/>
          <w:color w:val="auto"/>
        </w:rPr>
      </w:pPr>
    </w:p>
    <w:p>
      <w:pPr>
        <w:ind w:left="2080" w:hanging="776"/>
        <w:spacing w:after="0"/>
        <w:tabs>
          <w:tab w:leader="none" w:pos="20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junior to any Senior Securities.</w:t>
      </w:r>
    </w:p>
    <w:p>
      <w:pPr>
        <w:spacing w:after="0" w:line="233" w:lineRule="exact"/>
        <w:rPr>
          <w:sz w:val="20"/>
          <w:szCs w:val="20"/>
          <w:color w:val="auto"/>
        </w:rPr>
      </w:pPr>
    </w:p>
    <w:p>
      <w:pPr>
        <w:ind w:firstLine="1296"/>
        <w:spacing w:after="0" w:line="282" w:lineRule="auto"/>
        <w:rPr>
          <w:sz w:val="20"/>
          <w:szCs w:val="20"/>
          <w:color w:val="auto"/>
        </w:rPr>
      </w:pPr>
      <w:r>
        <w:rPr>
          <w:rFonts w:ascii="Arial" w:cs="Arial" w:eastAsia="Arial" w:hAnsi="Arial"/>
          <w:sz w:val="19"/>
          <w:szCs w:val="19"/>
          <w:color w:val="auto"/>
        </w:rPr>
        <w:t xml:space="preserve">The Partnership may issue Junior Securities and, subject to any approvals required by Series A Holders pursuant to </w:t>
      </w:r>
      <w:r>
        <w:rPr>
          <w:rFonts w:ascii="Arial" w:cs="Arial" w:eastAsia="Arial" w:hAnsi="Arial"/>
          <w:sz w:val="19"/>
          <w:szCs w:val="19"/>
          <w:u w:val="single" w:color="auto"/>
          <w:color w:val="auto"/>
        </w:rPr>
        <w:t>Section 16.5(c)(ii)</w:t>
      </w:r>
      <w:r>
        <w:rPr>
          <w:rFonts w:ascii="Arial" w:cs="Arial" w:eastAsia="Arial" w:hAnsi="Arial"/>
          <w:sz w:val="19"/>
          <w:szCs w:val="19"/>
          <w:color w:val="auto"/>
        </w:rPr>
        <w:t xml:space="preserve">, Series B Holders pursuant to </w:t>
      </w:r>
      <w:r>
        <w:rPr>
          <w:rFonts w:ascii="Arial" w:cs="Arial" w:eastAsia="Arial" w:hAnsi="Arial"/>
          <w:sz w:val="19"/>
          <w:szCs w:val="19"/>
          <w:u w:val="single" w:color="auto"/>
          <w:color w:val="auto"/>
        </w:rPr>
        <w:t>Section 17.5(c)(ii)</w:t>
      </w:r>
      <w:r>
        <w:rPr>
          <w:rFonts w:ascii="Arial" w:cs="Arial" w:eastAsia="Arial" w:hAnsi="Arial"/>
          <w:sz w:val="19"/>
          <w:szCs w:val="19"/>
          <w:color w:val="auto"/>
        </w:rPr>
        <w:t xml:space="preserve"> and Series C Holders pursuant to </w:t>
      </w:r>
      <w:r>
        <w:rPr>
          <w:rFonts w:ascii="Arial" w:cs="Arial" w:eastAsia="Arial" w:hAnsi="Arial"/>
          <w:sz w:val="19"/>
          <w:szCs w:val="19"/>
          <w:u w:val="single" w:color="auto"/>
          <w:color w:val="auto"/>
        </w:rPr>
        <w:t>Section 18.5(c)(ii)</w:t>
      </w:r>
      <w:r>
        <w:rPr>
          <w:rFonts w:ascii="Arial" w:cs="Arial" w:eastAsia="Arial" w:hAnsi="Arial"/>
          <w:sz w:val="19"/>
          <w:szCs w:val="19"/>
          <w:color w:val="auto"/>
        </w:rPr>
        <w:t>, Parity Securities from time to time in one or more classes or series without the consent of the Series A Holders. The Board of Directors has the authority to determine the preferences, powers, qualifications, limitations, restrictions and special or relative rights or privileges, if any, of any such class or series before the issuance of any Partnership Interests of such class or series.</w:t>
      </w:r>
    </w:p>
    <w:p>
      <w:pPr>
        <w:spacing w:after="0" w:line="174"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16.8.</w:t>
      </w:r>
      <w:r>
        <w:rPr>
          <w:sz w:val="20"/>
          <w:szCs w:val="20"/>
          <w:color w:val="auto"/>
        </w:rPr>
        <w:tab/>
      </w:r>
      <w:r>
        <w:rPr>
          <w:rFonts w:ascii="Arial" w:cs="Arial" w:eastAsia="Arial" w:hAnsi="Arial"/>
          <w:sz w:val="19"/>
          <w:szCs w:val="19"/>
          <w:i w:val="1"/>
          <w:iCs w:val="1"/>
          <w:color w:val="auto"/>
        </w:rPr>
        <w:t>No Sinking Fund</w:t>
      </w:r>
      <w:r>
        <w:rPr>
          <w:rFonts w:ascii="Arial" w:cs="Arial" w:eastAsia="Arial" w:hAnsi="Arial"/>
          <w:sz w:val="19"/>
          <w:szCs w:val="19"/>
          <w:color w:val="auto"/>
        </w:rPr>
        <w:t>. The Series A Preference Units shall not have the benefit of any sinking fund.</w:t>
      </w:r>
    </w:p>
    <w:p>
      <w:pPr>
        <w:spacing w:after="0" w:line="233" w:lineRule="exact"/>
        <w:rPr>
          <w:sz w:val="20"/>
          <w:szCs w:val="20"/>
          <w:color w:val="auto"/>
        </w:rPr>
      </w:pPr>
    </w:p>
    <w:p>
      <w:pPr>
        <w:ind w:right="320" w:firstLine="1296"/>
        <w:spacing w:after="0" w:line="252" w:lineRule="auto"/>
        <w:rPr>
          <w:sz w:val="20"/>
          <w:szCs w:val="20"/>
          <w:color w:val="auto"/>
        </w:rPr>
      </w:pPr>
      <w:r>
        <w:rPr>
          <w:rFonts w:ascii="Arial" w:cs="Arial" w:eastAsia="Arial" w:hAnsi="Arial"/>
          <w:sz w:val="21"/>
          <w:szCs w:val="21"/>
          <w:color w:val="auto"/>
        </w:rPr>
        <w:t xml:space="preserve">Section 16.9. </w:t>
      </w:r>
      <w:r>
        <w:rPr>
          <w:rFonts w:ascii="Arial" w:cs="Arial" w:eastAsia="Arial" w:hAnsi="Arial"/>
          <w:sz w:val="21"/>
          <w:szCs w:val="21"/>
          <w:i w:val="1"/>
          <w:iCs w:val="1"/>
          <w:color w:val="auto"/>
        </w:rPr>
        <w:t>Record Holders</w:t>
      </w:r>
      <w:r>
        <w:rPr>
          <w:rFonts w:ascii="Arial" w:cs="Arial" w:eastAsia="Arial" w:hAnsi="Arial"/>
          <w:sz w:val="21"/>
          <w:szCs w:val="21"/>
          <w:color w:val="auto"/>
        </w:rPr>
        <w:t>. To the fullest extent permitted by applicable law, the General Partner, Partnership, the Transfer Agent and the Paying Agent may deem and treat any Series A Holder as the true, lawful and absolute owner of the applicable Series A Preference Units for all purposes, and neither the General Partner, the Partnership nor the Transfer Agent or the Paying Agent shall be affected by any notice to the contrary.</w:t>
      </w:r>
    </w:p>
    <w:p>
      <w:pPr>
        <w:spacing w:after="0" w:line="201" w:lineRule="exact"/>
        <w:rPr>
          <w:sz w:val="20"/>
          <w:szCs w:val="20"/>
          <w:color w:val="auto"/>
        </w:rPr>
      </w:pPr>
    </w:p>
    <w:p>
      <w:pPr>
        <w:ind w:right="260" w:firstLine="1296"/>
        <w:spacing w:after="0"/>
        <w:rPr>
          <w:sz w:val="20"/>
          <w:szCs w:val="20"/>
          <w:color w:val="auto"/>
        </w:rPr>
      </w:pPr>
      <w:r>
        <w:rPr>
          <w:rFonts w:ascii="Arial" w:cs="Arial" w:eastAsia="Arial" w:hAnsi="Arial"/>
          <w:sz w:val="22"/>
          <w:szCs w:val="22"/>
          <w:color w:val="auto"/>
        </w:rPr>
        <w:t xml:space="preserve">Section 16.10. </w:t>
      </w:r>
      <w:r>
        <w:rPr>
          <w:rFonts w:ascii="Arial" w:cs="Arial" w:eastAsia="Arial" w:hAnsi="Arial"/>
          <w:sz w:val="22"/>
          <w:szCs w:val="22"/>
          <w:i w:val="1"/>
          <w:iCs w:val="1"/>
          <w:color w:val="auto"/>
        </w:rPr>
        <w:t>Notices</w:t>
      </w:r>
      <w:r>
        <w:rPr>
          <w:rFonts w:ascii="Arial" w:cs="Arial" w:eastAsia="Arial" w:hAnsi="Arial"/>
          <w:sz w:val="22"/>
          <w:szCs w:val="22"/>
          <w:color w:val="auto"/>
        </w:rPr>
        <w:t xml:space="preserve">. All notices or communications in respect of the Series A Preference Units shall be sufficiently given if given in writing and delivered in person or by first class mail, postage prepaid, or if given in such other manner as may be permitted in this </w:t>
      </w:r>
      <w:r>
        <w:rPr>
          <w:rFonts w:ascii="Arial" w:cs="Arial" w:eastAsia="Arial" w:hAnsi="Arial"/>
          <w:sz w:val="22"/>
          <w:szCs w:val="22"/>
          <w:u w:val="single" w:color="auto"/>
          <w:color w:val="auto"/>
        </w:rPr>
        <w:t>Article XVI</w:t>
      </w:r>
      <w:r>
        <w:rPr>
          <w:rFonts w:ascii="Arial" w:cs="Arial" w:eastAsia="Arial" w:hAnsi="Arial"/>
          <w:sz w:val="22"/>
          <w:szCs w:val="22"/>
          <w:color w:val="auto"/>
        </w:rPr>
        <w:t>, this Agreement or by applicable law.</w:t>
      </w:r>
    </w:p>
    <w:p>
      <w:pPr>
        <w:spacing w:after="0" w:line="213" w:lineRule="exact"/>
        <w:rPr>
          <w:sz w:val="20"/>
          <w:szCs w:val="20"/>
          <w:color w:val="auto"/>
        </w:rPr>
      </w:pPr>
    </w:p>
    <w:p>
      <w:pPr>
        <w:ind w:right="80" w:firstLine="1296"/>
        <w:spacing w:after="0" w:line="235" w:lineRule="auto"/>
        <w:rPr>
          <w:sz w:val="20"/>
          <w:szCs w:val="20"/>
          <w:color w:val="auto"/>
        </w:rPr>
      </w:pPr>
      <w:r>
        <w:rPr>
          <w:rFonts w:ascii="Arial" w:cs="Arial" w:eastAsia="Arial" w:hAnsi="Arial"/>
          <w:sz w:val="22"/>
          <w:szCs w:val="22"/>
          <w:color w:val="auto"/>
        </w:rPr>
        <w:t xml:space="preserve">Section 16.11. </w:t>
      </w:r>
      <w:r>
        <w:rPr>
          <w:rFonts w:ascii="Arial" w:cs="Arial" w:eastAsia="Arial" w:hAnsi="Arial"/>
          <w:sz w:val="22"/>
          <w:szCs w:val="22"/>
          <w:i w:val="1"/>
          <w:iCs w:val="1"/>
          <w:color w:val="auto"/>
        </w:rPr>
        <w:t>Other Rights; Fiduciary Duties</w:t>
      </w:r>
      <w:r>
        <w:rPr>
          <w:rFonts w:ascii="Arial" w:cs="Arial" w:eastAsia="Arial" w:hAnsi="Arial"/>
          <w:sz w:val="22"/>
          <w:szCs w:val="22"/>
          <w:color w:val="auto"/>
        </w:rPr>
        <w:t xml:space="preserve">. The Series A Preference Units shall not have any voting powers, preferences or relative, participating, optional or other special rights, or qualifications, limitations or restrictions thereof, other than as set forth in this </w:t>
      </w:r>
      <w:r>
        <w:rPr>
          <w:rFonts w:ascii="Arial" w:cs="Arial" w:eastAsia="Arial" w:hAnsi="Arial"/>
          <w:sz w:val="22"/>
          <w:szCs w:val="22"/>
          <w:u w:val="single" w:color="auto"/>
          <w:color w:val="auto"/>
        </w:rPr>
        <w:t>Article XVI</w:t>
      </w:r>
      <w:r>
        <w:rPr>
          <w:rFonts w:ascii="Arial" w:cs="Arial" w:eastAsia="Arial" w:hAnsi="Arial"/>
          <w:sz w:val="22"/>
          <w:szCs w:val="22"/>
          <w:color w:val="auto"/>
        </w:rPr>
        <w:t xml:space="preserve"> or as provided by applicable law. Notwithstanding anything to the contrary in this Agreement, but subject to </w:t>
      </w:r>
      <w:r>
        <w:rPr>
          <w:rFonts w:ascii="Arial" w:cs="Arial" w:eastAsia="Arial" w:hAnsi="Arial"/>
          <w:sz w:val="22"/>
          <w:szCs w:val="22"/>
          <w:u w:val="single" w:color="auto"/>
          <w:color w:val="auto"/>
        </w:rPr>
        <w:t>Section 7.15(c)</w:t>
      </w:r>
      <w:r>
        <w:rPr>
          <w:rFonts w:ascii="Arial" w:cs="Arial" w:eastAsia="Arial" w:hAnsi="Arial"/>
          <w:sz w:val="22"/>
          <w:szCs w:val="22"/>
          <w:color w:val="auto"/>
        </w:rPr>
        <w:t xml:space="preserve"> and without reference to the definition of “good faith” in </w:t>
      </w:r>
      <w:r>
        <w:rPr>
          <w:rFonts w:ascii="Arial" w:cs="Arial" w:eastAsia="Arial" w:hAnsi="Arial"/>
          <w:sz w:val="22"/>
          <w:szCs w:val="22"/>
          <w:u w:val="single" w:color="auto"/>
          <w:color w:val="auto"/>
        </w:rPr>
        <w:t>Section 7.15(b)</w:t>
      </w:r>
      <w:r>
        <w:rPr>
          <w:rFonts w:ascii="Arial" w:cs="Arial" w:eastAsia="Arial" w:hAnsi="Arial"/>
          <w:sz w:val="22"/>
          <w:szCs w:val="22"/>
          <w:color w:val="auto"/>
        </w:rPr>
        <w:t>, neither the General Partner nor any other Indemnitee shall owe any fiduciary duties to Series A Holders, other than the implied duty of good faith and fair dealing.</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22"/>
          <w:szCs w:val="22"/>
          <w:b w:val="1"/>
          <w:bCs w:val="1"/>
          <w:color w:val="auto"/>
        </w:rPr>
        <w:t>ARTICLE XVII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SERIES B CUMULATIVE REDEEMABLE PERPETUAL FIXED TO FLOATING RATE PREFERENCE UNITS</w:t>
      </w:r>
    </w:p>
    <w:p>
      <w:pPr>
        <w:spacing w:after="0" w:line="215" w:lineRule="exact"/>
        <w:rPr>
          <w:sz w:val="20"/>
          <w:szCs w:val="20"/>
          <w:color w:val="auto"/>
        </w:rPr>
      </w:pPr>
    </w:p>
    <w:p>
      <w:pPr>
        <w:ind w:right="140" w:firstLine="1296"/>
        <w:spacing w:after="0" w:line="277" w:lineRule="auto"/>
        <w:rPr>
          <w:sz w:val="20"/>
          <w:szCs w:val="20"/>
          <w:color w:val="auto"/>
        </w:rPr>
      </w:pPr>
      <w:r>
        <w:rPr>
          <w:rFonts w:ascii="Arial" w:cs="Arial" w:eastAsia="Arial" w:hAnsi="Arial"/>
          <w:sz w:val="19"/>
          <w:szCs w:val="19"/>
          <w:color w:val="auto"/>
        </w:rPr>
        <w:t xml:space="preserve">Section 17.1. </w:t>
      </w:r>
      <w:r>
        <w:rPr>
          <w:rFonts w:ascii="Arial" w:cs="Arial" w:eastAsia="Arial" w:hAnsi="Arial"/>
          <w:sz w:val="19"/>
          <w:szCs w:val="19"/>
          <w:i w:val="1"/>
          <w:iCs w:val="1"/>
          <w:color w:val="auto"/>
        </w:rPr>
        <w:t>Designations</w:t>
      </w:r>
      <w:r>
        <w:rPr>
          <w:rFonts w:ascii="Arial" w:cs="Arial" w:eastAsia="Arial" w:hAnsi="Arial"/>
          <w:sz w:val="19"/>
          <w:szCs w:val="19"/>
          <w:color w:val="auto"/>
        </w:rPr>
        <w:t xml:space="preserve">. On January 17, 2018, the Board of Directors designated and created a series of Preference Units designated as “8.200% Series B Cumulative Redeemable Perpetual Fixed to Floating Rate Preference Units,” and fixed the preferences, rights, powers and duties of the holders of the Series B Preference Units as set forth in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XVII</w:t>
      </w:r>
      <w:r>
        <w:rPr>
          <w:rFonts w:ascii="Arial" w:cs="Arial" w:eastAsia="Arial" w:hAnsi="Arial"/>
          <w:sz w:val="19"/>
          <w:szCs w:val="19"/>
          <w:color w:val="auto"/>
        </w:rPr>
        <w:t>. Each Series B Preference Unit shall be identical in all respects to every other Series B Preference Unit, except as to the respective dates from which the Series B Liquidation Preference shall increase or from which Series B Distributions may begin accruing, to the extent such dates may differ. The Series B Preference Units represent perpetual equity interests in the Partnership and shall not give rise to a claim by the holder for redemption thereof at a particular date.</w:t>
      </w:r>
    </w:p>
    <w:p>
      <w:pPr>
        <w:spacing w:after="0" w:line="179"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17.2.</w:t>
      </w:r>
      <w:r>
        <w:rPr>
          <w:sz w:val="20"/>
          <w:szCs w:val="20"/>
          <w:color w:val="auto"/>
        </w:rPr>
        <w:tab/>
      </w:r>
      <w:r>
        <w:rPr>
          <w:rFonts w:ascii="Arial" w:cs="Arial" w:eastAsia="Arial" w:hAnsi="Arial"/>
          <w:sz w:val="19"/>
          <w:szCs w:val="19"/>
          <w:i w:val="1"/>
          <w:iCs w:val="1"/>
          <w:color w:val="auto"/>
        </w:rPr>
        <w:t>Units</w:t>
      </w:r>
      <w:r>
        <w:rPr>
          <w:rFonts w:ascii="Arial" w:cs="Arial" w:eastAsia="Arial" w:hAnsi="Arial"/>
          <w:sz w:val="19"/>
          <w:szCs w:val="19"/>
          <w:color w:val="auto"/>
        </w:rPr>
        <w:t>.</w:t>
      </w:r>
    </w:p>
    <w:p>
      <w:pPr>
        <w:spacing w:after="0" w:line="233" w:lineRule="exact"/>
        <w:rPr>
          <w:sz w:val="20"/>
          <w:szCs w:val="20"/>
          <w:color w:val="auto"/>
        </w:rPr>
      </w:pPr>
    </w:p>
    <w:p>
      <w:pPr>
        <w:ind w:right="240" w:firstLine="1304"/>
        <w:spacing w:after="0" w:line="250" w:lineRule="auto"/>
        <w:tabs>
          <w:tab w:leader="none" w:pos="2076"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authorized number of Series B Preference Units shall be unlimited. Series B Preference Units that are purchased or otherwise acquired by the Partnership shall be cancelled.</w:t>
      </w:r>
    </w:p>
    <w:p>
      <w:pPr>
        <w:spacing w:after="0" w:line="201" w:lineRule="exact"/>
        <w:rPr>
          <w:rFonts w:ascii="Arial" w:cs="Arial" w:eastAsia="Arial" w:hAnsi="Arial"/>
          <w:sz w:val="22"/>
          <w:szCs w:val="22"/>
          <w:color w:val="auto"/>
        </w:rPr>
      </w:pPr>
    </w:p>
    <w:p>
      <w:pPr>
        <w:ind w:firstLine="1304"/>
        <w:spacing w:after="0" w:line="246" w:lineRule="auto"/>
        <w:tabs>
          <w:tab w:leader="none" w:pos="2088"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Series B Preference Units shall be represented by a single Certificate registered in the name of the Depositary or its nominee, and no Series B Holder shall be entitled to receive a Certificate evidencing such applicable Units, unless otherwise required by law or the Depositary gives notice of its intention to resign or is no longer eligible to act as such with respect to such series of Preference Units and the Partnership shall have not selected a substitute Depositary within 60 calendar days thereafter. So long as the Depositary shall have been appointed and is serving with respect to such series of Preference Units, payments and communications made by the Partnership to Series B Holders shall be made by making payments to, and communicating with, the Depositary.</w:t>
      </w:r>
    </w:p>
    <w:p>
      <w:pPr>
        <w:spacing w:after="0" w:line="211"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17.3.</w:t>
      </w:r>
      <w:r>
        <w:rPr>
          <w:sz w:val="20"/>
          <w:szCs w:val="20"/>
          <w:color w:val="auto"/>
        </w:rPr>
        <w:tab/>
      </w:r>
      <w:r>
        <w:rPr>
          <w:rFonts w:ascii="Arial" w:cs="Arial" w:eastAsia="Arial" w:hAnsi="Arial"/>
          <w:sz w:val="19"/>
          <w:szCs w:val="19"/>
          <w:i w:val="1"/>
          <w:iCs w:val="1"/>
          <w:color w:val="auto"/>
        </w:rPr>
        <w:t>Distributions</w:t>
      </w:r>
      <w:r>
        <w:rPr>
          <w:rFonts w:ascii="Arial" w:cs="Arial" w:eastAsia="Arial" w:hAnsi="Arial"/>
          <w:sz w:val="19"/>
          <w:szCs w:val="19"/>
          <w:color w:val="auto"/>
        </w:rPr>
        <w:t>.</w:t>
      </w:r>
    </w:p>
    <w:p>
      <w:pPr>
        <w:spacing w:after="0" w:line="233" w:lineRule="exact"/>
        <w:rPr>
          <w:sz w:val="20"/>
          <w:szCs w:val="20"/>
          <w:color w:val="auto"/>
        </w:rPr>
      </w:pPr>
    </w:p>
    <w:p>
      <w:pPr>
        <w:ind w:right="20" w:firstLine="1304"/>
        <w:spacing w:after="0" w:line="273" w:lineRule="auto"/>
        <w:tabs>
          <w:tab w:leader="none" w:pos="2076"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Distributions on each Series B Preference Unit shall be cumulative and shall accrue at the Series B Distribution Rate from the Series B Original Issue Date (or, for any subsequently issued and newly Outstanding Series B Preference Units, from the Series B Distribution Payment Date immediately preceding the issuance date of such Units) until such time as the Partnership pays the Series B Distribution or redeems the Series B Preference Units in full in accordance with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17.6</w:t>
      </w:r>
      <w:r>
        <w:rPr>
          <w:rFonts w:ascii="Arial" w:cs="Arial" w:eastAsia="Arial" w:hAnsi="Arial"/>
          <w:sz w:val="19"/>
          <w:szCs w:val="19"/>
          <w:color w:val="auto"/>
        </w:rPr>
        <w:t xml:space="preserve"> below, whether or not such Series B Distributions shall have been declared. Series B Holders shall be entitled to receive Series B Distributions from time to time out of any assets of the Partnership legally available for the payment of distributions at the Series B Distribution Rate per Series B Preference Unit when, as, and if declared by the Board of Directors. Series B Distributions, to the extent declared by the Board of Directors to be paid by the Partnership in accordance with this </w:t>
      </w:r>
      <w:r>
        <w:rPr>
          <w:rFonts w:ascii="Arial" w:cs="Arial" w:eastAsia="Arial" w:hAnsi="Arial"/>
          <w:sz w:val="19"/>
          <w:szCs w:val="19"/>
          <w:u w:val="single" w:color="auto"/>
          <w:color w:val="auto"/>
        </w:rPr>
        <w:t>Section 17.3</w:t>
      </w:r>
      <w:r>
        <w:rPr>
          <w:rFonts w:ascii="Arial" w:cs="Arial" w:eastAsia="Arial" w:hAnsi="Arial"/>
          <w:sz w:val="19"/>
          <w:szCs w:val="19"/>
          <w:color w:val="auto"/>
        </w:rPr>
        <w:t>, shall be paid quarterly on each Series B Distribution Payment Date. Distributions shall accumulate in each Series B Distribution Period from and including the preceding Series B Distribution Payment Date (other than the initial Series B Distribution Period, which shall commence on and include the Series B</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76" w:name="page77"/>
    <w:bookmarkEnd w:id="76"/>
    <w:p>
      <w:pPr>
        <w:ind w:right="80"/>
        <w:spacing w:after="0" w:line="245" w:lineRule="auto"/>
        <w:rPr>
          <w:sz w:val="20"/>
          <w:szCs w:val="20"/>
          <w:color w:val="auto"/>
        </w:rPr>
      </w:pPr>
      <w:r>
        <w:rPr>
          <w:rFonts w:ascii="Arial" w:cs="Arial" w:eastAsia="Arial" w:hAnsi="Arial"/>
          <w:sz w:val="21"/>
          <w:szCs w:val="21"/>
          <w:color w:val="auto"/>
        </w:rPr>
        <w:t>Original Issue Date), to but excluding the next Series B Distribution Payment Date for such Series B Distribution Period and distributions shall accrue on accumulated Series B Distributions at the Series B Distribution Rate. If any Series B Distribution Payment Date during the Series B Fixed Rate Period would otherwise occur on a date that is not a Business Day, declared Series B Distributions shall be paid on the immediately succeeding Business Day without the accumulation of additional distributions. If any Series B Distribution Payment Date during the Series B Floating Rate Period would otherwise occur on a date that is not a Business Day, then the Series B Distribution Payment Date will be the next day that is a Business Day. Series B Distributions payable for any Series B Distribution Period during the Series B Fixed Rate Period will be calculated based on a 360-day year consisting of twelve 30-day months. Series B Distributions payable for any Series B Distribution Period during the Series B Floating Rate Period will be calculated based on a 360-day year and the number of days actually elapsed during such Series B Distribution Period.</w:t>
      </w:r>
    </w:p>
    <w:p>
      <w:pPr>
        <w:spacing w:after="0" w:line="208" w:lineRule="exact"/>
        <w:rPr>
          <w:sz w:val="20"/>
          <w:szCs w:val="20"/>
          <w:color w:val="auto"/>
        </w:rPr>
      </w:pPr>
    </w:p>
    <w:p>
      <w:pPr>
        <w:ind w:right="120" w:firstLine="1304"/>
        <w:spacing w:after="0" w:line="236" w:lineRule="auto"/>
        <w:tabs>
          <w:tab w:leader="none" w:pos="2088" w:val="left"/>
        </w:tabs>
        <w:numPr>
          <w:ilvl w:val="0"/>
          <w:numId w:val="86"/>
        </w:numPr>
        <w:rPr>
          <w:rFonts w:ascii="Arial" w:cs="Arial" w:eastAsia="Arial" w:hAnsi="Arial"/>
          <w:sz w:val="22"/>
          <w:szCs w:val="22"/>
          <w:color w:val="auto"/>
        </w:rPr>
      </w:pPr>
      <w:r>
        <w:rPr>
          <w:rFonts w:ascii="Arial" w:cs="Arial" w:eastAsia="Arial" w:hAnsi="Arial"/>
          <w:sz w:val="22"/>
          <w:szCs w:val="22"/>
          <w:color w:val="auto"/>
        </w:rPr>
        <w:t>For each Series B Distribution Period during the Series B Floating Rate Period, the applicable Series B Distribution Rate will be determined by the Calculation Agent as of the applicable Series B Distribution Determination Date for such Series B Distribution Period. For purposes of determining the applicable Series B Distribution Rate, the Series B Three-Month LIBOR Rate will be determined by the Calculation Agent, as of the applicable Series B Distribution Determination Date, in accordance with the following provisions:</w:t>
      </w:r>
    </w:p>
    <w:p>
      <w:pPr>
        <w:spacing w:after="0" w:line="214" w:lineRule="exact"/>
        <w:rPr>
          <w:sz w:val="20"/>
          <w:szCs w:val="20"/>
          <w:color w:val="auto"/>
        </w:rPr>
      </w:pPr>
    </w:p>
    <w:p>
      <w:pPr>
        <w:ind w:left="660" w:right="180" w:firstLine="644"/>
        <w:spacing w:after="0" w:line="238" w:lineRule="auto"/>
        <w:tabs>
          <w:tab w:leader="none" w:pos="2052" w:val="left"/>
        </w:tabs>
        <w:numPr>
          <w:ilvl w:val="0"/>
          <w:numId w:val="87"/>
        </w:numPr>
        <w:rPr>
          <w:rFonts w:ascii="Arial" w:cs="Arial" w:eastAsia="Arial" w:hAnsi="Arial"/>
          <w:sz w:val="22"/>
          <w:szCs w:val="22"/>
          <w:color w:val="auto"/>
        </w:rPr>
      </w:pPr>
      <w:r>
        <w:rPr>
          <w:rFonts w:ascii="Arial" w:cs="Arial" w:eastAsia="Arial" w:hAnsi="Arial"/>
          <w:sz w:val="22"/>
          <w:szCs w:val="22"/>
          <w:color w:val="auto"/>
        </w:rPr>
        <w:t>the Series B Three-Month LIBOR Rate will be the rate (expressed as a percentage per year) for deposits in U.S. dollars having an index maturity of three months, in amounts of at least $1,000,000, as such rate appears on Reuters Page LIBOR01 at approximately 11:00 a.m. (London time) on the relevant Series B Distribution Determination Date; or</w:t>
      </w:r>
    </w:p>
    <w:p>
      <w:pPr>
        <w:spacing w:after="0" w:line="211" w:lineRule="exact"/>
        <w:rPr>
          <w:rFonts w:ascii="Arial" w:cs="Arial" w:eastAsia="Arial" w:hAnsi="Arial"/>
          <w:sz w:val="22"/>
          <w:szCs w:val="22"/>
          <w:color w:val="auto"/>
        </w:rPr>
      </w:pPr>
    </w:p>
    <w:p>
      <w:pPr>
        <w:ind w:left="660" w:firstLine="644"/>
        <w:spacing w:after="0" w:line="271" w:lineRule="auto"/>
        <w:tabs>
          <w:tab w:leader="none" w:pos="2112" w:val="left"/>
        </w:tabs>
        <w:numPr>
          <w:ilvl w:val="0"/>
          <w:numId w:val="87"/>
        </w:numPr>
        <w:rPr>
          <w:rFonts w:ascii="Arial" w:cs="Arial" w:eastAsia="Arial" w:hAnsi="Arial"/>
          <w:sz w:val="19"/>
          <w:szCs w:val="19"/>
          <w:color w:val="auto"/>
        </w:rPr>
      </w:pPr>
      <w:r>
        <w:rPr>
          <w:rFonts w:ascii="Arial" w:cs="Arial" w:eastAsia="Arial" w:hAnsi="Arial"/>
          <w:sz w:val="19"/>
          <w:szCs w:val="19"/>
          <w:color w:val="auto"/>
        </w:rPr>
        <w:t>if no such rate appears on Reuters Page LIBOR01 or if the Reuters Page LIBOR01 is not available at approximately 11:00 a.m. (London time) on the relevant Series B Distribution Determination Date, then the Calculation Agent, after consultation with the Partnership, will select four nationally-recognized banks in the London interbank market and request that the principal London offices of those four selected banks provide the Calculation Agent with their offered quotation for deposits in U.S. dollars for a period of three months, commencing on the first day of the applicable Series B Distribution Period, to prime banks in the London interbank market at approximately 11:00 a.m. (London time) on that Series B Distribution Determination Date for the applicable Series B Distribution Period. Offered quotations must be based on a principal amount equal to an amount that, in the Calculation Agent’s discretion, is representative of a single transaction in U.S. dollars in the London interbank market at that time. If at least two quotations are provided, the Series B Three-Month LIBOR Rate for such Series B Distribution Period will be the arithmetic mean (rounded upward if necessary, to the nearest 0.00001 of 1%) of those quotations. If fewer than two quotations are provided, the Series B Three-Month LIBOR Rate for such Series B Distribution Period will be the arithmetic mean (rounded upward if necessary, to the nearest 0.00001 of 1%) of the rates quoted at approximately 11:00 a.m. (New York City time) on that Series B Distribution Determination Date for such Series B Distribution Period by three nationally-recognized banks in New York, New York selected by the Calculation Agent, for loans in U.S.</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77" w:name="page78"/>
    <w:bookmarkEnd w:id="77"/>
    <w:p>
      <w:pPr>
        <w:ind w:left="660" w:right="40"/>
        <w:spacing w:after="0" w:line="275" w:lineRule="auto"/>
        <w:rPr>
          <w:sz w:val="20"/>
          <w:szCs w:val="20"/>
          <w:color w:val="auto"/>
        </w:rPr>
      </w:pPr>
      <w:r>
        <w:rPr>
          <w:rFonts w:ascii="Arial" w:cs="Arial" w:eastAsia="Arial" w:hAnsi="Arial"/>
          <w:sz w:val="19"/>
          <w:szCs w:val="19"/>
          <w:color w:val="auto"/>
        </w:rPr>
        <w:t>dollars to nationally-recognized European banks (as selected by the Calculation Agent), for a period of three months commencing on the first day of such Series B Distribution Period. The rates quoted must be based on an amount that, in the Calculation Agent’s discretion, is representative of a single transaction in U.S. dollars in that market at that time. If fewer than three New York City banks selected by the Calculation Agent provide quote rates in the manner described above, the Calculation Agent, after consulting such sources as it deems comparable to any of the foregoing quotations or display page, or any such source as it deems reasonable from which to estimate the Series B Three-Month LIBOR Rate or any of the foregoing lending rates, shall determine Series B Three-Month LIBOR Rate for the applicable Series B Distribution Period in its discretion, after consultation with the Partnership.</w:t>
      </w:r>
    </w:p>
    <w:p>
      <w:pPr>
        <w:spacing w:after="0" w:line="184" w:lineRule="exact"/>
        <w:rPr>
          <w:sz w:val="20"/>
          <w:szCs w:val="20"/>
          <w:color w:val="auto"/>
        </w:rPr>
      </w:pPr>
    </w:p>
    <w:p>
      <w:pPr>
        <w:ind w:left="660" w:right="20" w:firstLine="644"/>
        <w:spacing w:after="0" w:line="274" w:lineRule="auto"/>
        <w:tabs>
          <w:tab w:leader="none" w:pos="2172"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if the Calculation Agent determines on the relevant Series B Distribution Determination Date that the LIBOR base rate has been discontinued, then the Calculation Agent will use a substitute or successor base rate that it has determined in its discretion, after consultation with the Partnership, is most comparable to the LIBOR base rate, provided that if the Calculation Agent determines there is an industry-accepted successor base rate, then the Calculation Agent shall use such successor base rate. If the Calculation Agent has determined a substitute or successor base rate in accordance with the foregoing, the Calculation Agent in its discretion, after consultation with the Partnership, may determine what business day convention to use, the definition of business day, the Series B Distribution Determination Date and any other relevant methodology for calculating such substitute or successor base rate in a manner that is consistent with industry-accepted practices for such substitute or successor base rate.</w:t>
      </w:r>
    </w:p>
    <w:p>
      <w:pPr>
        <w:spacing w:after="0" w:line="185" w:lineRule="exact"/>
        <w:rPr>
          <w:sz w:val="20"/>
          <w:szCs w:val="20"/>
          <w:color w:val="auto"/>
        </w:rPr>
      </w:pPr>
    </w:p>
    <w:p>
      <w:pPr>
        <w:ind w:left="660" w:right="80" w:firstLine="1296"/>
        <w:spacing w:after="0" w:line="257" w:lineRule="auto"/>
        <w:rPr>
          <w:sz w:val="20"/>
          <w:szCs w:val="20"/>
          <w:color w:val="auto"/>
        </w:rPr>
      </w:pPr>
      <w:r>
        <w:rPr>
          <w:rFonts w:ascii="Arial" w:cs="Arial" w:eastAsia="Arial" w:hAnsi="Arial"/>
          <w:sz w:val="21"/>
          <w:szCs w:val="21"/>
          <w:color w:val="auto"/>
        </w:rPr>
        <w:t>The Partnership will appoint a Calculation Agent for the Series B Preference Units prior to the commencement of the Series B Floating Rate Period and will be entitled to remove or replace the Calculation Agent in its discretion. In addition, the Partnership or its Affiliate may assume the duties of the Calculation Agent.</w:t>
      </w:r>
    </w:p>
    <w:p>
      <w:pPr>
        <w:spacing w:after="0" w:line="196" w:lineRule="exact"/>
        <w:rPr>
          <w:sz w:val="20"/>
          <w:szCs w:val="20"/>
          <w:color w:val="auto"/>
        </w:rPr>
      </w:pPr>
    </w:p>
    <w:p>
      <w:pPr>
        <w:ind w:firstLine="1304"/>
        <w:spacing w:after="0" w:line="272" w:lineRule="auto"/>
        <w:tabs>
          <w:tab w:leader="none" w:pos="2076" w:val="left"/>
        </w:tabs>
        <w:numPr>
          <w:ilvl w:val="0"/>
          <w:numId w:val="89"/>
        </w:numPr>
        <w:rPr>
          <w:rFonts w:ascii="Arial" w:cs="Arial" w:eastAsia="Arial" w:hAnsi="Arial"/>
          <w:sz w:val="19"/>
          <w:szCs w:val="19"/>
          <w:color w:val="auto"/>
        </w:rPr>
      </w:pPr>
      <w:r>
        <w:rPr>
          <w:rFonts w:ascii="Arial" w:cs="Arial" w:eastAsia="Arial" w:hAnsi="Arial"/>
          <w:sz w:val="19"/>
          <w:szCs w:val="19"/>
          <w:color w:val="auto"/>
        </w:rPr>
        <w:t>Not later than 5:00 p.m., New York City time, on each Series B Distribution Payment Date, the Partnership shall pay those Series B Distributions, if any, that shall have been declared by the Board of Directors to Series B Holders on the Record Date for the applicable Series B Distribution. The Record Date (the “</w:t>
      </w:r>
      <w:r>
        <w:rPr>
          <w:rFonts w:ascii="Arial" w:cs="Arial" w:eastAsia="Arial" w:hAnsi="Arial"/>
          <w:sz w:val="19"/>
          <w:szCs w:val="19"/>
          <w:b w:val="1"/>
          <w:bCs w:val="1"/>
          <w:i w:val="1"/>
          <w:iCs w:val="1"/>
          <w:color w:val="auto"/>
        </w:rPr>
        <w:t>Series B Distribution Record Date</w:t>
      </w:r>
      <w:r>
        <w:rPr>
          <w:rFonts w:ascii="Arial" w:cs="Arial" w:eastAsia="Arial" w:hAnsi="Arial"/>
          <w:sz w:val="19"/>
          <w:szCs w:val="19"/>
          <w:color w:val="auto"/>
        </w:rPr>
        <w:t xml:space="preserve">”) for the payment of any Series B Distributions shall be the fifth Business Day immediately preceding the applicable Series B Distribution Payment Date, except that in the case of payments of Series B Distributions in Arrears, the Series B Distribution Record Date with respect to a Series B Distribution Payment Date shall be such date as may be designated by the Board of Directors in accordance with this </w:t>
      </w:r>
      <w:r>
        <w:rPr>
          <w:rFonts w:ascii="Arial" w:cs="Arial" w:eastAsia="Arial" w:hAnsi="Arial"/>
          <w:sz w:val="19"/>
          <w:szCs w:val="19"/>
          <w:u w:val="single" w:color="auto"/>
          <w:color w:val="auto"/>
        </w:rPr>
        <w:t>Article XVII</w:t>
      </w:r>
      <w:r>
        <w:rPr>
          <w:rFonts w:ascii="Arial" w:cs="Arial" w:eastAsia="Arial" w:hAnsi="Arial"/>
          <w:sz w:val="19"/>
          <w:szCs w:val="19"/>
          <w:color w:val="auto"/>
        </w:rPr>
        <w:t>. No distribution shall be declared or paid or set apart for payment on any Junior Securities (other than a distribution payable solely in Junior Securities) unless full cumulative Series B Distributions have been or contemporaneously are being paid or provided for on all Outstanding Series B Preference Units and any other Parity Securities through the most recent respective Series B Distribution Payment Dates. Accumulated Series B Distributions in Arrears for any past Series B Distribution Period may be declared by the Board of Directors and paid on any date fixed by the Board of Directors, whether or not a Series B Distribution Payment Date, to Series B Holders on the record date for such</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78" w:name="page79"/>
    <w:bookmarkEnd w:id="78"/>
    <w:p>
      <w:pPr>
        <w:ind w:right="20"/>
        <w:spacing w:after="0" w:line="271" w:lineRule="auto"/>
        <w:rPr>
          <w:sz w:val="20"/>
          <w:szCs w:val="20"/>
          <w:color w:val="auto"/>
        </w:rPr>
      </w:pPr>
      <w:r>
        <w:rPr>
          <w:rFonts w:ascii="Arial" w:cs="Arial" w:eastAsia="Arial" w:hAnsi="Arial"/>
          <w:sz w:val="19"/>
          <w:szCs w:val="19"/>
          <w:color w:val="auto"/>
        </w:rPr>
        <w:t xml:space="preserve">payment, which may not be more than 60 days, nor less than 15 days, before such payment date. Subject to the next succeeding sentence, if all accumulated Series B Distributions in Arrears on all Outstanding Series B Preference Units and any other Parity Securities shall not have been declared and paid, or if sufficient funds for the payment thereof shall not have been set apart, payment of accumulated distributions in Arrears on the Series B Preference Units and any such Parity Securities shall be made in order of their respective distribution payment dates, commencing with the earliest. If less than all distributions payable with respect to all Series B Preference Units and any other Parity Securities are paid, any partial payment shall be made pro rata with respect to the Series B Preference Units and any such other Parity Securities entitled to a distribution payment at such time in proportion to the aggregate distribution amounts remaining due in respect of such Series B Preference Units and such other Parity Securities at such time. Subject to </w:t>
      </w:r>
      <w:r>
        <w:rPr>
          <w:rFonts w:ascii="Arial" w:cs="Arial" w:eastAsia="Arial" w:hAnsi="Arial"/>
          <w:sz w:val="19"/>
          <w:szCs w:val="19"/>
          <w:u w:val="single" w:color="auto"/>
          <w:color w:val="auto"/>
        </w:rPr>
        <w:t>Sections 12.4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17.6</w:t>
      </w:r>
      <w:r>
        <w:rPr>
          <w:rFonts w:ascii="Arial" w:cs="Arial" w:eastAsia="Arial" w:hAnsi="Arial"/>
          <w:sz w:val="19"/>
          <w:szCs w:val="19"/>
          <w:color w:val="auto"/>
        </w:rPr>
        <w:t xml:space="preserve">, Series B Holders shall not be entitled to any distribution, whether payable in cash, property or stock, in excess of full cumulative Series B Distributions. Except insofar as distributions accrue on the amount of any accumulated and unpaid Series B Distributions as described in </w:t>
      </w:r>
      <w:r>
        <w:rPr>
          <w:rFonts w:ascii="Arial" w:cs="Arial" w:eastAsia="Arial" w:hAnsi="Arial"/>
          <w:sz w:val="19"/>
          <w:szCs w:val="19"/>
          <w:u w:val="single" w:color="auto"/>
          <w:color w:val="auto"/>
        </w:rPr>
        <w:t>Section 17.3(a)</w:t>
      </w:r>
      <w:r>
        <w:rPr>
          <w:rFonts w:ascii="Arial" w:cs="Arial" w:eastAsia="Arial" w:hAnsi="Arial"/>
          <w:sz w:val="19"/>
          <w:szCs w:val="19"/>
          <w:color w:val="auto"/>
        </w:rPr>
        <w:t>, no interest or sum of money in lieu of interest shall be payable in respect of any distribution payment which may be in Arrears on the Series B Preference Units. So long as the Series B Preference Units are held of record by the nominee of the Depositary, declared Series B Distributions shall be paid to the Depositary in same-day funds on each Series B Distribution Payment Date.</w:t>
      </w:r>
    </w:p>
    <w:p>
      <w:pPr>
        <w:spacing w:after="0" w:line="191"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17.4.</w:t>
      </w:r>
      <w:r>
        <w:rPr>
          <w:sz w:val="20"/>
          <w:szCs w:val="20"/>
          <w:color w:val="auto"/>
        </w:rPr>
        <w:tab/>
      </w:r>
      <w:r>
        <w:rPr>
          <w:rFonts w:ascii="Arial" w:cs="Arial" w:eastAsia="Arial" w:hAnsi="Arial"/>
          <w:sz w:val="19"/>
          <w:szCs w:val="19"/>
          <w:i w:val="1"/>
          <w:iCs w:val="1"/>
          <w:color w:val="auto"/>
        </w:rPr>
        <w:t>Liquidation Rights</w:t>
      </w:r>
      <w:r>
        <w:rPr>
          <w:rFonts w:ascii="Arial" w:cs="Arial" w:eastAsia="Arial" w:hAnsi="Arial"/>
          <w:sz w:val="19"/>
          <w:szCs w:val="19"/>
          <w:color w:val="auto"/>
        </w:rPr>
        <w:t>.</w:t>
      </w:r>
    </w:p>
    <w:p>
      <w:pPr>
        <w:spacing w:after="0" w:line="233" w:lineRule="exact"/>
        <w:rPr>
          <w:sz w:val="20"/>
          <w:szCs w:val="20"/>
          <w:color w:val="auto"/>
        </w:rPr>
      </w:pPr>
    </w:p>
    <w:p>
      <w:pPr>
        <w:ind w:firstLine="1304"/>
        <w:spacing w:after="0" w:line="270" w:lineRule="auto"/>
        <w:tabs>
          <w:tab w:leader="none" w:pos="2076" w:val="left"/>
        </w:tabs>
        <w:numPr>
          <w:ilvl w:val="0"/>
          <w:numId w:val="90"/>
        </w:numPr>
        <w:rPr>
          <w:rFonts w:ascii="Arial" w:cs="Arial" w:eastAsia="Arial" w:hAnsi="Arial"/>
          <w:sz w:val="19"/>
          <w:szCs w:val="19"/>
          <w:color w:val="auto"/>
        </w:rPr>
      </w:pPr>
      <w:r>
        <w:rPr>
          <w:rFonts w:ascii="Arial" w:cs="Arial" w:eastAsia="Arial" w:hAnsi="Arial"/>
          <w:sz w:val="19"/>
          <w:szCs w:val="19"/>
          <w:color w:val="auto"/>
        </w:rPr>
        <w:t>Upon the occurrence of any Liquidation Event, Series B Holders shall be entitled to receive out of the assets of the Partnership or proceeds thereof legally available for distribution to the Partners, (i) after satisfaction of all liabilities, if any, to creditors of the Partnership, (ii) after all applicable distributions of such assets or proceeds being made to or set aside for the holders of any Senior Securities then Outstanding in respect of such Liquidation Event, (iii) concurrently with any applicable distributions of such assets or proceeds being made to or set aside for holders of any Series B Preference Units or other Parity Securities then Outstanding in respect of such Liquidation Event and (iv) before any distribution of such assets or proceeds is made to or set aside for the holders of Common Units and any other classes or series of Junior Securities as to such distribution, a liquidating distribution or payment in full redemption of such Series B Preference Units in an amount equal to the Series B Liquidation Preference. For purposes of clarity, upon the occurrence of any Liquidation Event, (x) the holders of then Outstanding Senior Securities shall be entitled to receive the applicable Liquidation Preference on such Senior Securities before any distribution shall be made with respect to the Series B Preference Units or any Parity Securities and (y) the Series B Holders shall be entitled to the Series B Liquidation Preference per Series B Preference Unit in cash, concurrently with any distribution made to the holders of any Parity Securities and before any distribution shall be made to the holders of Common Units or any other Junior Securities. Series B Holders shall not be entitled to any other amounts from the Partnership, in their capacity as Series B Holders, after they have received the Series B Liquidation Preference. The payment of the Series B Liquidation Preference shall be a payment in redemption of the Series B Preference Units such that, from and after payment of the full Series B Liquidation Preference, any such Series B Preference Unit shall thereafter be cancelled and no longer be Outstanding.</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79" w:name="page80"/>
    <w:bookmarkEnd w:id="79"/>
    <w:p>
      <w:pPr>
        <w:ind w:left="-40" w:right="40" w:firstLine="1304"/>
        <w:spacing w:after="0" w:line="275" w:lineRule="auto"/>
        <w:tabs>
          <w:tab w:leader="none" w:pos="2048"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If, in the event of any distribution or payment described in </w:t>
      </w:r>
      <w:r>
        <w:rPr>
          <w:rFonts w:ascii="Arial" w:cs="Arial" w:eastAsia="Arial" w:hAnsi="Arial"/>
          <w:sz w:val="19"/>
          <w:szCs w:val="19"/>
          <w:u w:val="single" w:color="auto"/>
          <w:color w:val="auto"/>
        </w:rPr>
        <w:t>Section 17.4(a)</w:t>
      </w:r>
      <w:r>
        <w:rPr>
          <w:rFonts w:ascii="Arial" w:cs="Arial" w:eastAsia="Arial" w:hAnsi="Arial"/>
          <w:sz w:val="19"/>
          <w:szCs w:val="19"/>
          <w:color w:val="auto"/>
        </w:rPr>
        <w:t xml:space="preserve"> above where the Partnership’s assets available for distribution to holders of the Outstanding Series B Preference Units and any other Parity Securities are insufficient to satisfy the applicable Liquidation Preference for such Series B Preference Units and Parity Securities, the Partnership’s then remaining assets or proceeds thereof legally available for distribution to unitholders of the Partnership shall be distributed among the holders of Outstanding Series B Preference Units and such Parity Securities, as applicable, ratably on the basis of their relative aggregate Liquidation Preferences. To the extent that the Series B Holders receive a partial payment of their Series B Liquidation Preference, such partial payment shall reduce the Series B Liquidation Preference of their Series B Preference Units, but only to the extent of such amount paid.</w:t>
      </w:r>
    </w:p>
    <w:p>
      <w:pPr>
        <w:spacing w:after="0" w:line="184" w:lineRule="exact"/>
        <w:rPr>
          <w:rFonts w:ascii="Arial" w:cs="Arial" w:eastAsia="Arial" w:hAnsi="Arial"/>
          <w:sz w:val="19"/>
          <w:szCs w:val="19"/>
          <w:color w:val="auto"/>
        </w:rPr>
      </w:pPr>
    </w:p>
    <w:p>
      <w:pPr>
        <w:ind w:left="-40" w:right="440" w:firstLine="1304"/>
        <w:spacing w:after="0" w:line="238" w:lineRule="auto"/>
        <w:tabs>
          <w:tab w:leader="none" w:pos="2036" w:val="left"/>
        </w:tabs>
        <w:numPr>
          <w:ilvl w:val="0"/>
          <w:numId w:val="91"/>
        </w:numPr>
        <w:rPr>
          <w:rFonts w:ascii="Arial" w:cs="Arial" w:eastAsia="Arial" w:hAnsi="Arial"/>
          <w:sz w:val="22"/>
          <w:szCs w:val="22"/>
          <w:color w:val="auto"/>
        </w:rPr>
      </w:pPr>
      <w:r>
        <w:rPr>
          <w:rFonts w:ascii="Arial" w:cs="Arial" w:eastAsia="Arial" w:hAnsi="Arial"/>
          <w:sz w:val="22"/>
          <w:szCs w:val="22"/>
          <w:color w:val="auto"/>
        </w:rPr>
        <w:t>After payment of the applicable Liquidation Preference to the holders of the Outstanding Series B Preference Units and any other Parity Securities, the Partnership’s remaining assets and funds shall be distributed among the holders of the Common Units and any other Junior Securities then Outstanding according to their respective rights and preferences.</w:t>
      </w:r>
    </w:p>
    <w:p>
      <w:pPr>
        <w:spacing w:after="0" w:line="212" w:lineRule="exact"/>
        <w:rPr>
          <w:sz w:val="20"/>
          <w:szCs w:val="20"/>
          <w:color w:val="auto"/>
        </w:rPr>
      </w:pPr>
    </w:p>
    <w:p>
      <w:pPr>
        <w:ind w:left="1260"/>
        <w:spacing w:after="0"/>
        <w:tabs>
          <w:tab w:leader="none" w:pos="2920" w:val="left"/>
        </w:tabs>
        <w:rPr>
          <w:sz w:val="20"/>
          <w:szCs w:val="20"/>
          <w:color w:val="auto"/>
        </w:rPr>
      </w:pPr>
      <w:r>
        <w:rPr>
          <w:rFonts w:ascii="Arial" w:cs="Arial" w:eastAsia="Arial" w:hAnsi="Arial"/>
          <w:sz w:val="22"/>
          <w:szCs w:val="22"/>
          <w:color w:val="auto"/>
        </w:rPr>
        <w:t>Section 17.5.</w:t>
      </w:r>
      <w:r>
        <w:rPr>
          <w:sz w:val="20"/>
          <w:szCs w:val="20"/>
          <w:color w:val="auto"/>
        </w:rPr>
        <w:tab/>
      </w:r>
      <w:r>
        <w:rPr>
          <w:rFonts w:ascii="Arial" w:cs="Arial" w:eastAsia="Arial" w:hAnsi="Arial"/>
          <w:sz w:val="19"/>
          <w:szCs w:val="19"/>
          <w:i w:val="1"/>
          <w:iCs w:val="1"/>
          <w:color w:val="auto"/>
        </w:rPr>
        <w:t>Voting Rights</w:t>
      </w:r>
      <w:r>
        <w:rPr>
          <w:rFonts w:ascii="Arial" w:cs="Arial" w:eastAsia="Arial" w:hAnsi="Arial"/>
          <w:sz w:val="19"/>
          <w:szCs w:val="19"/>
          <w:color w:val="auto"/>
        </w:rPr>
        <w:t>.</w:t>
      </w:r>
    </w:p>
    <w:p>
      <w:pPr>
        <w:spacing w:after="0" w:line="233" w:lineRule="exact"/>
        <w:rPr>
          <w:sz w:val="20"/>
          <w:szCs w:val="20"/>
          <w:color w:val="auto"/>
        </w:rPr>
      </w:pPr>
    </w:p>
    <w:p>
      <w:pPr>
        <w:ind w:left="-40" w:right="60" w:firstLine="1304"/>
        <w:spacing w:after="0" w:line="328" w:lineRule="auto"/>
        <w:tabs>
          <w:tab w:leader="none" w:pos="2036"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Series B Preference Units shall not have any voting rights except as set forth in </w:t>
      </w:r>
      <w:r>
        <w:rPr>
          <w:rFonts w:ascii="Arial" w:cs="Arial" w:eastAsia="Arial" w:hAnsi="Arial"/>
          <w:sz w:val="19"/>
          <w:szCs w:val="19"/>
          <w:u w:val="single" w:color="auto"/>
          <w:color w:val="auto"/>
        </w:rPr>
        <w:t>Section 13.3(d)</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17.5</w:t>
      </w:r>
      <w:r>
        <w:rPr>
          <w:rFonts w:ascii="Arial" w:cs="Arial" w:eastAsia="Arial" w:hAnsi="Arial"/>
          <w:sz w:val="19"/>
          <w:szCs w:val="19"/>
          <w:color w:val="auto"/>
        </w:rPr>
        <w:t xml:space="preserve"> or as otherwise provided by the Marshall Islands Act.</w:t>
      </w:r>
    </w:p>
    <w:p>
      <w:pPr>
        <w:spacing w:after="0" w:line="131" w:lineRule="exact"/>
        <w:rPr>
          <w:rFonts w:ascii="Arial" w:cs="Arial" w:eastAsia="Arial" w:hAnsi="Arial"/>
          <w:sz w:val="19"/>
          <w:szCs w:val="19"/>
          <w:color w:val="auto"/>
        </w:rPr>
      </w:pPr>
    </w:p>
    <w:p>
      <w:pPr>
        <w:ind w:left="-40" w:firstLine="1304"/>
        <w:spacing w:after="0" w:line="270" w:lineRule="auto"/>
        <w:tabs>
          <w:tab w:leader="none" w:pos="2048" w:val="left"/>
        </w:tabs>
        <w:numPr>
          <w:ilvl w:val="0"/>
          <w:numId w:val="92"/>
        </w:numPr>
        <w:rPr>
          <w:rFonts w:ascii="Arial" w:cs="Arial" w:eastAsia="Arial" w:hAnsi="Arial"/>
          <w:sz w:val="19"/>
          <w:szCs w:val="19"/>
          <w:color w:val="auto"/>
        </w:rPr>
      </w:pPr>
      <w:r>
        <w:rPr>
          <w:rFonts w:ascii="Arial" w:cs="Arial" w:eastAsia="Arial" w:hAnsi="Arial"/>
          <w:sz w:val="19"/>
          <w:szCs w:val="19"/>
          <w:color w:val="auto"/>
        </w:rPr>
        <w:t xml:space="preserve">In the event that six quarterly Series B Distributions, whether consecutive or not, are in Arrears, the Series B Holders shall have the right, voting as a class together with holders of any other Parity Securities upon which like voting rights have been conferred and are exercisable, at a meeting of the Board of Directors called for such purpose within 30 days after receipt by the General Partner of a request by Series B Holders holding a majority of the Outstanding Series B Preference Units, to elect one member of the Board of Directors, and the size of the Board of Directors shall be increased as needed to accommodate such 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right of the Series B Holders shall not apply to the election of another director if (i) Series B Holders and holders of Parity Securities upon which like voting rights have been conferred, voting as a class, have previously elected a member of the Board of Directors and (ii) such director continues then to serve on the Board of Directors. Such right of such Series B Holders to elect a member of the Board of Directors shall continue until the Partnership pays in full, or declares and sets aside funds for the payment of, all Series B Distributions accumulated and in Arrears on the Series B Preference Units, at which time such right shall terminate, subject to the revesting of such right in the event of each and every subsequent failure to pay six quarterly Series B Distributions as described above in this </w:t>
      </w:r>
      <w:r>
        <w:rPr>
          <w:rFonts w:ascii="Arial" w:cs="Arial" w:eastAsia="Arial" w:hAnsi="Arial"/>
          <w:sz w:val="19"/>
          <w:szCs w:val="19"/>
          <w:u w:val="single" w:color="auto"/>
          <w:color w:val="auto"/>
        </w:rPr>
        <w:t>Section 17.5(b)</w:t>
      </w:r>
      <w:r>
        <w:rPr>
          <w:rFonts w:ascii="Arial" w:cs="Arial" w:eastAsia="Arial" w:hAnsi="Arial"/>
          <w:sz w:val="19"/>
          <w:szCs w:val="19"/>
          <w:color w:val="auto"/>
        </w:rPr>
        <w:t xml:space="preserve">. Upon any termination of the right of the Series B Holders and holders of any other Parity Securities to vote as a class for such director, the term of office of the director then in office elected by such Series B Holders and holders voting as a class shall terminate immediately. Any director elected by the Series B Holders and holders of any other Parity Securities shall be entitled to one vote on any matter before the Board of Directors. Upon each election of a member of the Board of Directors by Series B Holders pursuant to this </w:t>
      </w:r>
      <w:r>
        <w:rPr>
          <w:rFonts w:ascii="Arial" w:cs="Arial" w:eastAsia="Arial" w:hAnsi="Arial"/>
          <w:sz w:val="19"/>
          <w:szCs w:val="19"/>
          <w:u w:val="single" w:color="auto"/>
          <w:color w:val="auto"/>
        </w:rPr>
        <w:t>Section 17.5(b)</w:t>
      </w:r>
      <w:r>
        <w:rPr>
          <w:rFonts w:ascii="Arial" w:cs="Arial" w:eastAsia="Arial" w:hAnsi="Arial"/>
          <w:sz w:val="19"/>
          <w:szCs w:val="19"/>
          <w:color w:val="auto"/>
        </w:rPr>
        <w:t>, the General Partner shall have the right to appoint an additional member of the Board of Directors, which member shall be an Appointed Director for purposes of this Agreement, the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604" w:right="379" w:bottom="1440" w:gutter="0" w:footer="0" w:header="0"/>
        </w:sectPr>
      </w:pPr>
    </w:p>
    <w:bookmarkStart w:id="80" w:name="page81"/>
    <w:bookmarkEnd w:id="80"/>
    <w:p>
      <w:pPr>
        <w:spacing w:after="0"/>
        <w:rPr>
          <w:sz w:val="20"/>
          <w:szCs w:val="20"/>
          <w:color w:val="auto"/>
        </w:rPr>
      </w:pPr>
      <w:r>
        <w:rPr>
          <w:rFonts w:ascii="Arial" w:cs="Arial" w:eastAsia="Arial" w:hAnsi="Arial"/>
          <w:sz w:val="21"/>
          <w:szCs w:val="21"/>
          <w:color w:val="auto"/>
        </w:rPr>
        <w:t>term of such director to begin and end on the same dates as the corresponding director elected by the Series B Holders.</w:t>
      </w:r>
    </w:p>
    <w:p>
      <w:pPr>
        <w:spacing w:after="0" w:line="245" w:lineRule="exact"/>
        <w:rPr>
          <w:sz w:val="20"/>
          <w:szCs w:val="20"/>
          <w:color w:val="auto"/>
        </w:rPr>
      </w:pPr>
    </w:p>
    <w:p>
      <w:pPr>
        <w:jc w:val="both"/>
        <w:ind w:right="160" w:firstLine="1304"/>
        <w:spacing w:after="0" w:line="238" w:lineRule="auto"/>
        <w:tabs>
          <w:tab w:leader="none" w:pos="2076" w:val="left"/>
        </w:tabs>
        <w:numPr>
          <w:ilvl w:val="0"/>
          <w:numId w:val="93"/>
        </w:numPr>
        <w:rPr>
          <w:rFonts w:ascii="Arial" w:cs="Arial" w:eastAsia="Arial" w:hAnsi="Arial"/>
          <w:sz w:val="22"/>
          <w:szCs w:val="22"/>
          <w:color w:val="auto"/>
        </w:rPr>
      </w:pPr>
      <w:r>
        <w:rPr>
          <w:rFonts w:ascii="Arial" w:cs="Arial" w:eastAsia="Arial" w:hAnsi="Arial"/>
          <w:sz w:val="22"/>
          <w:szCs w:val="22"/>
          <w:color w:val="auto"/>
        </w:rPr>
        <w:t>(i) Unless the Board of Directors shall have received the affirmative vote or consent of the holders of at least 66 2/3% of the Outstanding Series B Preference Units, voting as a separate class, neither the General Partner nor the Board of Directors shall adopt any amendment to this Agreement that would have a material adverse effect on the existing terms of the Series B Preference Units.</w:t>
      </w:r>
    </w:p>
    <w:p>
      <w:pPr>
        <w:spacing w:after="0" w:line="212" w:lineRule="exact"/>
        <w:rPr>
          <w:sz w:val="20"/>
          <w:szCs w:val="20"/>
          <w:color w:val="auto"/>
        </w:rPr>
      </w:pPr>
    </w:p>
    <w:p>
      <w:pPr>
        <w:ind w:left="660" w:firstLine="644"/>
        <w:spacing w:after="0" w:line="236" w:lineRule="auto"/>
        <w:tabs>
          <w:tab w:leader="none" w:pos="2112" w:val="left"/>
        </w:tabs>
        <w:numPr>
          <w:ilvl w:val="0"/>
          <w:numId w:val="94"/>
        </w:numPr>
        <w:rPr>
          <w:rFonts w:ascii="Arial" w:cs="Arial" w:eastAsia="Arial" w:hAnsi="Arial"/>
          <w:sz w:val="22"/>
          <w:szCs w:val="22"/>
          <w:color w:val="auto"/>
        </w:rPr>
      </w:pPr>
      <w:r>
        <w:rPr>
          <w:rFonts w:ascii="Arial" w:cs="Arial" w:eastAsia="Arial" w:hAnsi="Arial"/>
          <w:sz w:val="22"/>
          <w:szCs w:val="22"/>
          <w:color w:val="auto"/>
        </w:rPr>
        <w:t>Unless the Board of Directors shall have received the affirmative vote or consent of the holders of at least 66 2/3% of the Outstanding Series B Preference Units voting as a class together with holders of any other Parity Securities upon which like voting rights have been conferred and are exercisable, the Partnership shall not (x) issue any Parity Securities if the cumulative dividends payable on Outstanding Series B Preference Units are in Arrears or (y) create or issue any Senior Securities.</w:t>
      </w:r>
    </w:p>
    <w:p>
      <w:pPr>
        <w:spacing w:after="0" w:line="214" w:lineRule="exact"/>
        <w:rPr>
          <w:sz w:val="20"/>
          <w:szCs w:val="20"/>
          <w:color w:val="auto"/>
        </w:rPr>
      </w:pPr>
    </w:p>
    <w:p>
      <w:pPr>
        <w:jc w:val="both"/>
        <w:ind w:right="100" w:firstLine="1304"/>
        <w:spacing w:after="0" w:line="238" w:lineRule="auto"/>
        <w:tabs>
          <w:tab w:leader="none" w:pos="2088"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For any matter described in this </w:t>
      </w:r>
      <w:r>
        <w:rPr>
          <w:rFonts w:ascii="Arial" w:cs="Arial" w:eastAsia="Arial" w:hAnsi="Arial"/>
          <w:sz w:val="22"/>
          <w:szCs w:val="22"/>
          <w:u w:val="single" w:color="auto"/>
          <w:color w:val="auto"/>
        </w:rPr>
        <w:t>Section 17.5</w:t>
      </w:r>
      <w:r>
        <w:rPr>
          <w:rFonts w:ascii="Arial" w:cs="Arial" w:eastAsia="Arial" w:hAnsi="Arial"/>
          <w:sz w:val="22"/>
          <w:szCs w:val="22"/>
          <w:color w:val="auto"/>
        </w:rPr>
        <w:t xml:space="preserve"> in which the Series B Holders are entitled to vote as a class (whether separately or together with the holders of any Parity Securities), such Series B Holders shall be entitled to one vote per Series B Preference Unit. Any Series B Preference Units held by the Partnership or any of its subsidiaries or Affiliates shall not be entitled to vote.</w:t>
      </w:r>
    </w:p>
    <w:p>
      <w:pPr>
        <w:spacing w:after="0" w:line="212"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17.6.</w:t>
      </w:r>
      <w:r>
        <w:rPr>
          <w:sz w:val="20"/>
          <w:szCs w:val="20"/>
          <w:color w:val="auto"/>
        </w:rPr>
        <w:tab/>
      </w:r>
      <w:r>
        <w:rPr>
          <w:rFonts w:ascii="Arial" w:cs="Arial" w:eastAsia="Arial" w:hAnsi="Arial"/>
          <w:sz w:val="19"/>
          <w:szCs w:val="19"/>
          <w:i w:val="1"/>
          <w:iCs w:val="1"/>
          <w:color w:val="auto"/>
        </w:rPr>
        <w:t>Optional Redemption</w:t>
      </w:r>
      <w:r>
        <w:rPr>
          <w:rFonts w:ascii="Arial" w:cs="Arial" w:eastAsia="Arial" w:hAnsi="Arial"/>
          <w:sz w:val="19"/>
          <w:szCs w:val="19"/>
          <w:color w:val="auto"/>
        </w:rPr>
        <w:t>.</w:t>
      </w:r>
    </w:p>
    <w:p>
      <w:pPr>
        <w:spacing w:after="0" w:line="233" w:lineRule="exact"/>
        <w:rPr>
          <w:sz w:val="20"/>
          <w:szCs w:val="20"/>
          <w:color w:val="auto"/>
        </w:rPr>
      </w:pPr>
    </w:p>
    <w:p>
      <w:pPr>
        <w:ind w:right="40" w:firstLine="1296"/>
        <w:spacing w:after="0" w:line="257" w:lineRule="auto"/>
        <w:rPr>
          <w:sz w:val="20"/>
          <w:szCs w:val="20"/>
          <w:color w:val="auto"/>
        </w:rPr>
      </w:pPr>
      <w:r>
        <w:rPr>
          <w:rFonts w:ascii="Arial" w:cs="Arial" w:eastAsia="Arial" w:hAnsi="Arial"/>
          <w:sz w:val="21"/>
          <w:szCs w:val="21"/>
          <w:color w:val="auto"/>
        </w:rPr>
        <w:t>The Partnership shall have the right at any time, and from time to time, on or after March 15, 2023 to redeem the Series B Preference Units, in whole or in part, from any source of funds legally available for such purpose. Any such redemption shall occur on a date set by the Board of Directors (the “</w:t>
      </w:r>
      <w:r>
        <w:rPr>
          <w:rFonts w:ascii="Arial" w:cs="Arial" w:eastAsia="Arial" w:hAnsi="Arial"/>
          <w:sz w:val="21"/>
          <w:szCs w:val="21"/>
          <w:b w:val="1"/>
          <w:bCs w:val="1"/>
          <w:i w:val="1"/>
          <w:iCs w:val="1"/>
          <w:color w:val="auto"/>
        </w:rPr>
        <w:t>Series B Redemption Date</w:t>
      </w:r>
      <w:r>
        <w:rPr>
          <w:rFonts w:ascii="Arial" w:cs="Arial" w:eastAsia="Arial" w:hAnsi="Arial"/>
          <w:sz w:val="21"/>
          <w:szCs w:val="21"/>
          <w:color w:val="auto"/>
        </w:rPr>
        <w:t>”).</w:t>
      </w:r>
    </w:p>
    <w:p>
      <w:pPr>
        <w:spacing w:after="0" w:line="196" w:lineRule="exact"/>
        <w:rPr>
          <w:sz w:val="20"/>
          <w:szCs w:val="20"/>
          <w:color w:val="auto"/>
        </w:rPr>
      </w:pPr>
    </w:p>
    <w:p>
      <w:pPr>
        <w:jc w:val="both"/>
        <w:ind w:right="40" w:firstLine="1304"/>
        <w:spacing w:after="0" w:line="287" w:lineRule="auto"/>
        <w:tabs>
          <w:tab w:leader="none" w:pos="2076" w:val="left"/>
        </w:tabs>
        <w:numPr>
          <w:ilvl w:val="0"/>
          <w:numId w:val="96"/>
        </w:numPr>
        <w:rPr>
          <w:rFonts w:ascii="Arial" w:cs="Arial" w:eastAsia="Arial" w:hAnsi="Arial"/>
          <w:sz w:val="19"/>
          <w:szCs w:val="19"/>
          <w:color w:val="auto"/>
        </w:rPr>
      </w:pPr>
      <w:r>
        <w:rPr>
          <w:rFonts w:ascii="Arial" w:cs="Arial" w:eastAsia="Arial" w:hAnsi="Arial"/>
          <w:sz w:val="19"/>
          <w:szCs w:val="19"/>
          <w:color w:val="auto"/>
        </w:rPr>
        <w:t>The Partnership shall effect any such redemption by paying cash for each Series B Preference Unit to be redeemed equal to the Series B Liquidation Preference for such Series B Preference Unit on such Series B Redemption Date (the “</w:t>
      </w:r>
      <w:r>
        <w:rPr>
          <w:rFonts w:ascii="Arial" w:cs="Arial" w:eastAsia="Arial" w:hAnsi="Arial"/>
          <w:sz w:val="19"/>
          <w:szCs w:val="19"/>
          <w:b w:val="1"/>
          <w:bCs w:val="1"/>
          <w:i w:val="1"/>
          <w:iCs w:val="1"/>
          <w:color w:val="auto"/>
        </w:rPr>
        <w:t>Series B Redemption Price</w:t>
      </w:r>
      <w:r>
        <w:rPr>
          <w:rFonts w:ascii="Arial" w:cs="Arial" w:eastAsia="Arial" w:hAnsi="Arial"/>
          <w:sz w:val="19"/>
          <w:szCs w:val="19"/>
          <w:color w:val="auto"/>
        </w:rPr>
        <w:t>”). So long as the Series B Preference Units to be redeemed are held of record by the nominee of the Depositary, the Series B Redemption Price shall be paid by the Paying Agent to the Depositary on the Series B Redemption Date.</w:t>
      </w:r>
    </w:p>
    <w:p>
      <w:pPr>
        <w:spacing w:after="0" w:line="169" w:lineRule="exact"/>
        <w:rPr>
          <w:rFonts w:ascii="Arial" w:cs="Arial" w:eastAsia="Arial" w:hAnsi="Arial"/>
          <w:sz w:val="19"/>
          <w:szCs w:val="19"/>
          <w:color w:val="auto"/>
        </w:rPr>
      </w:pPr>
    </w:p>
    <w:p>
      <w:pPr>
        <w:ind w:right="220" w:firstLine="1304"/>
        <w:spacing w:after="0" w:line="245" w:lineRule="auto"/>
        <w:tabs>
          <w:tab w:leader="none" w:pos="2088"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The Partnership shall give notice of any redemption by mail, postage prepaid, not less than 30 days and not more than 60 days before the scheduled Series B Redemption Date to the Series B Holders (as of 5:00 p.m. New York City time on the Business Day next preceding the day on which notice is given) of any Series B Preference Units to be redeemed as such Series B Holders’ names appear on the books of the Transfer Agent and at the address of such Series B Holders shown therein. Such notice (the “</w:t>
      </w:r>
      <w:r>
        <w:rPr>
          <w:rFonts w:ascii="Arial" w:cs="Arial" w:eastAsia="Arial" w:hAnsi="Arial"/>
          <w:sz w:val="21"/>
          <w:szCs w:val="21"/>
          <w:b w:val="1"/>
          <w:bCs w:val="1"/>
          <w:i w:val="1"/>
          <w:iCs w:val="1"/>
          <w:color w:val="auto"/>
        </w:rPr>
        <w:t>Series B Redemption Notice</w:t>
      </w:r>
      <w:r>
        <w:rPr>
          <w:rFonts w:ascii="Arial" w:cs="Arial" w:eastAsia="Arial" w:hAnsi="Arial"/>
          <w:sz w:val="21"/>
          <w:szCs w:val="21"/>
          <w:color w:val="auto"/>
        </w:rPr>
        <w:t>”) shall state, as applicable: (1) the Series B Redemption Date, (2) the number of Series B Preference Units to be redeemed and, if less than all Outstanding Series B Preference Units are to be redeemed, the number (and the identification) of Units to be redeemed from such Series B Holder, (3) the Series B Redemption Price, (4) the place where the Series B Preference Units are to be redeemed and shall be presented and surrendered for payment of the Series B Redemption</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1" w:name="page82"/>
    <w:bookmarkEnd w:id="81"/>
    <w:p>
      <w:pPr>
        <w:ind w:right="580"/>
        <w:spacing w:after="0" w:line="250" w:lineRule="auto"/>
        <w:rPr>
          <w:sz w:val="20"/>
          <w:szCs w:val="20"/>
          <w:color w:val="auto"/>
        </w:rPr>
      </w:pPr>
      <w:r>
        <w:rPr>
          <w:rFonts w:ascii="Arial" w:cs="Arial" w:eastAsia="Arial" w:hAnsi="Arial"/>
          <w:sz w:val="22"/>
          <w:szCs w:val="22"/>
          <w:color w:val="auto"/>
        </w:rPr>
        <w:t>Price therefor and (5) that distributions on the Units to be redeemed shall cease to accumulate from and after such Series B Redemption Date.</w:t>
      </w:r>
    </w:p>
    <w:p>
      <w:pPr>
        <w:spacing w:after="0" w:line="202" w:lineRule="exact"/>
        <w:rPr>
          <w:sz w:val="20"/>
          <w:szCs w:val="20"/>
          <w:color w:val="auto"/>
        </w:rPr>
      </w:pPr>
    </w:p>
    <w:p>
      <w:pPr>
        <w:ind w:right="60" w:firstLine="1304"/>
        <w:spacing w:after="0" w:line="246" w:lineRule="auto"/>
        <w:tabs>
          <w:tab w:leader="none" w:pos="2076" w:val="left"/>
        </w:tabs>
        <w:numPr>
          <w:ilvl w:val="0"/>
          <w:numId w:val="97"/>
        </w:numPr>
        <w:rPr>
          <w:rFonts w:ascii="Arial" w:cs="Arial" w:eastAsia="Arial" w:hAnsi="Arial"/>
          <w:sz w:val="21"/>
          <w:szCs w:val="21"/>
          <w:color w:val="auto"/>
        </w:rPr>
      </w:pPr>
      <w:r>
        <w:rPr>
          <w:rFonts w:ascii="Arial" w:cs="Arial" w:eastAsia="Arial" w:hAnsi="Arial"/>
          <w:sz w:val="21"/>
          <w:szCs w:val="21"/>
          <w:color w:val="auto"/>
        </w:rPr>
        <w:t xml:space="preserve">If the Partnership elects to redeem less than all of the Outstanding Series B Preference Units, the number of Series B Preference Units to be redeemed shall be determined by the Board of Directors, and such Series B Preference Units shall be redeemed by such method of selection as the Depositary shall determine either Pro Rata or by lot, with adjustments to avoid redemption of fractional Series B Preference Units. The aggregate Series B Redemption Price for any such partial redemption of the Outstanding Series B Preference Units shall be allocated correspondingly among the redeemed Series B Preference Units. The Series B Preference Units not redeemed shall remain Outstanding and entitled to all the rights and preferences provided in this </w:t>
      </w:r>
      <w:r>
        <w:rPr>
          <w:rFonts w:ascii="Arial" w:cs="Arial" w:eastAsia="Arial" w:hAnsi="Arial"/>
          <w:sz w:val="21"/>
          <w:szCs w:val="21"/>
          <w:u w:val="single" w:color="auto"/>
          <w:color w:val="auto"/>
        </w:rPr>
        <w:t>Article XVII</w:t>
      </w:r>
      <w:r>
        <w:rPr>
          <w:rFonts w:ascii="Arial" w:cs="Arial" w:eastAsia="Arial" w:hAnsi="Arial"/>
          <w:sz w:val="21"/>
          <w:szCs w:val="21"/>
          <w:color w:val="auto"/>
        </w:rPr>
        <w:t>.</w:t>
      </w:r>
    </w:p>
    <w:p>
      <w:pPr>
        <w:spacing w:after="0" w:line="211" w:lineRule="exact"/>
        <w:rPr>
          <w:rFonts w:ascii="Arial" w:cs="Arial" w:eastAsia="Arial" w:hAnsi="Arial"/>
          <w:sz w:val="21"/>
          <w:szCs w:val="21"/>
          <w:color w:val="auto"/>
        </w:rPr>
      </w:pPr>
    </w:p>
    <w:p>
      <w:pPr>
        <w:ind w:firstLine="1304"/>
        <w:spacing w:after="0" w:line="269" w:lineRule="auto"/>
        <w:tabs>
          <w:tab w:leader="none" w:pos="2088" w:val="left"/>
        </w:tabs>
        <w:numPr>
          <w:ilvl w:val="0"/>
          <w:numId w:val="97"/>
        </w:numPr>
        <w:rPr>
          <w:rFonts w:ascii="Arial" w:cs="Arial" w:eastAsia="Arial" w:hAnsi="Arial"/>
          <w:sz w:val="19"/>
          <w:szCs w:val="19"/>
          <w:color w:val="auto"/>
        </w:rPr>
      </w:pPr>
      <w:r>
        <w:rPr>
          <w:rFonts w:ascii="Arial" w:cs="Arial" w:eastAsia="Arial" w:hAnsi="Arial"/>
          <w:sz w:val="19"/>
          <w:szCs w:val="19"/>
          <w:color w:val="auto"/>
        </w:rPr>
        <w:t>If the Partnership gives or causes to be given a Series B Redemption Notice, the Partnership shall deposit with the Paying Agent funds, sufficient to redeem the Series B Preference Units, as to which such Series B Redemption Notice shall have been given, no later than 5:00 p.m. New York City time on the Business Day immediately preceding the Series B Redemption Date, and shall give the Paying Agent irrevocable instructions and authority to pay the Series B Redemption Price to the Series B Holders to be redeemed upon surrender or deemed surrender (which shall occur automatically if the Certificate representing such Series B Preference Units is issued in the name of the Depositary or its nominee) of the Certificates therefor as set forth in the Series B Redemption Notice. If the Series B Redemption Notice shall have been given, from and after the Series B Redemption Date, unless the Partnership defaults in providing funds sufficient for such redemption at the time and place specified for payment pursuant to the Series B Redemption Notice, all Series B Distributions on such Series B Preference Units to be redeemed shall cease to accumulate and all rights of holders of such Series B Preference Units as Limited Partners with respect to such Series B Preference Units to be redeemed shall cease, except the right to receive the Series B Redemption Price, and such Series B Preference Units shall not thereafter be transferred on the books of the Transfer Agent or be deemed to be Outstanding for any purpose whatsoever. The Partnership shall be entitled to receive from the Paying Agent the interest income, if any, earned on such funds deposited with the Paying Agent (to the extent that such interest income is not required to pay the Series B Redemption Price of the Series B Preference Units to be redeemed), and the holders of any Series B Preference Units so redeemed shall have no claim to any such interest income. Any funds deposited with the Paying Agent hereunder by the Partnership for any reason, including redemption of Series B Preference Units, that remain unclaimed or unpaid after two years after the applicable Series B Redemption Date or other payment date, as applicable, shall be, to the extent permitted by law, repaid to the Partnership upon its written request, after which repayment the Series B Holders entitled to such redemption or other payment shall have recourse only to the Partnership. Notwithstanding any Series B Redemption Notice, there shall be no redemption of any Series B Preference Units called for redemption until funds sufficient to pay the full Series B Redemption Price of such Series B Preference Units shall have been deposited by the Partnership with the Paying Agent.</w:t>
      </w:r>
    </w:p>
    <w:p>
      <w:pPr>
        <w:spacing w:after="0" w:line="201" w:lineRule="exact"/>
        <w:rPr>
          <w:rFonts w:ascii="Arial" w:cs="Arial" w:eastAsia="Arial" w:hAnsi="Arial"/>
          <w:sz w:val="19"/>
          <w:szCs w:val="19"/>
          <w:color w:val="auto"/>
        </w:rPr>
      </w:pPr>
    </w:p>
    <w:p>
      <w:pPr>
        <w:ind w:right="240" w:firstLine="1304"/>
        <w:spacing w:after="0"/>
        <w:tabs>
          <w:tab w:leader="none" w:pos="2076" w:val="left"/>
        </w:tabs>
        <w:numPr>
          <w:ilvl w:val="0"/>
          <w:numId w:val="97"/>
        </w:numPr>
        <w:rPr>
          <w:rFonts w:ascii="Arial" w:cs="Arial" w:eastAsia="Arial" w:hAnsi="Arial"/>
          <w:sz w:val="22"/>
          <w:szCs w:val="22"/>
          <w:color w:val="auto"/>
        </w:rPr>
      </w:pPr>
      <w:r>
        <w:rPr>
          <w:rFonts w:ascii="Arial" w:cs="Arial" w:eastAsia="Arial" w:hAnsi="Arial"/>
          <w:sz w:val="22"/>
          <w:szCs w:val="22"/>
          <w:color w:val="auto"/>
        </w:rPr>
        <w:t>Any Series B Preference Units that are redeemed or otherwise acquired by the Partnership shall be canceled. If only a portion of the Series B Preference Units represented by a Certificate shall have been called for redemption, upon surrender of the Certificate to the</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82" w:name="page83"/>
    <w:bookmarkEnd w:id="82"/>
    <w:p>
      <w:pPr>
        <w:ind w:right="200"/>
        <w:spacing w:after="0" w:line="238" w:lineRule="auto"/>
        <w:rPr>
          <w:sz w:val="20"/>
          <w:szCs w:val="20"/>
          <w:color w:val="auto"/>
        </w:rPr>
      </w:pPr>
      <w:r>
        <w:rPr>
          <w:rFonts w:ascii="Arial" w:cs="Arial" w:eastAsia="Arial" w:hAnsi="Arial"/>
          <w:sz w:val="22"/>
          <w:szCs w:val="22"/>
          <w:color w:val="auto"/>
        </w:rPr>
        <w:t>Paying Agent (which shall occur automatically if the Certificate representing such Series B Preference Units is registered in the name of the Depositary or its nominee), the Paying Agent shall issue to the Series B Holders a new Certificate (or adjust the applicable book-entry account) representing the number of Series B Preference Units represented by the surrendered Certificate that have not been called for redemption.</w:t>
      </w:r>
    </w:p>
    <w:p>
      <w:pPr>
        <w:spacing w:after="0" w:line="212" w:lineRule="exact"/>
        <w:rPr>
          <w:sz w:val="20"/>
          <w:szCs w:val="20"/>
          <w:color w:val="auto"/>
        </w:rPr>
      </w:pPr>
    </w:p>
    <w:p>
      <w:pPr>
        <w:ind w:right="80" w:firstLine="1304"/>
        <w:spacing w:after="0" w:line="245" w:lineRule="auto"/>
        <w:tabs>
          <w:tab w:leader="none" w:pos="2052" w:val="left"/>
        </w:tabs>
        <w:numPr>
          <w:ilvl w:val="0"/>
          <w:numId w:val="98"/>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Article XVII</w:t>
      </w:r>
      <w:r>
        <w:rPr>
          <w:rFonts w:ascii="Arial" w:cs="Arial" w:eastAsia="Arial" w:hAnsi="Arial"/>
          <w:sz w:val="21"/>
          <w:szCs w:val="21"/>
          <w:color w:val="auto"/>
        </w:rPr>
        <w:t>, in the event that full cumulative distributions on the Series B Preference Units and any other Parity Securities shall not have been paid or declared and set apart for payment, none of the Partnership, the General Partner or any Affiliate of the General Partner shall be permitted to repurchase, redeem or otherwise acquire, in whole or in part, any Series B Preference Units or other Parity Securities except pursuant to a purchase or exchange offer made on the same terms to all Series B Holders and holders of any other Parity Securities. None of the Partnership, the General Partner or any Affiliate of the General Partner shall be permitted to redeem, repurchase or otherwise acquire any Common Units or any other Junior Securities unless full cumulative distributions on the Series B Preference Units and any other Parity Securities for all prior and the then-ending Series B Distribution Periods shall have been paid or declared and set apart for payment.</w:t>
      </w:r>
    </w:p>
    <w:p>
      <w:pPr>
        <w:spacing w:after="0" w:line="211"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17.7.</w:t>
      </w:r>
      <w:r>
        <w:rPr>
          <w:sz w:val="20"/>
          <w:szCs w:val="20"/>
          <w:color w:val="auto"/>
        </w:rPr>
        <w:tab/>
      </w:r>
      <w:r>
        <w:rPr>
          <w:rFonts w:ascii="Arial" w:cs="Arial" w:eastAsia="Arial" w:hAnsi="Arial"/>
          <w:sz w:val="19"/>
          <w:szCs w:val="19"/>
          <w:i w:val="1"/>
          <w:iCs w:val="1"/>
          <w:color w:val="auto"/>
        </w:rPr>
        <w:t>Rank</w:t>
      </w:r>
      <w:r>
        <w:rPr>
          <w:rFonts w:ascii="Arial" w:cs="Arial" w:eastAsia="Arial" w:hAnsi="Arial"/>
          <w:sz w:val="19"/>
          <w:szCs w:val="19"/>
          <w:color w:val="auto"/>
        </w:rPr>
        <w:t>. The Series B Preference Units shall each be deemed to rank:</w:t>
      </w:r>
    </w:p>
    <w:p>
      <w:pPr>
        <w:spacing w:after="0" w:line="233" w:lineRule="exact"/>
        <w:rPr>
          <w:sz w:val="20"/>
          <w:szCs w:val="20"/>
          <w:color w:val="auto"/>
        </w:rPr>
      </w:pPr>
    </w:p>
    <w:p>
      <w:pPr>
        <w:ind w:left="2080" w:hanging="776"/>
        <w:spacing w:after="0"/>
        <w:tabs>
          <w:tab w:leader="none" w:pos="20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senior to any Junior Securities;</w:t>
      </w:r>
    </w:p>
    <w:p>
      <w:pPr>
        <w:spacing w:after="0" w:line="233" w:lineRule="exact"/>
        <w:rPr>
          <w:rFonts w:ascii="Arial" w:cs="Arial" w:eastAsia="Arial" w:hAnsi="Arial"/>
          <w:sz w:val="22"/>
          <w:szCs w:val="22"/>
          <w:color w:val="auto"/>
        </w:rPr>
      </w:pPr>
    </w:p>
    <w:p>
      <w:pPr>
        <w:ind w:left="2100" w:hanging="796"/>
        <w:spacing w:after="0"/>
        <w:tabs>
          <w:tab w:leader="none" w:pos="2100" w:val="left"/>
        </w:tabs>
        <w:numPr>
          <w:ilvl w:val="0"/>
          <w:numId w:val="99"/>
        </w:numPr>
        <w:rPr>
          <w:rFonts w:ascii="Arial" w:cs="Arial" w:eastAsia="Arial" w:hAnsi="Arial"/>
          <w:sz w:val="22"/>
          <w:szCs w:val="22"/>
          <w:color w:val="auto"/>
        </w:rPr>
      </w:pPr>
      <w:r>
        <w:rPr>
          <w:rFonts w:ascii="Arial" w:cs="Arial" w:eastAsia="Arial" w:hAnsi="Arial"/>
          <w:sz w:val="22"/>
          <w:szCs w:val="22"/>
          <w:color w:val="auto"/>
        </w:rPr>
        <w:t>on a parity with any Parity Securities; and</w:t>
      </w:r>
    </w:p>
    <w:p>
      <w:pPr>
        <w:spacing w:after="0" w:line="233" w:lineRule="exact"/>
        <w:rPr>
          <w:rFonts w:ascii="Arial" w:cs="Arial" w:eastAsia="Arial" w:hAnsi="Arial"/>
          <w:sz w:val="22"/>
          <w:szCs w:val="22"/>
          <w:color w:val="auto"/>
        </w:rPr>
      </w:pPr>
    </w:p>
    <w:p>
      <w:pPr>
        <w:ind w:left="2080" w:hanging="776"/>
        <w:spacing w:after="0"/>
        <w:tabs>
          <w:tab w:leader="none" w:pos="20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junior to any Senior Securities.</w:t>
      </w:r>
    </w:p>
    <w:p>
      <w:pPr>
        <w:spacing w:after="0" w:line="233" w:lineRule="exact"/>
        <w:rPr>
          <w:sz w:val="20"/>
          <w:szCs w:val="20"/>
          <w:color w:val="auto"/>
        </w:rPr>
      </w:pPr>
    </w:p>
    <w:p>
      <w:pPr>
        <w:ind w:right="20" w:firstLine="1296"/>
        <w:spacing w:after="0" w:line="282" w:lineRule="auto"/>
        <w:rPr>
          <w:sz w:val="20"/>
          <w:szCs w:val="20"/>
          <w:color w:val="auto"/>
        </w:rPr>
      </w:pPr>
      <w:r>
        <w:rPr>
          <w:rFonts w:ascii="Arial" w:cs="Arial" w:eastAsia="Arial" w:hAnsi="Arial"/>
          <w:sz w:val="19"/>
          <w:szCs w:val="19"/>
          <w:color w:val="auto"/>
        </w:rPr>
        <w:t xml:space="preserve">The Partnership may issue Junior Securities and, subject to any approvals required by Series A Holders pursuant to </w:t>
      </w:r>
      <w:r>
        <w:rPr>
          <w:rFonts w:ascii="Arial" w:cs="Arial" w:eastAsia="Arial" w:hAnsi="Arial"/>
          <w:sz w:val="19"/>
          <w:szCs w:val="19"/>
          <w:u w:val="single" w:color="auto"/>
          <w:color w:val="auto"/>
        </w:rPr>
        <w:t>Section 16.5(c)(ii)</w:t>
      </w:r>
      <w:r>
        <w:rPr>
          <w:rFonts w:ascii="Arial" w:cs="Arial" w:eastAsia="Arial" w:hAnsi="Arial"/>
          <w:sz w:val="19"/>
          <w:szCs w:val="19"/>
          <w:color w:val="auto"/>
        </w:rPr>
        <w:t xml:space="preserve">, Series B Holders pursuant to </w:t>
      </w:r>
      <w:r>
        <w:rPr>
          <w:rFonts w:ascii="Arial" w:cs="Arial" w:eastAsia="Arial" w:hAnsi="Arial"/>
          <w:sz w:val="19"/>
          <w:szCs w:val="19"/>
          <w:u w:val="single" w:color="auto"/>
          <w:color w:val="auto"/>
        </w:rPr>
        <w:t>Section 17.5(c)(ii)</w:t>
      </w:r>
      <w:r>
        <w:rPr>
          <w:rFonts w:ascii="Arial" w:cs="Arial" w:eastAsia="Arial" w:hAnsi="Arial"/>
          <w:sz w:val="19"/>
          <w:szCs w:val="19"/>
          <w:color w:val="auto"/>
        </w:rPr>
        <w:t xml:space="preserve"> and Series C Holders pursuant to </w:t>
      </w:r>
      <w:r>
        <w:rPr>
          <w:rFonts w:ascii="Arial" w:cs="Arial" w:eastAsia="Arial" w:hAnsi="Arial"/>
          <w:sz w:val="19"/>
          <w:szCs w:val="19"/>
          <w:u w:val="single" w:color="auto"/>
          <w:color w:val="auto"/>
        </w:rPr>
        <w:t>Section 18.5(c)(ii)</w:t>
      </w:r>
      <w:r>
        <w:rPr>
          <w:rFonts w:ascii="Arial" w:cs="Arial" w:eastAsia="Arial" w:hAnsi="Arial"/>
          <w:sz w:val="19"/>
          <w:szCs w:val="19"/>
          <w:color w:val="auto"/>
        </w:rPr>
        <w:t>, Parity Securities from time to time in one or more classes or series without the consent of the Series B Holders. The Board of Directors has the authority to determine the preferences, powers, qualifications, limitations, restrictions and special or relative rights or privileges, if any, of any such class or series before the issuance of any Partnership Interests of such class or series.</w:t>
      </w:r>
    </w:p>
    <w:p>
      <w:pPr>
        <w:spacing w:after="0" w:line="174" w:lineRule="exact"/>
        <w:rPr>
          <w:sz w:val="20"/>
          <w:szCs w:val="20"/>
          <w:color w:val="auto"/>
        </w:rPr>
      </w:pPr>
    </w:p>
    <w:p>
      <w:pPr>
        <w:jc w:val="right"/>
        <w:spacing w:after="0"/>
        <w:tabs>
          <w:tab w:leader="none" w:pos="8240" w:val="left"/>
        </w:tabs>
        <w:rPr>
          <w:sz w:val="20"/>
          <w:szCs w:val="20"/>
          <w:color w:val="auto"/>
        </w:rPr>
      </w:pPr>
      <w:r>
        <w:rPr>
          <w:rFonts w:ascii="Arial" w:cs="Arial" w:eastAsia="Arial" w:hAnsi="Arial"/>
          <w:sz w:val="22"/>
          <w:szCs w:val="22"/>
          <w:color w:val="auto"/>
        </w:rPr>
        <w:t>Section 17.8.</w:t>
      </w:r>
      <w:r>
        <w:rPr>
          <w:sz w:val="20"/>
          <w:szCs w:val="20"/>
          <w:color w:val="auto"/>
        </w:rPr>
        <w:tab/>
      </w:r>
      <w:r>
        <w:rPr>
          <w:rFonts w:ascii="Arial" w:cs="Arial" w:eastAsia="Arial" w:hAnsi="Arial"/>
          <w:sz w:val="19"/>
          <w:szCs w:val="19"/>
          <w:i w:val="1"/>
          <w:iCs w:val="1"/>
          <w:color w:val="auto"/>
        </w:rPr>
        <w:t>No Sinking Fund</w:t>
      </w:r>
      <w:r>
        <w:rPr>
          <w:rFonts w:ascii="Arial" w:cs="Arial" w:eastAsia="Arial" w:hAnsi="Arial"/>
          <w:sz w:val="19"/>
          <w:szCs w:val="19"/>
          <w:color w:val="auto"/>
        </w:rPr>
        <w:t>. The Series B Preference Units shall not have the benefit of any sinking fund.</w:t>
      </w:r>
    </w:p>
    <w:p>
      <w:pPr>
        <w:spacing w:after="0" w:line="233" w:lineRule="exact"/>
        <w:rPr>
          <w:sz w:val="20"/>
          <w:szCs w:val="20"/>
          <w:color w:val="auto"/>
        </w:rPr>
      </w:pPr>
    </w:p>
    <w:p>
      <w:pPr>
        <w:ind w:right="340" w:firstLine="1296"/>
        <w:spacing w:after="0" w:line="252" w:lineRule="auto"/>
        <w:rPr>
          <w:sz w:val="20"/>
          <w:szCs w:val="20"/>
          <w:color w:val="auto"/>
        </w:rPr>
      </w:pPr>
      <w:r>
        <w:rPr>
          <w:rFonts w:ascii="Arial" w:cs="Arial" w:eastAsia="Arial" w:hAnsi="Arial"/>
          <w:sz w:val="21"/>
          <w:szCs w:val="21"/>
          <w:color w:val="auto"/>
        </w:rPr>
        <w:t xml:space="preserve">Section 17.9. </w:t>
      </w:r>
      <w:r>
        <w:rPr>
          <w:rFonts w:ascii="Arial" w:cs="Arial" w:eastAsia="Arial" w:hAnsi="Arial"/>
          <w:sz w:val="21"/>
          <w:szCs w:val="21"/>
          <w:i w:val="1"/>
          <w:iCs w:val="1"/>
          <w:color w:val="auto"/>
        </w:rPr>
        <w:t>Record Holders</w:t>
      </w:r>
      <w:r>
        <w:rPr>
          <w:rFonts w:ascii="Arial" w:cs="Arial" w:eastAsia="Arial" w:hAnsi="Arial"/>
          <w:sz w:val="21"/>
          <w:szCs w:val="21"/>
          <w:color w:val="auto"/>
        </w:rPr>
        <w:t>. To the fullest extent permitted by applicable law, the General Partner, Partnership, the Transfer Agent and the Paying Agent may deem and treat any Series B Holder as the true, lawful and absolute owner of the applicable Series B Preference Units for all purposes, and neither the General Partner, the Partnership nor the Transfer Agent or the Paying Agent shall be affected by any notice to the contrary.</w:t>
      </w:r>
    </w:p>
    <w:p>
      <w:pPr>
        <w:spacing w:after="0" w:line="201" w:lineRule="exact"/>
        <w:rPr>
          <w:sz w:val="20"/>
          <w:szCs w:val="20"/>
          <w:color w:val="auto"/>
        </w:rPr>
      </w:pPr>
    </w:p>
    <w:p>
      <w:pPr>
        <w:ind w:right="260" w:firstLine="1296"/>
        <w:spacing w:after="0"/>
        <w:rPr>
          <w:sz w:val="20"/>
          <w:szCs w:val="20"/>
          <w:color w:val="auto"/>
        </w:rPr>
      </w:pPr>
      <w:r>
        <w:rPr>
          <w:rFonts w:ascii="Arial" w:cs="Arial" w:eastAsia="Arial" w:hAnsi="Arial"/>
          <w:sz w:val="22"/>
          <w:szCs w:val="22"/>
          <w:color w:val="auto"/>
        </w:rPr>
        <w:t xml:space="preserve">Section 17.10. </w:t>
      </w:r>
      <w:r>
        <w:rPr>
          <w:rFonts w:ascii="Arial" w:cs="Arial" w:eastAsia="Arial" w:hAnsi="Arial"/>
          <w:sz w:val="22"/>
          <w:szCs w:val="22"/>
          <w:i w:val="1"/>
          <w:iCs w:val="1"/>
          <w:color w:val="auto"/>
        </w:rPr>
        <w:t>Notices</w:t>
      </w:r>
      <w:r>
        <w:rPr>
          <w:rFonts w:ascii="Arial" w:cs="Arial" w:eastAsia="Arial" w:hAnsi="Arial"/>
          <w:sz w:val="22"/>
          <w:szCs w:val="22"/>
          <w:color w:val="auto"/>
        </w:rPr>
        <w:t xml:space="preserve">. All notices or communications in respect of the Series B Preference Units shall be sufficiently given if given in writing and delivered in person or by first class mail, postage prepaid, or if given in such other manner as may be permitted in this </w:t>
      </w:r>
      <w:r>
        <w:rPr>
          <w:rFonts w:ascii="Arial" w:cs="Arial" w:eastAsia="Arial" w:hAnsi="Arial"/>
          <w:sz w:val="22"/>
          <w:szCs w:val="22"/>
          <w:u w:val="single" w:color="auto"/>
          <w:color w:val="auto"/>
        </w:rPr>
        <w:t>Article XVII</w:t>
      </w:r>
      <w:r>
        <w:rPr>
          <w:rFonts w:ascii="Arial" w:cs="Arial" w:eastAsia="Arial" w:hAnsi="Arial"/>
          <w:sz w:val="22"/>
          <w:szCs w:val="22"/>
          <w:color w:val="auto"/>
        </w:rPr>
        <w:t>, this Agreement or by applicable law.</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3" w:name="page84"/>
    <w:bookmarkEnd w:id="83"/>
    <w:p>
      <w:pPr>
        <w:ind w:right="60" w:firstLine="1296"/>
        <w:spacing w:after="0" w:line="235" w:lineRule="auto"/>
        <w:rPr>
          <w:sz w:val="20"/>
          <w:szCs w:val="20"/>
          <w:color w:val="auto"/>
        </w:rPr>
      </w:pPr>
      <w:r>
        <w:rPr>
          <w:rFonts w:ascii="Arial" w:cs="Arial" w:eastAsia="Arial" w:hAnsi="Arial"/>
          <w:sz w:val="22"/>
          <w:szCs w:val="22"/>
          <w:color w:val="auto"/>
        </w:rPr>
        <w:t xml:space="preserve">Section 17.11. </w:t>
      </w:r>
      <w:r>
        <w:rPr>
          <w:rFonts w:ascii="Arial" w:cs="Arial" w:eastAsia="Arial" w:hAnsi="Arial"/>
          <w:sz w:val="22"/>
          <w:szCs w:val="22"/>
          <w:i w:val="1"/>
          <w:iCs w:val="1"/>
          <w:color w:val="auto"/>
        </w:rPr>
        <w:t>Other Rights; Fiduciary Duties</w:t>
      </w:r>
      <w:r>
        <w:rPr>
          <w:rFonts w:ascii="Arial" w:cs="Arial" w:eastAsia="Arial" w:hAnsi="Arial"/>
          <w:sz w:val="22"/>
          <w:szCs w:val="22"/>
          <w:color w:val="auto"/>
        </w:rPr>
        <w:t xml:space="preserve">. The Series B Preference Units shall not have any voting powers, preferences or relative, participating, optional or other special rights, or qualifications, limitations or restrictions thereof, other than as set forth in this </w:t>
      </w:r>
      <w:r>
        <w:rPr>
          <w:rFonts w:ascii="Arial" w:cs="Arial" w:eastAsia="Arial" w:hAnsi="Arial"/>
          <w:sz w:val="22"/>
          <w:szCs w:val="22"/>
          <w:u w:val="single" w:color="auto"/>
          <w:color w:val="auto"/>
        </w:rPr>
        <w:t>Article XVII</w:t>
      </w:r>
      <w:r>
        <w:rPr>
          <w:rFonts w:ascii="Arial" w:cs="Arial" w:eastAsia="Arial" w:hAnsi="Arial"/>
          <w:sz w:val="22"/>
          <w:szCs w:val="22"/>
          <w:color w:val="auto"/>
        </w:rPr>
        <w:t xml:space="preserve"> or as provided by applicable law. Notwithstanding anything to the contrary in this Agreement, but subject to </w:t>
      </w:r>
      <w:r>
        <w:rPr>
          <w:rFonts w:ascii="Arial" w:cs="Arial" w:eastAsia="Arial" w:hAnsi="Arial"/>
          <w:sz w:val="22"/>
          <w:szCs w:val="22"/>
          <w:u w:val="single" w:color="auto"/>
          <w:color w:val="auto"/>
        </w:rPr>
        <w:t>Section 7.15(c)</w:t>
      </w:r>
      <w:r>
        <w:rPr>
          <w:rFonts w:ascii="Arial" w:cs="Arial" w:eastAsia="Arial" w:hAnsi="Arial"/>
          <w:sz w:val="22"/>
          <w:szCs w:val="22"/>
          <w:color w:val="auto"/>
        </w:rPr>
        <w:t xml:space="preserve"> and without reference to the definition of “good faith” in </w:t>
      </w:r>
      <w:r>
        <w:rPr>
          <w:rFonts w:ascii="Arial" w:cs="Arial" w:eastAsia="Arial" w:hAnsi="Arial"/>
          <w:sz w:val="22"/>
          <w:szCs w:val="22"/>
          <w:u w:val="single" w:color="auto"/>
          <w:color w:val="auto"/>
        </w:rPr>
        <w:t>Section 7.15(b)</w:t>
      </w:r>
      <w:r>
        <w:rPr>
          <w:rFonts w:ascii="Arial" w:cs="Arial" w:eastAsia="Arial" w:hAnsi="Arial"/>
          <w:sz w:val="22"/>
          <w:szCs w:val="22"/>
          <w:color w:val="auto"/>
        </w:rPr>
        <w:t>, neither the General Partner nor any other Indemnitee shall owe any fiduciary duties to Series B Holders, other than the implied duty of good faith and fair dealing.</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XVIII</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SERIES C CUMULATIVE REDEEMABLE PERPETUAL FIXED TO FLOATING RATE PREFERENCE UNITS</w:t>
      </w:r>
    </w:p>
    <w:p>
      <w:pPr>
        <w:spacing w:after="0" w:line="21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9"/>
          <w:szCs w:val="19"/>
          <w:color w:val="auto"/>
        </w:rPr>
        <w:t xml:space="preserve">Section 18.1. </w:t>
      </w:r>
      <w:r>
        <w:rPr>
          <w:rFonts w:ascii="Arial" w:cs="Arial" w:eastAsia="Arial" w:hAnsi="Arial"/>
          <w:sz w:val="19"/>
          <w:szCs w:val="19"/>
          <w:i w:val="1"/>
          <w:iCs w:val="1"/>
          <w:color w:val="auto"/>
        </w:rPr>
        <w:t>Designations</w:t>
      </w:r>
      <w:r>
        <w:rPr>
          <w:rFonts w:ascii="Arial" w:cs="Arial" w:eastAsia="Arial" w:hAnsi="Arial"/>
          <w:sz w:val="19"/>
          <w:szCs w:val="19"/>
          <w:color w:val="auto"/>
        </w:rPr>
        <w:t xml:space="preserve">. On November 15, 2018, the Board of Directors designated and created a series of Preference Units designated as “8.500% Series C Cumulative Redeemable Perpetual Fixed to Floating Rate Preference Units,” and fixed the preferences, rights, powers and duties of the holders of the Series C Preference Units as set forth in this </w:t>
      </w:r>
      <w:r>
        <w:rPr>
          <w:rFonts w:ascii="Arial" w:cs="Arial" w:eastAsia="Arial" w:hAnsi="Arial"/>
          <w:sz w:val="19"/>
          <w:szCs w:val="19"/>
          <w:u w:val="single" w:color="auto"/>
          <w:color w:val="auto"/>
        </w:rPr>
        <w:t>Article</w:t>
      </w:r>
      <w:r>
        <w:rPr>
          <w:rFonts w:ascii="Arial" w:cs="Arial" w:eastAsia="Arial" w:hAnsi="Arial"/>
          <w:sz w:val="19"/>
          <w:szCs w:val="19"/>
          <w:color w:val="auto"/>
        </w:rPr>
        <w:t xml:space="preserve"> </w:t>
      </w:r>
      <w:r>
        <w:rPr>
          <w:rFonts w:ascii="Arial" w:cs="Arial" w:eastAsia="Arial" w:hAnsi="Arial"/>
          <w:sz w:val="19"/>
          <w:szCs w:val="19"/>
          <w:u w:val="single" w:color="auto"/>
          <w:color w:val="auto"/>
        </w:rPr>
        <w:t>XVIII</w:t>
      </w:r>
      <w:r>
        <w:rPr>
          <w:rFonts w:ascii="Arial" w:cs="Arial" w:eastAsia="Arial" w:hAnsi="Arial"/>
          <w:sz w:val="19"/>
          <w:szCs w:val="19"/>
          <w:color w:val="auto"/>
        </w:rPr>
        <w:t>. Each Series C Preference Unit shall be identical in all respects to every other Series C Preference Unit, except as to the respective dates from which the Series C Liquidation Preference shall increase or from which Series C Distributions may begin accruing, to the extent such dates may differ. The Series C Preference Units represent perpetual equity interests in the Partnership and shall not give rise to a claim by the holder for redemption thereof at a particular date.</w:t>
      </w:r>
    </w:p>
    <w:p>
      <w:pPr>
        <w:spacing w:after="0" w:line="179"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18.2.</w:t>
      </w:r>
      <w:r>
        <w:rPr>
          <w:sz w:val="20"/>
          <w:szCs w:val="20"/>
          <w:color w:val="auto"/>
        </w:rPr>
        <w:tab/>
      </w:r>
      <w:r>
        <w:rPr>
          <w:rFonts w:ascii="Arial" w:cs="Arial" w:eastAsia="Arial" w:hAnsi="Arial"/>
          <w:sz w:val="19"/>
          <w:szCs w:val="19"/>
          <w:i w:val="1"/>
          <w:iCs w:val="1"/>
          <w:color w:val="auto"/>
        </w:rPr>
        <w:t>Units</w:t>
      </w:r>
      <w:r>
        <w:rPr>
          <w:rFonts w:ascii="Arial" w:cs="Arial" w:eastAsia="Arial" w:hAnsi="Arial"/>
          <w:sz w:val="19"/>
          <w:szCs w:val="19"/>
          <w:color w:val="auto"/>
        </w:rPr>
        <w:t>.</w:t>
      </w:r>
    </w:p>
    <w:p>
      <w:pPr>
        <w:spacing w:after="0" w:line="233" w:lineRule="exact"/>
        <w:rPr>
          <w:sz w:val="20"/>
          <w:szCs w:val="20"/>
          <w:color w:val="auto"/>
        </w:rPr>
      </w:pPr>
    </w:p>
    <w:p>
      <w:pPr>
        <w:ind w:right="240" w:firstLine="1304"/>
        <w:spacing w:after="0" w:line="250" w:lineRule="auto"/>
        <w:tabs>
          <w:tab w:leader="none" w:pos="2076" w:val="left"/>
        </w:tabs>
        <w:numPr>
          <w:ilvl w:val="0"/>
          <w:numId w:val="100"/>
        </w:numPr>
        <w:rPr>
          <w:rFonts w:ascii="Arial" w:cs="Arial" w:eastAsia="Arial" w:hAnsi="Arial"/>
          <w:sz w:val="22"/>
          <w:szCs w:val="22"/>
          <w:color w:val="auto"/>
        </w:rPr>
      </w:pPr>
      <w:r>
        <w:rPr>
          <w:rFonts w:ascii="Arial" w:cs="Arial" w:eastAsia="Arial" w:hAnsi="Arial"/>
          <w:sz w:val="22"/>
          <w:szCs w:val="22"/>
          <w:color w:val="auto"/>
        </w:rPr>
        <w:t>The authorized number of Series C Preference Units shall be unlimited. Series C Preference Units that are purchased or otherwise acquired by the Partnership shall be cancelled.</w:t>
      </w:r>
    </w:p>
    <w:p>
      <w:pPr>
        <w:spacing w:after="0" w:line="201" w:lineRule="exact"/>
        <w:rPr>
          <w:rFonts w:ascii="Arial" w:cs="Arial" w:eastAsia="Arial" w:hAnsi="Arial"/>
          <w:sz w:val="22"/>
          <w:szCs w:val="22"/>
          <w:color w:val="auto"/>
        </w:rPr>
      </w:pPr>
    </w:p>
    <w:p>
      <w:pPr>
        <w:ind w:firstLine="1304"/>
        <w:spacing w:after="0" w:line="246" w:lineRule="auto"/>
        <w:tabs>
          <w:tab w:leader="none" w:pos="2088" w:val="left"/>
        </w:tabs>
        <w:numPr>
          <w:ilvl w:val="0"/>
          <w:numId w:val="100"/>
        </w:numPr>
        <w:rPr>
          <w:rFonts w:ascii="Arial" w:cs="Arial" w:eastAsia="Arial" w:hAnsi="Arial"/>
          <w:sz w:val="21"/>
          <w:szCs w:val="21"/>
          <w:color w:val="auto"/>
        </w:rPr>
      </w:pPr>
      <w:r>
        <w:rPr>
          <w:rFonts w:ascii="Arial" w:cs="Arial" w:eastAsia="Arial" w:hAnsi="Arial"/>
          <w:sz w:val="21"/>
          <w:szCs w:val="21"/>
          <w:color w:val="auto"/>
        </w:rPr>
        <w:t>The Series C Preference Units shall be represented by a single Certificate registered in the name of the Depositary or its nominee, and no Series C Holder shall be entitled to receive a Certificate evidencing such applicable Units, unless otherwise required by law or the Depositary gives notice of its intention to resign or is no longer eligible to act as such with respect to such series of Preference Units and the Partnership shall have not selected a substitute Depositary within 60 calendar days thereafter. So long as the Depositary shall have been appointed and is serving with respect to such series of Preference Units, payments and communications made by the Partnership to Series C Holders shall be made by making payments to, and communicating with, the Depositary.</w:t>
      </w:r>
    </w:p>
    <w:p>
      <w:pPr>
        <w:spacing w:after="0" w:line="211"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18.3.</w:t>
      </w:r>
      <w:r>
        <w:rPr>
          <w:sz w:val="20"/>
          <w:szCs w:val="20"/>
          <w:color w:val="auto"/>
        </w:rPr>
        <w:tab/>
      </w:r>
      <w:r>
        <w:rPr>
          <w:rFonts w:ascii="Arial" w:cs="Arial" w:eastAsia="Arial" w:hAnsi="Arial"/>
          <w:sz w:val="19"/>
          <w:szCs w:val="19"/>
          <w:i w:val="1"/>
          <w:iCs w:val="1"/>
          <w:color w:val="auto"/>
        </w:rPr>
        <w:t>Distributions</w:t>
      </w:r>
      <w:r>
        <w:rPr>
          <w:rFonts w:ascii="Arial" w:cs="Arial" w:eastAsia="Arial" w:hAnsi="Arial"/>
          <w:sz w:val="19"/>
          <w:szCs w:val="19"/>
          <w:color w:val="auto"/>
        </w:rPr>
        <w:t>.</w:t>
      </w:r>
    </w:p>
    <w:p>
      <w:pPr>
        <w:spacing w:after="0" w:line="233" w:lineRule="exact"/>
        <w:rPr>
          <w:sz w:val="20"/>
          <w:szCs w:val="20"/>
          <w:color w:val="auto"/>
        </w:rPr>
      </w:pPr>
    </w:p>
    <w:p>
      <w:pPr>
        <w:ind w:right="20" w:firstLine="1304"/>
        <w:spacing w:after="0" w:line="249" w:lineRule="auto"/>
        <w:tabs>
          <w:tab w:leader="none" w:pos="2076" w:val="left"/>
        </w:tabs>
        <w:numPr>
          <w:ilvl w:val="0"/>
          <w:numId w:val="101"/>
        </w:numPr>
        <w:rPr>
          <w:rFonts w:ascii="Arial" w:cs="Arial" w:eastAsia="Arial" w:hAnsi="Arial"/>
          <w:sz w:val="21"/>
          <w:szCs w:val="21"/>
          <w:color w:val="auto"/>
        </w:rPr>
      </w:pPr>
      <w:r>
        <w:rPr>
          <w:rFonts w:ascii="Arial" w:cs="Arial" w:eastAsia="Arial" w:hAnsi="Arial"/>
          <w:sz w:val="21"/>
          <w:szCs w:val="21"/>
          <w:color w:val="auto"/>
        </w:rPr>
        <w:t xml:space="preserve">Distributions on each Series C Preference Unit shall be cumulative and shall accrue at the Series C Distribution Rate from the Series C Original Issue Date (or, for any subsequently issued and newly Outstanding Series C Preference Units, from the Series C Distribution Payment Date immediately preceding the issuance date of such Units) until such time as the Partnership pays the Series C Distribution or redeems the Series C Preference Units in full in accordance with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18.6</w:t>
      </w:r>
      <w:r>
        <w:rPr>
          <w:rFonts w:ascii="Arial" w:cs="Arial" w:eastAsia="Arial" w:hAnsi="Arial"/>
          <w:sz w:val="21"/>
          <w:szCs w:val="21"/>
          <w:color w:val="auto"/>
        </w:rPr>
        <w:t xml:space="preserve"> below, whether or not such Series C Distributions shall</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84" w:name="page85"/>
    <w:bookmarkEnd w:id="84"/>
    <w:p>
      <w:pPr>
        <w:spacing w:after="0" w:line="271" w:lineRule="auto"/>
        <w:rPr>
          <w:sz w:val="20"/>
          <w:szCs w:val="20"/>
          <w:color w:val="auto"/>
        </w:rPr>
      </w:pPr>
      <w:r>
        <w:rPr>
          <w:rFonts w:ascii="Arial" w:cs="Arial" w:eastAsia="Arial" w:hAnsi="Arial"/>
          <w:sz w:val="19"/>
          <w:szCs w:val="19"/>
          <w:color w:val="auto"/>
        </w:rPr>
        <w:t xml:space="preserve">have been declared. Series C Holders shall be entitled to receive Series C Distributions from time to time out of any assets of the Partnership legally available for the payment of distributions at the Series C Distribution Rate per Series C Preference Unit when, as, and if declared by the Board of Directors. Series C Distributions, to the extent declared by the Board of Directors to be paid by the Partnership in accordance with this </w:t>
      </w:r>
      <w:r>
        <w:rPr>
          <w:rFonts w:ascii="Arial" w:cs="Arial" w:eastAsia="Arial" w:hAnsi="Arial"/>
          <w:sz w:val="19"/>
          <w:szCs w:val="19"/>
          <w:u w:val="single" w:color="auto"/>
          <w:color w:val="auto"/>
        </w:rPr>
        <w:t>Section 18.3</w:t>
      </w:r>
      <w:r>
        <w:rPr>
          <w:rFonts w:ascii="Arial" w:cs="Arial" w:eastAsia="Arial" w:hAnsi="Arial"/>
          <w:sz w:val="19"/>
          <w:szCs w:val="19"/>
          <w:color w:val="auto"/>
        </w:rPr>
        <w:t>, shall be paid quarterly on each Series C Distribution Payment Date. Distributions shall accumulate in each Series C Distribution Period from and including the preceding Series C Distribution Payment Date (other than the initial Series C Distribution Period, which shall commence on and include the Series C Original Issue Date), to but excluding the next Series C Distribution Payment Date for such Series C Distribution Period and distributions shall accrue on accumulated Series C Distributions at the Series C Distribution Rate. If any Series C Distribution Payment Date during the Series C Fixed Rate Period would otherwise occur on a date that is not a Business Day, declared Series C Distributions shall be paid on the immediately succeeding Business Day without the accumulation of additional distributions. If any Series C Distribution Payment Date during the Series C Floating Rate Period would otherwise occur on a date that is not a Business Day, then the Series C Distribution Payment Date will be the next day that is a Business Day. Series C Distributions payable for any Series C Distribution Period during the Series C Fixed Rate Period will be calculated based on a 360-day year consisting of twelve 30-day months. Series C Distributions payable for any Series C Distribution Period during the Series C Floating Rate Period will be calculated based on a 360-day year and the number of days actually elapsed during such Series C Distribution Period.</w:t>
      </w:r>
    </w:p>
    <w:p>
      <w:pPr>
        <w:spacing w:after="0" w:line="200" w:lineRule="exact"/>
        <w:rPr>
          <w:sz w:val="20"/>
          <w:szCs w:val="20"/>
          <w:color w:val="auto"/>
        </w:rPr>
      </w:pPr>
    </w:p>
    <w:p>
      <w:pPr>
        <w:spacing w:after="0" w:line="230" w:lineRule="exact"/>
        <w:rPr>
          <w:sz w:val="20"/>
          <w:szCs w:val="20"/>
          <w:color w:val="auto"/>
        </w:rPr>
      </w:pPr>
    </w:p>
    <w:p>
      <w:pPr>
        <w:ind w:right="120" w:firstLine="1304"/>
        <w:spacing w:after="0" w:line="236" w:lineRule="auto"/>
        <w:tabs>
          <w:tab w:leader="none" w:pos="2088" w:val="left"/>
        </w:tabs>
        <w:numPr>
          <w:ilvl w:val="0"/>
          <w:numId w:val="102"/>
        </w:numPr>
        <w:rPr>
          <w:rFonts w:ascii="Arial" w:cs="Arial" w:eastAsia="Arial" w:hAnsi="Arial"/>
          <w:sz w:val="22"/>
          <w:szCs w:val="22"/>
          <w:color w:val="auto"/>
        </w:rPr>
      </w:pPr>
      <w:r>
        <w:rPr>
          <w:rFonts w:ascii="Arial" w:cs="Arial" w:eastAsia="Arial" w:hAnsi="Arial"/>
          <w:sz w:val="22"/>
          <w:szCs w:val="22"/>
          <w:color w:val="auto"/>
        </w:rPr>
        <w:t>For each Series C Distribution Period during the Series C Floating Rate Period, the applicable Series C Distribution Rate will be determined by the Calculation Agent as of the applicable Series C Distribution Determination Date for such Series C Distribution Period. For purposes of determining the applicable Series C Distribution Rate, the Series C Three-Month LIBOR Rate will be determined by the Calculation Agent, as of the applicable Series C Distribution Determination Date, in accordance with the following provisions:</w:t>
      </w:r>
    </w:p>
    <w:p>
      <w:pPr>
        <w:spacing w:after="0" w:line="214" w:lineRule="exact"/>
        <w:rPr>
          <w:sz w:val="20"/>
          <w:szCs w:val="20"/>
          <w:color w:val="auto"/>
        </w:rPr>
      </w:pPr>
    </w:p>
    <w:p>
      <w:pPr>
        <w:ind w:left="660" w:right="180" w:firstLine="644"/>
        <w:spacing w:after="0" w:line="238" w:lineRule="auto"/>
        <w:tabs>
          <w:tab w:leader="none" w:pos="2052" w:val="left"/>
        </w:tabs>
        <w:numPr>
          <w:ilvl w:val="0"/>
          <w:numId w:val="103"/>
        </w:numPr>
        <w:rPr>
          <w:rFonts w:ascii="Arial" w:cs="Arial" w:eastAsia="Arial" w:hAnsi="Arial"/>
          <w:sz w:val="22"/>
          <w:szCs w:val="22"/>
          <w:color w:val="auto"/>
        </w:rPr>
      </w:pPr>
      <w:r>
        <w:rPr>
          <w:rFonts w:ascii="Arial" w:cs="Arial" w:eastAsia="Arial" w:hAnsi="Arial"/>
          <w:sz w:val="22"/>
          <w:szCs w:val="22"/>
          <w:color w:val="auto"/>
        </w:rPr>
        <w:t>the Series C Three-Month LIBOR Rate will be the rate (expressed as a percentage per year) for deposits in U.S. dollars having an index maturity of three months, in amounts of at least $1,000,000, as such rate appears on Reuters Page LIBOR01 at approximately 11:00 a.m. (London time) on the relevant Series C Distribution Determination Date; or</w:t>
      </w:r>
    </w:p>
    <w:p>
      <w:pPr>
        <w:spacing w:after="0" w:line="211" w:lineRule="exact"/>
        <w:rPr>
          <w:rFonts w:ascii="Arial" w:cs="Arial" w:eastAsia="Arial" w:hAnsi="Arial"/>
          <w:sz w:val="22"/>
          <w:szCs w:val="22"/>
          <w:color w:val="auto"/>
        </w:rPr>
      </w:pPr>
    </w:p>
    <w:p>
      <w:pPr>
        <w:ind w:left="660" w:firstLine="644"/>
        <w:spacing w:after="0" w:line="274" w:lineRule="auto"/>
        <w:tabs>
          <w:tab w:leader="none" w:pos="2112"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if no such rate appears on Reuters Page LIBOR01 or if the Reuters Page LIBOR01 is not available at approximately 11:00 a.m. (London time) on the relevant Series C Distribution Determination Date, then the Calculation Agent, after consultation with the Partnership, will select four nationally-recognized banks in the London interbank market and request that the principal London offices of those four selected banks provide the Calculation Agent with their offered quotation for deposits in U.S. dollars for a period of three months, commencing on the first day of the applicable Series C Distribution Period, to prime banks in the London interbank market at approximately 11:00 a.m. (London time) on that Series C Distribution Determination Date for the applicable Series C Distribution Period. Offered quotations must be based on a principal amount equal to an amount that, in the Calculation Agent’s discretion, is representative of a single transaction in U.S. dollars in the London interbank market at that time. If at least two</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85" w:name="page86"/>
    <w:bookmarkEnd w:id="85"/>
    <w:p>
      <w:pPr>
        <w:ind w:left="660" w:right="60"/>
        <w:spacing w:after="0" w:line="271" w:lineRule="auto"/>
        <w:rPr>
          <w:sz w:val="20"/>
          <w:szCs w:val="20"/>
          <w:color w:val="auto"/>
        </w:rPr>
      </w:pPr>
      <w:r>
        <w:rPr>
          <w:rFonts w:ascii="Arial" w:cs="Arial" w:eastAsia="Arial" w:hAnsi="Arial"/>
          <w:sz w:val="19"/>
          <w:szCs w:val="19"/>
          <w:color w:val="auto"/>
        </w:rPr>
        <w:t>quotations are provided, the Series C Three-Month LIBOR Rate for such Series C Distribution Period will be the arithmetic mean (rounded upward if necessary, to the nearest 0.00001 of 1%) of those quotations. If fewer than two quotations are provided, the Series C Three-Month LIBOR Rate for such Series C Distribution Period will be the arithmetic mean (rounded upward if necessary, to the nearest 0.00001 of 1%) of the rates quoted at approximately 11:00 a.m. (New York City time) on that Series C Distribution Determination Date for such Series C Distribution Period by three nationally-recognized banks in New York, New York selected by the Calculation Agent, for loans in U.S. dollars to nationally-recognized European banks (as selected by the Calculation Agent), for a period of three months commencing on the first day of such Series C Distribution Period. The rates quoted must be based on an amount that, in the Calculation Agent’s discretion, is representative of a single transaction in U.S. dollars in that market at that time. If fewer than three New York City banks selected by the Calculation Agent provide quote rates in the manner described above, the Calculation Agent, after consulting such sources as it deems comparable to any of the foregoing quotations or display page, or any such source as it deems reasonable from which to estimate the Series C Three-Month LIBOR Rate or any of the foregoing lending rates, shall determine Series C Three-Month LIBOR Rate for the applicable Series C Distribution Period in its discretion, after consultation with the Partnership.</w:t>
      </w:r>
    </w:p>
    <w:p>
      <w:pPr>
        <w:spacing w:after="0" w:line="200" w:lineRule="exact"/>
        <w:rPr>
          <w:sz w:val="20"/>
          <w:szCs w:val="20"/>
          <w:color w:val="auto"/>
        </w:rPr>
      </w:pPr>
    </w:p>
    <w:p>
      <w:pPr>
        <w:spacing w:after="0" w:line="238" w:lineRule="exact"/>
        <w:rPr>
          <w:sz w:val="20"/>
          <w:szCs w:val="20"/>
          <w:color w:val="auto"/>
        </w:rPr>
      </w:pPr>
    </w:p>
    <w:p>
      <w:pPr>
        <w:ind w:left="660" w:right="20" w:firstLine="644"/>
        <w:spacing w:after="0" w:line="274" w:lineRule="auto"/>
        <w:tabs>
          <w:tab w:leader="none" w:pos="2172" w:val="left"/>
        </w:tabs>
        <w:numPr>
          <w:ilvl w:val="0"/>
          <w:numId w:val="104"/>
        </w:numPr>
        <w:rPr>
          <w:rFonts w:ascii="Arial" w:cs="Arial" w:eastAsia="Arial" w:hAnsi="Arial"/>
          <w:sz w:val="19"/>
          <w:szCs w:val="19"/>
          <w:color w:val="auto"/>
        </w:rPr>
      </w:pPr>
      <w:r>
        <w:rPr>
          <w:rFonts w:ascii="Arial" w:cs="Arial" w:eastAsia="Arial" w:hAnsi="Arial"/>
          <w:sz w:val="19"/>
          <w:szCs w:val="19"/>
          <w:color w:val="auto"/>
        </w:rPr>
        <w:t xml:space="preserve">Notwithstanding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if the Calculation Agent determines on the relevant Series C Distribution Determination Date that the LIBOR base rate has been discontinued, then the Calculation Agent will use a substitute or successor base rate that it has determined in its discretion, after consultation with the Partnership, is most comparable to the LIBOR base rate, provided that if the Calculation Agent determines there is an industry-accepted successor base rate, then the Calculation Agent shall use such successor base rate. If the Calculation Agent has determined a substitute or successor base rate in accordance with the foregoing, the Calculation Agent in its discretion, after consultation with the Partnership, may determine what business day convention to use, the definition of business day, the Series C Distribution Determination Date and any other relevant methodology for calculating such substitute or successor base rate in a manner that is consistent with industry-accepted practices for such substitute or successor base rate.</w:t>
      </w:r>
    </w:p>
    <w:p>
      <w:pPr>
        <w:spacing w:after="0" w:line="185" w:lineRule="exact"/>
        <w:rPr>
          <w:sz w:val="20"/>
          <w:szCs w:val="20"/>
          <w:color w:val="auto"/>
        </w:rPr>
      </w:pPr>
    </w:p>
    <w:p>
      <w:pPr>
        <w:ind w:left="660" w:right="160" w:firstLine="1296"/>
        <w:spacing w:after="0" w:line="297" w:lineRule="auto"/>
        <w:rPr>
          <w:sz w:val="20"/>
          <w:szCs w:val="20"/>
          <w:color w:val="auto"/>
        </w:rPr>
      </w:pPr>
      <w:r>
        <w:rPr>
          <w:rFonts w:ascii="Arial" w:cs="Arial" w:eastAsia="Arial" w:hAnsi="Arial"/>
          <w:sz w:val="19"/>
          <w:szCs w:val="19"/>
          <w:color w:val="auto"/>
        </w:rPr>
        <w:t>The Partnership will appoint a Calculation Agent for the Series C Preference Units prior to the commencement of the Series C Floating Rate Period and will be entitled to remove or replace the calculation agent in its discretion. In addition, the Partnership or its Affiliate may assume the duties of the Calculation Agent.</w:t>
      </w:r>
    </w:p>
    <w:p>
      <w:pPr>
        <w:spacing w:after="0" w:line="161" w:lineRule="exact"/>
        <w:rPr>
          <w:sz w:val="20"/>
          <w:szCs w:val="20"/>
          <w:color w:val="auto"/>
        </w:rPr>
      </w:pPr>
    </w:p>
    <w:p>
      <w:pPr>
        <w:ind w:firstLine="1304"/>
        <w:spacing w:after="0" w:line="279" w:lineRule="auto"/>
        <w:tabs>
          <w:tab w:leader="none" w:pos="2076" w:val="left"/>
        </w:tabs>
        <w:numPr>
          <w:ilvl w:val="0"/>
          <w:numId w:val="105"/>
        </w:numPr>
        <w:rPr>
          <w:rFonts w:ascii="Arial" w:cs="Arial" w:eastAsia="Arial" w:hAnsi="Arial"/>
          <w:sz w:val="19"/>
          <w:szCs w:val="19"/>
          <w:color w:val="auto"/>
        </w:rPr>
      </w:pPr>
      <w:r>
        <w:rPr>
          <w:rFonts w:ascii="Arial" w:cs="Arial" w:eastAsia="Arial" w:hAnsi="Arial"/>
          <w:sz w:val="19"/>
          <w:szCs w:val="19"/>
          <w:color w:val="auto"/>
        </w:rPr>
        <w:t>Not later than 5:00 p.m., New York City time, on each Series C Distribution Payment Date, the Partnership shall pay those Series C Distributions, if any, that shall have been declared by the Board of Directors to Series C Holders on the Record Date for the applicable Series C Distribution. The Record Date (the “</w:t>
      </w:r>
      <w:r>
        <w:rPr>
          <w:rFonts w:ascii="Arial" w:cs="Arial" w:eastAsia="Arial" w:hAnsi="Arial"/>
          <w:sz w:val="19"/>
          <w:szCs w:val="19"/>
          <w:b w:val="1"/>
          <w:bCs w:val="1"/>
          <w:i w:val="1"/>
          <w:iCs w:val="1"/>
          <w:color w:val="auto"/>
        </w:rPr>
        <w:t>Series C Distribution Record Date</w:t>
      </w:r>
      <w:r>
        <w:rPr>
          <w:rFonts w:ascii="Arial" w:cs="Arial" w:eastAsia="Arial" w:hAnsi="Arial"/>
          <w:sz w:val="19"/>
          <w:szCs w:val="19"/>
          <w:color w:val="auto"/>
        </w:rPr>
        <w:t>”) for the payment of any Series C Distributions shall be the fifth Business Day immediately preceding the applicable Series C Distribution Payment Date, except that in the case of payments of Series C Distributions in Arrears, the Series C Distribution Record Date with respect to a Series C Distribution Payment Date shall be such date as may be designated by the Board of</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6" w:name="page87"/>
    <w:bookmarkEnd w:id="86"/>
    <w:p>
      <w:pPr>
        <w:spacing w:after="0" w:line="270" w:lineRule="auto"/>
        <w:rPr>
          <w:sz w:val="20"/>
          <w:szCs w:val="20"/>
          <w:color w:val="auto"/>
        </w:rPr>
      </w:pPr>
      <w:r>
        <w:rPr>
          <w:rFonts w:ascii="Arial" w:cs="Arial" w:eastAsia="Arial" w:hAnsi="Arial"/>
          <w:sz w:val="19"/>
          <w:szCs w:val="19"/>
          <w:color w:val="auto"/>
        </w:rPr>
        <w:t xml:space="preserve">Directors in accordance with this </w:t>
      </w:r>
      <w:r>
        <w:rPr>
          <w:rFonts w:ascii="Arial" w:cs="Arial" w:eastAsia="Arial" w:hAnsi="Arial"/>
          <w:sz w:val="19"/>
          <w:szCs w:val="19"/>
          <w:u w:val="single" w:color="auto"/>
          <w:color w:val="auto"/>
        </w:rPr>
        <w:t>Article XVIII</w:t>
      </w:r>
      <w:r>
        <w:rPr>
          <w:rFonts w:ascii="Arial" w:cs="Arial" w:eastAsia="Arial" w:hAnsi="Arial"/>
          <w:sz w:val="19"/>
          <w:szCs w:val="19"/>
          <w:color w:val="auto"/>
        </w:rPr>
        <w:t xml:space="preserve">. No distribution shall be declared or paid or set apart for payment on any Junior Securities (other than a distribution payable solely in Junior Securities) unless full cumulative Series C Distributions have been or contemporaneously are being paid or provided for on all Outstanding Series C Preference Units and any other Parity Securities through the most recent respective Series C Distribution Payment Dates. Accumulated Series C Distributions in Arrears for any past Series C Distribution Period may be declared by the Board of Directors and paid on any date fixed by the Board of Directors, whether or not a Series C Distribution Payment Date, to Series C Holders on the record date for such payment, which may not be more than 60 days, nor less than 15 days, before such payment date. Subject to the next succeeding sentence, if all accumulated Series C Distributions in Arrears on all Outstanding Series C Preference Units and any other Parity Securities shall not have been declared and paid, or if sufficient funds for the payment thereof shall not have been set apart, payment of accumulated distributions in Arrears on the Series C Preference Units and any such Parity Securities shall be made in order of their respective distribution payment dates, commencing with the earliest. If less than all distributions payable with respect to all Series C Preference Units and any other Parity Securities are paid, any partial payment shall be made pro rata with respect to the Series C Preference Units and any such other Parity Securities entitled to a distribution payment at such time in proportion to the aggregate distribution amounts remaining due in respect of such Series C Preference Units and such other Parity Securities at such time. Subject to </w:t>
      </w:r>
      <w:r>
        <w:rPr>
          <w:rFonts w:ascii="Arial" w:cs="Arial" w:eastAsia="Arial" w:hAnsi="Arial"/>
          <w:sz w:val="19"/>
          <w:szCs w:val="19"/>
          <w:u w:val="single" w:color="auto"/>
          <w:color w:val="auto"/>
        </w:rPr>
        <w:t>Sections 12.4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18.6</w:t>
      </w:r>
      <w:r>
        <w:rPr>
          <w:rFonts w:ascii="Arial" w:cs="Arial" w:eastAsia="Arial" w:hAnsi="Arial"/>
          <w:sz w:val="19"/>
          <w:szCs w:val="19"/>
          <w:color w:val="auto"/>
        </w:rPr>
        <w:t xml:space="preserve">, Series C Holders shall not be entitled to any distribution, whether payable in cash, property or stock, in excess of full cumulative Series C Distributions. Except insofar as distributions accrue on the amount of any accumulated and unpaid Series C Distributions as described in </w:t>
      </w:r>
      <w:r>
        <w:rPr>
          <w:rFonts w:ascii="Arial" w:cs="Arial" w:eastAsia="Arial" w:hAnsi="Arial"/>
          <w:sz w:val="19"/>
          <w:szCs w:val="19"/>
          <w:u w:val="single" w:color="auto"/>
          <w:color w:val="auto"/>
        </w:rPr>
        <w:t>Section 18.3(a)</w:t>
      </w:r>
      <w:r>
        <w:rPr>
          <w:rFonts w:ascii="Arial" w:cs="Arial" w:eastAsia="Arial" w:hAnsi="Arial"/>
          <w:sz w:val="19"/>
          <w:szCs w:val="19"/>
          <w:color w:val="auto"/>
        </w:rPr>
        <w:t>, no interest or sum of money in lieu of interest shall be payable in respect of any distribution payment which may be in Arrears on the Series C Preference Units. So long as the Series C Preference Units are held of record by the nominee of the Depositary, declared Series C Distributions shall be paid to the Depositary in same-day funds on each Series C Distribution Payment Date.</w:t>
      </w:r>
    </w:p>
    <w:p>
      <w:pPr>
        <w:spacing w:after="0" w:line="187"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18.4.</w:t>
      </w:r>
      <w:r>
        <w:rPr>
          <w:sz w:val="20"/>
          <w:szCs w:val="20"/>
          <w:color w:val="auto"/>
        </w:rPr>
        <w:tab/>
      </w:r>
      <w:r>
        <w:rPr>
          <w:rFonts w:ascii="Arial" w:cs="Arial" w:eastAsia="Arial" w:hAnsi="Arial"/>
          <w:sz w:val="19"/>
          <w:szCs w:val="19"/>
          <w:i w:val="1"/>
          <w:iCs w:val="1"/>
          <w:color w:val="auto"/>
        </w:rPr>
        <w:t>Liquidation Rights</w:t>
      </w:r>
      <w:r>
        <w:rPr>
          <w:rFonts w:ascii="Arial" w:cs="Arial" w:eastAsia="Arial" w:hAnsi="Arial"/>
          <w:sz w:val="19"/>
          <w:szCs w:val="19"/>
          <w:color w:val="auto"/>
        </w:rPr>
        <w:t>.</w:t>
      </w:r>
    </w:p>
    <w:p>
      <w:pPr>
        <w:spacing w:after="0" w:line="233" w:lineRule="exact"/>
        <w:rPr>
          <w:sz w:val="20"/>
          <w:szCs w:val="20"/>
          <w:color w:val="auto"/>
        </w:rPr>
      </w:pPr>
    </w:p>
    <w:p>
      <w:pPr>
        <w:ind w:firstLine="1304"/>
        <w:spacing w:after="0" w:line="272" w:lineRule="auto"/>
        <w:tabs>
          <w:tab w:leader="none" w:pos="2076" w:val="left"/>
        </w:tabs>
        <w:numPr>
          <w:ilvl w:val="0"/>
          <w:numId w:val="106"/>
        </w:numPr>
        <w:rPr>
          <w:rFonts w:ascii="Arial" w:cs="Arial" w:eastAsia="Arial" w:hAnsi="Arial"/>
          <w:sz w:val="19"/>
          <w:szCs w:val="19"/>
          <w:color w:val="auto"/>
        </w:rPr>
      </w:pPr>
      <w:r>
        <w:rPr>
          <w:rFonts w:ascii="Arial" w:cs="Arial" w:eastAsia="Arial" w:hAnsi="Arial"/>
          <w:sz w:val="19"/>
          <w:szCs w:val="19"/>
          <w:color w:val="auto"/>
        </w:rPr>
        <w:t>Upon the occurrence of any Liquidation Event, Series C Holders shall be entitled to receive out of the assets of the Partnership or proceeds thereof legally available for distribution to the Partners, (i) after satisfaction of all liabilities, if any, to creditors of the Partnership, (ii) after all applicable distributions of such assets or proceeds being made to or set aside for the holders of any Senior Securities then Outstanding in respect of such Liquidation Event, (iii) concurrently with any applicable distributions of such assets or proceeds being made to or set aside for holders of any Series C Preference Units or other Parity Securities then Outstanding in respect of such Liquidation Event and (iv) before any distribution of such assets or proceeds is made to or set aside for the holders of Common Units and any other classes or series of Junior Securities as to such distribution, a liquidating distribution or payment in full redemption of such Series C Preference Units in an amount equal to the Series C Liquidation Preference. For purposes of clarity, upon the occurrence of any Liquidation Event, (x) the holders of then Outstanding Senior Securities shall be entitled to receive the applicable Liquidation Preference on such Senior Securities before any distribution shall be made with respect to the Series C Preference Units or any Parity Securities and (y) the Series C Holders shall be entitled to the Series C Liquidation Preference per Series C Preference Unit in cash, concurrently with any distribution made to the holders of any Parity Securities and before any</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7" w:name="page88"/>
    <w:bookmarkEnd w:id="87"/>
    <w:p>
      <w:pPr>
        <w:spacing w:after="0" w:line="249" w:lineRule="auto"/>
        <w:rPr>
          <w:sz w:val="20"/>
          <w:szCs w:val="20"/>
          <w:color w:val="auto"/>
        </w:rPr>
      </w:pPr>
      <w:r>
        <w:rPr>
          <w:rFonts w:ascii="Arial" w:cs="Arial" w:eastAsia="Arial" w:hAnsi="Arial"/>
          <w:sz w:val="21"/>
          <w:szCs w:val="21"/>
          <w:color w:val="auto"/>
        </w:rPr>
        <w:t>distribution shall be made to the holders of Common Units or any other Junior Securities. Series C Holders shall not be entitled to any other amounts from the Partnership, in their capacity as Series C Holders, after they have received the Series C Liquidation Preference. The payment of the Series C Liquidation Preference shall be a payment in redemption of the Series C Preference Units such that, from and after payment of the full Series C Liquidation Preference, any such Series C Preference Unit shall thereafter be cancelled and no longer be Outstanding.</w:t>
      </w:r>
    </w:p>
    <w:p>
      <w:pPr>
        <w:spacing w:after="0" w:line="205" w:lineRule="exact"/>
        <w:rPr>
          <w:sz w:val="20"/>
          <w:szCs w:val="20"/>
          <w:color w:val="auto"/>
        </w:rPr>
      </w:pPr>
    </w:p>
    <w:p>
      <w:pPr>
        <w:ind w:right="60" w:firstLine="1304"/>
        <w:spacing w:after="0" w:line="275" w:lineRule="auto"/>
        <w:tabs>
          <w:tab w:leader="none" w:pos="208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If, in the event of any distribution or payment described in </w:t>
      </w:r>
      <w:r>
        <w:rPr>
          <w:rFonts w:ascii="Arial" w:cs="Arial" w:eastAsia="Arial" w:hAnsi="Arial"/>
          <w:sz w:val="19"/>
          <w:szCs w:val="19"/>
          <w:u w:val="single" w:color="auto"/>
          <w:color w:val="auto"/>
        </w:rPr>
        <w:t>Section 18.4(a)</w:t>
      </w:r>
      <w:r>
        <w:rPr>
          <w:rFonts w:ascii="Arial" w:cs="Arial" w:eastAsia="Arial" w:hAnsi="Arial"/>
          <w:sz w:val="19"/>
          <w:szCs w:val="19"/>
          <w:color w:val="auto"/>
        </w:rPr>
        <w:t xml:space="preserve"> above where the Partnership’s assets available for distribution to holders of the Outstanding Series C Preference Units and any other Parity Securities are insufficient to satisfy the applicable Liquidation Preference for such Series C Preference Units and Parity Securities, the Partnership’s then remaining assets or proceeds thereof legally available for distribution to unitholders of the Partnership shall be distributed among the holders of Outstanding Series C Preference Units and such Parity Securities, as applicable, ratably on the basis of their relative aggregate Liquidation Preferences. To the extent that the Series C Holders receive a partial payment of their Series C Liquidation Preference, such partial payment shall reduce the Series C Liquidation Preference of their Series C Preference Units, but only to the extent of such amount paid.</w:t>
      </w:r>
    </w:p>
    <w:p>
      <w:pPr>
        <w:spacing w:after="0" w:line="184" w:lineRule="exact"/>
        <w:rPr>
          <w:rFonts w:ascii="Arial" w:cs="Arial" w:eastAsia="Arial" w:hAnsi="Arial"/>
          <w:sz w:val="19"/>
          <w:szCs w:val="19"/>
          <w:color w:val="auto"/>
        </w:rPr>
      </w:pPr>
    </w:p>
    <w:p>
      <w:pPr>
        <w:ind w:right="460" w:firstLine="1304"/>
        <w:spacing w:after="0" w:line="238" w:lineRule="auto"/>
        <w:tabs>
          <w:tab w:leader="none" w:pos="2076" w:val="left"/>
        </w:tabs>
        <w:numPr>
          <w:ilvl w:val="0"/>
          <w:numId w:val="107"/>
        </w:numPr>
        <w:rPr>
          <w:rFonts w:ascii="Arial" w:cs="Arial" w:eastAsia="Arial" w:hAnsi="Arial"/>
          <w:sz w:val="22"/>
          <w:szCs w:val="22"/>
          <w:color w:val="auto"/>
        </w:rPr>
      </w:pPr>
      <w:r>
        <w:rPr>
          <w:rFonts w:ascii="Arial" w:cs="Arial" w:eastAsia="Arial" w:hAnsi="Arial"/>
          <w:sz w:val="22"/>
          <w:szCs w:val="22"/>
          <w:color w:val="auto"/>
        </w:rPr>
        <w:t>After payment of the applicable Liquidation Preference to the holders of the Outstanding Series C Preference Units and any other Parity Securities, the Partnership’s remaining assets and funds shall be distributed among the holders of the Common Units and any other Junior Securities then Outstanding according to their respective rights and preferences.</w:t>
      </w:r>
    </w:p>
    <w:p>
      <w:pPr>
        <w:spacing w:after="0" w:line="212"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18.5.</w:t>
      </w:r>
      <w:r>
        <w:rPr>
          <w:sz w:val="20"/>
          <w:szCs w:val="20"/>
          <w:color w:val="auto"/>
        </w:rPr>
        <w:tab/>
      </w:r>
      <w:r>
        <w:rPr>
          <w:rFonts w:ascii="Arial" w:cs="Arial" w:eastAsia="Arial" w:hAnsi="Arial"/>
          <w:sz w:val="19"/>
          <w:szCs w:val="19"/>
          <w:i w:val="1"/>
          <w:iCs w:val="1"/>
          <w:color w:val="auto"/>
        </w:rPr>
        <w:t>Voting Rights</w:t>
      </w:r>
      <w:r>
        <w:rPr>
          <w:rFonts w:ascii="Arial" w:cs="Arial" w:eastAsia="Arial" w:hAnsi="Arial"/>
          <w:sz w:val="19"/>
          <w:szCs w:val="19"/>
          <w:color w:val="auto"/>
        </w:rPr>
        <w:t>.</w:t>
      </w:r>
    </w:p>
    <w:p>
      <w:pPr>
        <w:spacing w:after="0" w:line="233" w:lineRule="exact"/>
        <w:rPr>
          <w:sz w:val="20"/>
          <w:szCs w:val="20"/>
          <w:color w:val="auto"/>
        </w:rPr>
      </w:pPr>
    </w:p>
    <w:p>
      <w:pPr>
        <w:ind w:right="80" w:firstLine="1304"/>
        <w:spacing w:after="0" w:line="328" w:lineRule="auto"/>
        <w:tabs>
          <w:tab w:leader="none" w:pos="2076"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in this Agreement, the Series C Preference Units shall not have any voting rights except as set forth in </w:t>
      </w:r>
      <w:r>
        <w:rPr>
          <w:rFonts w:ascii="Arial" w:cs="Arial" w:eastAsia="Arial" w:hAnsi="Arial"/>
          <w:sz w:val="19"/>
          <w:szCs w:val="19"/>
          <w:u w:val="single" w:color="auto"/>
          <w:color w:val="auto"/>
        </w:rPr>
        <w:t>Section 13.3(d)</w:t>
      </w:r>
      <w:r>
        <w:rPr>
          <w:rFonts w:ascii="Arial" w:cs="Arial" w:eastAsia="Arial" w:hAnsi="Arial"/>
          <w:sz w:val="19"/>
          <w:szCs w:val="19"/>
          <w:color w:val="auto"/>
        </w:rPr>
        <w:t xml:space="preserve">, this </w:t>
      </w:r>
      <w:r>
        <w:rPr>
          <w:rFonts w:ascii="Arial" w:cs="Arial" w:eastAsia="Arial" w:hAnsi="Arial"/>
          <w:sz w:val="19"/>
          <w:szCs w:val="19"/>
          <w:u w:val="single" w:color="auto"/>
          <w:color w:val="auto"/>
        </w:rPr>
        <w:t>Section 18.5</w:t>
      </w:r>
      <w:r>
        <w:rPr>
          <w:rFonts w:ascii="Arial" w:cs="Arial" w:eastAsia="Arial" w:hAnsi="Arial"/>
          <w:sz w:val="19"/>
          <w:szCs w:val="19"/>
          <w:color w:val="auto"/>
        </w:rPr>
        <w:t xml:space="preserve"> or as otherwise provided by the Marshall Islands Act.</w:t>
      </w:r>
    </w:p>
    <w:p>
      <w:pPr>
        <w:spacing w:after="0" w:line="131" w:lineRule="exact"/>
        <w:rPr>
          <w:rFonts w:ascii="Arial" w:cs="Arial" w:eastAsia="Arial" w:hAnsi="Arial"/>
          <w:sz w:val="19"/>
          <w:szCs w:val="19"/>
          <w:color w:val="auto"/>
        </w:rPr>
      </w:pPr>
    </w:p>
    <w:p>
      <w:pPr>
        <w:ind w:right="20" w:firstLine="1304"/>
        <w:spacing w:after="0" w:line="272" w:lineRule="auto"/>
        <w:tabs>
          <w:tab w:leader="none" w:pos="208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 xml:space="preserve">In the event that six quarterly Series C Distributions, whether consecutive or not, are in Arrears, the Series C Holders shall have the right, voting as a class together with holders of any other Parity Securities upon which like voting rights have been conferred and are exercisable, at a meeting of the Board of Directors called for such purpose within 30 days after receipt by the General Partner of a request by Series C Holders holding a majority of the Outstanding Series C Preference Units, to elect one member of the Board of Directors, and the size of the Board of Directors shall be increased as needed to accommodate such change;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such right of the Series C Holders shall not apply to the election of another director if (i) Series C Holders and holders of Parity Securities upon which like voting rights have been conferred, voting as a class, have previously elected a member of the Board of Directors and (ii) such director continues then to serve on the Board of Directors. Such right of such Series C Holders to elect a member of the Board of Directors shall continue until the Partnership pays in full, or declares and sets aside funds for the payment of, all Series C Distributions accumulated and in Arrears on the Series C Preference Units, at which time such right shall terminate, subject to the revesting of such right in the event of each and every subsequent failure to pay six quarterly Series C Distributions as described above in this </w:t>
      </w:r>
      <w:r>
        <w:rPr>
          <w:rFonts w:ascii="Arial" w:cs="Arial" w:eastAsia="Arial" w:hAnsi="Arial"/>
          <w:sz w:val="19"/>
          <w:szCs w:val="19"/>
          <w:u w:val="single" w:color="auto"/>
          <w:color w:val="auto"/>
        </w:rPr>
        <w:t>Section 18.5(b)</w:t>
      </w:r>
      <w:r>
        <w:rPr>
          <w:rFonts w:ascii="Arial" w:cs="Arial" w:eastAsia="Arial" w:hAnsi="Arial"/>
          <w:sz w:val="19"/>
          <w:szCs w:val="19"/>
          <w:color w:val="auto"/>
        </w:rPr>
        <w:t>. Upon any termination of the right of the Series C Holders and holders of any other</w:t>
      </w: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88" w:name="page89"/>
    <w:bookmarkEnd w:id="88"/>
    <w:p>
      <w:pPr>
        <w:ind w:right="20"/>
        <w:spacing w:after="0" w:line="234" w:lineRule="auto"/>
        <w:rPr>
          <w:sz w:val="20"/>
          <w:szCs w:val="20"/>
          <w:color w:val="auto"/>
        </w:rPr>
      </w:pPr>
      <w:r>
        <w:rPr>
          <w:rFonts w:ascii="Arial" w:cs="Arial" w:eastAsia="Arial" w:hAnsi="Arial"/>
          <w:sz w:val="22"/>
          <w:szCs w:val="22"/>
          <w:color w:val="auto"/>
        </w:rPr>
        <w:t xml:space="preserve">Parity Securities to vote as a class for such director, the term of office of the director then in office elected by such Series C Holders and holders voting as a class shall terminate immediately. Any director elected by the Series C Holders and holders of any other Parity Securities shall be entitled to one vote on any matter before the Board of Directors. Upon each election of a member of the Board of Directors by Series C Holders pursuant to this </w:t>
      </w:r>
      <w:r>
        <w:rPr>
          <w:rFonts w:ascii="Arial" w:cs="Arial" w:eastAsia="Arial" w:hAnsi="Arial"/>
          <w:sz w:val="22"/>
          <w:szCs w:val="22"/>
          <w:u w:val="single" w:color="auto"/>
          <w:color w:val="auto"/>
        </w:rPr>
        <w:t>Section 18.5(b)</w:t>
      </w:r>
      <w:r>
        <w:rPr>
          <w:rFonts w:ascii="Arial" w:cs="Arial" w:eastAsia="Arial" w:hAnsi="Arial"/>
          <w:sz w:val="22"/>
          <w:szCs w:val="22"/>
          <w:color w:val="auto"/>
        </w:rPr>
        <w:t>, the General Partner shall have the right to appoint an additional member of the Board of Directors, which member shall be an Appointed Director for purposes of this Agreement, the term of such director to begin and end on the same dates as the corresponding director elected by the Series C Holders.</w:t>
      </w:r>
    </w:p>
    <w:p>
      <w:pPr>
        <w:spacing w:after="0" w:line="218" w:lineRule="exact"/>
        <w:rPr>
          <w:sz w:val="20"/>
          <w:szCs w:val="20"/>
          <w:color w:val="auto"/>
        </w:rPr>
      </w:pPr>
    </w:p>
    <w:p>
      <w:pPr>
        <w:jc w:val="both"/>
        <w:ind w:right="160" w:firstLine="1304"/>
        <w:spacing w:after="0" w:line="238" w:lineRule="auto"/>
        <w:tabs>
          <w:tab w:leader="none" w:pos="2076" w:val="left"/>
        </w:tabs>
        <w:numPr>
          <w:ilvl w:val="0"/>
          <w:numId w:val="109"/>
        </w:numPr>
        <w:rPr>
          <w:rFonts w:ascii="Arial" w:cs="Arial" w:eastAsia="Arial" w:hAnsi="Arial"/>
          <w:sz w:val="22"/>
          <w:szCs w:val="22"/>
          <w:color w:val="auto"/>
        </w:rPr>
      </w:pPr>
      <w:r>
        <w:rPr>
          <w:rFonts w:ascii="Arial" w:cs="Arial" w:eastAsia="Arial" w:hAnsi="Arial"/>
          <w:sz w:val="22"/>
          <w:szCs w:val="22"/>
          <w:color w:val="auto"/>
        </w:rPr>
        <w:t>(i) Unless the Board of Directors shall have received the affirmative vote or consent of the holders of at least 66 2/3% of the Outstanding Series C Preference Units, voting as a separate class, neither the General Partner nor the Board of Directors shall adopt any amendment to this Agreement that would have a material adverse effect on the existing terms of the Series C Preference Units.</w:t>
      </w:r>
    </w:p>
    <w:p>
      <w:pPr>
        <w:spacing w:after="0" w:line="212" w:lineRule="exact"/>
        <w:rPr>
          <w:sz w:val="20"/>
          <w:szCs w:val="20"/>
          <w:color w:val="auto"/>
        </w:rPr>
      </w:pPr>
    </w:p>
    <w:p>
      <w:pPr>
        <w:ind w:left="660" w:firstLine="644"/>
        <w:spacing w:after="0" w:line="236" w:lineRule="auto"/>
        <w:tabs>
          <w:tab w:leader="none" w:pos="2112" w:val="left"/>
        </w:tabs>
        <w:numPr>
          <w:ilvl w:val="0"/>
          <w:numId w:val="110"/>
        </w:numPr>
        <w:rPr>
          <w:rFonts w:ascii="Arial" w:cs="Arial" w:eastAsia="Arial" w:hAnsi="Arial"/>
          <w:sz w:val="22"/>
          <w:szCs w:val="22"/>
          <w:color w:val="auto"/>
        </w:rPr>
      </w:pPr>
      <w:r>
        <w:rPr>
          <w:rFonts w:ascii="Arial" w:cs="Arial" w:eastAsia="Arial" w:hAnsi="Arial"/>
          <w:sz w:val="22"/>
          <w:szCs w:val="22"/>
          <w:color w:val="auto"/>
        </w:rPr>
        <w:t>Unless the Board of Directors shall have received the affirmative vote or consent of the holders of at least 66 2/3% of the Outstanding Series C Preference Units voting as a class together with holders of any other Parity Securities upon which like voting rights have been conferred and are exercisable, the Partnership shall not (x) issue any Parity Securities if the cumulative dividends payable on Outstanding Series C Preference Units are in Arrears or (y) create or issue any Senior Securities.</w:t>
      </w:r>
    </w:p>
    <w:p>
      <w:pPr>
        <w:spacing w:after="0" w:line="214" w:lineRule="exact"/>
        <w:rPr>
          <w:sz w:val="20"/>
          <w:szCs w:val="20"/>
          <w:color w:val="auto"/>
        </w:rPr>
      </w:pPr>
    </w:p>
    <w:p>
      <w:pPr>
        <w:jc w:val="both"/>
        <w:ind w:right="100" w:firstLine="1304"/>
        <w:spacing w:after="0" w:line="238" w:lineRule="auto"/>
        <w:tabs>
          <w:tab w:leader="none" w:pos="208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For any matter described in this </w:t>
      </w:r>
      <w:r>
        <w:rPr>
          <w:rFonts w:ascii="Arial" w:cs="Arial" w:eastAsia="Arial" w:hAnsi="Arial"/>
          <w:sz w:val="22"/>
          <w:szCs w:val="22"/>
          <w:u w:val="single" w:color="auto"/>
          <w:color w:val="auto"/>
        </w:rPr>
        <w:t>Section 18.5</w:t>
      </w:r>
      <w:r>
        <w:rPr>
          <w:rFonts w:ascii="Arial" w:cs="Arial" w:eastAsia="Arial" w:hAnsi="Arial"/>
          <w:sz w:val="22"/>
          <w:szCs w:val="22"/>
          <w:color w:val="auto"/>
        </w:rPr>
        <w:t xml:space="preserve"> in which the Series C Holders are entitled to vote as a class (whether separately or together with the holders of any Parity Securities), such Series C Holders shall be entitled to one vote per Series C Preference Unit. Any Series C Preference Units held by the Partnership or any of its subsidiaries or Affiliates shall not be entitled to vote.</w:t>
      </w:r>
    </w:p>
    <w:p>
      <w:pPr>
        <w:spacing w:after="0" w:line="212"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18.6.</w:t>
      </w:r>
      <w:r>
        <w:rPr>
          <w:sz w:val="20"/>
          <w:szCs w:val="20"/>
          <w:color w:val="auto"/>
        </w:rPr>
        <w:tab/>
      </w:r>
      <w:r>
        <w:rPr>
          <w:rFonts w:ascii="Arial" w:cs="Arial" w:eastAsia="Arial" w:hAnsi="Arial"/>
          <w:sz w:val="19"/>
          <w:szCs w:val="19"/>
          <w:i w:val="1"/>
          <w:iCs w:val="1"/>
          <w:color w:val="auto"/>
        </w:rPr>
        <w:t>Optional Redemption</w:t>
      </w:r>
      <w:r>
        <w:rPr>
          <w:rFonts w:ascii="Arial" w:cs="Arial" w:eastAsia="Arial" w:hAnsi="Arial"/>
          <w:sz w:val="19"/>
          <w:szCs w:val="19"/>
          <w:color w:val="auto"/>
        </w:rPr>
        <w:t>.</w:t>
      </w:r>
    </w:p>
    <w:p>
      <w:pPr>
        <w:spacing w:after="0" w:line="233" w:lineRule="exact"/>
        <w:rPr>
          <w:sz w:val="20"/>
          <w:szCs w:val="20"/>
          <w:color w:val="auto"/>
        </w:rPr>
      </w:pPr>
    </w:p>
    <w:p>
      <w:pPr>
        <w:ind w:right="40" w:firstLine="1296"/>
        <w:spacing w:after="0" w:line="257" w:lineRule="auto"/>
        <w:rPr>
          <w:sz w:val="20"/>
          <w:szCs w:val="20"/>
          <w:color w:val="auto"/>
        </w:rPr>
      </w:pPr>
      <w:r>
        <w:rPr>
          <w:rFonts w:ascii="Arial" w:cs="Arial" w:eastAsia="Arial" w:hAnsi="Arial"/>
          <w:sz w:val="21"/>
          <w:szCs w:val="21"/>
          <w:color w:val="auto"/>
        </w:rPr>
        <w:t>The Partnership shall have the right at any time, and from time to time, on or after March 15, 2024 to redeem the Series C Preference Units, in whole or in part, from any source of funds legally available for such purpose. Any such redemption shall occur on a date set by the Board of Directors (the “</w:t>
      </w:r>
      <w:r>
        <w:rPr>
          <w:rFonts w:ascii="Arial" w:cs="Arial" w:eastAsia="Arial" w:hAnsi="Arial"/>
          <w:sz w:val="21"/>
          <w:szCs w:val="21"/>
          <w:b w:val="1"/>
          <w:bCs w:val="1"/>
          <w:i w:val="1"/>
          <w:iCs w:val="1"/>
          <w:color w:val="auto"/>
        </w:rPr>
        <w:t>Series C Redemption Date</w:t>
      </w:r>
      <w:r>
        <w:rPr>
          <w:rFonts w:ascii="Arial" w:cs="Arial" w:eastAsia="Arial" w:hAnsi="Arial"/>
          <w:sz w:val="21"/>
          <w:szCs w:val="21"/>
          <w:color w:val="auto"/>
        </w:rPr>
        <w:t>”).</w:t>
      </w:r>
    </w:p>
    <w:p>
      <w:pPr>
        <w:spacing w:after="0" w:line="196" w:lineRule="exact"/>
        <w:rPr>
          <w:sz w:val="20"/>
          <w:szCs w:val="20"/>
          <w:color w:val="auto"/>
        </w:rPr>
      </w:pPr>
    </w:p>
    <w:p>
      <w:pPr>
        <w:jc w:val="both"/>
        <w:ind w:right="40" w:firstLine="1304"/>
        <w:spacing w:after="0" w:line="287" w:lineRule="auto"/>
        <w:tabs>
          <w:tab w:leader="none" w:pos="2076"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Partnership shall effect any such redemption by paying cash for each Series C Preference Unit to be redeemed equal to the Series C Liquidation Preference for such Series C Preference Unit on such Series C Redemption Date (the “</w:t>
      </w:r>
      <w:r>
        <w:rPr>
          <w:rFonts w:ascii="Arial" w:cs="Arial" w:eastAsia="Arial" w:hAnsi="Arial"/>
          <w:sz w:val="19"/>
          <w:szCs w:val="19"/>
          <w:b w:val="1"/>
          <w:bCs w:val="1"/>
          <w:i w:val="1"/>
          <w:iCs w:val="1"/>
          <w:color w:val="auto"/>
        </w:rPr>
        <w:t>Series C Redemption Price</w:t>
      </w:r>
      <w:r>
        <w:rPr>
          <w:rFonts w:ascii="Arial" w:cs="Arial" w:eastAsia="Arial" w:hAnsi="Arial"/>
          <w:sz w:val="19"/>
          <w:szCs w:val="19"/>
          <w:color w:val="auto"/>
        </w:rPr>
        <w:t>”). So long as the Series C Preference Units to be redeemed are held of record by the nominee of the Depositary, the Series C Redemption Price shall be paid by the Paying Agent to the Depositary on the Series C Redemption Date.</w:t>
      </w:r>
    </w:p>
    <w:p>
      <w:pPr>
        <w:spacing w:after="0" w:line="169" w:lineRule="exact"/>
        <w:rPr>
          <w:rFonts w:ascii="Arial" w:cs="Arial" w:eastAsia="Arial" w:hAnsi="Arial"/>
          <w:sz w:val="19"/>
          <w:szCs w:val="19"/>
          <w:color w:val="auto"/>
        </w:rPr>
      </w:pPr>
    </w:p>
    <w:p>
      <w:pPr>
        <w:ind w:right="220" w:firstLine="1304"/>
        <w:spacing w:after="0" w:line="297" w:lineRule="auto"/>
        <w:tabs>
          <w:tab w:leader="none" w:pos="208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The Partnership shall give notice of any redemption by mail, postage prepaid, not less than 30 days and not more than 60 days before the scheduled Series C Redemption Date to the Series C Holders (as of 5:00 p.m. New York City time on the Business Day next preceding the day on which notice is given) of any Series C Preference Units to be</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89" w:name="page90"/>
    <w:bookmarkEnd w:id="89"/>
    <w:p>
      <w:pPr>
        <w:spacing w:after="0" w:line="246" w:lineRule="auto"/>
        <w:rPr>
          <w:sz w:val="20"/>
          <w:szCs w:val="20"/>
          <w:color w:val="auto"/>
        </w:rPr>
      </w:pPr>
      <w:r>
        <w:rPr>
          <w:rFonts w:ascii="Arial" w:cs="Arial" w:eastAsia="Arial" w:hAnsi="Arial"/>
          <w:sz w:val="21"/>
          <w:szCs w:val="21"/>
          <w:color w:val="auto"/>
        </w:rPr>
        <w:t>redeemed as such Series C Holders’ names appear on the books of the Transfer Agent and at the address of such Series C Holders shown therein. Such notice (the “</w:t>
      </w:r>
      <w:r>
        <w:rPr>
          <w:rFonts w:ascii="Arial" w:cs="Arial" w:eastAsia="Arial" w:hAnsi="Arial"/>
          <w:sz w:val="21"/>
          <w:szCs w:val="21"/>
          <w:b w:val="1"/>
          <w:bCs w:val="1"/>
          <w:i w:val="1"/>
          <w:iCs w:val="1"/>
          <w:color w:val="auto"/>
        </w:rPr>
        <w:t>Series C Redemption Notice</w:t>
      </w:r>
      <w:r>
        <w:rPr>
          <w:rFonts w:ascii="Arial" w:cs="Arial" w:eastAsia="Arial" w:hAnsi="Arial"/>
          <w:sz w:val="21"/>
          <w:szCs w:val="21"/>
          <w:color w:val="auto"/>
        </w:rPr>
        <w:t>”) shall state, as applicable: (1) the Series C Redemption Date, (2) the number of Series C Preference Units to be redeemed and, if less than all Outstanding Series C Preference Units are to be redeemed, the number (and the identification) of Units to be redeemed from such Series C Holder, (3) the Series C Redemption Price, (4) the place where the Series C Preference Units are to be redeemed and shall be presented and surrendered for payment of the Series C Redemption Price therefor and (5) that distributions on the Units to be redeemed shall cease to accumulate from and after such Series C Redemption Date.</w:t>
      </w:r>
    </w:p>
    <w:p>
      <w:pPr>
        <w:spacing w:after="0" w:line="211" w:lineRule="exact"/>
        <w:rPr>
          <w:sz w:val="20"/>
          <w:szCs w:val="20"/>
          <w:color w:val="auto"/>
        </w:rPr>
      </w:pPr>
    </w:p>
    <w:p>
      <w:pPr>
        <w:ind w:right="60" w:firstLine="1304"/>
        <w:spacing w:after="0" w:line="246" w:lineRule="auto"/>
        <w:tabs>
          <w:tab w:leader="none" w:pos="2076" w:val="left"/>
        </w:tabs>
        <w:numPr>
          <w:ilvl w:val="0"/>
          <w:numId w:val="113"/>
        </w:numPr>
        <w:rPr>
          <w:rFonts w:ascii="Arial" w:cs="Arial" w:eastAsia="Arial" w:hAnsi="Arial"/>
          <w:sz w:val="21"/>
          <w:szCs w:val="21"/>
          <w:color w:val="auto"/>
        </w:rPr>
      </w:pPr>
      <w:r>
        <w:rPr>
          <w:rFonts w:ascii="Arial" w:cs="Arial" w:eastAsia="Arial" w:hAnsi="Arial"/>
          <w:sz w:val="21"/>
          <w:szCs w:val="21"/>
          <w:color w:val="auto"/>
        </w:rPr>
        <w:t xml:space="preserve">If the Partnership elects to redeem less than all of the Outstanding Series C Preference Units, the number of Series C Preference Units to be redeemed shall be determined by the Board of Directors, and such Series C Preference Units shall be redeemed by such method of selection as the Depositary shall determine either Pro Rata or by lot, with adjustments to avoid redemption of fractional Series C Preference Units. The aggregate Series C Redemption Price for any such partial redemption of the Outstanding Series C Preference Units shall be allocated correspondingly among the redeemed Series C Preference Units. The Series C Preference Units not redeemed shall remain Outstanding and entitled to all the rights and preferences provided in this </w:t>
      </w:r>
      <w:r>
        <w:rPr>
          <w:rFonts w:ascii="Arial" w:cs="Arial" w:eastAsia="Arial" w:hAnsi="Arial"/>
          <w:sz w:val="21"/>
          <w:szCs w:val="21"/>
          <w:u w:val="single" w:color="auto"/>
          <w:color w:val="auto"/>
        </w:rPr>
        <w:t>Article XVIII</w:t>
      </w:r>
      <w:r>
        <w:rPr>
          <w:rFonts w:ascii="Arial" w:cs="Arial" w:eastAsia="Arial" w:hAnsi="Arial"/>
          <w:sz w:val="21"/>
          <w:szCs w:val="21"/>
          <w:color w:val="auto"/>
        </w:rPr>
        <w:t>.</w:t>
      </w:r>
    </w:p>
    <w:p>
      <w:pPr>
        <w:spacing w:after="0" w:line="211" w:lineRule="exact"/>
        <w:rPr>
          <w:rFonts w:ascii="Arial" w:cs="Arial" w:eastAsia="Arial" w:hAnsi="Arial"/>
          <w:sz w:val="21"/>
          <w:szCs w:val="21"/>
          <w:color w:val="auto"/>
        </w:rPr>
      </w:pPr>
    </w:p>
    <w:p>
      <w:pPr>
        <w:ind w:firstLine="1304"/>
        <w:spacing w:after="0" w:line="270" w:lineRule="auto"/>
        <w:tabs>
          <w:tab w:leader="none" w:pos="208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If the Partnership gives or causes to be given a Series C Redemption Notice, the Partnership shall deposit with the Paying Agent funds, sufficient to redeem the Series C Preference Units, as to which such Series C Redemption Notice shall have been given, no later than 5:00 p.m. New York City time on the Business Day immediately preceding the Series C Redemption Date, and shall give the Paying Agent irrevocable instructions and authority to pay the Series C Redemption Price to the Series C Holders to be redeemed upon surrender or deemed surrender (which shall occur automatically if the Certificate representing such Series C Preference Units is issued in the name of the Depositary or its nominee) of the Certificates therefor as set forth in the Series C Redemption Notice. If the Series C Redemption Notice shall have been given, from and after the Series C Redemption Date, unless the Partnership defaults in providing funds sufficient for such redemption at the time and place specified for payment pursuant to the Series C Redemption Notice, all Series C Distributions on such Series C Preference Units to be redeemed shall cease to accumulate and all rights of holders of such Series C Preference Units as Limited Partners with respect to such Series C Preference Units to be redeemed shall cease, except the right to receive the Series C Redemption Price, and such Series C Preference Units shall not thereafter be transferred on the books of the Transfer Agent or be deemed to be Outstanding for any purpose whatsoever. The Partnership shall be entitled to receive from the Paying Agent the interest income, if any, earned on such funds deposited with the Paying Agent (to the extent that such interest income is not required to pay the Series C Redemption Price of the Series C Preference Units to be redeemed), and the holders of any Series C Preference Units so redeemed shall have no claim to any such interest income. Any funds deposited with the Paying Agent hereunder by the Partnership for any reason, including redemption of Series C Preference Units, that remain unclaimed or unpaid after two years after the applicable Series C Redemption Date or other payment date, as applicable, shall be, to the extent permitted by law, repaid to the Partnership upon its written request, after which repayment the Series C Holders entitled to such redemption or other payment shall have recourse only to the Partnership. Notwithstanding any Series C Redemption Notice, there shall be no redemption of</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604" w:right="379" w:bottom="1440" w:gutter="0" w:footer="0" w:header="0"/>
        </w:sectPr>
      </w:pPr>
    </w:p>
    <w:bookmarkStart w:id="90" w:name="page91"/>
    <w:bookmarkEnd w:id="90"/>
    <w:p>
      <w:pPr>
        <w:ind w:right="540"/>
        <w:spacing w:after="0" w:line="250" w:lineRule="auto"/>
        <w:rPr>
          <w:sz w:val="20"/>
          <w:szCs w:val="20"/>
          <w:color w:val="auto"/>
        </w:rPr>
      </w:pPr>
      <w:r>
        <w:rPr>
          <w:rFonts w:ascii="Arial" w:cs="Arial" w:eastAsia="Arial" w:hAnsi="Arial"/>
          <w:sz w:val="22"/>
          <w:szCs w:val="22"/>
          <w:color w:val="auto"/>
        </w:rPr>
        <w:t>any Series C Preference Units called for redemption until funds sufficient to pay the full Series C Redemption Price of such Series C Preference Units shall have been deposited by the Partnership with the Paying Agent.</w:t>
      </w:r>
    </w:p>
    <w:p>
      <w:pPr>
        <w:spacing w:after="0" w:line="202" w:lineRule="exact"/>
        <w:rPr>
          <w:sz w:val="20"/>
          <w:szCs w:val="20"/>
          <w:color w:val="auto"/>
        </w:rPr>
      </w:pPr>
    </w:p>
    <w:p>
      <w:pPr>
        <w:ind w:right="140" w:firstLine="1304"/>
        <w:spacing w:after="0" w:line="279" w:lineRule="auto"/>
        <w:tabs>
          <w:tab w:leader="none" w:pos="2076" w:val="left"/>
        </w:tabs>
        <w:numPr>
          <w:ilvl w:val="0"/>
          <w:numId w:val="114"/>
        </w:numPr>
        <w:rPr>
          <w:rFonts w:ascii="Arial" w:cs="Arial" w:eastAsia="Arial" w:hAnsi="Arial"/>
          <w:sz w:val="19"/>
          <w:szCs w:val="19"/>
          <w:color w:val="auto"/>
        </w:rPr>
      </w:pPr>
      <w:r>
        <w:rPr>
          <w:rFonts w:ascii="Arial" w:cs="Arial" w:eastAsia="Arial" w:hAnsi="Arial"/>
          <w:sz w:val="19"/>
          <w:szCs w:val="19"/>
          <w:color w:val="auto"/>
        </w:rPr>
        <w:t>Any Series C Preference Units that are redeemed or otherwise acquired by the Partnership shall be canceled. If only a portion of the Series C Preference Units represented by a Certificate shall have been called for redemption, upon surrender of the Certificate to the Paying Agent (which shall occur automatically if the Certificate representing such Series C Preference Units is registered in the name of the Depositary or its nominee), the Paying Agent shall issue to the Series C Holders a new Certificate (or adjust the applicable book-entry account) representing the number of Series C Preference Units represented by the surrendered Certificate that have not been called for redemption.</w:t>
      </w:r>
    </w:p>
    <w:p>
      <w:pPr>
        <w:spacing w:after="0" w:line="177" w:lineRule="exact"/>
        <w:rPr>
          <w:rFonts w:ascii="Arial" w:cs="Arial" w:eastAsia="Arial" w:hAnsi="Arial"/>
          <w:sz w:val="19"/>
          <w:szCs w:val="19"/>
          <w:color w:val="auto"/>
        </w:rPr>
      </w:pPr>
    </w:p>
    <w:p>
      <w:pPr>
        <w:ind w:right="80" w:firstLine="1304"/>
        <w:spacing w:after="0" w:line="245" w:lineRule="auto"/>
        <w:tabs>
          <w:tab w:leader="none" w:pos="2052" w:val="left"/>
        </w:tabs>
        <w:numPr>
          <w:ilvl w:val="0"/>
          <w:numId w:val="114"/>
        </w:numPr>
        <w:rPr>
          <w:rFonts w:ascii="Arial" w:cs="Arial" w:eastAsia="Arial" w:hAnsi="Arial"/>
          <w:sz w:val="21"/>
          <w:szCs w:val="21"/>
          <w:color w:val="auto"/>
        </w:rPr>
      </w:pPr>
      <w:r>
        <w:rPr>
          <w:rFonts w:ascii="Arial" w:cs="Arial" w:eastAsia="Arial" w:hAnsi="Arial"/>
          <w:sz w:val="21"/>
          <w:szCs w:val="21"/>
          <w:color w:val="auto"/>
        </w:rPr>
        <w:t xml:space="preserve">Notwithstanding anything to the contrary in this </w:t>
      </w:r>
      <w:r>
        <w:rPr>
          <w:rFonts w:ascii="Arial" w:cs="Arial" w:eastAsia="Arial" w:hAnsi="Arial"/>
          <w:sz w:val="21"/>
          <w:szCs w:val="21"/>
          <w:u w:val="single" w:color="auto"/>
          <w:color w:val="auto"/>
        </w:rPr>
        <w:t>Article XVIII</w:t>
      </w:r>
      <w:r>
        <w:rPr>
          <w:rFonts w:ascii="Arial" w:cs="Arial" w:eastAsia="Arial" w:hAnsi="Arial"/>
          <w:sz w:val="21"/>
          <w:szCs w:val="21"/>
          <w:color w:val="auto"/>
        </w:rPr>
        <w:t>, in the event that full cumulative distributions on the Series C Preference Units and any other Parity Securities shall not have been paid or declared and set apart for payment, none of the Partnership, the General Partner or any Affiliate of the General Partner shall be permitted to repurchase, redeem or otherwise acquire, in whole or in part, any Series C Preference Units or other Parity Securities except pursuant to a purchase or exchange offer made on the same terms to all Series C Holders and holders of any other Parity Securities. None of the Partnership, the General Partner or any Affiliate of the General Partner shall be permitted to redeem, repurchase or otherwise acquire any Common Units or any other Junior Securities unless full cumulative distributions on the Series C Preference Units and any other Parity Securities for all prior and the then-ending Series C Distribution Periods shall have been paid or declared and set apart for payment.</w:t>
      </w:r>
    </w:p>
    <w:p>
      <w:pPr>
        <w:spacing w:after="0" w:line="211" w:lineRule="exact"/>
        <w:rPr>
          <w:sz w:val="20"/>
          <w:szCs w:val="20"/>
          <w:color w:val="auto"/>
        </w:rPr>
      </w:pPr>
    </w:p>
    <w:p>
      <w:pPr>
        <w:ind w:left="1300"/>
        <w:spacing w:after="0"/>
        <w:tabs>
          <w:tab w:leader="none" w:pos="2960" w:val="left"/>
        </w:tabs>
        <w:rPr>
          <w:sz w:val="20"/>
          <w:szCs w:val="20"/>
          <w:color w:val="auto"/>
        </w:rPr>
      </w:pPr>
      <w:r>
        <w:rPr>
          <w:rFonts w:ascii="Arial" w:cs="Arial" w:eastAsia="Arial" w:hAnsi="Arial"/>
          <w:sz w:val="22"/>
          <w:szCs w:val="22"/>
          <w:color w:val="auto"/>
        </w:rPr>
        <w:t>Section 18.7.</w:t>
      </w:r>
      <w:r>
        <w:rPr>
          <w:sz w:val="20"/>
          <w:szCs w:val="20"/>
          <w:color w:val="auto"/>
        </w:rPr>
        <w:tab/>
      </w:r>
      <w:r>
        <w:rPr>
          <w:rFonts w:ascii="Arial" w:cs="Arial" w:eastAsia="Arial" w:hAnsi="Arial"/>
          <w:sz w:val="19"/>
          <w:szCs w:val="19"/>
          <w:i w:val="1"/>
          <w:iCs w:val="1"/>
          <w:color w:val="auto"/>
        </w:rPr>
        <w:t>Rank</w:t>
      </w:r>
      <w:r>
        <w:rPr>
          <w:rFonts w:ascii="Arial" w:cs="Arial" w:eastAsia="Arial" w:hAnsi="Arial"/>
          <w:sz w:val="19"/>
          <w:szCs w:val="19"/>
          <w:color w:val="auto"/>
        </w:rPr>
        <w:t>. The Series C Preference Units shall each be deemed to rank:</w:t>
      </w:r>
    </w:p>
    <w:p>
      <w:pPr>
        <w:spacing w:after="0" w:line="233" w:lineRule="exact"/>
        <w:rPr>
          <w:sz w:val="20"/>
          <w:szCs w:val="20"/>
          <w:color w:val="auto"/>
        </w:rPr>
      </w:pPr>
    </w:p>
    <w:p>
      <w:pPr>
        <w:ind w:left="2080" w:hanging="776"/>
        <w:spacing w:after="0"/>
        <w:tabs>
          <w:tab w:leader="none" w:pos="20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senior to any Junior Securities;</w:t>
      </w:r>
    </w:p>
    <w:p>
      <w:pPr>
        <w:spacing w:after="0" w:line="233" w:lineRule="exact"/>
        <w:rPr>
          <w:rFonts w:ascii="Arial" w:cs="Arial" w:eastAsia="Arial" w:hAnsi="Arial"/>
          <w:sz w:val="22"/>
          <w:szCs w:val="22"/>
          <w:color w:val="auto"/>
        </w:rPr>
      </w:pPr>
    </w:p>
    <w:p>
      <w:pPr>
        <w:ind w:left="2100" w:hanging="796"/>
        <w:spacing w:after="0"/>
        <w:tabs>
          <w:tab w:leader="none" w:pos="21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on a parity with any Parity Securities; and</w:t>
      </w:r>
    </w:p>
    <w:p>
      <w:pPr>
        <w:spacing w:after="0" w:line="233" w:lineRule="exact"/>
        <w:rPr>
          <w:rFonts w:ascii="Arial" w:cs="Arial" w:eastAsia="Arial" w:hAnsi="Arial"/>
          <w:sz w:val="22"/>
          <w:szCs w:val="22"/>
          <w:color w:val="auto"/>
        </w:rPr>
      </w:pPr>
    </w:p>
    <w:p>
      <w:pPr>
        <w:ind w:left="2080" w:hanging="776"/>
        <w:spacing w:after="0"/>
        <w:tabs>
          <w:tab w:leader="none" w:pos="208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junior to any Senior Securities.</w:t>
      </w:r>
    </w:p>
    <w:p>
      <w:pPr>
        <w:spacing w:after="0" w:line="233" w:lineRule="exact"/>
        <w:rPr>
          <w:sz w:val="20"/>
          <w:szCs w:val="20"/>
          <w:color w:val="auto"/>
        </w:rPr>
      </w:pPr>
    </w:p>
    <w:p>
      <w:pPr>
        <w:ind w:right="20" w:firstLine="1296"/>
        <w:spacing w:after="0" w:line="282" w:lineRule="auto"/>
        <w:rPr>
          <w:sz w:val="20"/>
          <w:szCs w:val="20"/>
          <w:color w:val="auto"/>
        </w:rPr>
      </w:pPr>
      <w:r>
        <w:rPr>
          <w:rFonts w:ascii="Arial" w:cs="Arial" w:eastAsia="Arial" w:hAnsi="Arial"/>
          <w:sz w:val="19"/>
          <w:szCs w:val="19"/>
          <w:color w:val="auto"/>
        </w:rPr>
        <w:t xml:space="preserve">The Partnership may issue Junior Securities and, subject to any approvals required by Series A Holders pursuant to </w:t>
      </w:r>
      <w:r>
        <w:rPr>
          <w:rFonts w:ascii="Arial" w:cs="Arial" w:eastAsia="Arial" w:hAnsi="Arial"/>
          <w:sz w:val="19"/>
          <w:szCs w:val="19"/>
          <w:u w:val="single" w:color="auto"/>
          <w:color w:val="auto"/>
        </w:rPr>
        <w:t>Section 16.5(c)(ii)</w:t>
      </w:r>
      <w:r>
        <w:rPr>
          <w:rFonts w:ascii="Arial" w:cs="Arial" w:eastAsia="Arial" w:hAnsi="Arial"/>
          <w:sz w:val="19"/>
          <w:szCs w:val="19"/>
          <w:color w:val="auto"/>
        </w:rPr>
        <w:t xml:space="preserve">, Series B Holders pursuant to </w:t>
      </w:r>
      <w:r>
        <w:rPr>
          <w:rFonts w:ascii="Arial" w:cs="Arial" w:eastAsia="Arial" w:hAnsi="Arial"/>
          <w:sz w:val="19"/>
          <w:szCs w:val="19"/>
          <w:u w:val="single" w:color="auto"/>
          <w:color w:val="auto"/>
        </w:rPr>
        <w:t>Section 17.5(c)(ii)</w:t>
      </w:r>
      <w:r>
        <w:rPr>
          <w:rFonts w:ascii="Arial" w:cs="Arial" w:eastAsia="Arial" w:hAnsi="Arial"/>
          <w:sz w:val="19"/>
          <w:szCs w:val="19"/>
          <w:color w:val="auto"/>
        </w:rPr>
        <w:t xml:space="preserve"> and Series C Holders pursuant to </w:t>
      </w:r>
      <w:r>
        <w:rPr>
          <w:rFonts w:ascii="Arial" w:cs="Arial" w:eastAsia="Arial" w:hAnsi="Arial"/>
          <w:sz w:val="19"/>
          <w:szCs w:val="19"/>
          <w:u w:val="single" w:color="auto"/>
          <w:color w:val="auto"/>
        </w:rPr>
        <w:t>Section 18.5(c)(ii)</w:t>
      </w:r>
      <w:r>
        <w:rPr>
          <w:rFonts w:ascii="Arial" w:cs="Arial" w:eastAsia="Arial" w:hAnsi="Arial"/>
          <w:sz w:val="19"/>
          <w:szCs w:val="19"/>
          <w:color w:val="auto"/>
        </w:rPr>
        <w:t>, Parity Securities from time to time in one or more classes or series without the consent of the Series C Holders. The Board of Directors has the authority to determine the preferences, powers, qualifications, limitations, restrictions and special or relative rights or privileges, if any, of any such class or series before the issuance of any Partnership Interests of such class or series.</w:t>
      </w:r>
    </w:p>
    <w:p>
      <w:pPr>
        <w:spacing w:after="0" w:line="174" w:lineRule="exact"/>
        <w:rPr>
          <w:sz w:val="20"/>
          <w:szCs w:val="20"/>
          <w:color w:val="auto"/>
        </w:rPr>
      </w:pPr>
    </w:p>
    <w:p>
      <w:pPr>
        <w:jc w:val="right"/>
        <w:spacing w:after="0"/>
        <w:tabs>
          <w:tab w:leader="none" w:pos="8240" w:val="left"/>
        </w:tabs>
        <w:rPr>
          <w:sz w:val="20"/>
          <w:szCs w:val="20"/>
          <w:color w:val="auto"/>
        </w:rPr>
      </w:pPr>
      <w:r>
        <w:rPr>
          <w:rFonts w:ascii="Arial" w:cs="Arial" w:eastAsia="Arial" w:hAnsi="Arial"/>
          <w:sz w:val="22"/>
          <w:szCs w:val="22"/>
          <w:color w:val="auto"/>
        </w:rPr>
        <w:t>Section 18.8.</w:t>
      </w:r>
      <w:r>
        <w:rPr>
          <w:sz w:val="20"/>
          <w:szCs w:val="20"/>
          <w:color w:val="auto"/>
        </w:rPr>
        <w:tab/>
      </w:r>
      <w:r>
        <w:rPr>
          <w:rFonts w:ascii="Arial" w:cs="Arial" w:eastAsia="Arial" w:hAnsi="Arial"/>
          <w:sz w:val="19"/>
          <w:szCs w:val="19"/>
          <w:i w:val="1"/>
          <w:iCs w:val="1"/>
          <w:color w:val="auto"/>
        </w:rPr>
        <w:t>No Sinking Fund</w:t>
      </w:r>
      <w:r>
        <w:rPr>
          <w:rFonts w:ascii="Arial" w:cs="Arial" w:eastAsia="Arial" w:hAnsi="Arial"/>
          <w:sz w:val="19"/>
          <w:szCs w:val="19"/>
          <w:color w:val="auto"/>
        </w:rPr>
        <w:t>. The Series C Preference Units shall not have the benefit of any sinking fund.</w:t>
      </w:r>
    </w:p>
    <w:p>
      <w:pPr>
        <w:spacing w:after="0" w:line="233" w:lineRule="exact"/>
        <w:rPr>
          <w:sz w:val="20"/>
          <w:szCs w:val="20"/>
          <w:color w:val="auto"/>
        </w:rPr>
      </w:pPr>
    </w:p>
    <w:p>
      <w:pPr>
        <w:ind w:right="740" w:firstLine="1296"/>
        <w:spacing w:after="0" w:line="250" w:lineRule="auto"/>
        <w:rPr>
          <w:sz w:val="20"/>
          <w:szCs w:val="20"/>
          <w:color w:val="auto"/>
        </w:rPr>
      </w:pPr>
      <w:r>
        <w:rPr>
          <w:rFonts w:ascii="Arial" w:cs="Arial" w:eastAsia="Arial" w:hAnsi="Arial"/>
          <w:sz w:val="22"/>
          <w:szCs w:val="22"/>
          <w:color w:val="auto"/>
        </w:rPr>
        <w:t xml:space="preserve">Section 18.9. </w:t>
      </w:r>
      <w:r>
        <w:rPr>
          <w:rFonts w:ascii="Arial" w:cs="Arial" w:eastAsia="Arial" w:hAnsi="Arial"/>
          <w:sz w:val="22"/>
          <w:szCs w:val="22"/>
          <w:i w:val="1"/>
          <w:iCs w:val="1"/>
          <w:color w:val="auto"/>
        </w:rPr>
        <w:t>Record Holders</w:t>
      </w:r>
      <w:r>
        <w:rPr>
          <w:rFonts w:ascii="Arial" w:cs="Arial" w:eastAsia="Arial" w:hAnsi="Arial"/>
          <w:sz w:val="22"/>
          <w:szCs w:val="22"/>
          <w:color w:val="auto"/>
        </w:rPr>
        <w:t>. To the fullest extent permitted by applicable law, the General Partner, Partnership, the Transfer Agent and the Paying Agent may deem and treat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91" w:name="page92"/>
    <w:bookmarkEnd w:id="91"/>
    <w:p>
      <w:pPr>
        <w:jc w:val="both"/>
        <w:ind w:right="500"/>
        <w:spacing w:after="0"/>
        <w:rPr>
          <w:sz w:val="20"/>
          <w:szCs w:val="20"/>
          <w:color w:val="auto"/>
        </w:rPr>
      </w:pPr>
      <w:r>
        <w:rPr>
          <w:rFonts w:ascii="Arial" w:cs="Arial" w:eastAsia="Arial" w:hAnsi="Arial"/>
          <w:sz w:val="22"/>
          <w:szCs w:val="22"/>
          <w:color w:val="auto"/>
        </w:rPr>
        <w:t>any Series C Holder as the true, lawful and absolute owner of the applicable Series C Preference Units for all purposes, and neither the General Partner, the Partnership nor the Transfer Agent or the Paying Agent shall be affected by any notice to the contrary.</w:t>
      </w:r>
    </w:p>
    <w:p>
      <w:pPr>
        <w:spacing w:after="0" w:line="213" w:lineRule="exact"/>
        <w:rPr>
          <w:sz w:val="20"/>
          <w:szCs w:val="20"/>
          <w:color w:val="auto"/>
        </w:rPr>
      </w:pPr>
    </w:p>
    <w:p>
      <w:pPr>
        <w:ind w:right="260" w:firstLine="1296"/>
        <w:spacing w:after="0"/>
        <w:rPr>
          <w:sz w:val="20"/>
          <w:szCs w:val="20"/>
          <w:color w:val="auto"/>
        </w:rPr>
      </w:pPr>
      <w:r>
        <w:rPr>
          <w:rFonts w:ascii="Arial" w:cs="Arial" w:eastAsia="Arial" w:hAnsi="Arial"/>
          <w:sz w:val="22"/>
          <w:szCs w:val="22"/>
          <w:color w:val="auto"/>
        </w:rPr>
        <w:t xml:space="preserve">Section 18.10. </w:t>
      </w:r>
      <w:r>
        <w:rPr>
          <w:rFonts w:ascii="Arial" w:cs="Arial" w:eastAsia="Arial" w:hAnsi="Arial"/>
          <w:sz w:val="22"/>
          <w:szCs w:val="22"/>
          <w:i w:val="1"/>
          <w:iCs w:val="1"/>
          <w:color w:val="auto"/>
        </w:rPr>
        <w:t>Notices</w:t>
      </w:r>
      <w:r>
        <w:rPr>
          <w:rFonts w:ascii="Arial" w:cs="Arial" w:eastAsia="Arial" w:hAnsi="Arial"/>
          <w:sz w:val="22"/>
          <w:szCs w:val="22"/>
          <w:color w:val="auto"/>
        </w:rPr>
        <w:t xml:space="preserve">. All notices or communications in respect of the Series C Preference Units shall be sufficiently given if given in writing and delivered in person or by first class mail, postage prepaid, or if given in such other manner as may be permitted in this </w:t>
      </w:r>
      <w:r>
        <w:rPr>
          <w:rFonts w:ascii="Arial" w:cs="Arial" w:eastAsia="Arial" w:hAnsi="Arial"/>
          <w:sz w:val="22"/>
          <w:szCs w:val="22"/>
          <w:u w:val="single" w:color="auto"/>
          <w:color w:val="auto"/>
        </w:rPr>
        <w:t>Article XVIII</w:t>
      </w:r>
      <w:r>
        <w:rPr>
          <w:rFonts w:ascii="Arial" w:cs="Arial" w:eastAsia="Arial" w:hAnsi="Arial"/>
          <w:sz w:val="22"/>
          <w:szCs w:val="22"/>
          <w:color w:val="auto"/>
        </w:rPr>
        <w:t>, this Agreement or by applicable law.</w:t>
      </w:r>
    </w:p>
    <w:p>
      <w:pPr>
        <w:spacing w:after="0" w:line="213" w:lineRule="exact"/>
        <w:rPr>
          <w:sz w:val="20"/>
          <w:szCs w:val="20"/>
          <w:color w:val="auto"/>
        </w:rPr>
      </w:pPr>
    </w:p>
    <w:p>
      <w:pPr>
        <w:ind w:right="80" w:firstLine="1296"/>
        <w:spacing w:after="0" w:line="235" w:lineRule="auto"/>
        <w:rPr>
          <w:sz w:val="20"/>
          <w:szCs w:val="20"/>
          <w:color w:val="auto"/>
        </w:rPr>
      </w:pPr>
      <w:r>
        <w:rPr>
          <w:rFonts w:ascii="Arial" w:cs="Arial" w:eastAsia="Arial" w:hAnsi="Arial"/>
          <w:sz w:val="22"/>
          <w:szCs w:val="22"/>
          <w:color w:val="auto"/>
        </w:rPr>
        <w:t xml:space="preserve">Section 18.11. </w:t>
      </w:r>
      <w:r>
        <w:rPr>
          <w:rFonts w:ascii="Arial" w:cs="Arial" w:eastAsia="Arial" w:hAnsi="Arial"/>
          <w:sz w:val="22"/>
          <w:szCs w:val="22"/>
          <w:i w:val="1"/>
          <w:iCs w:val="1"/>
          <w:color w:val="auto"/>
        </w:rPr>
        <w:t>Other Rights; Fiduciary Duties</w:t>
      </w:r>
      <w:r>
        <w:rPr>
          <w:rFonts w:ascii="Arial" w:cs="Arial" w:eastAsia="Arial" w:hAnsi="Arial"/>
          <w:sz w:val="22"/>
          <w:szCs w:val="22"/>
          <w:color w:val="auto"/>
        </w:rPr>
        <w:t xml:space="preserve">. The Series C Preference Units shall not have any voting powers, preferences or relative, participating, optional or other special rights, or qualifications, limitations or restrictions thereof, other than as set forth in this </w:t>
      </w:r>
      <w:r>
        <w:rPr>
          <w:rFonts w:ascii="Arial" w:cs="Arial" w:eastAsia="Arial" w:hAnsi="Arial"/>
          <w:sz w:val="22"/>
          <w:szCs w:val="22"/>
          <w:u w:val="single" w:color="auto"/>
          <w:color w:val="auto"/>
        </w:rPr>
        <w:t>Article XVIII</w:t>
      </w:r>
      <w:r>
        <w:rPr>
          <w:rFonts w:ascii="Arial" w:cs="Arial" w:eastAsia="Arial" w:hAnsi="Arial"/>
          <w:sz w:val="22"/>
          <w:szCs w:val="22"/>
          <w:color w:val="auto"/>
        </w:rPr>
        <w:t xml:space="preserve"> or as provided by applicable law. Notwithstanding anything to the contrary in this Agreement, but subject to </w:t>
      </w:r>
      <w:r>
        <w:rPr>
          <w:rFonts w:ascii="Arial" w:cs="Arial" w:eastAsia="Arial" w:hAnsi="Arial"/>
          <w:sz w:val="22"/>
          <w:szCs w:val="22"/>
          <w:u w:val="single" w:color="auto"/>
          <w:color w:val="auto"/>
        </w:rPr>
        <w:t>Section 7.15(c)</w:t>
      </w:r>
      <w:r>
        <w:rPr>
          <w:rFonts w:ascii="Arial" w:cs="Arial" w:eastAsia="Arial" w:hAnsi="Arial"/>
          <w:sz w:val="22"/>
          <w:szCs w:val="22"/>
          <w:color w:val="auto"/>
        </w:rPr>
        <w:t xml:space="preserve"> and without reference to the definition of “good faith” in </w:t>
      </w:r>
      <w:r>
        <w:rPr>
          <w:rFonts w:ascii="Arial" w:cs="Arial" w:eastAsia="Arial" w:hAnsi="Arial"/>
          <w:sz w:val="22"/>
          <w:szCs w:val="22"/>
          <w:u w:val="single" w:color="auto"/>
          <w:color w:val="auto"/>
        </w:rPr>
        <w:t>Section 7.15(b)</w:t>
      </w:r>
      <w:r>
        <w:rPr>
          <w:rFonts w:ascii="Arial" w:cs="Arial" w:eastAsia="Arial" w:hAnsi="Arial"/>
          <w:sz w:val="22"/>
          <w:szCs w:val="22"/>
          <w:color w:val="auto"/>
        </w:rPr>
        <w:t>, neither the General Partner nor any other Indemnitee shall owe any fiduciary duties to Series C Holders, other than the implied duty of good faith and fair dealing.</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XIX</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GENERAL PROVISIONS</w:t>
      </w:r>
    </w:p>
    <w:p>
      <w:pPr>
        <w:spacing w:after="0" w:line="215" w:lineRule="exact"/>
        <w:rPr>
          <w:sz w:val="20"/>
          <w:szCs w:val="20"/>
          <w:color w:val="auto"/>
        </w:rPr>
      </w:pPr>
    </w:p>
    <w:p>
      <w:pPr>
        <w:ind w:firstLine="1296"/>
        <w:spacing w:after="0" w:line="270" w:lineRule="auto"/>
        <w:rPr>
          <w:sz w:val="20"/>
          <w:szCs w:val="20"/>
          <w:color w:val="auto"/>
        </w:rPr>
      </w:pPr>
      <w:r>
        <w:rPr>
          <w:rFonts w:ascii="Arial" w:cs="Arial" w:eastAsia="Arial" w:hAnsi="Arial"/>
          <w:sz w:val="19"/>
          <w:szCs w:val="19"/>
          <w:color w:val="auto"/>
        </w:rPr>
        <w:t xml:space="preserve">Section 19.1. </w:t>
      </w:r>
      <w:r>
        <w:rPr>
          <w:rFonts w:ascii="Arial" w:cs="Arial" w:eastAsia="Arial" w:hAnsi="Arial"/>
          <w:sz w:val="19"/>
          <w:szCs w:val="19"/>
          <w:i w:val="1"/>
          <w:iCs w:val="1"/>
          <w:color w:val="auto"/>
        </w:rPr>
        <w:t>Addresses and Notices</w:t>
      </w:r>
      <w:r>
        <w:rPr>
          <w:rFonts w:ascii="Arial" w:cs="Arial" w:eastAsia="Arial" w:hAnsi="Arial"/>
          <w:sz w:val="19"/>
          <w:szCs w:val="19"/>
          <w:color w:val="auto"/>
        </w:rPr>
        <w:t xml:space="preserve">. (a) Any notice, demand, request, report or proxy materials required or permitted to be given or made to a Partner under this Agreement shall be in writing and shall be deemed given or made when delivered in person or when sent by first class United States mail or by other means of written communication to the Partner at the address described below. Any notice, payment or report to be given or made to a Partner hereunder shall be deemed conclusively to have been given or made, and the obligation to give such notice or report or to make such payment shall be deemed conclusively to have been fully satisfied, upon sending of such notice, payment or report to the Record Holder of such Partnership Interests at his address as shown on the records of the Transfer Agent or as otherwise shown on the records of the Partnership, regardless of any claim of any Person who may have an interest in such Partnership Interests by reason of any assignment or otherwise. An affidavit or certificate of making of any notice, payment or report in accordance with the provisions of this </w:t>
      </w:r>
      <w:r>
        <w:rPr>
          <w:rFonts w:ascii="Arial" w:cs="Arial" w:eastAsia="Arial" w:hAnsi="Arial"/>
          <w:sz w:val="19"/>
          <w:szCs w:val="19"/>
          <w:u w:val="single" w:color="auto"/>
          <w:color w:val="auto"/>
        </w:rPr>
        <w:t>Section 19.1</w:t>
      </w:r>
      <w:r>
        <w:rPr>
          <w:rFonts w:ascii="Arial" w:cs="Arial" w:eastAsia="Arial" w:hAnsi="Arial"/>
          <w:sz w:val="19"/>
          <w:szCs w:val="19"/>
          <w:color w:val="auto"/>
        </w:rPr>
        <w:t xml:space="preserve"> executed by a member of the Board of Directors, the General Partner, the Transfer Agent or the mailing organization shall be prima facie evidence of the giving or making of such notice, payment or report. If any notice, payment or report addressed to a Record Holder at the address of such Record Holder appearing on the books and records of the Transfer Agent or the Partnership is returned by the United States Postal Service marked to indicate that the United States Postal Service is unable to deliver it, such notice, payment or report and any subsequent notices, payments and reports shall be deemed to have been duly given or made without further mailing (until such time as such Record Holder or another Person notifies the Transfer Agent or the Partnership of a change in his address) if they are available for the Partner at the principal office of the Partnership for a period of one year from the date of the giving or making of such notice, payment or report to the other Partners. Any notice to the Partnership shall be deemed given if received by the General Partner or the Board of Directors at the principal office of the Partnership designated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 The General Partner and the Board of Directors may rely and shall be protected in relying on any notice or other document from a Partner or other Person if believed by it to be genuine.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4" w:right="339" w:bottom="1440" w:gutter="0" w:footer="0" w:header="0"/>
        </w:sectPr>
      </w:pPr>
    </w:p>
    <w:bookmarkStart w:id="92" w:name="page93"/>
    <w:bookmarkEnd w:id="92"/>
    <w:p>
      <w:pPr>
        <w:ind w:right="80" w:firstLine="1304"/>
        <w:spacing w:after="0" w:line="250" w:lineRule="auto"/>
        <w:tabs>
          <w:tab w:leader="none" w:pos="208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terms “in writing,” “written communications,” “written notice” and words of similar import shall be deemed satisfied under this Agreement by use of e-mail and other forms of electronic communication.</w:t>
      </w:r>
    </w:p>
    <w:p>
      <w:pPr>
        <w:spacing w:after="0" w:line="202" w:lineRule="exact"/>
        <w:rPr>
          <w:sz w:val="20"/>
          <w:szCs w:val="20"/>
          <w:color w:val="auto"/>
        </w:rPr>
      </w:pPr>
    </w:p>
    <w:p>
      <w:pPr>
        <w:ind w:right="260" w:firstLine="1296"/>
        <w:spacing w:after="0" w:line="328" w:lineRule="auto"/>
        <w:rPr>
          <w:sz w:val="20"/>
          <w:szCs w:val="20"/>
          <w:color w:val="auto"/>
        </w:rPr>
      </w:pPr>
      <w:r>
        <w:rPr>
          <w:rFonts w:ascii="Arial" w:cs="Arial" w:eastAsia="Arial" w:hAnsi="Arial"/>
          <w:sz w:val="19"/>
          <w:szCs w:val="19"/>
          <w:color w:val="auto"/>
        </w:rPr>
        <w:t xml:space="preserve">Section 19.2. </w:t>
      </w:r>
      <w:r>
        <w:rPr>
          <w:rFonts w:ascii="Arial" w:cs="Arial" w:eastAsia="Arial" w:hAnsi="Arial"/>
          <w:sz w:val="19"/>
          <w:szCs w:val="19"/>
          <w:i w:val="1"/>
          <w:iCs w:val="1"/>
          <w:color w:val="auto"/>
        </w:rPr>
        <w:t>Further Action</w:t>
      </w:r>
      <w:r>
        <w:rPr>
          <w:rFonts w:ascii="Arial" w:cs="Arial" w:eastAsia="Arial" w:hAnsi="Arial"/>
          <w:sz w:val="19"/>
          <w:szCs w:val="19"/>
          <w:color w:val="auto"/>
        </w:rPr>
        <w:t>. The parties shall execute and deliver all documents, provide all information and take or refrain from taking action as may be necessary or appropriate to achieve the purposes of this Agreement.</w:t>
      </w:r>
    </w:p>
    <w:p>
      <w:pPr>
        <w:spacing w:after="0" w:line="132" w:lineRule="exact"/>
        <w:rPr>
          <w:sz w:val="20"/>
          <w:szCs w:val="20"/>
          <w:color w:val="auto"/>
        </w:rPr>
      </w:pPr>
    </w:p>
    <w:p>
      <w:pPr>
        <w:ind w:right="300" w:firstLine="1296"/>
        <w:spacing w:after="0" w:line="328" w:lineRule="auto"/>
        <w:rPr>
          <w:sz w:val="20"/>
          <w:szCs w:val="20"/>
          <w:color w:val="auto"/>
        </w:rPr>
      </w:pPr>
      <w:r>
        <w:rPr>
          <w:rFonts w:ascii="Arial" w:cs="Arial" w:eastAsia="Arial" w:hAnsi="Arial"/>
          <w:sz w:val="19"/>
          <w:szCs w:val="19"/>
          <w:color w:val="auto"/>
        </w:rPr>
        <w:t xml:space="preserve">Section 19.3. </w:t>
      </w:r>
      <w:r>
        <w:rPr>
          <w:rFonts w:ascii="Arial" w:cs="Arial" w:eastAsia="Arial" w:hAnsi="Arial"/>
          <w:sz w:val="19"/>
          <w:szCs w:val="19"/>
          <w:i w:val="1"/>
          <w:iCs w:val="1"/>
          <w:color w:val="auto"/>
        </w:rPr>
        <w:t>Binding Effect</w:t>
      </w:r>
      <w:r>
        <w:rPr>
          <w:rFonts w:ascii="Arial" w:cs="Arial" w:eastAsia="Arial" w:hAnsi="Arial"/>
          <w:sz w:val="19"/>
          <w:szCs w:val="19"/>
          <w:color w:val="auto"/>
        </w:rPr>
        <w:t>. This Agreement shall be binding upon and inure to the benefit of the parties hereto and their respective heirs, executors, administrators, successors, legal representatives and permitted assigns.</w:t>
      </w:r>
    </w:p>
    <w:p>
      <w:pPr>
        <w:spacing w:after="0" w:line="132" w:lineRule="exact"/>
        <w:rPr>
          <w:sz w:val="20"/>
          <w:szCs w:val="20"/>
          <w:color w:val="auto"/>
        </w:rPr>
      </w:pPr>
    </w:p>
    <w:p>
      <w:pPr>
        <w:ind w:right="220" w:firstLine="1296"/>
        <w:spacing w:after="0"/>
        <w:rPr>
          <w:sz w:val="20"/>
          <w:szCs w:val="20"/>
          <w:color w:val="auto"/>
        </w:rPr>
      </w:pPr>
      <w:r>
        <w:rPr>
          <w:rFonts w:ascii="Arial" w:cs="Arial" w:eastAsia="Arial" w:hAnsi="Arial"/>
          <w:sz w:val="22"/>
          <w:szCs w:val="22"/>
          <w:color w:val="auto"/>
        </w:rPr>
        <w:t xml:space="preserve">Section 19.4. </w:t>
      </w:r>
      <w:r>
        <w:rPr>
          <w:rFonts w:ascii="Arial" w:cs="Arial" w:eastAsia="Arial" w:hAnsi="Arial"/>
          <w:sz w:val="22"/>
          <w:szCs w:val="22"/>
          <w:i w:val="1"/>
          <w:iCs w:val="1"/>
          <w:color w:val="auto"/>
        </w:rPr>
        <w:t>Integration</w:t>
      </w:r>
      <w:r>
        <w:rPr>
          <w:rFonts w:ascii="Arial" w:cs="Arial" w:eastAsia="Arial" w:hAnsi="Arial"/>
          <w:sz w:val="22"/>
          <w:szCs w:val="22"/>
          <w:color w:val="auto"/>
        </w:rPr>
        <w:t>. This Agreement constitutes the entire agreement among the parties hereto pertaining to the subject matter hereof and supersedes all prior agreements and understandings pertaining thereto, including the Seventh Amended Agreement.</w:t>
      </w:r>
    </w:p>
    <w:p>
      <w:pPr>
        <w:spacing w:after="0" w:line="213" w:lineRule="exact"/>
        <w:rPr>
          <w:sz w:val="20"/>
          <w:szCs w:val="20"/>
          <w:color w:val="auto"/>
        </w:rPr>
      </w:pPr>
    </w:p>
    <w:p>
      <w:pPr>
        <w:ind w:right="440" w:firstLine="1296"/>
        <w:spacing w:after="0" w:line="250" w:lineRule="auto"/>
        <w:rPr>
          <w:sz w:val="20"/>
          <w:szCs w:val="20"/>
          <w:color w:val="auto"/>
        </w:rPr>
      </w:pPr>
      <w:r>
        <w:rPr>
          <w:rFonts w:ascii="Arial" w:cs="Arial" w:eastAsia="Arial" w:hAnsi="Arial"/>
          <w:sz w:val="22"/>
          <w:szCs w:val="22"/>
          <w:color w:val="auto"/>
        </w:rPr>
        <w:t xml:space="preserve">Section 19.5. </w:t>
      </w:r>
      <w:r>
        <w:rPr>
          <w:rFonts w:ascii="Arial" w:cs="Arial" w:eastAsia="Arial" w:hAnsi="Arial"/>
          <w:sz w:val="22"/>
          <w:szCs w:val="22"/>
          <w:i w:val="1"/>
          <w:iCs w:val="1"/>
          <w:color w:val="auto"/>
        </w:rPr>
        <w:t>Creditors</w:t>
      </w:r>
      <w:r>
        <w:rPr>
          <w:rFonts w:ascii="Arial" w:cs="Arial" w:eastAsia="Arial" w:hAnsi="Arial"/>
          <w:sz w:val="22"/>
          <w:szCs w:val="22"/>
          <w:color w:val="auto"/>
        </w:rPr>
        <w:t>. None of the provisions of this Agreement shall be for the benefit of, or shall be enforceable by, any creditor of the Partnership.</w:t>
      </w:r>
    </w:p>
    <w:p>
      <w:pPr>
        <w:spacing w:after="0" w:line="202" w:lineRule="exact"/>
        <w:rPr>
          <w:sz w:val="20"/>
          <w:szCs w:val="20"/>
          <w:color w:val="auto"/>
        </w:rPr>
      </w:pPr>
    </w:p>
    <w:p>
      <w:pPr>
        <w:jc w:val="both"/>
        <w:ind w:right="320" w:firstLine="1296"/>
        <w:spacing w:after="0"/>
        <w:rPr>
          <w:sz w:val="20"/>
          <w:szCs w:val="20"/>
          <w:color w:val="auto"/>
        </w:rPr>
      </w:pPr>
      <w:r>
        <w:rPr>
          <w:rFonts w:ascii="Arial" w:cs="Arial" w:eastAsia="Arial" w:hAnsi="Arial"/>
          <w:sz w:val="22"/>
          <w:szCs w:val="22"/>
          <w:color w:val="auto"/>
        </w:rPr>
        <w:t xml:space="preserve">Section 19.6. </w:t>
      </w:r>
      <w:r>
        <w:rPr>
          <w:rFonts w:ascii="Arial" w:cs="Arial" w:eastAsia="Arial" w:hAnsi="Arial"/>
          <w:sz w:val="22"/>
          <w:szCs w:val="22"/>
          <w:i w:val="1"/>
          <w:iCs w:val="1"/>
          <w:color w:val="auto"/>
        </w:rPr>
        <w:t>Waiver</w:t>
      </w:r>
      <w:r>
        <w:rPr>
          <w:rFonts w:ascii="Arial" w:cs="Arial" w:eastAsia="Arial" w:hAnsi="Arial"/>
          <w:sz w:val="22"/>
          <w:szCs w:val="22"/>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213" w:lineRule="exact"/>
        <w:rPr>
          <w:sz w:val="20"/>
          <w:szCs w:val="20"/>
          <w:color w:val="auto"/>
        </w:rPr>
      </w:pPr>
    </w:p>
    <w:p>
      <w:pPr>
        <w:ind w:firstLine="1296"/>
        <w:spacing w:after="0" w:line="236" w:lineRule="auto"/>
        <w:rPr>
          <w:sz w:val="20"/>
          <w:szCs w:val="20"/>
          <w:color w:val="auto"/>
        </w:rPr>
      </w:pPr>
      <w:r>
        <w:rPr>
          <w:rFonts w:ascii="Arial" w:cs="Arial" w:eastAsia="Arial" w:hAnsi="Arial"/>
          <w:sz w:val="22"/>
          <w:szCs w:val="22"/>
          <w:color w:val="auto"/>
        </w:rPr>
        <w:t xml:space="preserve">Section 19.7. </w:t>
      </w:r>
      <w:r>
        <w:rPr>
          <w:rFonts w:ascii="Arial" w:cs="Arial" w:eastAsia="Arial" w:hAnsi="Arial"/>
          <w:sz w:val="22"/>
          <w:szCs w:val="22"/>
          <w:i w:val="1"/>
          <w:iCs w:val="1"/>
          <w:color w:val="auto"/>
        </w:rPr>
        <w:t>Counterparts</w:t>
      </w:r>
      <w:r>
        <w:rPr>
          <w:rFonts w:ascii="Arial" w:cs="Arial" w:eastAsia="Arial" w:hAnsi="Arial"/>
          <w:sz w:val="22"/>
          <w:szCs w:val="22"/>
          <w:color w:val="auto"/>
        </w:rPr>
        <w:t xml:space="preserve">. 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Limited Partner Interest, pursuant to </w:t>
      </w:r>
      <w:r>
        <w:rPr>
          <w:rFonts w:ascii="Arial" w:cs="Arial" w:eastAsia="Arial" w:hAnsi="Arial"/>
          <w:sz w:val="22"/>
          <w:szCs w:val="22"/>
          <w:u w:val="single" w:color="auto"/>
          <w:color w:val="auto"/>
        </w:rPr>
        <w:t>Section 10.2(a)</w:t>
      </w:r>
      <w:r>
        <w:rPr>
          <w:rFonts w:ascii="Arial" w:cs="Arial" w:eastAsia="Arial" w:hAnsi="Arial"/>
          <w:sz w:val="22"/>
          <w:szCs w:val="22"/>
          <w:color w:val="auto"/>
        </w:rPr>
        <w:t>, immediately upon the acquisition of such Limited Partner Interests without execution hereof.</w:t>
      </w:r>
    </w:p>
    <w:p>
      <w:pPr>
        <w:spacing w:after="0" w:line="214" w:lineRule="exact"/>
        <w:rPr>
          <w:sz w:val="20"/>
          <w:szCs w:val="20"/>
          <w:color w:val="auto"/>
        </w:rPr>
      </w:pPr>
    </w:p>
    <w:p>
      <w:pPr>
        <w:ind w:right="200" w:firstLine="1296"/>
        <w:spacing w:after="0"/>
        <w:rPr>
          <w:sz w:val="20"/>
          <w:szCs w:val="20"/>
          <w:color w:val="auto"/>
        </w:rPr>
      </w:pPr>
      <w:r>
        <w:rPr>
          <w:rFonts w:ascii="Arial" w:cs="Arial" w:eastAsia="Arial" w:hAnsi="Arial"/>
          <w:sz w:val="22"/>
          <w:szCs w:val="22"/>
          <w:color w:val="auto"/>
        </w:rPr>
        <w:t xml:space="preserve">Section 19.8. </w:t>
      </w:r>
      <w:r>
        <w:rPr>
          <w:rFonts w:ascii="Arial" w:cs="Arial" w:eastAsia="Arial" w:hAnsi="Arial"/>
          <w:sz w:val="22"/>
          <w:szCs w:val="22"/>
          <w:i w:val="1"/>
          <w:iCs w:val="1"/>
          <w:color w:val="auto"/>
        </w:rPr>
        <w:t>Applicable Law; Forum, Venue and Jurisdiction</w:t>
      </w:r>
      <w:r>
        <w:rPr>
          <w:rFonts w:ascii="Arial" w:cs="Arial" w:eastAsia="Arial" w:hAnsi="Arial"/>
          <w:sz w:val="22"/>
          <w:szCs w:val="22"/>
          <w:color w:val="auto"/>
        </w:rPr>
        <w:t>. (a) This Agreement shall be construed in accordance with and governed by the laws of The Republic of the Marshall Islands, without regard to the principles of conflicts of law.</w:t>
      </w:r>
    </w:p>
    <w:p>
      <w:pPr>
        <w:spacing w:after="0" w:line="213" w:lineRule="exact"/>
        <w:rPr>
          <w:sz w:val="20"/>
          <w:szCs w:val="20"/>
          <w:color w:val="auto"/>
        </w:rPr>
      </w:pPr>
    </w:p>
    <w:p>
      <w:pPr>
        <w:ind w:right="120" w:firstLine="1304"/>
        <w:spacing w:after="0" w:line="274" w:lineRule="auto"/>
        <w:tabs>
          <w:tab w:leader="none" w:pos="2088" w:val="left"/>
        </w:tabs>
        <w:numPr>
          <w:ilvl w:val="0"/>
          <w:numId w:val="117"/>
        </w:numPr>
        <w:rPr>
          <w:rFonts w:ascii="Arial" w:cs="Arial" w:eastAsia="Arial" w:hAnsi="Arial"/>
          <w:sz w:val="21"/>
          <w:szCs w:val="21"/>
          <w:color w:val="auto"/>
        </w:rPr>
      </w:pPr>
      <w:r>
        <w:rPr>
          <w:rFonts w:ascii="Arial" w:cs="Arial" w:eastAsia="Arial" w:hAnsi="Arial"/>
          <w:sz w:val="21"/>
          <w:szCs w:val="21"/>
          <w:color w:val="auto"/>
        </w:rPr>
        <w:t>Each of the Partners and each Person holding any beneficial interest in the Partnership (whether through a broker, dealer, bank, trust company or clearing corporation or an agent of any of the foregoing or otherwise):</w:t>
      </w:r>
    </w:p>
    <w:p>
      <w:pPr>
        <w:spacing w:after="0" w:line="178" w:lineRule="exact"/>
        <w:rPr>
          <w:sz w:val="20"/>
          <w:szCs w:val="20"/>
          <w:color w:val="auto"/>
        </w:rPr>
      </w:pPr>
    </w:p>
    <w:p>
      <w:pPr>
        <w:ind w:left="660" w:right="60" w:firstLine="644"/>
        <w:spacing w:after="0" w:line="244" w:lineRule="auto"/>
        <w:tabs>
          <w:tab w:leader="none" w:pos="2052" w:val="left"/>
        </w:tabs>
        <w:numPr>
          <w:ilvl w:val="0"/>
          <w:numId w:val="118"/>
        </w:numPr>
        <w:rPr>
          <w:rFonts w:ascii="Arial" w:cs="Arial" w:eastAsia="Arial" w:hAnsi="Arial"/>
          <w:sz w:val="21"/>
          <w:szCs w:val="21"/>
          <w:color w:val="auto"/>
        </w:rPr>
      </w:pPr>
      <w:r>
        <w:rPr>
          <w:rFonts w:ascii="Arial" w:cs="Arial" w:eastAsia="Arial" w:hAnsi="Arial"/>
          <w:sz w:val="21"/>
          <w:szCs w:val="21"/>
          <w:color w:val="auto"/>
        </w:rPr>
        <w:t>irrevocably agrees that any claims, suits, actions or proceedings (A) arising out of or relating in any way to this Agreement (including any claims, suits or actions to interpret, apply or enforce the provisions of this Agreement or the duties, obligations or liabilities among Partners or of Partners to the Partnership, or the rights or powers of, or restrictions on, the Partners or the Partnership), (B) brought in a derivative manner on behalf of the Partnership, (C) asserting a claim of breach of a fiduciary duty owed by any director, officer, or other employee of the Partnership or the General Partner, or owed by the General Partner, to the Partnership or the Partners, (D) asserting a claim arising pursuant to any provision of the Marshall Islands Act or (E) asserting a claim governed by the internal affairs doctrine shall be exclusively brought in the Court of Chancery of the State of Delaware (or, if such court does not have subject matter jurisdiction thereof, any other court located in the State of Delaware with subject matter jurisdiction), unless otherwise provided for by Marshall Islands law, in each case regardless of whether such claims, suits, actions or proceedings sound in contract, tort, fraud or otherwise, are based on common law, statutory, equitable, legal or other grounds, or are derivative or direct claims;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4" w:right="359" w:bottom="1440" w:gutter="0" w:footer="0" w:header="0"/>
        </w:sectPr>
      </w:pPr>
    </w:p>
    <w:bookmarkStart w:id="93" w:name="page94"/>
    <w:bookmarkEnd w:id="93"/>
    <w:p>
      <w:pPr>
        <w:jc w:val="both"/>
        <w:ind w:left="660" w:firstLine="644"/>
        <w:spacing w:after="0" w:line="238" w:lineRule="auto"/>
        <w:tabs>
          <w:tab w:leader="none" w:pos="2112" w:val="left"/>
        </w:tabs>
        <w:numPr>
          <w:ilvl w:val="1"/>
          <w:numId w:val="119"/>
        </w:numPr>
        <w:rPr>
          <w:rFonts w:ascii="Arial" w:cs="Arial" w:eastAsia="Arial" w:hAnsi="Arial"/>
          <w:sz w:val="22"/>
          <w:szCs w:val="22"/>
          <w:color w:val="auto"/>
        </w:rPr>
      </w:pPr>
      <w:r>
        <w:rPr>
          <w:rFonts w:ascii="Arial" w:cs="Arial" w:eastAsia="Arial" w:hAnsi="Arial"/>
          <w:sz w:val="22"/>
          <w:szCs w:val="22"/>
          <w:color w:val="auto"/>
        </w:rPr>
        <w:t>irrevocably submits to the exclusive jurisdiction of the Court of Chancery of the State of Delaware (or, if such court does not have subject matter jurisdiction thereof, any other court located in the State of Delaware with subject matter jurisdiction), unless otherwise provided for by Marshall Islands law, in connection with any such claim, suit, action or proceeding;</w:t>
      </w:r>
    </w:p>
    <w:p>
      <w:pPr>
        <w:spacing w:after="0" w:line="211" w:lineRule="exact"/>
        <w:rPr>
          <w:rFonts w:ascii="Arial" w:cs="Arial" w:eastAsia="Arial" w:hAnsi="Arial"/>
          <w:sz w:val="22"/>
          <w:szCs w:val="22"/>
          <w:color w:val="auto"/>
        </w:rPr>
      </w:pPr>
    </w:p>
    <w:p>
      <w:pPr>
        <w:ind w:left="660" w:right="80" w:firstLine="644"/>
        <w:spacing w:after="0" w:line="287" w:lineRule="auto"/>
        <w:tabs>
          <w:tab w:leader="none" w:pos="2172" w:val="left"/>
        </w:tabs>
        <w:numPr>
          <w:ilvl w:val="1"/>
          <w:numId w:val="119"/>
        </w:numPr>
        <w:rPr>
          <w:rFonts w:ascii="Arial" w:cs="Arial" w:eastAsia="Arial" w:hAnsi="Arial"/>
          <w:sz w:val="19"/>
          <w:szCs w:val="19"/>
          <w:color w:val="auto"/>
        </w:rPr>
      </w:pPr>
      <w:r>
        <w:rPr>
          <w:rFonts w:ascii="Arial" w:cs="Arial" w:eastAsia="Arial" w:hAnsi="Arial"/>
          <w:sz w:val="19"/>
          <w:szCs w:val="19"/>
          <w:color w:val="auto"/>
        </w:rPr>
        <w:t>agrees not to, and waives any right to, assert in any such claim, suit, action or proceeding that (A) it is not personally subject to the jurisdiction of the Court of Chancery of the State of Delaware or of any other court to which proceedings in the Court of Chancery of the State of Delaware may be appealed, (B) such claim, suit, action or proceeding is brought in an inconvenient forum, or (C) the venue of such claim, suit, action or proceeding is improper;</w:t>
      </w:r>
    </w:p>
    <w:p>
      <w:pPr>
        <w:spacing w:after="0" w:line="169" w:lineRule="exact"/>
        <w:rPr>
          <w:rFonts w:ascii="Arial" w:cs="Arial" w:eastAsia="Arial" w:hAnsi="Arial"/>
          <w:sz w:val="19"/>
          <w:szCs w:val="19"/>
          <w:color w:val="auto"/>
        </w:rPr>
      </w:pPr>
    </w:p>
    <w:p>
      <w:pPr>
        <w:ind w:left="660" w:right="200" w:firstLine="644"/>
        <w:spacing w:after="0" w:line="250" w:lineRule="auto"/>
        <w:tabs>
          <w:tab w:leader="none" w:pos="2160" w:val="left"/>
        </w:tabs>
        <w:numPr>
          <w:ilvl w:val="1"/>
          <w:numId w:val="119"/>
        </w:numPr>
        <w:rPr>
          <w:rFonts w:ascii="Arial" w:cs="Arial" w:eastAsia="Arial" w:hAnsi="Arial"/>
          <w:sz w:val="22"/>
          <w:szCs w:val="22"/>
          <w:color w:val="auto"/>
        </w:rPr>
      </w:pPr>
      <w:r>
        <w:rPr>
          <w:rFonts w:ascii="Arial" w:cs="Arial" w:eastAsia="Arial" w:hAnsi="Arial"/>
          <w:sz w:val="22"/>
          <w:szCs w:val="22"/>
          <w:color w:val="auto"/>
        </w:rPr>
        <w:t>expressly waives any requirement for the posting of a bond by a party bringing such claim, suit, action or proceeding; and</w:t>
      </w:r>
    </w:p>
    <w:p>
      <w:pPr>
        <w:spacing w:after="0" w:line="201" w:lineRule="exact"/>
        <w:rPr>
          <w:rFonts w:ascii="Arial" w:cs="Arial" w:eastAsia="Arial" w:hAnsi="Arial"/>
          <w:sz w:val="22"/>
          <w:szCs w:val="22"/>
          <w:color w:val="auto"/>
        </w:rPr>
      </w:pPr>
    </w:p>
    <w:p>
      <w:pPr>
        <w:ind w:left="660" w:right="120" w:firstLine="644"/>
        <w:spacing w:after="0" w:line="273" w:lineRule="auto"/>
        <w:tabs>
          <w:tab w:leader="none" w:pos="2100" w:val="left"/>
        </w:tabs>
        <w:numPr>
          <w:ilvl w:val="1"/>
          <w:numId w:val="119"/>
        </w:numPr>
        <w:rPr>
          <w:rFonts w:ascii="Arial" w:cs="Arial" w:eastAsia="Arial" w:hAnsi="Arial"/>
          <w:sz w:val="19"/>
          <w:szCs w:val="19"/>
          <w:color w:val="auto"/>
        </w:rPr>
      </w:pPr>
      <w:r>
        <w:rPr>
          <w:rFonts w:ascii="Arial" w:cs="Arial" w:eastAsia="Arial" w:hAnsi="Arial"/>
          <w:sz w:val="19"/>
          <w:szCs w:val="19"/>
          <w:color w:val="auto"/>
        </w:rPr>
        <w:t xml:space="preserve">consents to process being served in any such claim, suit, action or proceeding by mailing, certified mail, return receipt requested, a copy thereof to such party at the address in effect for notices hereunder, and agrees that such services shall constitute good and sufficient service of process and notice thereof;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nothing in </w:t>
      </w:r>
      <w:r>
        <w:rPr>
          <w:rFonts w:ascii="Arial" w:cs="Arial" w:eastAsia="Arial" w:hAnsi="Arial"/>
          <w:sz w:val="19"/>
          <w:szCs w:val="19"/>
          <w:u w:val="single" w:color="auto"/>
          <w:color w:val="auto"/>
        </w:rPr>
        <w:t>clause</w:t>
      </w:r>
    </w:p>
    <w:p>
      <w:pPr>
        <w:spacing w:after="0" w:line="1" w:lineRule="exact"/>
        <w:rPr>
          <w:rFonts w:ascii="Arial" w:cs="Arial" w:eastAsia="Arial" w:hAnsi="Arial"/>
          <w:sz w:val="19"/>
          <w:szCs w:val="19"/>
          <w:color w:val="auto"/>
        </w:rPr>
      </w:pPr>
    </w:p>
    <w:p>
      <w:pPr>
        <w:ind w:left="960" w:hanging="304"/>
        <w:spacing w:after="0"/>
        <w:tabs>
          <w:tab w:leader="none" w:pos="960" w:val="left"/>
        </w:tabs>
        <w:numPr>
          <w:ilvl w:val="0"/>
          <w:numId w:val="120"/>
        </w:numPr>
        <w:rPr>
          <w:rFonts w:ascii="Arial" w:cs="Arial" w:eastAsia="Arial" w:hAnsi="Arial"/>
          <w:sz w:val="22"/>
          <w:szCs w:val="22"/>
          <w:u w:val="single" w:color="auto"/>
          <w:color w:val="auto"/>
        </w:rPr>
      </w:pPr>
      <w:r>
        <w:rPr>
          <w:rFonts w:ascii="Arial" w:cs="Arial" w:eastAsia="Arial" w:hAnsi="Arial"/>
          <w:sz w:val="22"/>
          <w:szCs w:val="22"/>
          <w:color w:val="auto"/>
        </w:rPr>
        <w:t>hereof shall affect or limit any right to serve process in any other manner permitted by law.</w:t>
      </w:r>
    </w:p>
    <w:p>
      <w:pPr>
        <w:spacing w:after="0" w:line="215" w:lineRule="exact"/>
        <w:rPr>
          <w:sz w:val="20"/>
          <w:szCs w:val="20"/>
          <w:color w:val="auto"/>
        </w:rPr>
      </w:pPr>
    </w:p>
    <w:p>
      <w:pPr>
        <w:ind w:right="60" w:firstLine="1296"/>
        <w:spacing w:after="0" w:line="235" w:lineRule="auto"/>
        <w:rPr>
          <w:sz w:val="20"/>
          <w:szCs w:val="20"/>
          <w:color w:val="auto"/>
        </w:rPr>
      </w:pPr>
      <w:r>
        <w:rPr>
          <w:rFonts w:ascii="Arial" w:cs="Arial" w:eastAsia="Arial" w:hAnsi="Arial"/>
          <w:sz w:val="22"/>
          <w:szCs w:val="22"/>
          <w:color w:val="auto"/>
        </w:rPr>
        <w:t xml:space="preserve">Section 19.9. </w:t>
      </w:r>
      <w:r>
        <w:rPr>
          <w:rFonts w:ascii="Arial" w:cs="Arial" w:eastAsia="Arial" w:hAnsi="Arial"/>
          <w:sz w:val="22"/>
          <w:szCs w:val="22"/>
          <w:i w:val="1"/>
          <w:iCs w:val="1"/>
          <w:color w:val="auto"/>
        </w:rPr>
        <w:t>Invalidity of Provisions</w:t>
      </w:r>
      <w:r>
        <w:rPr>
          <w:rFonts w:ascii="Arial" w:cs="Arial" w:eastAsia="Arial" w:hAnsi="Arial"/>
          <w:sz w:val="22"/>
          <w:szCs w:val="22"/>
          <w:color w:val="auto"/>
        </w:rPr>
        <w:t>. If any provision or part of a provision of this Agreement is or becomes for any reason, invalid, illegal or unenforceable in any respect, the validity, legality and enforceability of the remaining provisions and part thereof contained herein shall not be affected thereby and this Agreement shall, to the fullest extent permitted by law, be reformed and construed as if such invalid, illegal or unenforceable provision, or part of a provision, had never been contained herein, and such provision or part reformed so that it would be valid, legal and enforceable to the maximum extent possible.</w:t>
      </w:r>
    </w:p>
    <w:p>
      <w:pPr>
        <w:spacing w:after="0" w:line="215" w:lineRule="exact"/>
        <w:rPr>
          <w:sz w:val="20"/>
          <w:szCs w:val="20"/>
          <w:color w:val="auto"/>
        </w:rPr>
      </w:pPr>
    </w:p>
    <w:p>
      <w:pPr>
        <w:ind w:right="160" w:firstLine="1296"/>
        <w:spacing w:after="0" w:line="287" w:lineRule="auto"/>
        <w:rPr>
          <w:sz w:val="20"/>
          <w:szCs w:val="20"/>
          <w:color w:val="auto"/>
        </w:rPr>
      </w:pPr>
      <w:r>
        <w:rPr>
          <w:rFonts w:ascii="Arial" w:cs="Arial" w:eastAsia="Arial" w:hAnsi="Arial"/>
          <w:sz w:val="19"/>
          <w:szCs w:val="19"/>
          <w:color w:val="auto"/>
        </w:rPr>
        <w:t xml:space="preserve">Section 19.10. </w:t>
      </w:r>
      <w:r>
        <w:rPr>
          <w:rFonts w:ascii="Arial" w:cs="Arial" w:eastAsia="Arial" w:hAnsi="Arial"/>
          <w:sz w:val="19"/>
          <w:szCs w:val="19"/>
          <w:i w:val="1"/>
          <w:iCs w:val="1"/>
          <w:color w:val="auto"/>
        </w:rPr>
        <w:t>Consent of Partners</w:t>
      </w:r>
      <w:r>
        <w:rPr>
          <w:rFonts w:ascii="Arial" w:cs="Arial" w:eastAsia="Arial" w:hAnsi="Arial"/>
          <w:sz w:val="19"/>
          <w:szCs w:val="19"/>
          <w:color w:val="auto"/>
        </w:rPr>
        <w:t>. Each Partner hereby expressly consents and agrees that, whenever in this Agreement it is specified that an action may be taken upon the affirmative vote or consent of less than all of the Partners (including any amendment to this Agreement), such action may be so taken upon the concurrence of less than all of the Partners and each Partner shall be bound by the results of such action (including any amendment to this Agreement).</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94" w:name="page95"/>
    <w:bookmarkEnd w:id="94"/>
    <w:p>
      <w:pPr>
        <w:jc w:val="both"/>
        <w:ind w:right="200" w:firstLine="1296"/>
        <w:spacing w:after="0"/>
        <w:rPr>
          <w:sz w:val="20"/>
          <w:szCs w:val="20"/>
          <w:color w:val="auto"/>
        </w:rPr>
      </w:pPr>
      <w:r>
        <w:rPr>
          <w:rFonts w:ascii="Arial" w:cs="Arial" w:eastAsia="Arial" w:hAnsi="Arial"/>
          <w:sz w:val="22"/>
          <w:szCs w:val="22"/>
          <w:color w:val="auto"/>
        </w:rPr>
        <w:t xml:space="preserve">Section 19.11. </w:t>
      </w:r>
      <w:r>
        <w:rPr>
          <w:rFonts w:ascii="Arial" w:cs="Arial" w:eastAsia="Arial" w:hAnsi="Arial"/>
          <w:sz w:val="22"/>
          <w:szCs w:val="22"/>
          <w:i w:val="1"/>
          <w:iCs w:val="1"/>
          <w:color w:val="auto"/>
        </w:rPr>
        <w:t>Facsimile Signatures</w:t>
      </w:r>
      <w:r>
        <w:rPr>
          <w:rFonts w:ascii="Arial" w:cs="Arial" w:eastAsia="Arial" w:hAnsi="Arial"/>
          <w:sz w:val="22"/>
          <w:szCs w:val="22"/>
          <w:color w:val="auto"/>
        </w:rPr>
        <w:t>. The use of facsimile signatures affixed in the name and on behalf of the transfer agent and registrar of the Partnership on certificates representing Common Units and Preference Units is expressly permitted by this Agreement.</w:t>
      </w:r>
    </w:p>
    <w:p>
      <w:pPr>
        <w:spacing w:after="0" w:line="213" w:lineRule="exact"/>
        <w:rPr>
          <w:sz w:val="20"/>
          <w:szCs w:val="20"/>
          <w:color w:val="auto"/>
        </w:rPr>
      </w:pPr>
    </w:p>
    <w:p>
      <w:pPr>
        <w:ind w:firstLine="1296"/>
        <w:spacing w:after="0"/>
        <w:rPr>
          <w:sz w:val="20"/>
          <w:szCs w:val="20"/>
          <w:color w:val="auto"/>
        </w:rPr>
      </w:pPr>
      <w:r>
        <w:rPr>
          <w:rFonts w:ascii="Arial" w:cs="Arial" w:eastAsia="Arial" w:hAnsi="Arial"/>
          <w:sz w:val="22"/>
          <w:szCs w:val="22"/>
          <w:color w:val="auto"/>
        </w:rPr>
        <w:t xml:space="preserve">Section 19.12. </w:t>
      </w:r>
      <w:r>
        <w:rPr>
          <w:rFonts w:ascii="Arial" w:cs="Arial" w:eastAsia="Arial" w:hAnsi="Arial"/>
          <w:sz w:val="22"/>
          <w:szCs w:val="22"/>
          <w:i w:val="1"/>
          <w:iCs w:val="1"/>
          <w:color w:val="auto"/>
        </w:rPr>
        <w:t>Third-Party Beneficiaries</w:t>
      </w:r>
      <w:r>
        <w:rPr>
          <w:rFonts w:ascii="Arial" w:cs="Arial" w:eastAsia="Arial" w:hAnsi="Arial"/>
          <w:sz w:val="22"/>
          <w:szCs w:val="22"/>
          <w:color w:val="auto"/>
        </w:rPr>
        <w:t>. Each Partner agrees that any Indemnitee shall be entitled to assert rights and remedies hereunder as a third party beneficiary hereto with respect to those provisions of this Agreement affording a right, benefit or privilege to such Indemnitee.</w:t>
      </w: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04" w:right="439" w:bottom="1440" w:gutter="0" w:footer="0" w:header="0"/>
        </w:sectPr>
      </w:pPr>
    </w:p>
    <w:bookmarkStart w:id="95" w:name="page96"/>
    <w:bookmarkEnd w:id="95"/>
    <w:p>
      <w:pPr>
        <w:ind w:firstLine="1296"/>
        <w:spacing w:after="0" w:line="250" w:lineRule="auto"/>
        <w:rPr>
          <w:sz w:val="20"/>
          <w:szCs w:val="20"/>
          <w:color w:val="auto"/>
        </w:rPr>
      </w:pPr>
      <w:r>
        <w:rPr>
          <w:rFonts w:ascii="Arial" w:cs="Arial" w:eastAsia="Arial" w:hAnsi="Arial"/>
          <w:sz w:val="22"/>
          <w:szCs w:val="22"/>
          <w:color w:val="auto"/>
        </w:rPr>
        <w:t>IN WITNESS WHEREOF, the parties hereto have executed this Eighth Amended and Restated Agreement of Limited Partnership as a Deed as of the date first written above.</w:t>
      </w:r>
    </w:p>
    <w:p>
      <w:pPr>
        <w:spacing w:after="0" w:line="205"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GENERAL PARTNER</w:t>
      </w:r>
      <w:r>
        <w:rPr>
          <w:rFonts w:ascii="Arial" w:cs="Arial" w:eastAsia="Arial" w:hAnsi="Arial"/>
          <w:sz w:val="18"/>
          <w:szCs w:val="18"/>
          <w:color w:val="auto"/>
        </w:rPr>
        <w:t>:</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GasLog Partners GP LLC</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GasLog Ltd.,</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0317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Name:Paolo Enoizi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50"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LIMITED PARTNERS</w:t>
      </w:r>
      <w:r>
        <w:rPr>
          <w:rFonts w:ascii="Arial" w:cs="Arial" w:eastAsia="Arial" w:hAnsi="Arial"/>
          <w:sz w:val="18"/>
          <w:szCs w:val="18"/>
          <w:color w:val="auto"/>
        </w:rPr>
        <w:t>:</w:t>
      </w:r>
    </w:p>
    <w:p>
      <w:pPr>
        <w:spacing w:after="0" w:line="229"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250317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Name:Paolo Enoizi</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99"/>
        <w:spacing w:after="0"/>
        <w:rPr>
          <w:sz w:val="20"/>
          <w:szCs w:val="20"/>
          <w:color w:val="auto"/>
        </w:rPr>
      </w:pPr>
      <w:r>
        <w:rPr>
          <w:rFonts w:ascii="Arial" w:cs="Arial" w:eastAsia="Arial" w:hAnsi="Arial"/>
          <w:sz w:val="22"/>
          <w:szCs w:val="22"/>
          <w:color w:val="auto"/>
        </w:rPr>
        <w:t>S</w:t>
      </w:r>
      <w:r>
        <w:rPr>
          <w:rFonts w:ascii="Arial" w:cs="Arial" w:eastAsia="Arial" w:hAnsi="Arial"/>
          <w:sz w:val="14"/>
          <w:szCs w:val="14"/>
          <w:color w:val="auto"/>
        </w:rPr>
        <w:t>ignature</w:t>
      </w:r>
      <w:r>
        <w:rPr>
          <w:rFonts w:ascii="Arial" w:cs="Arial" w:eastAsia="Arial" w:hAnsi="Arial"/>
          <w:sz w:val="22"/>
          <w:szCs w:val="22"/>
          <w:color w:val="auto"/>
        </w:rPr>
        <w:t xml:space="preserve"> P</w:t>
      </w:r>
      <w:r>
        <w:rPr>
          <w:rFonts w:ascii="Arial" w:cs="Arial" w:eastAsia="Arial" w:hAnsi="Arial"/>
          <w:sz w:val="14"/>
          <w:szCs w:val="14"/>
          <w:color w:val="auto"/>
        </w:rPr>
        <w:t>age</w:t>
      </w:r>
      <w:r>
        <w:rPr>
          <w:rFonts w:ascii="Arial" w:cs="Arial" w:eastAsia="Arial" w:hAnsi="Arial"/>
          <w:sz w:val="22"/>
          <w:szCs w:val="22"/>
          <w:color w:val="auto"/>
        </w:rPr>
        <w:t xml:space="preserve"> T</w:t>
      </w:r>
      <w:r>
        <w:rPr>
          <w:rFonts w:ascii="Arial" w:cs="Arial" w:eastAsia="Arial" w:hAnsi="Arial"/>
          <w:sz w:val="14"/>
          <w:szCs w:val="14"/>
          <w:color w:val="auto"/>
        </w:rPr>
        <w:t>o</w:t>
      </w:r>
    </w:p>
    <w:p>
      <w:pPr>
        <w:jc w:val="center"/>
        <w:ind w:right="-499"/>
        <w:spacing w:after="0" w:line="238" w:lineRule="auto"/>
        <w:rPr>
          <w:sz w:val="20"/>
          <w:szCs w:val="20"/>
          <w:color w:val="auto"/>
        </w:rPr>
      </w:pPr>
      <w:r>
        <w:rPr>
          <w:rFonts w:ascii="Arial" w:cs="Arial" w:eastAsia="Arial" w:hAnsi="Arial"/>
          <w:sz w:val="22"/>
          <w:szCs w:val="22"/>
          <w:color w:val="auto"/>
        </w:rPr>
        <w:t>E</w:t>
      </w:r>
      <w:r>
        <w:rPr>
          <w:rFonts w:ascii="Arial" w:cs="Arial" w:eastAsia="Arial" w:hAnsi="Arial"/>
          <w:sz w:val="14"/>
          <w:szCs w:val="14"/>
          <w:color w:val="auto"/>
        </w:rPr>
        <w:t>ighth</w:t>
      </w:r>
      <w:r>
        <w:rPr>
          <w:rFonts w:ascii="Arial" w:cs="Arial" w:eastAsia="Arial" w:hAnsi="Arial"/>
          <w:sz w:val="22"/>
          <w:szCs w:val="22"/>
          <w:color w:val="auto"/>
        </w:rPr>
        <w:t xml:space="preserve"> A</w:t>
      </w:r>
      <w:r>
        <w:rPr>
          <w:rFonts w:ascii="Arial" w:cs="Arial" w:eastAsia="Arial" w:hAnsi="Arial"/>
          <w:sz w:val="14"/>
          <w:szCs w:val="14"/>
          <w:color w:val="auto"/>
        </w:rPr>
        <w:t>mended and</w:t>
      </w:r>
      <w:r>
        <w:rPr>
          <w:rFonts w:ascii="Arial" w:cs="Arial" w:eastAsia="Arial" w:hAnsi="Arial"/>
          <w:sz w:val="22"/>
          <w:szCs w:val="22"/>
          <w:color w:val="auto"/>
        </w:rPr>
        <w:t xml:space="preserve"> R</w:t>
      </w:r>
      <w:r>
        <w:rPr>
          <w:rFonts w:ascii="Arial" w:cs="Arial" w:eastAsia="Arial" w:hAnsi="Arial"/>
          <w:sz w:val="14"/>
          <w:szCs w:val="14"/>
          <w:color w:val="auto"/>
        </w:rPr>
        <w:t>estated</w:t>
      </w:r>
    </w:p>
    <w:p>
      <w:pPr>
        <w:jc w:val="center"/>
        <w:ind w:right="-499"/>
        <w:spacing w:after="0"/>
        <w:rPr>
          <w:sz w:val="20"/>
          <w:szCs w:val="20"/>
          <w:color w:val="auto"/>
        </w:rPr>
      </w:pPr>
      <w:r>
        <w:rPr>
          <w:rFonts w:ascii="Arial" w:cs="Arial" w:eastAsia="Arial" w:hAnsi="Arial"/>
          <w:sz w:val="22"/>
          <w:szCs w:val="22"/>
          <w:color w:val="auto"/>
        </w:rPr>
        <w:t>A</w:t>
      </w:r>
      <w:r>
        <w:rPr>
          <w:rFonts w:ascii="Arial" w:cs="Arial" w:eastAsia="Arial" w:hAnsi="Arial"/>
          <w:sz w:val="14"/>
          <w:szCs w:val="14"/>
          <w:color w:val="auto"/>
        </w:rPr>
        <w:t>greement of</w:t>
      </w:r>
      <w:r>
        <w:rPr>
          <w:rFonts w:ascii="Arial" w:cs="Arial" w:eastAsia="Arial" w:hAnsi="Arial"/>
          <w:sz w:val="22"/>
          <w:szCs w:val="22"/>
          <w:color w:val="auto"/>
        </w:rPr>
        <w:t xml:space="preserve"> L</w:t>
      </w:r>
      <w:r>
        <w:rPr>
          <w:rFonts w:ascii="Arial" w:cs="Arial" w:eastAsia="Arial" w:hAnsi="Arial"/>
          <w:sz w:val="14"/>
          <w:szCs w:val="14"/>
          <w:color w:val="auto"/>
        </w:rPr>
        <w:t>imited</w:t>
      </w:r>
      <w:r>
        <w:rPr>
          <w:rFonts w:ascii="Arial" w:cs="Arial" w:eastAsia="Arial" w:hAnsi="Arial"/>
          <w:sz w:val="22"/>
          <w:szCs w:val="22"/>
          <w:color w:val="auto"/>
        </w:rPr>
        <w:t xml:space="preserve"> P</w:t>
      </w:r>
      <w:r>
        <w:rPr>
          <w:rFonts w:ascii="Arial" w:cs="Arial" w:eastAsia="Arial" w:hAnsi="Arial"/>
          <w:sz w:val="14"/>
          <w:szCs w:val="14"/>
          <w:color w:val="auto"/>
        </w:rPr>
        <w:t>artnership</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9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361" w:right="819" w:bottom="1440" w:gutter="0" w:footer="0" w:header="0"/>
        </w:sectPr>
      </w:pPr>
    </w:p>
    <w:bookmarkStart w:id="96" w:name="page97"/>
    <w:bookmarkEnd w:id="96"/>
    <w:p>
      <w:pPr>
        <w:jc w:val="center"/>
        <w:spacing w:after="0"/>
        <w:rPr>
          <w:sz w:val="20"/>
          <w:szCs w:val="20"/>
          <w:color w:val="auto"/>
        </w:rPr>
      </w:pPr>
      <w:r>
        <w:rPr>
          <w:rFonts w:ascii="Arial" w:cs="Arial" w:eastAsia="Arial" w:hAnsi="Arial"/>
          <w:sz w:val="22"/>
          <w:szCs w:val="22"/>
          <w:b w:val="1"/>
          <w:bCs w:val="1"/>
          <w:color w:val="auto"/>
        </w:rPr>
        <w:t>EXHIBIT A</w:t>
      </w:r>
    </w:p>
    <w:p>
      <w:pPr>
        <w:spacing w:after="0" w:line="4" w:lineRule="exact"/>
        <w:rPr>
          <w:sz w:val="20"/>
          <w:szCs w:val="20"/>
          <w:color w:val="auto"/>
        </w:rPr>
      </w:pPr>
    </w:p>
    <w:p>
      <w:pPr>
        <w:ind w:left="3920"/>
        <w:spacing w:after="0"/>
        <w:rPr>
          <w:sz w:val="20"/>
          <w:szCs w:val="20"/>
          <w:color w:val="auto"/>
        </w:rPr>
      </w:pPr>
      <w:r>
        <w:rPr>
          <w:rFonts w:ascii="Arial" w:cs="Arial" w:eastAsia="Arial" w:hAnsi="Arial"/>
          <w:sz w:val="22"/>
          <w:szCs w:val="22"/>
          <w:b w:val="1"/>
          <w:bCs w:val="1"/>
          <w:color w:val="auto"/>
        </w:rPr>
        <w:t>to the Eighth Amended and Restated</w:t>
      </w:r>
    </w:p>
    <w:p>
      <w:pPr>
        <w:ind w:left="3920"/>
        <w:spacing w:after="0" w:line="230" w:lineRule="auto"/>
        <w:rPr>
          <w:sz w:val="20"/>
          <w:szCs w:val="20"/>
          <w:color w:val="auto"/>
        </w:rPr>
      </w:pPr>
      <w:r>
        <w:rPr>
          <w:rFonts w:ascii="Arial" w:cs="Arial" w:eastAsia="Arial" w:hAnsi="Arial"/>
          <w:sz w:val="22"/>
          <w:szCs w:val="22"/>
          <w:b w:val="1"/>
          <w:bCs w:val="1"/>
          <w:color w:val="auto"/>
        </w:rPr>
        <w:t>Agreement of Limited Partnership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Evidencing Common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Representing Limited Partner Interests 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22" w:lineRule="exact"/>
        <w:rPr>
          <w:sz w:val="20"/>
          <w:szCs w:val="20"/>
          <w:color w:val="auto"/>
        </w:rPr>
      </w:pPr>
    </w:p>
    <w:p>
      <w:pPr>
        <w:spacing w:after="0"/>
        <w:tabs>
          <w:tab w:leader="none" w:pos="10120" w:val="left"/>
        </w:tabs>
        <w:rPr>
          <w:sz w:val="20"/>
          <w:szCs w:val="20"/>
          <w:color w:val="auto"/>
        </w:rPr>
      </w:pPr>
      <w:r>
        <w:rPr>
          <w:rFonts w:ascii="Arial" w:cs="Arial" w:eastAsia="Arial" w:hAnsi="Arial"/>
          <w:sz w:val="16"/>
          <w:szCs w:val="16"/>
          <w:color w:val="auto"/>
        </w:rPr>
        <w:t>No.</w:t>
      </w:r>
      <w:r>
        <w:rPr>
          <w:sz w:val="20"/>
          <w:szCs w:val="20"/>
          <w:color w:val="auto"/>
        </w:rPr>
        <w:tab/>
      </w:r>
      <w:r>
        <w:rPr>
          <w:rFonts w:ascii="Arial" w:cs="Arial" w:eastAsia="Arial" w:hAnsi="Arial"/>
          <w:sz w:val="16"/>
          <w:szCs w:val="16"/>
          <w:color w:val="auto"/>
        </w:rPr>
        <w:t>Common Units</w:t>
      </w:r>
    </w:p>
    <w:p>
      <w:pPr>
        <w:spacing w:after="0" w:line="268" w:lineRule="exact"/>
        <w:rPr>
          <w:sz w:val="20"/>
          <w:szCs w:val="20"/>
          <w:color w:val="auto"/>
        </w:rPr>
      </w:pPr>
    </w:p>
    <w:p>
      <w:pPr>
        <w:ind w:right="60" w:firstLine="1296"/>
        <w:spacing w:after="0" w:line="276" w:lineRule="auto"/>
        <w:rPr>
          <w:sz w:val="20"/>
          <w:szCs w:val="20"/>
          <w:color w:val="auto"/>
        </w:rPr>
      </w:pPr>
      <w:r>
        <w:rPr>
          <w:rFonts w:ascii="Arial" w:cs="Arial" w:eastAsia="Arial" w:hAnsi="Arial"/>
          <w:sz w:val="19"/>
          <w:szCs w:val="19"/>
          <w:color w:val="auto"/>
        </w:rPr>
        <w:t>In accordance with Section 4.1 of the Eighth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 LP, a</w:t>
      </w:r>
    </w:p>
    <w:p>
      <w:pPr>
        <w:spacing w:after="0" w:line="1" w:lineRule="exact"/>
        <w:rPr>
          <w:sz w:val="20"/>
          <w:szCs w:val="20"/>
          <w:color w:val="auto"/>
        </w:rPr>
      </w:pPr>
    </w:p>
    <w:p>
      <w:pPr>
        <w:ind w:right="20"/>
        <w:spacing w:after="0" w:line="272" w:lineRule="auto"/>
        <w:rPr>
          <w:sz w:val="20"/>
          <w:szCs w:val="20"/>
          <w:color w:val="auto"/>
        </w:rPr>
      </w:pPr>
      <w:r>
        <w:rPr>
          <w:rFonts w:ascii="Arial" w:cs="Arial" w:eastAsia="Arial" w:hAnsi="Arial"/>
          <w:sz w:val="19"/>
          <w:szCs w:val="19"/>
          <w:color w:val="auto"/>
        </w:rPr>
        <w:t>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Common Units representing limited partner interests in the Partnership (the “</w:t>
      </w:r>
      <w:r>
        <w:rPr>
          <w:rFonts w:ascii="Arial" w:cs="Arial" w:eastAsia="Arial" w:hAnsi="Arial"/>
          <w:sz w:val="19"/>
          <w:szCs w:val="19"/>
          <w:b w:val="1"/>
          <w:bCs w:val="1"/>
          <w:i w:val="1"/>
          <w:iCs w:val="1"/>
          <w:color w:val="auto"/>
        </w:rPr>
        <w:t>Common</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Units</w:t>
      </w:r>
      <w:r>
        <w:rPr>
          <w:rFonts w:ascii="Arial" w:cs="Arial" w:eastAsia="Arial" w:hAnsi="Arial"/>
          <w:sz w:val="19"/>
          <w:szCs w:val="19"/>
          <w:color w:val="auto"/>
        </w:rPr>
        <w:t>”) transferable on the books of the Partnership, in person or by duly authorized attorney, upon surrender of this Certificate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properly endorsed. The rights, preferences and limitations of the Common Units are set forth in, and this Certificate and the Common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69 Akti Miaouli 18537, Piraeus Greece. Capitalized terms used herein but not defined shall have the meanings given them in the Partnership Agreement.</w:t>
      </w:r>
    </w:p>
    <w:p>
      <w:pPr>
        <w:spacing w:after="0" w:line="188" w:lineRule="exact"/>
        <w:rPr>
          <w:sz w:val="20"/>
          <w:szCs w:val="20"/>
          <w:color w:val="auto"/>
        </w:rPr>
      </w:pPr>
    </w:p>
    <w:p>
      <w:pPr>
        <w:ind w:right="140" w:firstLine="1296"/>
        <w:spacing w:after="0" w:line="236" w:lineRule="auto"/>
        <w:rPr>
          <w:sz w:val="20"/>
          <w:szCs w:val="20"/>
          <w:color w:val="auto"/>
        </w:rPr>
      </w:pPr>
      <w:r>
        <w:rPr>
          <w:rFonts w:ascii="Arial" w:cs="Arial" w:eastAsia="Arial" w:hAnsi="Arial"/>
          <w:sz w:val="22"/>
          <w:szCs w:val="22"/>
          <w:color w:val="auto"/>
        </w:rPr>
        <w:t>The Holder, by accepting this Certificate, is deemed to have (a) requested admission as, and agreed to become, a Limited Partner and to have agreed to comply with and be bound by and to have executed the Partnership Agreement, (b) 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214" w:lineRule="exact"/>
        <w:rPr>
          <w:sz w:val="20"/>
          <w:szCs w:val="20"/>
          <w:color w:val="auto"/>
        </w:rPr>
      </w:pPr>
    </w:p>
    <w:p>
      <w:pPr>
        <w:ind w:right="180" w:firstLine="1296"/>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Countersigned and Registered by:</w:t>
            </w:r>
          </w:p>
        </w:tc>
        <w:tc>
          <w:tcPr>
            <w:tcW w:w="6020" w:type="dxa"/>
            <w:vAlign w:val="bottom"/>
            <w:gridSpan w:val="2"/>
          </w:tcPr>
          <w:p>
            <w:pPr>
              <w:ind w:left="2220"/>
              <w:spacing w:after="0"/>
              <w:rPr>
                <w:sz w:val="20"/>
                <w:szCs w:val="20"/>
                <w:color w:val="auto"/>
              </w:rPr>
            </w:pPr>
            <w:r>
              <w:rPr>
                <w:rFonts w:ascii="Arial" w:cs="Arial" w:eastAsia="Arial" w:hAnsi="Arial"/>
                <w:sz w:val="18"/>
                <w:szCs w:val="18"/>
                <w:color w:val="auto"/>
              </w:rPr>
              <w:t>GASLOG PARTNERS LP</w:t>
            </w:r>
          </w:p>
        </w:tc>
      </w:tr>
      <w:tr>
        <w:trPr>
          <w:trHeight w:val="439"/>
        </w:trPr>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20" w:type="dxa"/>
            <w:vAlign w:val="bottom"/>
            <w:gridSpan w:val="2"/>
          </w:tcPr>
          <w:p>
            <w:pPr>
              <w:ind w:left="2220"/>
              <w:spacing w:after="0"/>
              <w:rPr>
                <w:sz w:val="20"/>
                <w:szCs w:val="20"/>
                <w:color w:val="auto"/>
              </w:rPr>
            </w:pPr>
            <w:r>
              <w:rPr>
                <w:rFonts w:ascii="Arial" w:cs="Arial" w:eastAsia="Arial" w:hAnsi="Arial"/>
                <w:sz w:val="18"/>
                <w:szCs w:val="18"/>
                <w:color w:val="auto"/>
              </w:rPr>
              <w:t>By:</w:t>
            </w:r>
          </w:p>
        </w:tc>
      </w:tr>
      <w:tr>
        <w:trPr>
          <w:trHeight w:val="230"/>
        </w:trPr>
        <w:tc>
          <w:tcPr>
            <w:tcW w:w="3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 Transfer Agent and Registrar</w:t>
            </w:r>
          </w:p>
        </w:tc>
        <w:tc>
          <w:tcPr>
            <w:tcW w:w="2680" w:type="dxa"/>
            <w:vAlign w:val="bottom"/>
          </w:tcPr>
          <w:p>
            <w:pPr>
              <w:spacing w:after="0"/>
              <w:rPr>
                <w:sz w:val="20"/>
                <w:szCs w:val="20"/>
                <w:color w:val="auto"/>
              </w:rPr>
            </w:pPr>
          </w:p>
        </w:tc>
        <w:tc>
          <w:tcPr>
            <w:tcW w:w="3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r>
      <w:tr>
        <w:trPr>
          <w:trHeight w:val="425"/>
        </w:trPr>
        <w:tc>
          <w:tcPr>
            <w:tcW w:w="3780" w:type="dxa"/>
            <w:vAlign w:val="bottom"/>
            <w:gridSpan w:val="2"/>
          </w:tcPr>
          <w:p>
            <w:pPr>
              <w:spacing w:after="0"/>
              <w:rPr>
                <w:sz w:val="20"/>
                <w:szCs w:val="20"/>
                <w:color w:val="auto"/>
              </w:rPr>
            </w:pPr>
            <w:r>
              <w:rPr>
                <w:rFonts w:ascii="Arial" w:cs="Arial" w:eastAsia="Arial" w:hAnsi="Arial"/>
                <w:sz w:val="18"/>
                <w:szCs w:val="18"/>
                <w:color w:val="auto"/>
              </w:rPr>
              <w:t>By:</w:t>
            </w:r>
          </w:p>
        </w:tc>
        <w:tc>
          <w:tcPr>
            <w:tcW w:w="6020" w:type="dxa"/>
            <w:vAlign w:val="bottom"/>
            <w:gridSpan w:val="2"/>
          </w:tcPr>
          <w:p>
            <w:pPr>
              <w:ind w:left="2220"/>
              <w:spacing w:after="0"/>
              <w:rPr>
                <w:sz w:val="20"/>
                <w:szCs w:val="20"/>
                <w:color w:val="auto"/>
              </w:rPr>
            </w:pPr>
            <w:r>
              <w:rPr>
                <w:rFonts w:ascii="Arial" w:cs="Arial" w:eastAsia="Arial" w:hAnsi="Arial"/>
                <w:sz w:val="18"/>
                <w:szCs w:val="18"/>
                <w:color w:val="auto"/>
              </w:rPr>
              <w:t>By:</w:t>
            </w:r>
          </w:p>
        </w:tc>
      </w:tr>
      <w:tr>
        <w:trPr>
          <w:trHeight w:val="230"/>
        </w:trPr>
        <w:tc>
          <w:tcPr>
            <w:tcW w:w="460" w:type="dxa"/>
            <w:vAlign w:val="bottom"/>
          </w:tcPr>
          <w:p>
            <w:pPr>
              <w:spacing w:after="0"/>
              <w:rPr>
                <w:sz w:val="20"/>
                <w:szCs w:val="20"/>
                <w:color w:val="auto"/>
              </w:rPr>
            </w:pPr>
          </w:p>
        </w:tc>
        <w:tc>
          <w:tcPr>
            <w:tcW w:w="3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Signature</w:t>
            </w:r>
          </w:p>
        </w:tc>
        <w:tc>
          <w:tcPr>
            <w:tcW w:w="2680" w:type="dxa"/>
            <w:vAlign w:val="bottom"/>
          </w:tcPr>
          <w:p>
            <w:pPr>
              <w:spacing w:after="0"/>
              <w:rPr>
                <w:sz w:val="20"/>
                <w:szCs w:val="20"/>
                <w:color w:val="auto"/>
              </w:rPr>
            </w:pPr>
          </w:p>
        </w:tc>
        <w:tc>
          <w:tcPr>
            <w:tcW w:w="3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215" w:lineRule="exact"/>
        <w:rPr>
          <w:sz w:val="20"/>
          <w:szCs w:val="20"/>
          <w:color w:val="auto"/>
        </w:rPr>
      </w:pPr>
    </w:p>
    <w:p>
      <w:pPr>
        <w:ind w:right="480" w:firstLine="1296"/>
        <w:spacing w:after="0" w:line="250"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 COM</w:t>
            </w: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as tenants in common</w:t>
            </w:r>
          </w:p>
        </w:tc>
        <w:tc>
          <w:tcPr>
            <w:tcW w:w="610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UNIF GIFT/TRANSFERS MIN ACT</w:t>
            </w:r>
          </w:p>
        </w:tc>
      </w:tr>
      <w:tr>
        <w:trPr>
          <w:trHeight w:val="190"/>
        </w:trPr>
        <w:tc>
          <w:tcPr>
            <w:tcW w:w="1040" w:type="dxa"/>
            <w:vAlign w:val="bottom"/>
            <w:tcBorders>
              <w:bottom w:val="single" w:sz="8" w:color="CCEEFF"/>
            </w:tcBorders>
            <w:shd w:val="clear" w:color="auto" w:fill="CCEEFF"/>
          </w:tcPr>
          <w:p>
            <w:pPr>
              <w:spacing w:after="0"/>
              <w:rPr>
                <w:sz w:val="16"/>
                <w:szCs w:val="16"/>
                <w:color w:val="auto"/>
              </w:rPr>
            </w:pPr>
          </w:p>
        </w:tc>
        <w:tc>
          <w:tcPr>
            <w:tcW w:w="4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ind w:left="60"/>
              <w:spacing w:after="0" w:line="190" w:lineRule="exact"/>
              <w:rPr>
                <w:sz w:val="20"/>
                <w:szCs w:val="20"/>
                <w:color w:val="auto"/>
              </w:rPr>
            </w:pPr>
            <w:r>
              <w:rPr>
                <w:rFonts w:ascii="Arial" w:cs="Arial" w:eastAsia="Arial" w:hAnsi="Arial"/>
                <w:sz w:val="18"/>
                <w:szCs w:val="18"/>
                <w:color w:val="auto"/>
                <w:w w:val="91"/>
              </w:rPr>
              <w:t>Custodian</w:t>
            </w:r>
          </w:p>
        </w:tc>
        <w:tc>
          <w:tcPr>
            <w:tcW w:w="1140" w:type="dxa"/>
            <w:vAlign w:val="bottom"/>
            <w:tcBorders>
              <w:bottom w:val="single" w:sz="8" w:color="auto"/>
            </w:tcBorders>
            <w:shd w:val="clear" w:color="auto" w:fill="CCEEFF"/>
          </w:tcPr>
          <w:p>
            <w:pPr>
              <w:spacing w:after="0"/>
              <w:rPr>
                <w:sz w:val="16"/>
                <w:szCs w:val="16"/>
                <w:color w:val="auto"/>
              </w:rPr>
            </w:pPr>
          </w:p>
        </w:tc>
        <w:tc>
          <w:tcPr>
            <w:tcW w:w="2740" w:type="dxa"/>
            <w:vAlign w:val="bottom"/>
            <w:tcBorders>
              <w:bottom w:val="single" w:sz="8" w:color="CCEEFF"/>
            </w:tcBorders>
            <w:shd w:val="clear" w:color="auto" w:fill="CCEEFF"/>
          </w:tcPr>
          <w:p>
            <w:pPr>
              <w:spacing w:after="0"/>
              <w:rPr>
                <w:sz w:val="16"/>
                <w:szCs w:val="16"/>
                <w:color w:val="auto"/>
              </w:rPr>
            </w:pPr>
          </w:p>
        </w:tc>
      </w:tr>
      <w:tr>
        <w:trPr>
          <w:trHeight w:val="250"/>
        </w:trPr>
        <w:tc>
          <w:tcPr>
            <w:tcW w:w="1040" w:type="dxa"/>
            <w:vAlign w:val="bottom"/>
            <w:shd w:val="clear" w:color="auto" w:fill="CCEEFF"/>
          </w:tcPr>
          <w:p>
            <w:pPr>
              <w:spacing w:after="0"/>
              <w:rPr>
                <w:sz w:val="21"/>
                <w:szCs w:val="21"/>
                <w:color w:val="auto"/>
              </w:rPr>
            </w:pPr>
          </w:p>
        </w:tc>
        <w:tc>
          <w:tcPr>
            <w:tcW w:w="4100" w:type="dxa"/>
            <w:vAlign w:val="bottom"/>
            <w:shd w:val="clear" w:color="auto" w:fill="CCEEFF"/>
          </w:tcPr>
          <w:p>
            <w:pPr>
              <w:spacing w:after="0"/>
              <w:rPr>
                <w:sz w:val="21"/>
                <w:szCs w:val="21"/>
                <w:color w:val="auto"/>
              </w:rPr>
            </w:pPr>
          </w:p>
        </w:tc>
        <w:tc>
          <w:tcPr>
            <w:tcW w:w="610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(Cust) (Minor)</w:t>
            </w:r>
          </w:p>
        </w:tc>
      </w:tr>
      <w:tr>
        <w:trPr>
          <w:trHeight w:val="237"/>
        </w:trPr>
        <w:tc>
          <w:tcPr>
            <w:tcW w:w="1040" w:type="dxa"/>
            <w:vAlign w:val="bottom"/>
          </w:tcPr>
          <w:p>
            <w:pPr>
              <w:ind w:left="20"/>
              <w:spacing w:after="0"/>
              <w:rPr>
                <w:sz w:val="20"/>
                <w:szCs w:val="20"/>
                <w:color w:val="auto"/>
              </w:rPr>
            </w:pPr>
            <w:r>
              <w:rPr>
                <w:rFonts w:ascii="Arial" w:cs="Arial" w:eastAsia="Arial" w:hAnsi="Arial"/>
                <w:sz w:val="18"/>
                <w:szCs w:val="18"/>
                <w:color w:val="auto"/>
              </w:rPr>
              <w:t>TEN ENT</w:t>
            </w:r>
          </w:p>
        </w:tc>
        <w:tc>
          <w:tcPr>
            <w:tcW w:w="4100" w:type="dxa"/>
            <w:vAlign w:val="bottom"/>
          </w:tcPr>
          <w:p>
            <w:pPr>
              <w:ind w:left="220"/>
              <w:spacing w:after="0"/>
              <w:rPr>
                <w:sz w:val="20"/>
                <w:szCs w:val="20"/>
                <w:color w:val="auto"/>
              </w:rPr>
            </w:pPr>
            <w:r>
              <w:rPr>
                <w:rFonts w:ascii="Arial" w:cs="Arial" w:eastAsia="Arial" w:hAnsi="Arial"/>
                <w:sz w:val="18"/>
                <w:szCs w:val="18"/>
                <w:color w:val="auto"/>
              </w:rPr>
              <w:t>—  as tenants by the entireties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21"/>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JT TEN</w:t>
            </w: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as joint tenants with right of survivorship and</w:t>
            </w:r>
          </w:p>
        </w:tc>
        <w:tc>
          <w:tcPr>
            <w:tcW w:w="610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under Uniform Gifts /Transfers to CD Minors Act (State)</w:t>
            </w:r>
          </w:p>
        </w:tc>
      </w:tr>
      <w:tr>
        <w:trPr>
          <w:trHeight w:val="244"/>
        </w:trPr>
        <w:tc>
          <w:tcPr>
            <w:tcW w:w="1040" w:type="dxa"/>
            <w:vAlign w:val="bottom"/>
            <w:shd w:val="clear" w:color="auto" w:fill="CCEEFF"/>
          </w:tcPr>
          <w:p>
            <w:pPr>
              <w:spacing w:after="0"/>
              <w:rPr>
                <w:sz w:val="21"/>
                <w:szCs w:val="21"/>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not as tenants in common</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22"/>
          <w:szCs w:val="22"/>
          <w:b w:val="1"/>
          <w:bCs w:val="1"/>
          <w:color w:val="auto"/>
        </w:rPr>
        <w:t>ASSIGNMENT OF COMMON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15" w:lineRule="exact"/>
        <w:rPr>
          <w:sz w:val="20"/>
          <w:szCs w:val="20"/>
          <w:color w:val="auto"/>
        </w:rPr>
      </w:pPr>
    </w:p>
    <w:p>
      <w:pPr>
        <w:ind w:left="660"/>
        <w:spacing w:after="0"/>
        <w:tabs>
          <w:tab w:leader="none" w:pos="4220" w:val="left"/>
        </w:tabs>
        <w:rPr>
          <w:sz w:val="20"/>
          <w:szCs w:val="20"/>
          <w:color w:val="auto"/>
        </w:rPr>
      </w:pPr>
      <w:r>
        <w:rPr>
          <w:rFonts w:ascii="Arial" w:cs="Arial" w:eastAsia="Arial" w:hAnsi="Arial"/>
          <w:sz w:val="22"/>
          <w:szCs w:val="22"/>
          <w:color w:val="auto"/>
        </w:rPr>
        <w:t>FOR VALUE RECEIVED,</w:t>
      </w:r>
      <w:r>
        <w:rPr>
          <w:sz w:val="20"/>
          <w:szCs w:val="20"/>
          <w:color w:val="auto"/>
        </w:rPr>
        <w:tab/>
      </w:r>
      <w:r>
        <w:rPr>
          <w:rFonts w:ascii="Arial" w:cs="Arial" w:eastAsia="Arial" w:hAnsi="Arial"/>
          <w:sz w:val="19"/>
          <w:szCs w:val="19"/>
          <w:color w:val="auto"/>
        </w:rPr>
        <w:t>hereby assigns, conveys, sells and transfers unto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(Please print or typewrite name and address of Assignee)</w:t>
            </w:r>
          </w:p>
        </w:tc>
        <w:tc>
          <w:tcPr>
            <w:tcW w:w="760" w:type="dxa"/>
            <w:vAlign w:val="bottom"/>
            <w:shd w:val="clear" w:color="auto" w:fill="CCEEFF"/>
          </w:tcPr>
          <w:p>
            <w:pPr>
              <w:spacing w:after="0"/>
              <w:rPr>
                <w:sz w:val="19"/>
                <w:szCs w:val="19"/>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(Please insert Social Security or other identifying number of</w:t>
            </w:r>
          </w:p>
        </w:tc>
        <w:tc>
          <w:tcPr>
            <w:tcW w:w="1520" w:type="dxa"/>
            <w:vAlign w:val="bottom"/>
            <w:shd w:val="clear" w:color="auto" w:fill="CCEEFF"/>
          </w:tcPr>
          <w:p>
            <w:pPr>
              <w:spacing w:after="0"/>
              <w:rPr>
                <w:sz w:val="19"/>
                <w:szCs w:val="19"/>
                <w:color w:val="auto"/>
              </w:rPr>
            </w:pPr>
          </w:p>
        </w:tc>
      </w:tr>
      <w:tr>
        <w:trPr>
          <w:trHeight w:val="230"/>
        </w:trPr>
        <w:tc>
          <w:tcPr>
            <w:tcW w:w="4480" w:type="dxa"/>
            <w:vAlign w:val="bottom"/>
            <w:shd w:val="clear" w:color="auto" w:fill="CCEEFF"/>
          </w:tcPr>
          <w:p>
            <w:pPr>
              <w:spacing w:after="0"/>
              <w:rPr>
                <w:sz w:val="20"/>
                <w:szCs w:val="20"/>
                <w:color w:val="auto"/>
              </w:rPr>
            </w:pPr>
          </w:p>
        </w:tc>
        <w:tc>
          <w:tcPr>
            <w:tcW w:w="5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Assignee)</w:t>
            </w:r>
          </w:p>
        </w:tc>
        <w:tc>
          <w:tcPr>
            <w:tcW w:w="152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6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Common Units representing limited partner interests evidenced by this Certificate, subject to the Partnership</w:t>
      </w:r>
    </w:p>
    <w:p>
      <w:pPr>
        <w:spacing w:after="0" w:line="43" w:lineRule="exact"/>
        <w:rPr>
          <w:sz w:val="20"/>
          <w:szCs w:val="20"/>
          <w:color w:val="auto"/>
        </w:rPr>
      </w:pPr>
    </w:p>
    <w:p>
      <w:pPr>
        <w:ind w:right="840"/>
        <w:spacing w:after="0" w:line="236" w:lineRule="auto"/>
        <w:rPr>
          <w:sz w:val="20"/>
          <w:szCs w:val="20"/>
          <w:color w:val="auto"/>
        </w:rPr>
      </w:pPr>
      <w:r>
        <w:rPr>
          <w:rFonts w:ascii="Arial" w:cs="Arial" w:eastAsia="Arial" w:hAnsi="Arial"/>
          <w:sz w:val="22"/>
          <w:szCs w:val="22"/>
          <w:color w:val="auto"/>
        </w:rPr>
        <w:t>Agreement, and does hereby irrevocably constitute and appoint as its attorney-in-fact with full power of substitution to transfer the same on the books of GasLog Partners LP.</w:t>
      </w:r>
    </w:p>
    <w:p>
      <w:pPr>
        <w:sectPr>
          <w:pgSz w:w="11900" w:h="16838" w:orient="portrait"/>
          <w:cols w:equalWidth="0" w:num="1">
            <w:col w:w="11240"/>
          </w:cols>
          <w:pgMar w:left="320" w:top="355" w:right="3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0"/>
        <w:spacing w:after="0" w:line="254" w:lineRule="auto"/>
        <w:rPr>
          <w:sz w:val="20"/>
          <w:szCs w:val="20"/>
          <w:color w:val="auto"/>
        </w:rPr>
      </w:pPr>
      <w:r>
        <w:rPr>
          <w:rFonts w:ascii="Arial" w:cs="Arial" w:eastAsia="Arial" w:hAnsi="Arial"/>
          <w:sz w:val="18"/>
          <w:szCs w:val="18"/>
          <w:b w:val="1"/>
          <w:bCs w:val="1"/>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2700" w:hanging="759"/>
        <w:spacing w:after="0" w:line="327" w:lineRule="auto"/>
        <w:rPr>
          <w:sz w:val="20"/>
          <w:szCs w:val="20"/>
          <w:color w:val="auto"/>
        </w:rPr>
      </w:pPr>
      <w:r>
        <w:rPr>
          <w:rFonts w:ascii="Arial" w:cs="Arial" w:eastAsia="Arial" w:hAnsi="Arial"/>
          <w:sz w:val="15"/>
          <w:szCs w:val="15"/>
          <w:color w:val="auto"/>
        </w:rPr>
        <w:t>NOTE:</w:t>
      </w:r>
      <w:r>
        <w:rPr>
          <w:sz w:val="20"/>
          <w:szCs w:val="20"/>
          <w:color w:val="auto"/>
        </w:rPr>
        <w:t xml:space="preserve"> </w:t>
      </w:r>
      <w:r>
        <w:rPr>
          <w:rFonts w:ascii="Arial" w:cs="Arial" w:eastAsia="Arial" w:hAnsi="Arial"/>
          <w:sz w:val="15"/>
          <w:szCs w:val="15"/>
          <w:color w:val="auto"/>
        </w:rPr>
        <w:t>The signature to any endorsement hereon must correspond with the name as written upon the face of this Certificate in every particular, without alteration, enlargement or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-587375</wp:posOffset>
            </wp:positionV>
            <wp:extent cx="7132320" cy="548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406400</wp:posOffset>
            </wp:positionV>
            <wp:extent cx="228028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768985</wp:posOffset>
            </wp:positionV>
            <wp:extent cx="228028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3849370" cy="2914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4937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720"/>
            <w:col w:w="6060"/>
          </w:cols>
          <w:pgMar w:left="320" w:top="355" w:right="339" w:bottom="1440" w:gutter="0" w:footer="0" w:header="0"/>
          <w:type w:val="continuous"/>
        </w:sectPr>
      </w:pPr>
    </w:p>
    <w:p>
      <w:pPr>
        <w:spacing w:after="0" w:line="200" w:lineRule="exact"/>
        <w:rPr>
          <w:sz w:val="20"/>
          <w:szCs w:val="20"/>
          <w:color w:val="auto"/>
        </w:rPr>
      </w:pPr>
    </w:p>
    <w:p>
      <w:pPr>
        <w:spacing w:after="0" w:line="331" w:lineRule="exact"/>
        <w:rPr>
          <w:sz w:val="20"/>
          <w:szCs w:val="20"/>
          <w:color w:val="auto"/>
        </w:rPr>
      </w:pPr>
    </w:p>
    <w:p>
      <w:pPr>
        <w:ind w:right="180" w:firstLine="1296"/>
        <w:spacing w:after="0" w:line="274" w:lineRule="auto"/>
        <w:rPr>
          <w:sz w:val="20"/>
          <w:szCs w:val="20"/>
          <w:color w:val="auto"/>
        </w:rPr>
      </w:pPr>
      <w:r>
        <w:rPr>
          <w:rFonts w:ascii="Arial" w:cs="Arial" w:eastAsia="Arial" w:hAnsi="Arial"/>
          <w:sz w:val="21"/>
          <w:szCs w:val="21"/>
          <w:color w:val="auto"/>
        </w:rPr>
        <w:t>No transfer of the Common Units evidenced hereby will be registered on the books of the Partnership, unless the Certificate evidencing the Common Units to be transferred is surrendered for registration or transfer.</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22"/>
          <w:szCs w:val="22"/>
          <w:b w:val="1"/>
          <w:bCs w:val="1"/>
          <w:color w:val="auto"/>
        </w:rPr>
        <w:t>EXHIBIT B</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Eighth Amended and Restated Agreement of Limited Partnership of</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09" w:lineRule="exact"/>
        <w:rPr>
          <w:sz w:val="20"/>
          <w:szCs w:val="20"/>
          <w:color w:val="auto"/>
        </w:rPr>
      </w:pPr>
    </w:p>
    <w:p>
      <w:pPr>
        <w:jc w:val="center"/>
        <w:ind w:left="340" w:right="60"/>
        <w:spacing w:after="0" w:line="256" w:lineRule="auto"/>
        <w:rPr>
          <w:sz w:val="20"/>
          <w:szCs w:val="20"/>
          <w:color w:val="auto"/>
        </w:rPr>
      </w:pPr>
      <w:r>
        <w:rPr>
          <w:rFonts w:ascii="Arial" w:cs="Arial" w:eastAsia="Arial" w:hAnsi="Arial"/>
          <w:sz w:val="22"/>
          <w:szCs w:val="22"/>
          <w:b w:val="1"/>
          <w:bCs w:val="1"/>
          <w:color w:val="auto"/>
        </w:rPr>
        <w:t>Certificate Evidencing Series A Cumulative Redeemable Perpetual Fixed to Floating Rate Preference Units Representing Limited Partner Interests in GASLOG PARTNERS LP</w:t>
      </w:r>
    </w:p>
    <w:p>
      <w:pPr>
        <w:spacing w:after="0" w:line="200" w:lineRule="exact"/>
        <w:rPr>
          <w:sz w:val="20"/>
          <w:szCs w:val="20"/>
          <w:color w:val="auto"/>
        </w:rPr>
      </w:pPr>
    </w:p>
    <w:p>
      <w:pPr>
        <w:spacing w:after="0" w:line="245" w:lineRule="exact"/>
        <w:rPr>
          <w:sz w:val="20"/>
          <w:szCs w:val="20"/>
          <w:color w:val="auto"/>
        </w:rPr>
      </w:pPr>
    </w:p>
    <w:p>
      <w:pPr>
        <w:spacing w:after="0"/>
        <w:tabs>
          <w:tab w:leader="none" w:pos="9380" w:val="left"/>
        </w:tabs>
        <w:rPr>
          <w:sz w:val="20"/>
          <w:szCs w:val="20"/>
          <w:color w:val="auto"/>
        </w:rPr>
      </w:pPr>
      <w:r>
        <w:rPr>
          <w:rFonts w:ascii="Arial" w:cs="Arial" w:eastAsia="Arial" w:hAnsi="Arial"/>
          <w:sz w:val="15"/>
          <w:szCs w:val="15"/>
          <w:color w:val="auto"/>
        </w:rPr>
        <w:t>No.</w:t>
      </w:r>
      <w:r>
        <w:rPr>
          <w:sz w:val="20"/>
          <w:szCs w:val="20"/>
          <w:color w:val="auto"/>
        </w:rPr>
        <w:tab/>
      </w:r>
      <w:r>
        <w:rPr>
          <w:rFonts w:ascii="Arial" w:cs="Arial" w:eastAsia="Arial" w:hAnsi="Arial"/>
          <w:sz w:val="15"/>
          <w:szCs w:val="15"/>
          <w:color w:val="auto"/>
        </w:rPr>
        <w:t>Series A Preference Units</w:t>
      </w:r>
    </w:p>
    <w:p>
      <w:pPr>
        <w:spacing w:after="0" w:line="279" w:lineRule="exact"/>
        <w:rPr>
          <w:sz w:val="20"/>
          <w:szCs w:val="20"/>
          <w:color w:val="auto"/>
        </w:rPr>
      </w:pPr>
    </w:p>
    <w:p>
      <w:pPr>
        <w:ind w:right="60" w:firstLine="1296"/>
        <w:spacing w:after="0" w:line="276" w:lineRule="auto"/>
        <w:rPr>
          <w:sz w:val="20"/>
          <w:szCs w:val="20"/>
          <w:color w:val="auto"/>
        </w:rPr>
      </w:pPr>
      <w:r>
        <w:rPr>
          <w:rFonts w:ascii="Arial" w:cs="Arial" w:eastAsia="Arial" w:hAnsi="Arial"/>
          <w:sz w:val="19"/>
          <w:szCs w:val="19"/>
          <w:color w:val="auto"/>
        </w:rPr>
        <w:t>In accordance with Section 4.1 of the Eighth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 LP, a</w:t>
      </w:r>
    </w:p>
    <w:p>
      <w:pPr>
        <w:spacing w:after="0" w:line="1"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Series A Cumulative Redeemable Perpetual Fixed to Floating Rate Preference Units representing limited partner interests in the Partnership (the “</w:t>
      </w:r>
      <w:r>
        <w:rPr>
          <w:rFonts w:ascii="Arial" w:cs="Arial" w:eastAsia="Arial" w:hAnsi="Arial"/>
          <w:sz w:val="19"/>
          <w:szCs w:val="19"/>
          <w:b w:val="1"/>
          <w:bCs w:val="1"/>
          <w:i w:val="1"/>
          <w:iCs w:val="1"/>
          <w:color w:val="auto"/>
        </w:rPr>
        <w:t>Series A Preference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Series A Preference Units are set forth in, and this Certificate and the Series A Preference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69 Akti Miaouli 18537, Piraeus Greece. Capitalized terms used herein but not defined shall have the meanings given them in the Partnership Agreement.</w:t>
      </w:r>
    </w:p>
    <w:p>
      <w:pPr>
        <w:spacing w:after="0" w:line="183" w:lineRule="exact"/>
        <w:rPr>
          <w:sz w:val="20"/>
          <w:szCs w:val="20"/>
          <w:color w:val="auto"/>
        </w:rPr>
      </w:pPr>
    </w:p>
    <w:p>
      <w:pPr>
        <w:ind w:right="140" w:firstLine="1296"/>
        <w:spacing w:after="0" w:line="236" w:lineRule="auto"/>
        <w:rPr>
          <w:sz w:val="20"/>
          <w:szCs w:val="20"/>
          <w:color w:val="auto"/>
        </w:rPr>
      </w:pPr>
      <w:r>
        <w:rPr>
          <w:rFonts w:ascii="Arial" w:cs="Arial" w:eastAsia="Arial" w:hAnsi="Arial"/>
          <w:sz w:val="22"/>
          <w:szCs w:val="22"/>
          <w:color w:val="auto"/>
        </w:rPr>
        <w:t>The Holder, by accepting this Certificate, is deemed to have (a) requested admission as, and agreed to become, a Limited Partner and to have agreed to comply with and be bound by and to have executed the Partnership Agreement, (b) 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214" w:lineRule="exact"/>
        <w:rPr>
          <w:sz w:val="20"/>
          <w:szCs w:val="20"/>
          <w:color w:val="auto"/>
        </w:rPr>
      </w:pPr>
    </w:p>
    <w:p>
      <w:pPr>
        <w:ind w:right="180" w:firstLine="1296"/>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Countersigned and Registered by:</w:t>
            </w:r>
          </w:p>
        </w:tc>
        <w:tc>
          <w:tcPr>
            <w:tcW w:w="6020" w:type="dxa"/>
            <w:vAlign w:val="bottom"/>
            <w:gridSpan w:val="2"/>
          </w:tcPr>
          <w:p>
            <w:pPr>
              <w:ind w:left="2220"/>
              <w:spacing w:after="0"/>
              <w:rPr>
                <w:sz w:val="20"/>
                <w:szCs w:val="20"/>
                <w:color w:val="auto"/>
              </w:rPr>
            </w:pPr>
            <w:r>
              <w:rPr>
                <w:rFonts w:ascii="Arial" w:cs="Arial" w:eastAsia="Arial" w:hAnsi="Arial"/>
                <w:sz w:val="18"/>
                <w:szCs w:val="18"/>
                <w:color w:val="auto"/>
              </w:rPr>
              <w:t>GASLOG PARTNERS LP</w:t>
            </w:r>
          </w:p>
        </w:tc>
      </w:tr>
      <w:tr>
        <w:trPr>
          <w:trHeight w:val="439"/>
        </w:trPr>
        <w:tc>
          <w:tcPr>
            <w:tcW w:w="4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020" w:type="dxa"/>
            <w:vAlign w:val="bottom"/>
            <w:gridSpan w:val="2"/>
          </w:tcPr>
          <w:p>
            <w:pPr>
              <w:ind w:left="2220"/>
              <w:spacing w:after="0"/>
              <w:rPr>
                <w:sz w:val="20"/>
                <w:szCs w:val="20"/>
                <w:color w:val="auto"/>
              </w:rPr>
            </w:pPr>
            <w:r>
              <w:rPr>
                <w:rFonts w:ascii="Arial" w:cs="Arial" w:eastAsia="Arial" w:hAnsi="Arial"/>
                <w:sz w:val="18"/>
                <w:szCs w:val="18"/>
                <w:color w:val="auto"/>
              </w:rPr>
              <w:t>By:</w:t>
            </w:r>
          </w:p>
        </w:tc>
      </w:tr>
      <w:tr>
        <w:trPr>
          <w:trHeight w:val="230"/>
        </w:trPr>
        <w:tc>
          <w:tcPr>
            <w:tcW w:w="3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as Transfer Agent and Registrar</w:t>
            </w:r>
          </w:p>
        </w:tc>
        <w:tc>
          <w:tcPr>
            <w:tcW w:w="2680" w:type="dxa"/>
            <w:vAlign w:val="bottom"/>
          </w:tcPr>
          <w:p>
            <w:pPr>
              <w:spacing w:after="0"/>
              <w:rPr>
                <w:sz w:val="20"/>
                <w:szCs w:val="20"/>
                <w:color w:val="auto"/>
              </w:rPr>
            </w:pPr>
          </w:p>
        </w:tc>
        <w:tc>
          <w:tcPr>
            <w:tcW w:w="3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Title:</w:t>
            </w:r>
          </w:p>
        </w:tc>
      </w:tr>
      <w:tr>
        <w:trPr>
          <w:trHeight w:val="425"/>
        </w:trPr>
        <w:tc>
          <w:tcPr>
            <w:tcW w:w="3780" w:type="dxa"/>
            <w:vAlign w:val="bottom"/>
            <w:gridSpan w:val="2"/>
          </w:tcPr>
          <w:p>
            <w:pPr>
              <w:spacing w:after="0"/>
              <w:rPr>
                <w:sz w:val="20"/>
                <w:szCs w:val="20"/>
                <w:color w:val="auto"/>
              </w:rPr>
            </w:pPr>
            <w:r>
              <w:rPr>
                <w:rFonts w:ascii="Arial" w:cs="Arial" w:eastAsia="Arial" w:hAnsi="Arial"/>
                <w:sz w:val="18"/>
                <w:szCs w:val="18"/>
                <w:color w:val="auto"/>
              </w:rPr>
              <w:t>By:</w:t>
            </w:r>
          </w:p>
        </w:tc>
        <w:tc>
          <w:tcPr>
            <w:tcW w:w="6020" w:type="dxa"/>
            <w:vAlign w:val="bottom"/>
            <w:gridSpan w:val="2"/>
          </w:tcPr>
          <w:p>
            <w:pPr>
              <w:ind w:left="2220"/>
              <w:spacing w:after="0"/>
              <w:rPr>
                <w:sz w:val="20"/>
                <w:szCs w:val="20"/>
                <w:color w:val="auto"/>
              </w:rPr>
            </w:pPr>
            <w:r>
              <w:rPr>
                <w:rFonts w:ascii="Arial" w:cs="Arial" w:eastAsia="Arial" w:hAnsi="Arial"/>
                <w:sz w:val="18"/>
                <w:szCs w:val="18"/>
                <w:color w:val="auto"/>
              </w:rPr>
              <w:t>By:</w:t>
            </w:r>
          </w:p>
        </w:tc>
      </w:tr>
      <w:tr>
        <w:trPr>
          <w:trHeight w:val="230"/>
        </w:trPr>
        <w:tc>
          <w:tcPr>
            <w:tcW w:w="460" w:type="dxa"/>
            <w:vAlign w:val="bottom"/>
          </w:tcPr>
          <w:p>
            <w:pPr>
              <w:spacing w:after="0"/>
              <w:rPr>
                <w:sz w:val="20"/>
                <w:szCs w:val="20"/>
                <w:color w:val="auto"/>
              </w:rPr>
            </w:pPr>
          </w:p>
        </w:tc>
        <w:tc>
          <w:tcPr>
            <w:tcW w:w="3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Authorized Signature</w:t>
            </w:r>
          </w:p>
        </w:tc>
        <w:tc>
          <w:tcPr>
            <w:tcW w:w="2680" w:type="dxa"/>
            <w:vAlign w:val="bottom"/>
          </w:tcPr>
          <w:p>
            <w:pPr>
              <w:spacing w:after="0"/>
              <w:rPr>
                <w:sz w:val="20"/>
                <w:szCs w:val="20"/>
                <w:color w:val="auto"/>
              </w:rPr>
            </w:pPr>
          </w:p>
        </w:tc>
        <w:tc>
          <w:tcPr>
            <w:tcW w:w="3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215" w:lineRule="exact"/>
        <w:rPr>
          <w:sz w:val="20"/>
          <w:szCs w:val="20"/>
          <w:color w:val="auto"/>
        </w:rPr>
      </w:pPr>
    </w:p>
    <w:p>
      <w:pPr>
        <w:ind w:right="480" w:firstLine="1296"/>
        <w:spacing w:after="0" w:line="250"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 COM</w:t>
            </w: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as tenants in common</w:t>
            </w:r>
          </w:p>
        </w:tc>
        <w:tc>
          <w:tcPr>
            <w:tcW w:w="610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UNIF GIFT/TRANSFERS MIN ACT</w:t>
            </w:r>
          </w:p>
        </w:tc>
      </w:tr>
      <w:tr>
        <w:trPr>
          <w:trHeight w:val="190"/>
        </w:trPr>
        <w:tc>
          <w:tcPr>
            <w:tcW w:w="1040" w:type="dxa"/>
            <w:vAlign w:val="bottom"/>
            <w:tcBorders>
              <w:bottom w:val="single" w:sz="8" w:color="CCEEFF"/>
            </w:tcBorders>
            <w:shd w:val="clear" w:color="auto" w:fill="CCEEFF"/>
          </w:tcPr>
          <w:p>
            <w:pPr>
              <w:spacing w:after="0"/>
              <w:rPr>
                <w:sz w:val="16"/>
                <w:szCs w:val="16"/>
                <w:color w:val="auto"/>
              </w:rPr>
            </w:pPr>
          </w:p>
        </w:tc>
        <w:tc>
          <w:tcPr>
            <w:tcW w:w="4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ind w:left="60"/>
              <w:spacing w:after="0" w:line="190" w:lineRule="exact"/>
              <w:rPr>
                <w:sz w:val="20"/>
                <w:szCs w:val="20"/>
                <w:color w:val="auto"/>
              </w:rPr>
            </w:pPr>
            <w:r>
              <w:rPr>
                <w:rFonts w:ascii="Arial" w:cs="Arial" w:eastAsia="Arial" w:hAnsi="Arial"/>
                <w:sz w:val="18"/>
                <w:szCs w:val="18"/>
                <w:color w:val="auto"/>
                <w:w w:val="91"/>
              </w:rPr>
              <w:t>Custodian</w:t>
            </w:r>
          </w:p>
        </w:tc>
        <w:tc>
          <w:tcPr>
            <w:tcW w:w="1140" w:type="dxa"/>
            <w:vAlign w:val="bottom"/>
            <w:tcBorders>
              <w:bottom w:val="single" w:sz="8" w:color="auto"/>
            </w:tcBorders>
            <w:shd w:val="clear" w:color="auto" w:fill="CCEEFF"/>
          </w:tcPr>
          <w:p>
            <w:pPr>
              <w:spacing w:after="0"/>
              <w:rPr>
                <w:sz w:val="16"/>
                <w:szCs w:val="16"/>
                <w:color w:val="auto"/>
              </w:rPr>
            </w:pPr>
          </w:p>
        </w:tc>
        <w:tc>
          <w:tcPr>
            <w:tcW w:w="2740" w:type="dxa"/>
            <w:vAlign w:val="bottom"/>
            <w:tcBorders>
              <w:bottom w:val="single" w:sz="8" w:color="CCEEFF"/>
            </w:tcBorders>
            <w:shd w:val="clear" w:color="auto" w:fill="CCEEFF"/>
          </w:tcPr>
          <w:p>
            <w:pPr>
              <w:spacing w:after="0"/>
              <w:rPr>
                <w:sz w:val="16"/>
                <w:szCs w:val="16"/>
                <w:color w:val="auto"/>
              </w:rPr>
            </w:pPr>
          </w:p>
        </w:tc>
      </w:tr>
      <w:tr>
        <w:trPr>
          <w:trHeight w:val="250"/>
        </w:trPr>
        <w:tc>
          <w:tcPr>
            <w:tcW w:w="1040" w:type="dxa"/>
            <w:vAlign w:val="bottom"/>
            <w:shd w:val="clear" w:color="auto" w:fill="CCEEFF"/>
          </w:tcPr>
          <w:p>
            <w:pPr>
              <w:spacing w:after="0"/>
              <w:rPr>
                <w:sz w:val="21"/>
                <w:szCs w:val="21"/>
                <w:color w:val="auto"/>
              </w:rPr>
            </w:pPr>
          </w:p>
        </w:tc>
        <w:tc>
          <w:tcPr>
            <w:tcW w:w="4100" w:type="dxa"/>
            <w:vAlign w:val="bottom"/>
            <w:shd w:val="clear" w:color="auto" w:fill="CCEEFF"/>
          </w:tcPr>
          <w:p>
            <w:pPr>
              <w:spacing w:after="0"/>
              <w:rPr>
                <w:sz w:val="21"/>
                <w:szCs w:val="21"/>
                <w:color w:val="auto"/>
              </w:rPr>
            </w:pPr>
          </w:p>
        </w:tc>
        <w:tc>
          <w:tcPr>
            <w:tcW w:w="610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(Cust) (Minor)</w:t>
            </w:r>
          </w:p>
        </w:tc>
      </w:tr>
      <w:tr>
        <w:trPr>
          <w:trHeight w:val="237"/>
        </w:trPr>
        <w:tc>
          <w:tcPr>
            <w:tcW w:w="1040" w:type="dxa"/>
            <w:vAlign w:val="bottom"/>
          </w:tcPr>
          <w:p>
            <w:pPr>
              <w:ind w:left="20"/>
              <w:spacing w:after="0"/>
              <w:rPr>
                <w:sz w:val="20"/>
                <w:szCs w:val="20"/>
                <w:color w:val="auto"/>
              </w:rPr>
            </w:pPr>
            <w:r>
              <w:rPr>
                <w:rFonts w:ascii="Arial" w:cs="Arial" w:eastAsia="Arial" w:hAnsi="Arial"/>
                <w:sz w:val="18"/>
                <w:szCs w:val="18"/>
                <w:color w:val="auto"/>
              </w:rPr>
              <w:t>TEN ENT</w:t>
            </w:r>
          </w:p>
        </w:tc>
        <w:tc>
          <w:tcPr>
            <w:tcW w:w="4100" w:type="dxa"/>
            <w:vAlign w:val="bottom"/>
          </w:tcPr>
          <w:p>
            <w:pPr>
              <w:ind w:left="220"/>
              <w:spacing w:after="0"/>
              <w:rPr>
                <w:sz w:val="20"/>
                <w:szCs w:val="20"/>
                <w:color w:val="auto"/>
              </w:rPr>
            </w:pPr>
            <w:r>
              <w:rPr>
                <w:rFonts w:ascii="Arial" w:cs="Arial" w:eastAsia="Arial" w:hAnsi="Arial"/>
                <w:sz w:val="18"/>
                <w:szCs w:val="18"/>
                <w:color w:val="auto"/>
              </w:rPr>
              <w:t>—  as tenants by the entireties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21"/>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JT TEN</w:t>
            </w: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as joint tenants with right of survivorship and</w:t>
            </w:r>
          </w:p>
        </w:tc>
        <w:tc>
          <w:tcPr>
            <w:tcW w:w="610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under Uniform Gifts /Transfers to CD Minors Act (State)</w:t>
            </w:r>
          </w:p>
        </w:tc>
      </w:tr>
      <w:tr>
        <w:trPr>
          <w:trHeight w:val="244"/>
        </w:trPr>
        <w:tc>
          <w:tcPr>
            <w:tcW w:w="1040" w:type="dxa"/>
            <w:vAlign w:val="bottom"/>
            <w:shd w:val="clear" w:color="auto" w:fill="CCEEFF"/>
          </w:tcPr>
          <w:p>
            <w:pPr>
              <w:spacing w:after="0"/>
              <w:rPr>
                <w:sz w:val="21"/>
                <w:szCs w:val="21"/>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not as tenants in common</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22"/>
          <w:szCs w:val="22"/>
          <w:b w:val="1"/>
          <w:bCs w:val="1"/>
          <w:color w:val="auto"/>
        </w:rPr>
        <w:t>ASSIGNMENT OF SERIES A PREFERENCE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15" w:lineRule="exact"/>
        <w:rPr>
          <w:sz w:val="20"/>
          <w:szCs w:val="20"/>
          <w:color w:val="auto"/>
        </w:rPr>
      </w:pPr>
    </w:p>
    <w:p>
      <w:pPr>
        <w:ind w:left="660"/>
        <w:spacing w:after="0"/>
        <w:tabs>
          <w:tab w:leader="none" w:pos="4220" w:val="left"/>
        </w:tabs>
        <w:rPr>
          <w:sz w:val="20"/>
          <w:szCs w:val="20"/>
          <w:color w:val="auto"/>
        </w:rPr>
      </w:pPr>
      <w:r>
        <w:rPr>
          <w:rFonts w:ascii="Arial" w:cs="Arial" w:eastAsia="Arial" w:hAnsi="Arial"/>
          <w:sz w:val="22"/>
          <w:szCs w:val="22"/>
          <w:color w:val="auto"/>
        </w:rPr>
        <w:t>FOR VALUE RECEIVED,</w:t>
      </w:r>
      <w:r>
        <w:rPr>
          <w:sz w:val="20"/>
          <w:szCs w:val="20"/>
          <w:color w:val="auto"/>
        </w:rPr>
        <w:tab/>
      </w:r>
      <w:r>
        <w:rPr>
          <w:rFonts w:ascii="Arial" w:cs="Arial" w:eastAsia="Arial" w:hAnsi="Arial"/>
          <w:sz w:val="19"/>
          <w:szCs w:val="19"/>
          <w:color w:val="auto"/>
        </w:rPr>
        <w:t>hereby assigns, conveys, sells and transfers unto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(Please print or typewrite name and address of Assignee)</w:t>
            </w:r>
          </w:p>
        </w:tc>
        <w:tc>
          <w:tcPr>
            <w:tcW w:w="760" w:type="dxa"/>
            <w:vAlign w:val="bottom"/>
            <w:shd w:val="clear" w:color="auto" w:fill="CCEEFF"/>
          </w:tcPr>
          <w:p>
            <w:pPr>
              <w:spacing w:after="0"/>
              <w:rPr>
                <w:sz w:val="19"/>
                <w:szCs w:val="19"/>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(Please insert Social Security or other identifying number of</w:t>
            </w:r>
          </w:p>
        </w:tc>
        <w:tc>
          <w:tcPr>
            <w:tcW w:w="1520" w:type="dxa"/>
            <w:vAlign w:val="bottom"/>
            <w:shd w:val="clear" w:color="auto" w:fill="CCEEFF"/>
          </w:tcPr>
          <w:p>
            <w:pPr>
              <w:spacing w:after="0"/>
              <w:rPr>
                <w:sz w:val="19"/>
                <w:szCs w:val="19"/>
                <w:color w:val="auto"/>
              </w:rPr>
            </w:pPr>
          </w:p>
        </w:tc>
      </w:tr>
      <w:tr>
        <w:trPr>
          <w:trHeight w:val="230"/>
        </w:trPr>
        <w:tc>
          <w:tcPr>
            <w:tcW w:w="4480" w:type="dxa"/>
            <w:vAlign w:val="bottom"/>
            <w:shd w:val="clear" w:color="auto" w:fill="CCEEFF"/>
          </w:tcPr>
          <w:p>
            <w:pPr>
              <w:spacing w:after="0"/>
              <w:rPr>
                <w:sz w:val="20"/>
                <w:szCs w:val="20"/>
                <w:color w:val="auto"/>
              </w:rPr>
            </w:pPr>
          </w:p>
        </w:tc>
        <w:tc>
          <w:tcPr>
            <w:tcW w:w="5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Assignee)</w:t>
            </w:r>
          </w:p>
        </w:tc>
        <w:tc>
          <w:tcPr>
            <w:tcW w:w="152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6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Series A Preference Units representing limited partner interests evidenced by this Certificate, subject to the</w:t>
      </w:r>
    </w:p>
    <w:p>
      <w:pPr>
        <w:spacing w:after="0" w:line="20"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Partnership Agreement, and does hereby irrevocably constitute and appoint as its attorney-in-fact with full power of substitution to transfer the same on the books of GasLog Partners LP.</w:t>
      </w:r>
    </w:p>
    <w:p>
      <w:pPr>
        <w:sectPr>
          <w:pgSz w:w="11900" w:h="16838" w:orient="portrait"/>
          <w:cols w:equalWidth="0" w:num="1">
            <w:col w:w="11240"/>
          </w:cols>
          <w:pgMar w:left="320" w:top="355" w:right="3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0"/>
        <w:spacing w:after="0" w:line="254" w:lineRule="auto"/>
        <w:rPr>
          <w:sz w:val="20"/>
          <w:szCs w:val="20"/>
          <w:color w:val="auto"/>
        </w:rPr>
      </w:pPr>
      <w:r>
        <w:rPr>
          <w:rFonts w:ascii="Arial" w:cs="Arial" w:eastAsia="Arial" w:hAnsi="Arial"/>
          <w:sz w:val="18"/>
          <w:szCs w:val="18"/>
          <w:b w:val="1"/>
          <w:bCs w:val="1"/>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2700" w:hanging="759"/>
        <w:spacing w:after="0" w:line="327" w:lineRule="auto"/>
        <w:rPr>
          <w:sz w:val="20"/>
          <w:szCs w:val="20"/>
          <w:color w:val="auto"/>
        </w:rPr>
      </w:pPr>
      <w:r>
        <w:rPr>
          <w:rFonts w:ascii="Arial" w:cs="Arial" w:eastAsia="Arial" w:hAnsi="Arial"/>
          <w:sz w:val="15"/>
          <w:szCs w:val="15"/>
          <w:color w:val="auto"/>
        </w:rPr>
        <w:t>NOTE:</w:t>
      </w:r>
      <w:r>
        <w:rPr>
          <w:sz w:val="20"/>
          <w:szCs w:val="20"/>
          <w:color w:val="auto"/>
        </w:rPr>
        <w:t xml:space="preserve"> </w:t>
      </w:r>
      <w:r>
        <w:rPr>
          <w:rFonts w:ascii="Arial" w:cs="Arial" w:eastAsia="Arial" w:hAnsi="Arial"/>
          <w:sz w:val="15"/>
          <w:szCs w:val="15"/>
          <w:color w:val="auto"/>
        </w:rPr>
        <w:t>The signature to any endorsement hereon must correspond with the name as written upon the face of this Certificate in every particular, without alteration, enlargement or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-587375</wp:posOffset>
            </wp:positionV>
            <wp:extent cx="7132320" cy="548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406400</wp:posOffset>
            </wp:positionV>
            <wp:extent cx="228028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768985</wp:posOffset>
            </wp:positionV>
            <wp:extent cx="228028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3849370" cy="2914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84937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720"/>
            <w:col w:w="6060"/>
          </w:cols>
          <w:pgMar w:left="320" w:top="355" w:right="339" w:bottom="1440" w:gutter="0" w:footer="0" w:header="0"/>
          <w:type w:val="continuous"/>
        </w:sectPr>
      </w:pPr>
    </w:p>
    <w:p>
      <w:pPr>
        <w:spacing w:after="0" w:line="288" w:lineRule="exact"/>
        <w:rPr>
          <w:sz w:val="20"/>
          <w:szCs w:val="20"/>
          <w:color w:val="auto"/>
        </w:rPr>
      </w:pPr>
    </w:p>
    <w:p>
      <w:pPr>
        <w:ind w:right="220" w:firstLine="1296"/>
        <w:spacing w:after="0" w:line="328" w:lineRule="auto"/>
        <w:rPr>
          <w:sz w:val="20"/>
          <w:szCs w:val="20"/>
          <w:color w:val="auto"/>
        </w:rPr>
      </w:pPr>
      <w:r>
        <w:rPr>
          <w:rFonts w:ascii="Arial" w:cs="Arial" w:eastAsia="Arial" w:hAnsi="Arial"/>
          <w:sz w:val="19"/>
          <w:szCs w:val="19"/>
          <w:color w:val="auto"/>
        </w:rPr>
        <w:t>No transfer of the Series A Preference Units evidenced hereby will be registered on the books of the Partnership, unless the Certificate evidencing the Series A Preference Units to be transferred is surrendered for registration or transfer.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22"/>
          <w:szCs w:val="22"/>
          <w:b w:val="1"/>
          <w:bCs w:val="1"/>
          <w:color w:val="auto"/>
        </w:rPr>
        <w:t>EXHIBIT 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Eighth Amended and Restated Agreement of Limited Partnership of</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09"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Certificate Evidencing Series B Cumulative Redeemable Perpetual Fixed to Floating Rate Preference Units Representing Limited Partner Interests in GASLOG PARTNERS LP</w:t>
      </w:r>
    </w:p>
    <w:p>
      <w:pPr>
        <w:spacing w:after="0" w:line="200" w:lineRule="exact"/>
        <w:rPr>
          <w:sz w:val="20"/>
          <w:szCs w:val="20"/>
          <w:color w:val="auto"/>
        </w:rPr>
      </w:pPr>
    </w:p>
    <w:p>
      <w:pPr>
        <w:spacing w:after="0" w:line="245" w:lineRule="exact"/>
        <w:rPr>
          <w:sz w:val="20"/>
          <w:szCs w:val="20"/>
          <w:color w:val="auto"/>
        </w:rPr>
      </w:pPr>
    </w:p>
    <w:p>
      <w:pPr>
        <w:spacing w:after="0"/>
        <w:tabs>
          <w:tab w:leader="none" w:pos="9360" w:val="left"/>
        </w:tabs>
        <w:rPr>
          <w:sz w:val="20"/>
          <w:szCs w:val="20"/>
          <w:color w:val="auto"/>
        </w:rPr>
      </w:pPr>
      <w:r>
        <w:rPr>
          <w:rFonts w:ascii="Arial" w:cs="Arial" w:eastAsia="Arial" w:hAnsi="Arial"/>
          <w:sz w:val="16"/>
          <w:szCs w:val="16"/>
          <w:color w:val="auto"/>
        </w:rPr>
        <w:t>No.</w:t>
      </w:r>
      <w:r>
        <w:rPr>
          <w:sz w:val="20"/>
          <w:szCs w:val="20"/>
          <w:color w:val="auto"/>
        </w:rPr>
        <w:tab/>
      </w:r>
      <w:r>
        <w:rPr>
          <w:rFonts w:ascii="Arial" w:cs="Arial" w:eastAsia="Arial" w:hAnsi="Arial"/>
          <w:sz w:val="16"/>
          <w:szCs w:val="16"/>
          <w:color w:val="auto"/>
        </w:rPr>
        <w:t>Series B Preference Units</w:t>
      </w:r>
    </w:p>
    <w:p>
      <w:pPr>
        <w:spacing w:after="0" w:line="268" w:lineRule="exact"/>
        <w:rPr>
          <w:sz w:val="20"/>
          <w:szCs w:val="20"/>
          <w:color w:val="auto"/>
        </w:rPr>
      </w:pPr>
    </w:p>
    <w:p>
      <w:pPr>
        <w:ind w:right="60" w:firstLine="1296"/>
        <w:spacing w:after="0" w:line="276" w:lineRule="auto"/>
        <w:rPr>
          <w:sz w:val="20"/>
          <w:szCs w:val="20"/>
          <w:color w:val="auto"/>
        </w:rPr>
      </w:pPr>
      <w:r>
        <w:rPr>
          <w:rFonts w:ascii="Arial" w:cs="Arial" w:eastAsia="Arial" w:hAnsi="Arial"/>
          <w:sz w:val="19"/>
          <w:szCs w:val="19"/>
          <w:color w:val="auto"/>
        </w:rPr>
        <w:t>In accordance with Section 4.1 of the Eighth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 LP, a</w:t>
      </w:r>
    </w:p>
    <w:p>
      <w:pPr>
        <w:spacing w:after="0" w:line="1"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Series B Cumulative Redeemable Perpetual Fixed to Floating Rate Preference Units representing limited partner interests in the Partnership (the “</w:t>
      </w:r>
      <w:r>
        <w:rPr>
          <w:rFonts w:ascii="Arial" w:cs="Arial" w:eastAsia="Arial" w:hAnsi="Arial"/>
          <w:sz w:val="19"/>
          <w:szCs w:val="19"/>
          <w:b w:val="1"/>
          <w:bCs w:val="1"/>
          <w:i w:val="1"/>
          <w:iCs w:val="1"/>
          <w:color w:val="auto"/>
        </w:rPr>
        <w:t>Series B Preference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Series B Preference Units are set forth in, and this Certificate and the Series B Preference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69 Akti Miaouli 18537, Piraeus Greece. Capitalized terms used herein but not defined shall have the meanings given them in the Partnership Agreement.</w:t>
      </w:r>
    </w:p>
    <w:p>
      <w:pPr>
        <w:spacing w:after="0" w:line="183" w:lineRule="exact"/>
        <w:rPr>
          <w:sz w:val="20"/>
          <w:szCs w:val="20"/>
          <w:color w:val="auto"/>
        </w:rPr>
      </w:pPr>
    </w:p>
    <w:p>
      <w:pPr>
        <w:ind w:right="140" w:firstLine="1296"/>
        <w:spacing w:after="0" w:line="236" w:lineRule="auto"/>
        <w:rPr>
          <w:sz w:val="20"/>
          <w:szCs w:val="20"/>
          <w:color w:val="auto"/>
        </w:rPr>
      </w:pPr>
      <w:r>
        <w:rPr>
          <w:rFonts w:ascii="Arial" w:cs="Arial" w:eastAsia="Arial" w:hAnsi="Arial"/>
          <w:sz w:val="22"/>
          <w:szCs w:val="22"/>
          <w:color w:val="auto"/>
        </w:rPr>
        <w:t>The Holder, by accepting this Certificate, is deemed to have (a) requested admission as, and agreed to become, a Limited Partner and to have agreed to comply with and be bound by and to have executed the Partnership Agreement, (b) 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214" w:lineRule="exact"/>
        <w:rPr>
          <w:sz w:val="20"/>
          <w:szCs w:val="20"/>
          <w:color w:val="auto"/>
        </w:rPr>
      </w:pPr>
    </w:p>
    <w:p>
      <w:pPr>
        <w:ind w:right="180" w:firstLine="1296"/>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GASLOG PARTNERS LP</w:t>
            </w:r>
          </w:p>
        </w:tc>
        <w:tc>
          <w:tcPr>
            <w:tcW w:w="5880" w:type="dxa"/>
            <w:vAlign w:val="bottom"/>
            <w:gridSpan w:val="2"/>
          </w:tcPr>
          <w:p>
            <w:pPr>
              <w:ind w:left="2240"/>
              <w:spacing w:after="0"/>
              <w:rPr>
                <w:sz w:val="20"/>
                <w:szCs w:val="20"/>
                <w:color w:val="auto"/>
              </w:rPr>
            </w:pPr>
            <w:r>
              <w:rPr>
                <w:rFonts w:ascii="Arial" w:cs="Arial" w:eastAsia="Arial" w:hAnsi="Arial"/>
                <w:sz w:val="18"/>
                <w:szCs w:val="18"/>
                <w:color w:val="auto"/>
              </w:rPr>
              <w:t>Countersigned and Registered by:</w:t>
            </w:r>
          </w:p>
        </w:tc>
        <w:tc>
          <w:tcPr>
            <w:tcW w:w="0" w:type="dxa"/>
            <w:vAlign w:val="bottom"/>
          </w:tcPr>
          <w:p>
            <w:pPr>
              <w:spacing w:after="0"/>
              <w:rPr>
                <w:sz w:val="1"/>
                <w:szCs w:val="1"/>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880" w:type="dxa"/>
            <w:vAlign w:val="bottom"/>
            <w:gridSpan w:val="2"/>
          </w:tcPr>
          <w:p>
            <w:pPr>
              <w:ind w:left="2240"/>
              <w:spacing w:after="0"/>
              <w:rPr>
                <w:sz w:val="20"/>
                <w:szCs w:val="20"/>
                <w:color w:val="auto"/>
              </w:rPr>
            </w:pPr>
            <w:r>
              <w:rPr>
                <w:rFonts w:ascii="Arial" w:cs="Arial" w:eastAsia="Arial" w:hAnsi="Arial"/>
                <w:sz w:val="18"/>
                <w:szCs w:val="18"/>
                <w:color w:val="auto"/>
                <w:w w:val="99"/>
              </w:rPr>
              <w:t>AMERICAN STOCK &amp; TRANSFER &amp; TRUST</w:t>
            </w: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5880" w:type="dxa"/>
            <w:vAlign w:val="bottom"/>
            <w:gridSpan w:val="2"/>
          </w:tcPr>
          <w:p>
            <w:pPr>
              <w:ind w:left="2240"/>
              <w:spacing w:after="0"/>
              <w:rPr>
                <w:sz w:val="20"/>
                <w:szCs w:val="20"/>
                <w:color w:val="auto"/>
              </w:rPr>
            </w:pPr>
            <w:r>
              <w:rPr>
                <w:rFonts w:ascii="Arial" w:cs="Arial" w:eastAsia="Arial" w:hAnsi="Arial"/>
                <w:sz w:val="18"/>
                <w:szCs w:val="18"/>
                <w:color w:val="auto"/>
              </w:rPr>
              <w:t>COMPANY, LLC</w:t>
            </w:r>
          </w:p>
        </w:tc>
        <w:tc>
          <w:tcPr>
            <w:tcW w:w="0" w:type="dxa"/>
            <w:vAlign w:val="bottom"/>
          </w:tcPr>
          <w:p>
            <w:pPr>
              <w:spacing w:after="0"/>
              <w:rPr>
                <w:sz w:val="1"/>
                <w:szCs w:val="1"/>
                <w:color w:val="auto"/>
              </w:rPr>
            </w:pPr>
          </w:p>
        </w:tc>
      </w:tr>
      <w:tr>
        <w:trPr>
          <w:trHeight w:val="202"/>
        </w:trPr>
        <w:tc>
          <w:tcPr>
            <w:tcW w:w="520" w:type="dxa"/>
            <w:vAlign w:val="bottom"/>
          </w:tcPr>
          <w:p>
            <w:pPr>
              <w:spacing w:after="0" w:line="201" w:lineRule="exact"/>
              <w:rPr>
                <w:sz w:val="20"/>
                <w:szCs w:val="20"/>
                <w:color w:val="auto"/>
              </w:rPr>
            </w:pPr>
            <w:r>
              <w:rPr>
                <w:rFonts w:ascii="Arial" w:cs="Arial" w:eastAsia="Arial" w:hAnsi="Arial"/>
                <w:sz w:val="18"/>
                <w:szCs w:val="18"/>
                <w:color w:val="auto"/>
                <w:w w:val="94"/>
              </w:rPr>
              <w:t>Name:</w:t>
            </w:r>
          </w:p>
        </w:tc>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5880" w:type="dxa"/>
            <w:vAlign w:val="bottom"/>
            <w:gridSpan w:val="2"/>
          </w:tcPr>
          <w:p>
            <w:pPr>
              <w:ind w:left="2240"/>
              <w:spacing w:after="0" w:line="201" w:lineRule="exact"/>
              <w:rPr>
                <w:sz w:val="20"/>
                <w:szCs w:val="20"/>
                <w:color w:val="auto"/>
              </w:rPr>
            </w:pPr>
            <w:r>
              <w:rPr>
                <w:rFonts w:ascii="Arial" w:cs="Arial" w:eastAsia="Arial" w:hAnsi="Arial"/>
                <w:sz w:val="18"/>
                <w:szCs w:val="18"/>
                <w:color w:val="auto"/>
              </w:rPr>
              <w:t>as Transfer Agent and Registrar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5880" w:type="dxa"/>
            <w:vAlign w:val="bottom"/>
            <w:gridSpan w:val="2"/>
            <w:vMerge w:val="restart"/>
          </w:tcPr>
          <w:p>
            <w:pPr>
              <w:ind w:left="22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2700" w:type="dxa"/>
            <w:vAlign w:val="bottom"/>
          </w:tcPr>
          <w:p>
            <w:pPr>
              <w:spacing w:after="0"/>
              <w:rPr>
                <w:sz w:val="19"/>
                <w:szCs w:val="19"/>
                <w:color w:val="auto"/>
              </w:rPr>
            </w:pPr>
          </w:p>
        </w:tc>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Authorized Signature</w:t>
            </w:r>
          </w:p>
        </w:tc>
        <w:tc>
          <w:tcPr>
            <w:tcW w:w="0" w:type="dxa"/>
            <w:vAlign w:val="bottom"/>
          </w:tcPr>
          <w:p>
            <w:pPr>
              <w:spacing w:after="0"/>
              <w:rPr>
                <w:sz w:val="1"/>
                <w:szCs w:val="1"/>
                <w:color w:val="auto"/>
              </w:rPr>
            </w:pPr>
          </w:p>
        </w:tc>
      </w:tr>
      <w:tr>
        <w:trPr>
          <w:trHeight w:val="202"/>
        </w:trPr>
        <w:tc>
          <w:tcPr>
            <w:tcW w:w="520" w:type="dxa"/>
            <w:vAlign w:val="bottom"/>
          </w:tcPr>
          <w:p>
            <w:pPr>
              <w:spacing w:after="0" w:line="201" w:lineRule="exact"/>
              <w:rPr>
                <w:sz w:val="20"/>
                <w:szCs w:val="20"/>
                <w:color w:val="auto"/>
              </w:rPr>
            </w:pPr>
            <w:r>
              <w:rPr>
                <w:rFonts w:ascii="Arial" w:cs="Arial" w:eastAsia="Arial" w:hAnsi="Arial"/>
                <w:sz w:val="18"/>
                <w:szCs w:val="18"/>
                <w:color w:val="auto"/>
                <w:w w:val="94"/>
              </w:rPr>
              <w:t>Name:</w:t>
            </w:r>
          </w:p>
        </w:tc>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Secretary</w:t>
            </w:r>
          </w:p>
        </w:tc>
        <w:tc>
          <w:tcPr>
            <w:tcW w:w="2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215" w:lineRule="exact"/>
        <w:rPr>
          <w:sz w:val="20"/>
          <w:szCs w:val="20"/>
          <w:color w:val="auto"/>
        </w:rPr>
      </w:pPr>
    </w:p>
    <w:p>
      <w:pPr>
        <w:ind w:right="480" w:firstLine="1296"/>
        <w:spacing w:after="0" w:line="250"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 COM</w:t>
            </w: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as tenants in common</w:t>
            </w:r>
          </w:p>
        </w:tc>
        <w:tc>
          <w:tcPr>
            <w:tcW w:w="610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UNIF GIFT/TRANSFERS MIN ACT</w:t>
            </w:r>
          </w:p>
        </w:tc>
      </w:tr>
      <w:tr>
        <w:trPr>
          <w:trHeight w:val="190"/>
        </w:trPr>
        <w:tc>
          <w:tcPr>
            <w:tcW w:w="1040" w:type="dxa"/>
            <w:vAlign w:val="bottom"/>
            <w:tcBorders>
              <w:bottom w:val="single" w:sz="8" w:color="CCEEFF"/>
            </w:tcBorders>
            <w:shd w:val="clear" w:color="auto" w:fill="CCEEFF"/>
          </w:tcPr>
          <w:p>
            <w:pPr>
              <w:spacing w:after="0"/>
              <w:rPr>
                <w:sz w:val="16"/>
                <w:szCs w:val="16"/>
                <w:color w:val="auto"/>
              </w:rPr>
            </w:pPr>
          </w:p>
        </w:tc>
        <w:tc>
          <w:tcPr>
            <w:tcW w:w="4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ind w:left="60"/>
              <w:spacing w:after="0" w:line="190" w:lineRule="exact"/>
              <w:rPr>
                <w:sz w:val="20"/>
                <w:szCs w:val="20"/>
                <w:color w:val="auto"/>
              </w:rPr>
            </w:pPr>
            <w:r>
              <w:rPr>
                <w:rFonts w:ascii="Arial" w:cs="Arial" w:eastAsia="Arial" w:hAnsi="Arial"/>
                <w:sz w:val="18"/>
                <w:szCs w:val="18"/>
                <w:color w:val="auto"/>
                <w:w w:val="91"/>
              </w:rPr>
              <w:t>Custodian</w:t>
            </w:r>
          </w:p>
        </w:tc>
        <w:tc>
          <w:tcPr>
            <w:tcW w:w="1140" w:type="dxa"/>
            <w:vAlign w:val="bottom"/>
            <w:tcBorders>
              <w:bottom w:val="single" w:sz="8" w:color="auto"/>
            </w:tcBorders>
            <w:shd w:val="clear" w:color="auto" w:fill="CCEEFF"/>
          </w:tcPr>
          <w:p>
            <w:pPr>
              <w:spacing w:after="0"/>
              <w:rPr>
                <w:sz w:val="16"/>
                <w:szCs w:val="16"/>
                <w:color w:val="auto"/>
              </w:rPr>
            </w:pPr>
          </w:p>
        </w:tc>
        <w:tc>
          <w:tcPr>
            <w:tcW w:w="2740" w:type="dxa"/>
            <w:vAlign w:val="bottom"/>
            <w:tcBorders>
              <w:bottom w:val="single" w:sz="8" w:color="CCEEFF"/>
            </w:tcBorders>
            <w:shd w:val="clear" w:color="auto" w:fill="CCEEFF"/>
          </w:tcPr>
          <w:p>
            <w:pPr>
              <w:spacing w:after="0"/>
              <w:rPr>
                <w:sz w:val="16"/>
                <w:szCs w:val="16"/>
                <w:color w:val="auto"/>
              </w:rPr>
            </w:pPr>
          </w:p>
        </w:tc>
      </w:tr>
      <w:tr>
        <w:trPr>
          <w:trHeight w:val="250"/>
        </w:trPr>
        <w:tc>
          <w:tcPr>
            <w:tcW w:w="1040" w:type="dxa"/>
            <w:vAlign w:val="bottom"/>
            <w:shd w:val="clear" w:color="auto" w:fill="CCEEFF"/>
          </w:tcPr>
          <w:p>
            <w:pPr>
              <w:spacing w:after="0"/>
              <w:rPr>
                <w:sz w:val="21"/>
                <w:szCs w:val="21"/>
                <w:color w:val="auto"/>
              </w:rPr>
            </w:pPr>
          </w:p>
        </w:tc>
        <w:tc>
          <w:tcPr>
            <w:tcW w:w="4100" w:type="dxa"/>
            <w:vAlign w:val="bottom"/>
            <w:shd w:val="clear" w:color="auto" w:fill="CCEEFF"/>
          </w:tcPr>
          <w:p>
            <w:pPr>
              <w:spacing w:after="0"/>
              <w:rPr>
                <w:sz w:val="21"/>
                <w:szCs w:val="21"/>
                <w:color w:val="auto"/>
              </w:rPr>
            </w:pPr>
          </w:p>
        </w:tc>
        <w:tc>
          <w:tcPr>
            <w:tcW w:w="610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(Cust) (Minor)</w:t>
            </w:r>
          </w:p>
        </w:tc>
      </w:tr>
      <w:tr>
        <w:trPr>
          <w:trHeight w:val="237"/>
        </w:trPr>
        <w:tc>
          <w:tcPr>
            <w:tcW w:w="1040" w:type="dxa"/>
            <w:vAlign w:val="bottom"/>
          </w:tcPr>
          <w:p>
            <w:pPr>
              <w:ind w:left="20"/>
              <w:spacing w:after="0"/>
              <w:rPr>
                <w:sz w:val="20"/>
                <w:szCs w:val="20"/>
                <w:color w:val="auto"/>
              </w:rPr>
            </w:pPr>
            <w:r>
              <w:rPr>
                <w:rFonts w:ascii="Arial" w:cs="Arial" w:eastAsia="Arial" w:hAnsi="Arial"/>
                <w:sz w:val="18"/>
                <w:szCs w:val="18"/>
                <w:color w:val="auto"/>
              </w:rPr>
              <w:t>TEN ENT</w:t>
            </w:r>
          </w:p>
        </w:tc>
        <w:tc>
          <w:tcPr>
            <w:tcW w:w="4100" w:type="dxa"/>
            <w:vAlign w:val="bottom"/>
          </w:tcPr>
          <w:p>
            <w:pPr>
              <w:ind w:left="220"/>
              <w:spacing w:after="0"/>
              <w:rPr>
                <w:sz w:val="20"/>
                <w:szCs w:val="20"/>
                <w:color w:val="auto"/>
              </w:rPr>
            </w:pPr>
            <w:r>
              <w:rPr>
                <w:rFonts w:ascii="Arial" w:cs="Arial" w:eastAsia="Arial" w:hAnsi="Arial"/>
                <w:sz w:val="18"/>
                <w:szCs w:val="18"/>
                <w:color w:val="auto"/>
              </w:rPr>
              <w:t>—  as tenants by the entireties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21"/>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JT TEN</w:t>
            </w: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as joint tenants with right of survivorship and</w:t>
            </w:r>
          </w:p>
        </w:tc>
        <w:tc>
          <w:tcPr>
            <w:tcW w:w="610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under Uniform Gifts /Transfers to CD Minors Act (State)</w:t>
            </w:r>
          </w:p>
        </w:tc>
      </w:tr>
      <w:tr>
        <w:trPr>
          <w:trHeight w:val="244"/>
        </w:trPr>
        <w:tc>
          <w:tcPr>
            <w:tcW w:w="1040" w:type="dxa"/>
            <w:vAlign w:val="bottom"/>
            <w:shd w:val="clear" w:color="auto" w:fill="CCEEFF"/>
          </w:tcPr>
          <w:p>
            <w:pPr>
              <w:spacing w:after="0"/>
              <w:rPr>
                <w:sz w:val="21"/>
                <w:szCs w:val="21"/>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not as tenants in common</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22"/>
          <w:szCs w:val="22"/>
          <w:b w:val="1"/>
          <w:bCs w:val="1"/>
          <w:color w:val="auto"/>
        </w:rPr>
        <w:t>ASSIGNMENT OF SERIES B PREFERENCE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140" w:type="dxa"/>
            <w:vAlign w:val="bottom"/>
          </w:tcPr>
          <w:p>
            <w:pPr>
              <w:ind w:left="660"/>
              <w:spacing w:after="0"/>
              <w:rPr>
                <w:sz w:val="20"/>
                <w:szCs w:val="20"/>
                <w:color w:val="auto"/>
              </w:rPr>
            </w:pPr>
            <w:r>
              <w:rPr>
                <w:rFonts w:ascii="Arial" w:cs="Arial" w:eastAsia="Arial" w:hAnsi="Arial"/>
                <w:sz w:val="22"/>
                <w:szCs w:val="22"/>
                <w:color w:val="auto"/>
              </w:rPr>
              <w:t>FOR VALUE RECEIVED,</w:t>
            </w:r>
          </w:p>
        </w:tc>
        <w:tc>
          <w:tcPr>
            <w:tcW w:w="5580" w:type="dxa"/>
            <w:vAlign w:val="bottom"/>
            <w:gridSpan w:val="3"/>
          </w:tcPr>
          <w:p>
            <w:pPr>
              <w:ind w:left="60"/>
              <w:spacing w:after="0"/>
              <w:rPr>
                <w:sz w:val="20"/>
                <w:szCs w:val="20"/>
                <w:color w:val="auto"/>
              </w:rPr>
            </w:pPr>
            <w:r>
              <w:rPr>
                <w:rFonts w:ascii="Arial" w:cs="Arial" w:eastAsia="Arial" w:hAnsi="Arial"/>
                <w:sz w:val="22"/>
                <w:szCs w:val="22"/>
                <w:color w:val="auto"/>
              </w:rPr>
              <w:t>hereby assigns, conveys, sells and transfers unto</w:t>
            </w:r>
          </w:p>
        </w:tc>
        <w:tc>
          <w:tcPr>
            <w:tcW w:w="1520" w:type="dxa"/>
            <w:vAlign w:val="bottom"/>
          </w:tcPr>
          <w:p>
            <w:pPr>
              <w:spacing w:after="0"/>
              <w:rPr>
                <w:sz w:val="23"/>
                <w:szCs w:val="23"/>
                <w:color w:val="auto"/>
              </w:rPr>
            </w:pPr>
          </w:p>
        </w:tc>
      </w:tr>
      <w:tr>
        <w:trPr>
          <w:trHeight w:val="699"/>
        </w:trPr>
        <w:tc>
          <w:tcPr>
            <w:tcW w:w="4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520" w:type="dxa"/>
            <w:vAlign w:val="bottom"/>
          </w:tcPr>
          <w:p>
            <w:pPr>
              <w:spacing w:after="0"/>
              <w:rPr>
                <w:sz w:val="24"/>
                <w:szCs w:val="24"/>
                <w:color w:val="auto"/>
              </w:rPr>
            </w:pPr>
          </w:p>
        </w:tc>
      </w:tr>
      <w:tr>
        <w:trPr>
          <w:trHeight w:val="202"/>
        </w:trPr>
        <w:tc>
          <w:tcPr>
            <w:tcW w:w="4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(Please print or typewrite name and address of Assignee)</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(Please insert Social Security or other identifying number of</w:t>
            </w:r>
          </w:p>
        </w:tc>
        <w:tc>
          <w:tcPr>
            <w:tcW w:w="1520" w:type="dxa"/>
            <w:vAlign w:val="bottom"/>
            <w:shd w:val="clear" w:color="auto" w:fill="CCEEFF"/>
          </w:tcPr>
          <w:p>
            <w:pPr>
              <w:spacing w:after="0"/>
              <w:rPr>
                <w:sz w:val="17"/>
                <w:szCs w:val="17"/>
                <w:color w:val="auto"/>
              </w:rPr>
            </w:pPr>
          </w:p>
        </w:tc>
      </w:tr>
      <w:tr>
        <w:trPr>
          <w:trHeight w:val="230"/>
        </w:trPr>
        <w:tc>
          <w:tcPr>
            <w:tcW w:w="4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Assignee)</w:t>
            </w:r>
          </w:p>
        </w:tc>
        <w:tc>
          <w:tcPr>
            <w:tcW w:w="152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65"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Series B Preference Units representing limited partner interests evidenced by this Certificate, subject to the</w:t>
      </w:r>
    </w:p>
    <w:p>
      <w:pPr>
        <w:spacing w:after="0" w:line="20"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Partnership Agreement, and does hereby irrevocably constitute and appoint as its attorney-in-fact with full power of substitution to transfer the same on the books of GasLog Partners LP.</w:t>
      </w:r>
    </w:p>
    <w:p>
      <w:pPr>
        <w:sectPr>
          <w:pgSz w:w="11900" w:h="16838" w:orient="portrait"/>
          <w:cols w:equalWidth="0" w:num="1">
            <w:col w:w="11240"/>
          </w:cols>
          <w:pgMar w:left="320" w:top="598" w:right="339" w:bottom="1440"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0"/>
        <w:spacing w:after="0" w:line="254" w:lineRule="auto"/>
        <w:rPr>
          <w:sz w:val="20"/>
          <w:szCs w:val="20"/>
          <w:color w:val="auto"/>
        </w:rPr>
      </w:pPr>
      <w:r>
        <w:rPr>
          <w:rFonts w:ascii="Arial" w:cs="Arial" w:eastAsia="Arial" w:hAnsi="Arial"/>
          <w:sz w:val="18"/>
          <w:szCs w:val="18"/>
          <w:b w:val="1"/>
          <w:bCs w:val="1"/>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ind w:right="2700" w:hanging="759"/>
        <w:spacing w:after="0" w:line="327" w:lineRule="auto"/>
        <w:rPr>
          <w:sz w:val="20"/>
          <w:szCs w:val="20"/>
          <w:color w:val="auto"/>
        </w:rPr>
      </w:pPr>
      <w:r>
        <w:rPr>
          <w:rFonts w:ascii="Arial" w:cs="Arial" w:eastAsia="Arial" w:hAnsi="Arial"/>
          <w:sz w:val="15"/>
          <w:szCs w:val="15"/>
          <w:color w:val="auto"/>
        </w:rPr>
        <w:t>NOTE:</w:t>
      </w:r>
      <w:r>
        <w:rPr>
          <w:sz w:val="20"/>
          <w:szCs w:val="20"/>
          <w:color w:val="auto"/>
        </w:rPr>
        <w:t xml:space="preserve"> </w:t>
      </w:r>
      <w:r>
        <w:rPr>
          <w:rFonts w:ascii="Arial" w:cs="Arial" w:eastAsia="Arial" w:hAnsi="Arial"/>
          <w:sz w:val="15"/>
          <w:szCs w:val="15"/>
          <w:color w:val="auto"/>
        </w:rPr>
        <w:t>The signature to any endorsement hereon must correspond with the name as written upon the face of this Certificate in every particular, without alteration, enlargement or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-587375</wp:posOffset>
            </wp:positionV>
            <wp:extent cx="7132320" cy="548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406400</wp:posOffset>
            </wp:positionV>
            <wp:extent cx="228028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768985</wp:posOffset>
            </wp:positionV>
            <wp:extent cx="228028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3849370" cy="2914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84937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720"/>
            <w:col w:w="6060"/>
          </w:cols>
          <w:pgMar w:left="320" w:top="598" w:right="339" w:bottom="1440" w:gutter="0" w:footer="0" w:header="0"/>
          <w:type w:val="continuous"/>
        </w:sectPr>
      </w:pPr>
    </w:p>
    <w:p>
      <w:pPr>
        <w:spacing w:after="0" w:line="288" w:lineRule="exact"/>
        <w:rPr>
          <w:sz w:val="20"/>
          <w:szCs w:val="20"/>
          <w:color w:val="auto"/>
        </w:rPr>
      </w:pPr>
    </w:p>
    <w:p>
      <w:pPr>
        <w:ind w:right="200" w:firstLine="1296"/>
        <w:spacing w:after="0" w:line="328" w:lineRule="auto"/>
        <w:rPr>
          <w:sz w:val="20"/>
          <w:szCs w:val="20"/>
          <w:color w:val="auto"/>
        </w:rPr>
      </w:pPr>
      <w:r>
        <w:rPr>
          <w:rFonts w:ascii="Arial" w:cs="Arial" w:eastAsia="Arial" w:hAnsi="Arial"/>
          <w:sz w:val="19"/>
          <w:szCs w:val="19"/>
          <w:color w:val="auto"/>
        </w:rPr>
        <w:t>No transfer of the Series B Preference Units evidenced hereby will be registered on the books of the Partnership, unless the Certificate evidencing the Series B Preference Units to be transferred is surrendered for registration or transfer.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105" w:name="page106"/>
    <w:bookmarkEnd w:id="105"/>
    <w:p>
      <w:pPr>
        <w:jc w:val="center"/>
        <w:spacing w:after="0"/>
        <w:rPr>
          <w:sz w:val="20"/>
          <w:szCs w:val="20"/>
          <w:color w:val="auto"/>
        </w:rPr>
      </w:pPr>
      <w:r>
        <w:rPr>
          <w:rFonts w:ascii="Arial" w:cs="Arial" w:eastAsia="Arial" w:hAnsi="Arial"/>
          <w:sz w:val="22"/>
          <w:szCs w:val="22"/>
          <w:b w:val="1"/>
          <w:bCs w:val="1"/>
          <w:color w:val="auto"/>
        </w:rPr>
        <w:t>EXHIBIT 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 Eighth Amended and Restated Agreement of Limited Partnership of</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Evidencing Series C Cumulative Redeemable Perpetual Fixed to Floating Rate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Preference Units Representing Limited Partner Interests in GASLOG PARTNERS LP</w:t>
      </w:r>
    </w:p>
    <w:p>
      <w:pPr>
        <w:spacing w:after="0" w:line="200" w:lineRule="exact"/>
        <w:rPr>
          <w:sz w:val="20"/>
          <w:szCs w:val="20"/>
          <w:color w:val="auto"/>
        </w:rPr>
      </w:pPr>
    </w:p>
    <w:p>
      <w:pPr>
        <w:spacing w:after="0" w:line="265" w:lineRule="exact"/>
        <w:rPr>
          <w:sz w:val="20"/>
          <w:szCs w:val="20"/>
          <w:color w:val="auto"/>
        </w:rPr>
      </w:pPr>
    </w:p>
    <w:p>
      <w:pPr>
        <w:spacing w:after="0"/>
        <w:tabs>
          <w:tab w:leader="none" w:pos="9360" w:val="left"/>
        </w:tabs>
        <w:rPr>
          <w:sz w:val="20"/>
          <w:szCs w:val="20"/>
          <w:color w:val="auto"/>
        </w:rPr>
      </w:pPr>
      <w:r>
        <w:rPr>
          <w:rFonts w:ascii="Arial" w:cs="Arial" w:eastAsia="Arial" w:hAnsi="Arial"/>
          <w:sz w:val="16"/>
          <w:szCs w:val="16"/>
          <w:color w:val="auto"/>
        </w:rPr>
        <w:t>No.</w:t>
      </w:r>
      <w:r>
        <w:rPr>
          <w:sz w:val="20"/>
          <w:szCs w:val="20"/>
          <w:color w:val="auto"/>
        </w:rPr>
        <w:tab/>
      </w:r>
      <w:r>
        <w:rPr>
          <w:rFonts w:ascii="Arial" w:cs="Arial" w:eastAsia="Arial" w:hAnsi="Arial"/>
          <w:sz w:val="16"/>
          <w:szCs w:val="16"/>
          <w:color w:val="auto"/>
        </w:rPr>
        <w:t>Series C Preference Units</w:t>
      </w:r>
    </w:p>
    <w:p>
      <w:pPr>
        <w:spacing w:after="0" w:line="268" w:lineRule="exact"/>
        <w:rPr>
          <w:sz w:val="20"/>
          <w:szCs w:val="20"/>
          <w:color w:val="auto"/>
        </w:rPr>
      </w:pPr>
    </w:p>
    <w:p>
      <w:pPr>
        <w:ind w:right="60" w:firstLine="1296"/>
        <w:spacing w:after="0" w:line="276" w:lineRule="auto"/>
        <w:rPr>
          <w:sz w:val="20"/>
          <w:szCs w:val="20"/>
          <w:color w:val="auto"/>
        </w:rPr>
      </w:pPr>
      <w:r>
        <w:rPr>
          <w:rFonts w:ascii="Arial" w:cs="Arial" w:eastAsia="Arial" w:hAnsi="Arial"/>
          <w:sz w:val="19"/>
          <w:szCs w:val="19"/>
          <w:color w:val="auto"/>
        </w:rPr>
        <w:t>In accordance with Section 4.1 of the Eighth Amended and Restated Agreement of Limited Partnership of GasLog Partners LP, as amended, supplemented or restated from time to time (the “</w:t>
      </w:r>
      <w:r>
        <w:rPr>
          <w:rFonts w:ascii="Arial" w:cs="Arial" w:eastAsia="Arial" w:hAnsi="Arial"/>
          <w:sz w:val="19"/>
          <w:szCs w:val="19"/>
          <w:b w:val="1"/>
          <w:bCs w:val="1"/>
          <w:i w:val="1"/>
          <w:iCs w:val="1"/>
          <w:color w:val="auto"/>
        </w:rPr>
        <w:t>Partnership Agreement</w:t>
      </w:r>
      <w:r>
        <w:rPr>
          <w:rFonts w:ascii="Arial" w:cs="Arial" w:eastAsia="Arial" w:hAnsi="Arial"/>
          <w:sz w:val="19"/>
          <w:szCs w:val="19"/>
          <w:color w:val="auto"/>
        </w:rPr>
        <w:t>”), GasLog Partners LP, a</w:t>
      </w:r>
    </w:p>
    <w:p>
      <w:pPr>
        <w:spacing w:after="0" w:line="1"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Marshall Islands limited partnership (the “</w:t>
      </w:r>
      <w:r>
        <w:rPr>
          <w:rFonts w:ascii="Arial" w:cs="Arial" w:eastAsia="Arial" w:hAnsi="Arial"/>
          <w:sz w:val="19"/>
          <w:szCs w:val="19"/>
          <w:b w:val="1"/>
          <w:bCs w:val="1"/>
          <w:i w:val="1"/>
          <w:iCs w:val="1"/>
          <w:color w:val="auto"/>
        </w:rPr>
        <w:t>Partnership</w:t>
      </w:r>
      <w:r>
        <w:rPr>
          <w:rFonts w:ascii="Arial" w:cs="Arial" w:eastAsia="Arial" w:hAnsi="Arial"/>
          <w:sz w:val="19"/>
          <w:szCs w:val="19"/>
          <w:color w:val="auto"/>
        </w:rPr>
        <w:t>”), hereby certifies that (the “</w:t>
      </w:r>
      <w:r>
        <w:rPr>
          <w:rFonts w:ascii="Arial" w:cs="Arial" w:eastAsia="Arial" w:hAnsi="Arial"/>
          <w:sz w:val="19"/>
          <w:szCs w:val="19"/>
          <w:b w:val="1"/>
          <w:bCs w:val="1"/>
          <w:i w:val="1"/>
          <w:iCs w:val="1"/>
          <w:color w:val="auto"/>
        </w:rPr>
        <w:t>Holder</w:t>
      </w:r>
      <w:r>
        <w:rPr>
          <w:rFonts w:ascii="Arial" w:cs="Arial" w:eastAsia="Arial" w:hAnsi="Arial"/>
          <w:sz w:val="19"/>
          <w:szCs w:val="19"/>
          <w:color w:val="auto"/>
        </w:rPr>
        <w:t>”) is the registered owner of the above designated number of Series C Cumulative Redeemable Perpetual Fixed to Floating Rate Preference Units representing limited partner interests in the Partnership (the “</w:t>
      </w:r>
      <w:r>
        <w:rPr>
          <w:rFonts w:ascii="Arial" w:cs="Arial" w:eastAsia="Arial" w:hAnsi="Arial"/>
          <w:sz w:val="19"/>
          <w:szCs w:val="19"/>
          <w:b w:val="1"/>
          <w:bCs w:val="1"/>
          <w:i w:val="1"/>
          <w:iCs w:val="1"/>
          <w:color w:val="auto"/>
        </w:rPr>
        <w:t>Series C Preference Units</w:t>
      </w:r>
      <w:r>
        <w:rPr>
          <w:rFonts w:ascii="Arial" w:cs="Arial" w:eastAsia="Arial" w:hAnsi="Arial"/>
          <w:sz w:val="19"/>
          <w:szCs w:val="19"/>
          <w:color w:val="auto"/>
        </w:rPr>
        <w:t>”) transferable on the books of the Partnership, in person or by duly authorized attorney, upon surrender of this Certificate properly endorsed. The rights, preferences and limitations of the Series C Preference Units are set forth in, and this Certificate and the Series C Preference Units represented hereby are issued and shall in all respects be subject to the terms and provisions of, the Partnership Agreement. Copies of the Partnership Agreement are on file at, and will be furnished without charge on delivery of written request to the Partnership at, the principal office of the Partnership located at 69 Akti Miaouli 18537, Piraeus Greece. Capitalized terms used herein but not defined shall have the meanings given them in the Partnership Agreement.</w:t>
      </w:r>
    </w:p>
    <w:p>
      <w:pPr>
        <w:spacing w:after="0" w:line="183" w:lineRule="exact"/>
        <w:rPr>
          <w:sz w:val="20"/>
          <w:szCs w:val="20"/>
          <w:color w:val="auto"/>
        </w:rPr>
      </w:pPr>
    </w:p>
    <w:p>
      <w:pPr>
        <w:ind w:right="140" w:firstLine="1296"/>
        <w:spacing w:after="0" w:line="236" w:lineRule="auto"/>
        <w:rPr>
          <w:sz w:val="20"/>
          <w:szCs w:val="20"/>
          <w:color w:val="auto"/>
        </w:rPr>
      </w:pPr>
      <w:r>
        <w:rPr>
          <w:rFonts w:ascii="Arial" w:cs="Arial" w:eastAsia="Arial" w:hAnsi="Arial"/>
          <w:sz w:val="22"/>
          <w:szCs w:val="22"/>
          <w:color w:val="auto"/>
        </w:rPr>
        <w:t>The Holder, by accepting this Certificate, is deemed to have (a) requested admission as, and agreed to become, a Limited Partner and to have agreed to comply with and be bound by and to have executed the Partnership Agreement, (b) represented and warranted that the Holder has all right, power and authority and, if an individual, the capacity necessary to enter into the Partnership Agreement and (c) made the waivers and given the consents and approvals contained in the Partnership Agreement.</w:t>
      </w:r>
    </w:p>
    <w:p>
      <w:pPr>
        <w:spacing w:after="0" w:line="214" w:lineRule="exact"/>
        <w:rPr>
          <w:sz w:val="20"/>
          <w:szCs w:val="20"/>
          <w:color w:val="auto"/>
        </w:rPr>
      </w:pPr>
    </w:p>
    <w:p>
      <w:pPr>
        <w:ind w:right="180" w:firstLine="1296"/>
        <w:spacing w:after="0" w:line="328" w:lineRule="auto"/>
        <w:rPr>
          <w:sz w:val="20"/>
          <w:szCs w:val="20"/>
          <w:color w:val="auto"/>
        </w:rPr>
      </w:pPr>
      <w:r>
        <w:rPr>
          <w:rFonts w:ascii="Arial" w:cs="Arial" w:eastAsia="Arial" w:hAnsi="Arial"/>
          <w:sz w:val="19"/>
          <w:szCs w:val="19"/>
          <w:color w:val="auto"/>
        </w:rPr>
        <w:t>This Certificate shall not be valid for any purpose unless it has been countersigned and registered by the Transfer Agent and Registrar. This Certificate shall be governed by and construed in accordance with the laws of the Marshall Islands.</w:t>
      </w:r>
    </w:p>
    <w:p>
      <w:pPr>
        <w:spacing w:after="0" w:line="375"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gridSpan w:val="3"/>
          </w:tcPr>
          <w:p>
            <w:pPr>
              <w:spacing w:after="0"/>
              <w:rPr>
                <w:sz w:val="20"/>
                <w:szCs w:val="20"/>
                <w:color w:val="auto"/>
              </w:rPr>
            </w:pPr>
            <w:r>
              <w:rPr>
                <w:rFonts w:ascii="Arial" w:cs="Arial" w:eastAsia="Arial" w:hAnsi="Arial"/>
                <w:sz w:val="18"/>
                <w:szCs w:val="18"/>
                <w:color w:val="auto"/>
              </w:rPr>
              <w:t>GASLOG PARTNERS LP</w:t>
            </w:r>
          </w:p>
        </w:tc>
        <w:tc>
          <w:tcPr>
            <w:tcW w:w="5880" w:type="dxa"/>
            <w:vAlign w:val="bottom"/>
            <w:gridSpan w:val="2"/>
          </w:tcPr>
          <w:p>
            <w:pPr>
              <w:ind w:left="2240"/>
              <w:spacing w:after="0"/>
              <w:rPr>
                <w:sz w:val="20"/>
                <w:szCs w:val="20"/>
                <w:color w:val="auto"/>
              </w:rPr>
            </w:pPr>
            <w:r>
              <w:rPr>
                <w:rFonts w:ascii="Arial" w:cs="Arial" w:eastAsia="Arial" w:hAnsi="Arial"/>
                <w:sz w:val="18"/>
                <w:szCs w:val="18"/>
                <w:color w:val="auto"/>
              </w:rPr>
              <w:t>Countersigned and Registered by:</w:t>
            </w:r>
          </w:p>
        </w:tc>
        <w:tc>
          <w:tcPr>
            <w:tcW w:w="0" w:type="dxa"/>
            <w:vAlign w:val="bottom"/>
          </w:tcPr>
          <w:p>
            <w:pPr>
              <w:spacing w:after="0"/>
              <w:rPr>
                <w:sz w:val="1"/>
                <w:szCs w:val="1"/>
                <w:color w:val="auto"/>
              </w:rPr>
            </w:pPr>
          </w:p>
        </w:tc>
      </w:tr>
      <w:tr>
        <w:trPr>
          <w:trHeight w:val="41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880" w:type="dxa"/>
            <w:vAlign w:val="bottom"/>
            <w:gridSpan w:val="2"/>
          </w:tcPr>
          <w:p>
            <w:pPr>
              <w:ind w:left="2240"/>
              <w:spacing w:after="0"/>
              <w:rPr>
                <w:sz w:val="20"/>
                <w:szCs w:val="20"/>
                <w:color w:val="auto"/>
              </w:rPr>
            </w:pPr>
            <w:r>
              <w:rPr>
                <w:rFonts w:ascii="Arial" w:cs="Arial" w:eastAsia="Arial" w:hAnsi="Arial"/>
                <w:sz w:val="18"/>
                <w:szCs w:val="18"/>
                <w:color w:val="auto"/>
                <w:w w:val="99"/>
              </w:rPr>
              <w:t>AMERICAN STOCK &amp; TRANSFER &amp; TRUST</w:t>
            </w:r>
          </w:p>
        </w:tc>
        <w:tc>
          <w:tcPr>
            <w:tcW w:w="0" w:type="dxa"/>
            <w:vAlign w:val="bottom"/>
          </w:tcPr>
          <w:p>
            <w:pPr>
              <w:spacing w:after="0"/>
              <w:rPr>
                <w:sz w:val="1"/>
                <w:szCs w:val="1"/>
                <w:color w:val="auto"/>
              </w:rPr>
            </w:pPr>
          </w:p>
        </w:tc>
      </w:tr>
      <w:tr>
        <w:trPr>
          <w:trHeight w:val="237"/>
        </w:trPr>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5880" w:type="dxa"/>
            <w:vAlign w:val="bottom"/>
            <w:gridSpan w:val="2"/>
          </w:tcPr>
          <w:p>
            <w:pPr>
              <w:ind w:left="2240"/>
              <w:spacing w:after="0"/>
              <w:rPr>
                <w:sz w:val="20"/>
                <w:szCs w:val="20"/>
                <w:color w:val="auto"/>
              </w:rPr>
            </w:pPr>
            <w:r>
              <w:rPr>
                <w:rFonts w:ascii="Arial" w:cs="Arial" w:eastAsia="Arial" w:hAnsi="Arial"/>
                <w:sz w:val="18"/>
                <w:szCs w:val="18"/>
                <w:color w:val="auto"/>
              </w:rPr>
              <w:t>COMPANY, LLC</w:t>
            </w:r>
          </w:p>
        </w:tc>
        <w:tc>
          <w:tcPr>
            <w:tcW w:w="0" w:type="dxa"/>
            <w:vAlign w:val="bottom"/>
          </w:tcPr>
          <w:p>
            <w:pPr>
              <w:spacing w:after="0"/>
              <w:rPr>
                <w:sz w:val="1"/>
                <w:szCs w:val="1"/>
                <w:color w:val="auto"/>
              </w:rPr>
            </w:pPr>
          </w:p>
        </w:tc>
      </w:tr>
      <w:tr>
        <w:trPr>
          <w:trHeight w:val="202"/>
        </w:trPr>
        <w:tc>
          <w:tcPr>
            <w:tcW w:w="520" w:type="dxa"/>
            <w:vAlign w:val="bottom"/>
          </w:tcPr>
          <w:p>
            <w:pPr>
              <w:spacing w:after="0" w:line="201" w:lineRule="exact"/>
              <w:rPr>
                <w:sz w:val="20"/>
                <w:szCs w:val="20"/>
                <w:color w:val="auto"/>
              </w:rPr>
            </w:pPr>
            <w:r>
              <w:rPr>
                <w:rFonts w:ascii="Arial" w:cs="Arial" w:eastAsia="Arial" w:hAnsi="Arial"/>
                <w:sz w:val="18"/>
                <w:szCs w:val="18"/>
                <w:color w:val="auto"/>
                <w:w w:val="94"/>
              </w:rPr>
              <w:t>Name:</w:t>
            </w:r>
          </w:p>
        </w:tc>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5880" w:type="dxa"/>
            <w:vAlign w:val="bottom"/>
            <w:gridSpan w:val="2"/>
          </w:tcPr>
          <w:p>
            <w:pPr>
              <w:ind w:left="2240"/>
              <w:spacing w:after="0" w:line="201" w:lineRule="exact"/>
              <w:rPr>
                <w:sz w:val="20"/>
                <w:szCs w:val="20"/>
                <w:color w:val="auto"/>
              </w:rPr>
            </w:pPr>
            <w:r>
              <w:rPr>
                <w:rFonts w:ascii="Arial" w:cs="Arial" w:eastAsia="Arial" w:hAnsi="Arial"/>
                <w:sz w:val="18"/>
                <w:szCs w:val="18"/>
                <w:color w:val="auto"/>
              </w:rPr>
              <w:t>as Transfer Agent and Registrar</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5880" w:type="dxa"/>
            <w:vAlign w:val="bottom"/>
            <w:gridSpan w:val="2"/>
            <w:vMerge w:val="restart"/>
          </w:tcPr>
          <w:p>
            <w:pPr>
              <w:ind w:left="2240"/>
              <w:spacing w:after="0"/>
              <w:rPr>
                <w:sz w:val="20"/>
                <w:szCs w:val="20"/>
                <w:color w:val="auto"/>
              </w:rPr>
            </w:pPr>
            <w:r>
              <w:rPr>
                <w:rFonts w:ascii="Arial" w:cs="Arial" w:eastAsia="Arial" w:hAnsi="Arial"/>
                <w:sz w:val="18"/>
                <w:szCs w:val="18"/>
                <w:color w:val="auto"/>
              </w:rPr>
              <w:t>By:</w:t>
            </w:r>
          </w:p>
        </w:tc>
        <w:tc>
          <w:tcPr>
            <w:tcW w:w="0" w:type="dxa"/>
            <w:vAlign w:val="bottom"/>
          </w:tcPr>
          <w:p>
            <w:pPr>
              <w:spacing w:after="0"/>
              <w:rPr>
                <w:sz w:val="1"/>
                <w:szCs w:val="1"/>
                <w:color w:val="auto"/>
              </w:rPr>
            </w:pPr>
          </w:p>
        </w:tc>
      </w:tr>
      <w:tr>
        <w:trPr>
          <w:trHeight w:val="223"/>
        </w:trPr>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8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2700" w:type="dxa"/>
            <w:vAlign w:val="bottom"/>
          </w:tcPr>
          <w:p>
            <w:pPr>
              <w:spacing w:after="0"/>
              <w:rPr>
                <w:sz w:val="19"/>
                <w:szCs w:val="19"/>
                <w:color w:val="auto"/>
              </w:rPr>
            </w:pPr>
          </w:p>
        </w:tc>
        <w:tc>
          <w:tcPr>
            <w:tcW w:w="31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Authorized Signature</w:t>
            </w:r>
          </w:p>
        </w:tc>
        <w:tc>
          <w:tcPr>
            <w:tcW w:w="0" w:type="dxa"/>
            <w:vAlign w:val="bottom"/>
          </w:tcPr>
          <w:p>
            <w:pPr>
              <w:spacing w:after="0"/>
              <w:rPr>
                <w:sz w:val="1"/>
                <w:szCs w:val="1"/>
                <w:color w:val="auto"/>
              </w:rPr>
            </w:pPr>
          </w:p>
        </w:tc>
      </w:tr>
      <w:tr>
        <w:trPr>
          <w:trHeight w:val="202"/>
        </w:trPr>
        <w:tc>
          <w:tcPr>
            <w:tcW w:w="520" w:type="dxa"/>
            <w:vAlign w:val="bottom"/>
          </w:tcPr>
          <w:p>
            <w:pPr>
              <w:spacing w:after="0" w:line="201" w:lineRule="exact"/>
              <w:rPr>
                <w:sz w:val="20"/>
                <w:szCs w:val="20"/>
                <w:color w:val="auto"/>
              </w:rPr>
            </w:pPr>
            <w:r>
              <w:rPr>
                <w:rFonts w:ascii="Arial" w:cs="Arial" w:eastAsia="Arial" w:hAnsi="Arial"/>
                <w:sz w:val="18"/>
                <w:szCs w:val="18"/>
                <w:color w:val="auto"/>
                <w:w w:val="94"/>
              </w:rPr>
              <w:t>Name:</w:t>
            </w:r>
          </w:p>
        </w:tc>
        <w:tc>
          <w:tcPr>
            <w:tcW w:w="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Secretary</w:t>
            </w:r>
          </w:p>
        </w:tc>
        <w:tc>
          <w:tcPr>
            <w:tcW w:w="27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22"/>
          <w:szCs w:val="22"/>
          <w:b w:val="1"/>
          <w:bCs w:val="1"/>
          <w:color w:val="auto"/>
        </w:rPr>
        <w:t>[Reverse of Certificate]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ABBREVIATIONS</w:t>
      </w:r>
    </w:p>
    <w:p>
      <w:pPr>
        <w:spacing w:after="0" w:line="215" w:lineRule="exact"/>
        <w:rPr>
          <w:sz w:val="20"/>
          <w:szCs w:val="20"/>
          <w:color w:val="auto"/>
        </w:rPr>
      </w:pPr>
    </w:p>
    <w:p>
      <w:pPr>
        <w:ind w:right="480" w:firstLine="1296"/>
        <w:spacing w:after="0" w:line="250" w:lineRule="auto"/>
        <w:rPr>
          <w:sz w:val="20"/>
          <w:szCs w:val="20"/>
          <w:color w:val="auto"/>
        </w:rPr>
      </w:pPr>
      <w:r>
        <w:rPr>
          <w:rFonts w:ascii="Arial" w:cs="Arial" w:eastAsia="Arial" w:hAnsi="Arial"/>
          <w:sz w:val="22"/>
          <w:szCs w:val="22"/>
          <w:color w:val="auto"/>
        </w:rPr>
        <w:t>The following abbreviations, when used in the inscription on the face of this Certificate, shall be construed as follows according to applicable laws or regulations:</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 COM</w:t>
            </w: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as tenants in common</w:t>
            </w:r>
          </w:p>
        </w:tc>
        <w:tc>
          <w:tcPr>
            <w:tcW w:w="610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UNIF GIFT/TRANSFERS MIN ACT</w:t>
            </w:r>
          </w:p>
        </w:tc>
      </w:tr>
      <w:tr>
        <w:trPr>
          <w:trHeight w:val="190"/>
        </w:trPr>
        <w:tc>
          <w:tcPr>
            <w:tcW w:w="1040" w:type="dxa"/>
            <w:vAlign w:val="bottom"/>
            <w:tcBorders>
              <w:bottom w:val="single" w:sz="8" w:color="CCEEFF"/>
            </w:tcBorders>
            <w:shd w:val="clear" w:color="auto" w:fill="CCEEFF"/>
          </w:tcPr>
          <w:p>
            <w:pPr>
              <w:spacing w:after="0"/>
              <w:rPr>
                <w:sz w:val="16"/>
                <w:szCs w:val="16"/>
                <w:color w:val="auto"/>
              </w:rPr>
            </w:pPr>
          </w:p>
        </w:tc>
        <w:tc>
          <w:tcPr>
            <w:tcW w:w="4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ind w:left="60"/>
              <w:spacing w:after="0" w:line="190" w:lineRule="exact"/>
              <w:rPr>
                <w:sz w:val="20"/>
                <w:szCs w:val="20"/>
                <w:color w:val="auto"/>
              </w:rPr>
            </w:pPr>
            <w:r>
              <w:rPr>
                <w:rFonts w:ascii="Arial" w:cs="Arial" w:eastAsia="Arial" w:hAnsi="Arial"/>
                <w:sz w:val="18"/>
                <w:szCs w:val="18"/>
                <w:color w:val="auto"/>
                <w:w w:val="91"/>
              </w:rPr>
              <w:t>Custodian</w:t>
            </w:r>
          </w:p>
        </w:tc>
        <w:tc>
          <w:tcPr>
            <w:tcW w:w="1140" w:type="dxa"/>
            <w:vAlign w:val="bottom"/>
            <w:tcBorders>
              <w:bottom w:val="single" w:sz="8" w:color="auto"/>
            </w:tcBorders>
            <w:shd w:val="clear" w:color="auto" w:fill="CCEEFF"/>
          </w:tcPr>
          <w:p>
            <w:pPr>
              <w:spacing w:after="0"/>
              <w:rPr>
                <w:sz w:val="16"/>
                <w:szCs w:val="16"/>
                <w:color w:val="auto"/>
              </w:rPr>
            </w:pPr>
          </w:p>
        </w:tc>
        <w:tc>
          <w:tcPr>
            <w:tcW w:w="2740" w:type="dxa"/>
            <w:vAlign w:val="bottom"/>
            <w:tcBorders>
              <w:bottom w:val="single" w:sz="8" w:color="CCEEFF"/>
            </w:tcBorders>
            <w:shd w:val="clear" w:color="auto" w:fill="CCEEFF"/>
          </w:tcPr>
          <w:p>
            <w:pPr>
              <w:spacing w:after="0"/>
              <w:rPr>
                <w:sz w:val="16"/>
                <w:szCs w:val="16"/>
                <w:color w:val="auto"/>
              </w:rPr>
            </w:pPr>
          </w:p>
        </w:tc>
      </w:tr>
      <w:tr>
        <w:trPr>
          <w:trHeight w:val="250"/>
        </w:trPr>
        <w:tc>
          <w:tcPr>
            <w:tcW w:w="1040" w:type="dxa"/>
            <w:vAlign w:val="bottom"/>
            <w:shd w:val="clear" w:color="auto" w:fill="CCEEFF"/>
          </w:tcPr>
          <w:p>
            <w:pPr>
              <w:spacing w:after="0"/>
              <w:rPr>
                <w:sz w:val="21"/>
                <w:szCs w:val="21"/>
                <w:color w:val="auto"/>
              </w:rPr>
            </w:pPr>
          </w:p>
        </w:tc>
        <w:tc>
          <w:tcPr>
            <w:tcW w:w="4100" w:type="dxa"/>
            <w:vAlign w:val="bottom"/>
            <w:shd w:val="clear" w:color="auto" w:fill="CCEEFF"/>
          </w:tcPr>
          <w:p>
            <w:pPr>
              <w:spacing w:after="0"/>
              <w:rPr>
                <w:sz w:val="21"/>
                <w:szCs w:val="21"/>
                <w:color w:val="auto"/>
              </w:rPr>
            </w:pPr>
          </w:p>
        </w:tc>
        <w:tc>
          <w:tcPr>
            <w:tcW w:w="610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(Cust) (Minor)</w:t>
            </w:r>
          </w:p>
        </w:tc>
      </w:tr>
      <w:tr>
        <w:trPr>
          <w:trHeight w:val="237"/>
        </w:trPr>
        <w:tc>
          <w:tcPr>
            <w:tcW w:w="1040" w:type="dxa"/>
            <w:vAlign w:val="bottom"/>
          </w:tcPr>
          <w:p>
            <w:pPr>
              <w:ind w:left="20"/>
              <w:spacing w:after="0"/>
              <w:rPr>
                <w:sz w:val="20"/>
                <w:szCs w:val="20"/>
                <w:color w:val="auto"/>
              </w:rPr>
            </w:pPr>
            <w:r>
              <w:rPr>
                <w:rFonts w:ascii="Arial" w:cs="Arial" w:eastAsia="Arial" w:hAnsi="Arial"/>
                <w:sz w:val="18"/>
                <w:szCs w:val="18"/>
                <w:color w:val="auto"/>
              </w:rPr>
              <w:t>TEN ENT</w:t>
            </w:r>
          </w:p>
        </w:tc>
        <w:tc>
          <w:tcPr>
            <w:tcW w:w="4100" w:type="dxa"/>
            <w:vAlign w:val="bottom"/>
          </w:tcPr>
          <w:p>
            <w:pPr>
              <w:ind w:left="220"/>
              <w:spacing w:after="0"/>
              <w:rPr>
                <w:sz w:val="20"/>
                <w:szCs w:val="20"/>
                <w:color w:val="auto"/>
              </w:rPr>
            </w:pPr>
            <w:r>
              <w:rPr>
                <w:rFonts w:ascii="Arial" w:cs="Arial" w:eastAsia="Arial" w:hAnsi="Arial"/>
                <w:sz w:val="18"/>
                <w:szCs w:val="18"/>
                <w:color w:val="auto"/>
              </w:rPr>
              <w:t>—  as tenants by the entireties</w:t>
            </w: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740" w:type="dxa"/>
            <w:vAlign w:val="bottom"/>
          </w:tcPr>
          <w:p>
            <w:pPr>
              <w:spacing w:after="0"/>
              <w:rPr>
                <w:sz w:val="20"/>
                <w:szCs w:val="20"/>
                <w:color w:val="auto"/>
              </w:rPr>
            </w:pPr>
          </w:p>
        </w:tc>
      </w:tr>
      <w:tr>
        <w:trPr>
          <w:trHeight w:val="221"/>
        </w:trPr>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JT TEN</w:t>
            </w:r>
          </w:p>
        </w:tc>
        <w:tc>
          <w:tcPr>
            <w:tcW w:w="4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as joint tenants with right of survivorship and</w:t>
            </w:r>
          </w:p>
        </w:tc>
        <w:tc>
          <w:tcPr>
            <w:tcW w:w="610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under Uniform Gifts /Transfers to CD Minors Act (State)</w:t>
            </w:r>
          </w:p>
        </w:tc>
      </w:tr>
      <w:tr>
        <w:trPr>
          <w:trHeight w:val="244"/>
        </w:trPr>
        <w:tc>
          <w:tcPr>
            <w:tcW w:w="1040" w:type="dxa"/>
            <w:vAlign w:val="bottom"/>
            <w:shd w:val="clear" w:color="auto" w:fill="CCEEFF"/>
          </w:tcPr>
          <w:p>
            <w:pPr>
              <w:spacing w:after="0"/>
              <w:rPr>
                <w:sz w:val="21"/>
                <w:szCs w:val="21"/>
                <w:color w:val="auto"/>
              </w:rPr>
            </w:pPr>
          </w:p>
        </w:tc>
        <w:tc>
          <w:tcPr>
            <w:tcW w:w="41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not as tenants in common</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74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Additional abbreviations, though not in the above list, may also be used.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22"/>
          <w:szCs w:val="22"/>
          <w:b w:val="1"/>
          <w:bCs w:val="1"/>
          <w:color w:val="auto"/>
        </w:rPr>
        <w:t>ASSIGNMENT OF SERIES C PREFERENCE UNITS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w:t>
      </w:r>
    </w:p>
    <w:p>
      <w:pPr>
        <w:jc w:val="center"/>
        <w:spacing w:after="0"/>
        <w:rPr>
          <w:sz w:val="20"/>
          <w:szCs w:val="20"/>
          <w:color w:val="auto"/>
        </w:rPr>
      </w:pPr>
      <w:r>
        <w:rPr>
          <w:rFonts w:ascii="Arial" w:cs="Arial" w:eastAsia="Arial" w:hAnsi="Arial"/>
          <w:sz w:val="22"/>
          <w:szCs w:val="22"/>
          <w:b w:val="1"/>
          <w:bCs w:val="1"/>
          <w:color w:val="auto"/>
        </w:rPr>
        <w:t>GASLOG PARTNERS LP</w:t>
      </w:r>
    </w:p>
    <w:p>
      <w:pPr>
        <w:spacing w:after="0" w:line="215" w:lineRule="exact"/>
        <w:rPr>
          <w:sz w:val="20"/>
          <w:szCs w:val="20"/>
          <w:color w:val="auto"/>
        </w:rPr>
      </w:pPr>
    </w:p>
    <w:p>
      <w:pPr>
        <w:ind w:left="660"/>
        <w:spacing w:after="0"/>
        <w:tabs>
          <w:tab w:leader="none" w:pos="4220" w:val="left"/>
        </w:tabs>
        <w:rPr>
          <w:sz w:val="20"/>
          <w:szCs w:val="20"/>
          <w:color w:val="auto"/>
        </w:rPr>
      </w:pPr>
      <w:r>
        <w:rPr>
          <w:rFonts w:ascii="Arial" w:cs="Arial" w:eastAsia="Arial" w:hAnsi="Arial"/>
          <w:sz w:val="22"/>
          <w:szCs w:val="22"/>
          <w:color w:val="auto"/>
        </w:rPr>
        <w:t>FOR VALUE RECEIVED,</w:t>
      </w:r>
      <w:r>
        <w:rPr>
          <w:sz w:val="20"/>
          <w:szCs w:val="20"/>
          <w:color w:val="auto"/>
        </w:rPr>
        <w:tab/>
      </w:r>
      <w:r>
        <w:rPr>
          <w:rFonts w:ascii="Arial" w:cs="Arial" w:eastAsia="Arial" w:hAnsi="Arial"/>
          <w:sz w:val="19"/>
          <w:szCs w:val="19"/>
          <w:color w:val="auto"/>
        </w:rPr>
        <w:t>hereby assigns, conveys, sells and transfers unto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(Please print or typewrite name and address of Assignee)</w:t>
            </w:r>
          </w:p>
        </w:tc>
        <w:tc>
          <w:tcPr>
            <w:tcW w:w="760" w:type="dxa"/>
            <w:vAlign w:val="bottom"/>
            <w:shd w:val="clear" w:color="auto" w:fill="CCEEFF"/>
          </w:tcPr>
          <w:p>
            <w:pPr>
              <w:spacing w:after="0"/>
              <w:rPr>
                <w:sz w:val="19"/>
                <w:szCs w:val="19"/>
                <w:color w:val="auto"/>
              </w:rPr>
            </w:pPr>
          </w:p>
        </w:tc>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(Please insert Social Security or other identifying number of</w:t>
            </w:r>
          </w:p>
        </w:tc>
        <w:tc>
          <w:tcPr>
            <w:tcW w:w="1520" w:type="dxa"/>
            <w:vAlign w:val="bottom"/>
            <w:shd w:val="clear" w:color="auto" w:fill="CCEEFF"/>
          </w:tcPr>
          <w:p>
            <w:pPr>
              <w:spacing w:after="0"/>
              <w:rPr>
                <w:sz w:val="19"/>
                <w:szCs w:val="19"/>
                <w:color w:val="auto"/>
              </w:rPr>
            </w:pPr>
          </w:p>
        </w:tc>
      </w:tr>
      <w:tr>
        <w:trPr>
          <w:trHeight w:val="230"/>
        </w:trPr>
        <w:tc>
          <w:tcPr>
            <w:tcW w:w="4480" w:type="dxa"/>
            <w:vAlign w:val="bottom"/>
            <w:shd w:val="clear" w:color="auto" w:fill="CCEEFF"/>
          </w:tcPr>
          <w:p>
            <w:pPr>
              <w:spacing w:after="0"/>
              <w:rPr>
                <w:sz w:val="20"/>
                <w:szCs w:val="20"/>
                <w:color w:val="auto"/>
              </w:rPr>
            </w:pPr>
          </w:p>
        </w:tc>
        <w:tc>
          <w:tcPr>
            <w:tcW w:w="52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Assignee)</w:t>
            </w:r>
          </w:p>
        </w:tc>
        <w:tc>
          <w:tcPr>
            <w:tcW w:w="152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6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Series C Preference Units representing limited partner interests evidenced by this Certificate, subject to the</w:t>
      </w:r>
    </w:p>
    <w:p>
      <w:pPr>
        <w:spacing w:after="0" w:line="43"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Partnership Agreement, and does hereby irrevocably constitute and appoint as its attorney-in-fact with full power of substitution to transfer the same on the books of GasLog Partners LP.</w:t>
      </w:r>
    </w:p>
    <w:p>
      <w:pPr>
        <w:sectPr>
          <w:pgSz w:w="11900" w:h="16838" w:orient="portrait"/>
          <w:cols w:equalWidth="0" w:num="1">
            <w:col w:w="11240"/>
          </w:cols>
          <w:pgMar w:left="320" w:top="598"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000"/>
        <w:spacing w:after="0" w:line="254" w:lineRule="auto"/>
        <w:rPr>
          <w:sz w:val="20"/>
          <w:szCs w:val="20"/>
          <w:color w:val="auto"/>
        </w:rPr>
      </w:pPr>
      <w:r>
        <w:rPr>
          <w:rFonts w:ascii="Arial" w:cs="Arial" w:eastAsia="Arial" w:hAnsi="Arial"/>
          <w:sz w:val="18"/>
          <w:szCs w:val="18"/>
          <w:b w:val="1"/>
          <w:bCs w:val="1"/>
          <w:color w:val="auto"/>
        </w:rPr>
        <w:t>THE SIGNATURE(S) MUST BE GUARANTEED BY AN ELIGIBLE GUARANTOR INSTITUTION (BANKS, STOCKBROKERS, SAVINGS AND LOAN ASSOCIATIONS AND CREDIT UNIONS WITH MEMBERSHIP IN AN APPROVED SIGNATURE GUARANTEE MEDALLION PROGRAM), PURSUANT TO S.E.C. RULE 17Ad-15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ind w:right="2700" w:hanging="759"/>
        <w:spacing w:after="0" w:line="327" w:lineRule="auto"/>
        <w:rPr>
          <w:sz w:val="20"/>
          <w:szCs w:val="20"/>
          <w:color w:val="auto"/>
        </w:rPr>
      </w:pPr>
      <w:r>
        <w:rPr>
          <w:rFonts w:ascii="Arial" w:cs="Arial" w:eastAsia="Arial" w:hAnsi="Arial"/>
          <w:sz w:val="15"/>
          <w:szCs w:val="15"/>
          <w:color w:val="auto"/>
        </w:rPr>
        <w:t>NOTE:</w:t>
      </w:r>
      <w:r>
        <w:rPr>
          <w:sz w:val="20"/>
          <w:szCs w:val="20"/>
          <w:color w:val="auto"/>
        </w:rPr>
        <w:t xml:space="preserve"> </w:t>
      </w:r>
      <w:r>
        <w:rPr>
          <w:rFonts w:ascii="Arial" w:cs="Arial" w:eastAsia="Arial" w:hAnsi="Arial"/>
          <w:sz w:val="15"/>
          <w:szCs w:val="15"/>
          <w:color w:val="auto"/>
        </w:rPr>
        <w:t>The signature to any endorsement hereon must correspond with the name as written upon the face of this Certificate in every particular, without alteration, enlargement or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-587375</wp:posOffset>
            </wp:positionV>
            <wp:extent cx="7132320" cy="548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54864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406400</wp:posOffset>
            </wp:positionV>
            <wp:extent cx="228028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768985</wp:posOffset>
            </wp:positionV>
            <wp:extent cx="228028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-121920</wp:posOffset>
            </wp:positionV>
            <wp:extent cx="3849370" cy="2914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84937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460" w:space="720"/>
            <w:col w:w="6060"/>
          </w:cols>
          <w:pgMar w:left="320" w:top="59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0" w:firstLine="1296"/>
        <w:spacing w:after="0" w:line="328" w:lineRule="auto"/>
        <w:rPr>
          <w:sz w:val="20"/>
          <w:szCs w:val="20"/>
          <w:color w:val="auto"/>
        </w:rPr>
      </w:pPr>
      <w:r>
        <w:rPr>
          <w:rFonts w:ascii="Arial" w:cs="Arial" w:eastAsia="Arial" w:hAnsi="Arial"/>
          <w:sz w:val="19"/>
          <w:szCs w:val="19"/>
          <w:color w:val="auto"/>
        </w:rPr>
        <w:t>No transfer of the Series C Preference Units evidenced hereby will be registered on the books of the Partnership, unless the Certificate evidencing the Series C Preference Units to be transferred is surrendered for registration or transfer.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D-3</w:t>
      </w:r>
    </w:p>
    <w:sectPr>
      <w:pgSz w:w="11900" w:h="16838" w:orient="portrait"/>
      <w:cols w:equalWidth="0" w:num="1">
        <w:col w:w="11240"/>
      </w:cols>
      <w:pgMar w:left="320" w:top="5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1)"/>
      <w:numFmt w:val="lowerLetter"/>
      <w:start w:val="6"/>
    </w:lvl>
  </w:abstractNum>
  <w:abstractNum w:abstractNumId="1">
    <w:nsid w:val="10233C99"/>
    <w:multiLevelType w:val="hybridMultilevel"/>
    <w:lvl w:ilvl="0">
      <w:lvlJc w:val="left"/>
      <w:lvlText w:val="(%1)"/>
      <w:numFmt w:val="lowerRoman"/>
      <w:start w:val="1"/>
    </w:lvl>
  </w:abstractNum>
  <w:abstractNum w:abstractNumId="2">
    <w:nsid w:val="3F6AB60F"/>
    <w:multiLevelType w:val="hybridMultilevel"/>
    <w:lvl w:ilvl="0">
      <w:lvlJc w:val="left"/>
      <w:lvlText w:val="(%1)"/>
      <w:numFmt w:val="lowerLetter"/>
      <w:start w:val="2"/>
    </w:lvl>
  </w:abstractNum>
  <w:abstractNum w:abstractNumId="3">
    <w:nsid w:val="61574095"/>
    <w:multiLevelType w:val="hybridMultilevel"/>
    <w:lvl w:ilvl="0">
      <w:lvlJc w:val="left"/>
      <w:lvlText w:val="(%1)"/>
      <w:numFmt w:val="lowerLetter"/>
      <w:start w:val="2"/>
    </w:lvl>
  </w:abstractNum>
  <w:abstractNum w:abstractNumId="4">
    <w:nsid w:val="7E0C57B1"/>
    <w:multiLevelType w:val="hybridMultilevel"/>
    <w:lvl w:ilvl="0">
      <w:lvlJc w:val="left"/>
      <w:lvlText w:val="(%1)"/>
      <w:numFmt w:val="lowerRoman"/>
      <w:start w:val="1"/>
    </w:lvl>
  </w:abstractNum>
  <w:abstractNum w:abstractNumId="5">
    <w:nsid w:val="77AE35EB"/>
    <w:multiLevelType w:val="hybridMultilevel"/>
    <w:lvl w:ilvl="0">
      <w:lvlJc w:val="left"/>
      <w:lvlText w:val="(%1)"/>
      <w:numFmt w:val="lowerRoman"/>
      <w:start w:val="4"/>
    </w:lvl>
  </w:abstractNum>
  <w:abstractNum w:abstractNumId="6">
    <w:nsid w:val="579BE4F1"/>
    <w:multiLevelType w:val="hybridMultilevel"/>
    <w:lvl w:ilvl="0">
      <w:lvlJc w:val="left"/>
      <w:lvlText w:val="(%1)"/>
      <w:numFmt w:val="lowerLetter"/>
      <w:start w:val="3"/>
    </w:lvl>
  </w:abstractNum>
  <w:abstractNum w:abstractNumId="7">
    <w:nsid w:val="310C50B3"/>
    <w:multiLevelType w:val="hybridMultilevel"/>
    <w:lvl w:ilvl="0">
      <w:lvlJc w:val="left"/>
      <w:lvlText w:val="(%1)"/>
      <w:numFmt w:val="lowerLetter"/>
      <w:start w:val="1"/>
    </w:lvl>
  </w:abstractNum>
  <w:abstractNum w:abstractNumId="8">
    <w:nsid w:val="5FF87E05"/>
    <w:multiLevelType w:val="hybridMultilevel"/>
    <w:lvl w:ilvl="0">
      <w:lvlJc w:val="left"/>
      <w:lvlText w:val="(%1)"/>
      <w:numFmt w:val="lowerLetter"/>
      <w:start w:val="2"/>
    </w:lvl>
  </w:abstractNum>
  <w:abstractNum w:abstractNumId="9">
    <w:nsid w:val="2F305DEF"/>
    <w:multiLevelType w:val="hybridMultilevel"/>
    <w:lvl w:ilvl="0">
      <w:lvlJc w:val="left"/>
      <w:lvlText w:val="%1"/>
      <w:numFmt w:val="lowerLetter"/>
      <w:start w:val="1"/>
    </w:lvl>
    <w:lvl w:ilvl="1">
      <w:lvlJc w:val="left"/>
      <w:lvlText w:val="(%2)"/>
      <w:numFmt w:val="lowerLetter"/>
      <w:start w:val="2"/>
    </w:lvl>
  </w:abstractNum>
  <w:abstractNum w:abstractNumId="10">
    <w:nsid w:val="25A70BF7"/>
    <w:multiLevelType w:val="hybridMultilevel"/>
    <w:lvl w:ilvl="0">
      <w:lvlJc w:val="left"/>
      <w:lvlText w:val="(%1)"/>
      <w:numFmt w:val="lowerLetter"/>
      <w:start w:val="3"/>
    </w:lvl>
    <w:lvl w:ilvl="1">
      <w:lvlJc w:val="left"/>
      <w:lvlText w:val="%2"/>
      <w:numFmt w:val="lowerLetter"/>
      <w:start w:val="1"/>
    </w:lvl>
  </w:abstractNum>
  <w:abstractNum w:abstractNumId="11">
    <w:nsid w:val="1DBABF00"/>
    <w:multiLevelType w:val="hybridMultilevel"/>
    <w:lvl w:ilvl="0">
      <w:lvlJc w:val="left"/>
      <w:lvlText w:val="(%1)"/>
      <w:numFmt w:val="lowerLetter"/>
      <w:start w:val="61"/>
    </w:lvl>
    <w:lvl w:ilvl="1">
      <w:lvlJc w:val="left"/>
      <w:lvlText w:val="(%2)"/>
      <w:numFmt w:val="lowerLetter"/>
      <w:start w:val="4"/>
    </w:lvl>
  </w:abstractNum>
  <w:abstractNum w:abstractNumId="12">
    <w:nsid w:val="4AD084E9"/>
    <w:multiLevelType w:val="hybridMultilevel"/>
    <w:lvl w:ilvl="0">
      <w:lvlJc w:val="left"/>
      <w:lvlText w:val="(%1)"/>
      <w:numFmt w:val="lowerLetter"/>
      <w:start w:val="2"/>
    </w:lvl>
  </w:abstractNum>
  <w:abstractNum w:abstractNumId="13">
    <w:nsid w:val="1F48EAA1"/>
    <w:multiLevelType w:val="hybridMultilevel"/>
    <w:lvl w:ilvl="0">
      <w:lvlJc w:val="left"/>
      <w:lvlText w:val="(%1)"/>
      <w:numFmt w:val="lowerLetter"/>
      <w:start w:val="2"/>
    </w:lvl>
  </w:abstractNum>
  <w:abstractNum w:abstractNumId="14">
    <w:nsid w:val="1381823A"/>
    <w:multiLevelType w:val="hybridMultilevel"/>
    <w:lvl w:ilvl="0">
      <w:lvlJc w:val="left"/>
      <w:lvlText w:val="(%1)"/>
      <w:numFmt w:val="lowerLetter"/>
      <w:start w:val="2"/>
    </w:lvl>
  </w:abstractNum>
  <w:abstractNum w:abstractNumId="15">
    <w:nsid w:val="5DB70AE5"/>
    <w:multiLevelType w:val="hybridMultilevel"/>
    <w:lvl w:ilvl="0">
      <w:lvlJc w:val="left"/>
      <w:lvlText w:val="(%1)"/>
      <w:numFmt w:val="lowerLetter"/>
      <w:start w:val="2"/>
    </w:lvl>
  </w:abstractNum>
  <w:abstractNum w:abstractNumId="16">
    <w:nsid w:val="100F8FCA"/>
    <w:multiLevelType w:val="hybridMultilevel"/>
    <w:lvl w:ilvl="0">
      <w:lvlJc w:val="left"/>
      <w:lvlText w:val="(%1)"/>
      <w:numFmt w:val="lowerLetter"/>
      <w:start w:val="2"/>
    </w:lvl>
  </w:abstractNum>
  <w:abstractNum w:abstractNumId="17">
    <w:nsid w:val="6590700B"/>
    <w:multiLevelType w:val="hybridMultilevel"/>
    <w:lvl w:ilvl="0">
      <w:lvlJc w:val="left"/>
      <w:lvlText w:val="(%1)"/>
      <w:numFmt w:val="lowerLetter"/>
      <w:start w:val="4"/>
    </w:lvl>
  </w:abstractNum>
  <w:abstractNum w:abstractNumId="18">
    <w:nsid w:val="15014ACB"/>
    <w:multiLevelType w:val="hybridMultilevel"/>
    <w:lvl w:ilvl="0">
      <w:lvlJc w:val="left"/>
      <w:lvlText w:val="(%1)"/>
      <w:numFmt w:val="lowerLetter"/>
      <w:start w:val="2"/>
    </w:lvl>
  </w:abstractNum>
  <w:abstractNum w:abstractNumId="19">
    <w:nsid w:val="5F5E7FD0"/>
    <w:multiLevelType w:val="hybridMultilevel"/>
    <w:lvl w:ilvl="0">
      <w:lvlJc w:val="left"/>
      <w:lvlText w:val="(%1)"/>
      <w:numFmt w:val="lowerLetter"/>
      <w:start w:val="3"/>
    </w:lvl>
  </w:abstractNum>
  <w:abstractNum w:abstractNumId="20">
    <w:nsid w:val="98A3148"/>
    <w:multiLevelType w:val="hybridMultilevel"/>
    <w:lvl w:ilvl="0">
      <w:lvlJc w:val="left"/>
      <w:lvlText w:val="(%1)"/>
      <w:numFmt w:val="lowerLetter"/>
      <w:start w:val="2"/>
    </w:lvl>
  </w:abstractNum>
  <w:abstractNum w:abstractNumId="21">
    <w:nsid w:val="799D0247"/>
    <w:multiLevelType w:val="hybridMultilevel"/>
    <w:lvl w:ilvl="0">
      <w:lvlJc w:val="left"/>
      <w:lvlText w:val="%1"/>
      <w:numFmt w:val="lowerLetter"/>
      <w:start w:val="1"/>
    </w:lvl>
    <w:lvl w:ilvl="1">
      <w:lvlJc w:val="left"/>
      <w:lvlText w:val="(%2)"/>
      <w:numFmt w:val="lowerLetter"/>
      <w:start w:val="2"/>
    </w:lvl>
  </w:abstractNum>
  <w:abstractNum w:abstractNumId="22">
    <w:nsid w:val="6B94764"/>
    <w:multiLevelType w:val="hybridMultilevel"/>
    <w:lvl w:ilvl="0">
      <w:lvlJc w:val="left"/>
      <w:lvlText w:val="(%1)"/>
      <w:numFmt w:val="lowerLetter"/>
      <w:start w:val="61"/>
    </w:lvl>
    <w:lvl w:ilvl="1">
      <w:lvlJc w:val="left"/>
      <w:lvlText w:val="%2"/>
      <w:numFmt w:val="lowerLetter"/>
      <w:start w:val="1"/>
    </w:lvl>
  </w:abstractNum>
  <w:abstractNum w:abstractNumId="23">
    <w:nsid w:val="42C296BD"/>
    <w:multiLevelType w:val="hybridMultilevel"/>
    <w:lvl w:ilvl="0">
      <w:lvlJc w:val="left"/>
      <w:lvlText w:val="(%1)"/>
      <w:numFmt w:val="lowerLetter"/>
      <w:start w:val="2"/>
    </w:lvl>
  </w:abstractNum>
  <w:abstractNum w:abstractNumId="24">
    <w:nsid w:val="168E121F"/>
    <w:multiLevelType w:val="hybridMultilevel"/>
    <w:lvl w:ilvl="0">
      <w:lvlJc w:val="left"/>
      <w:lvlText w:val="(%1)"/>
      <w:numFmt w:val="lowerLetter"/>
      <w:start w:val="2"/>
    </w:lvl>
  </w:abstractNum>
  <w:abstractNum w:abstractNumId="25">
    <w:nsid w:val="1EBA5D23"/>
    <w:multiLevelType w:val="hybridMultilevel"/>
    <w:lvl w:ilvl="0">
      <w:lvlJc w:val="left"/>
      <w:lvlText w:val="(%1)"/>
      <w:numFmt w:val="lowerLetter"/>
      <w:start w:val="2"/>
    </w:lvl>
  </w:abstractNum>
  <w:abstractNum w:abstractNumId="26">
    <w:nsid w:val="661E3F1E"/>
    <w:multiLevelType w:val="hybridMultilevel"/>
    <w:lvl w:ilvl="0">
      <w:lvlJc w:val="left"/>
      <w:lvlText w:val="(%1)"/>
      <w:numFmt w:val="lowerLetter"/>
      <w:start w:val="3"/>
    </w:lvl>
  </w:abstractNum>
  <w:abstractNum w:abstractNumId="27">
    <w:nsid w:val="5DC79EA8"/>
    <w:multiLevelType w:val="hybridMultilevel"/>
    <w:lvl w:ilvl="0">
      <w:lvlJc w:val="left"/>
      <w:lvlText w:val="(%1)"/>
      <w:numFmt w:val="lowerLetter"/>
      <w:start w:val="2"/>
    </w:lvl>
  </w:abstractNum>
  <w:abstractNum w:abstractNumId="28">
    <w:nsid w:val="540A471C"/>
    <w:multiLevelType w:val="hybridMultilevel"/>
    <w:lvl w:ilvl="0">
      <w:lvlJc w:val="left"/>
      <w:lvlText w:val="(%1)"/>
      <w:numFmt w:val="lowerLetter"/>
      <w:start w:val="2"/>
    </w:lvl>
  </w:abstractNum>
  <w:abstractNum w:abstractNumId="29">
    <w:nsid w:val="7BD3EE7B"/>
    <w:multiLevelType w:val="hybridMultilevel"/>
    <w:lvl w:ilvl="0">
      <w:lvlJc w:val="left"/>
      <w:lvlText w:val="(%1)"/>
      <w:numFmt w:val="lowerLetter"/>
      <w:start w:val="35"/>
    </w:lvl>
    <w:lvl w:ilvl="1">
      <w:lvlJc w:val="left"/>
      <w:lvlText w:val="(%2)"/>
      <w:numFmt w:val="lowerLetter"/>
      <w:start w:val="2"/>
    </w:lvl>
  </w:abstractNum>
  <w:abstractNum w:abstractNumId="30">
    <w:nsid w:val="51D9C564"/>
    <w:multiLevelType w:val="hybridMultilevel"/>
    <w:lvl w:ilvl="0">
      <w:lvlJc w:val="left"/>
      <w:lvlText w:val="(%1)"/>
      <w:numFmt w:val="lowerLetter"/>
      <w:start w:val="3"/>
    </w:lvl>
  </w:abstractNum>
  <w:abstractNum w:abstractNumId="31">
    <w:nsid w:val="613EFDC5"/>
    <w:multiLevelType w:val="hybridMultilevel"/>
    <w:lvl w:ilvl="0">
      <w:lvlJc w:val="left"/>
      <w:lvlText w:val="(%1)"/>
      <w:numFmt w:val="lowerLetter"/>
      <w:start w:val="2"/>
    </w:lvl>
  </w:abstractNum>
  <w:abstractNum w:abstractNumId="32">
    <w:nsid w:val="BF72B14"/>
    <w:multiLevelType w:val="hybridMultilevel"/>
    <w:lvl w:ilvl="0">
      <w:lvlJc w:val="left"/>
      <w:lvlText w:val="(%1)"/>
      <w:numFmt w:val="lowerLetter"/>
      <w:start w:val="3"/>
    </w:lvl>
  </w:abstractNum>
  <w:abstractNum w:abstractNumId="33">
    <w:nsid w:val="11447B73"/>
    <w:multiLevelType w:val="hybridMultilevel"/>
    <w:lvl w:ilvl="0">
      <w:lvlJc w:val="left"/>
      <w:lvlText w:val="(%1)"/>
      <w:numFmt w:val="lowerLetter"/>
      <w:start w:val="61"/>
    </w:lvl>
    <w:lvl w:ilvl="1">
      <w:lvlJc w:val="left"/>
      <w:lvlText w:val="(%2)"/>
      <w:numFmt w:val="lowerLetter"/>
      <w:start w:val="2"/>
    </w:lvl>
  </w:abstractNum>
  <w:abstractNum w:abstractNumId="34">
    <w:nsid w:val="42963E5A"/>
    <w:multiLevelType w:val="hybridMultilevel"/>
    <w:lvl w:ilvl="0">
      <w:lvlJc w:val="left"/>
      <w:lvlText w:val="(%1)"/>
      <w:numFmt w:val="lowerLetter"/>
      <w:start w:val="2"/>
    </w:lvl>
  </w:abstractNum>
  <w:abstractNum w:abstractNumId="35">
    <w:nsid w:val="A0382C5"/>
    <w:multiLevelType w:val="hybridMultilevel"/>
    <w:lvl w:ilvl="0">
      <w:lvlJc w:val="left"/>
      <w:lvlText w:val="%1"/>
      <w:numFmt w:val="lowerLetter"/>
      <w:start w:val="1"/>
    </w:lvl>
    <w:lvl w:ilvl="1">
      <w:lvlJc w:val="left"/>
      <w:lvlText w:val="(%2)"/>
      <w:numFmt w:val="lowerLetter"/>
      <w:start w:val="4"/>
    </w:lvl>
  </w:abstractNum>
  <w:abstractNum w:abstractNumId="36">
    <w:nsid w:val="8F2B15E"/>
    <w:multiLevelType w:val="hybridMultilevel"/>
    <w:lvl w:ilvl="0">
      <w:lvlJc w:val="left"/>
      <w:lvlText w:val="(%1)"/>
      <w:numFmt w:val="lowerLetter"/>
      <w:start w:val="35"/>
    </w:lvl>
    <w:lvl w:ilvl="1">
      <w:lvlJc w:val="left"/>
      <w:lvlText w:val="(%2)"/>
      <w:numFmt w:val="lowerLetter"/>
      <w:start w:val="6"/>
    </w:lvl>
  </w:abstractNum>
  <w:abstractNum w:abstractNumId="37">
    <w:nsid w:val="1A32234B"/>
    <w:multiLevelType w:val="hybridMultilevel"/>
    <w:lvl w:ilvl="0">
      <w:lvlJc w:val="left"/>
      <w:lvlText w:val="(%1)"/>
      <w:numFmt w:val="lowerLetter"/>
      <w:start w:val="2"/>
    </w:lvl>
  </w:abstractNum>
  <w:abstractNum w:abstractNumId="38">
    <w:nsid w:val="3B0FD379"/>
    <w:multiLevelType w:val="hybridMultilevel"/>
    <w:lvl w:ilvl="0">
      <w:lvlJc w:val="left"/>
      <w:lvlText w:val="(%1)"/>
      <w:numFmt w:val="lowerLetter"/>
      <w:start w:val="3"/>
    </w:lvl>
  </w:abstractNum>
  <w:abstractNum w:abstractNumId="39">
    <w:nsid w:val="68EB2F63"/>
    <w:multiLevelType w:val="hybridMultilevel"/>
    <w:lvl w:ilvl="0">
      <w:lvlJc w:val="left"/>
      <w:lvlText w:val="(%1)"/>
      <w:numFmt w:val="lowerLetter"/>
      <w:start w:val="2"/>
    </w:lvl>
  </w:abstractNum>
  <w:abstractNum w:abstractNumId="40">
    <w:nsid w:val="4962813B"/>
    <w:multiLevelType w:val="hybridMultilevel"/>
    <w:lvl w:ilvl="0">
      <w:lvlJc w:val="left"/>
      <w:lvlText w:val="(%1)"/>
      <w:numFmt w:val="lowerLetter"/>
      <w:start w:val="4"/>
    </w:lvl>
  </w:abstractNum>
  <w:abstractNum w:abstractNumId="41">
    <w:nsid w:val="60B6DF70"/>
    <w:multiLevelType w:val="hybridMultilevel"/>
    <w:lvl w:ilvl="0">
      <w:lvlJc w:val="left"/>
      <w:lvlText w:val="(%1)"/>
      <w:numFmt w:val="lowerLetter"/>
      <w:start w:val="2"/>
    </w:lvl>
  </w:abstractNum>
  <w:abstractNum w:abstractNumId="42">
    <w:nsid w:val="6A5EE64"/>
    <w:multiLevelType w:val="hybridMultilevel"/>
    <w:lvl w:ilvl="0">
      <w:lvlJc w:val="left"/>
      <w:lvlText w:val="(%1)"/>
      <w:numFmt w:val="lowerLetter"/>
      <w:start w:val="2"/>
    </w:lvl>
  </w:abstractNum>
  <w:abstractNum w:abstractNumId="43">
    <w:nsid w:val="14330624"/>
    <w:multiLevelType w:val="hybridMultilevel"/>
    <w:lvl w:ilvl="0">
      <w:lvlJc w:val="left"/>
      <w:lvlText w:val="(%1)"/>
      <w:numFmt w:val="lowerLetter"/>
      <w:start w:val="35"/>
    </w:lvl>
    <w:lvl w:ilvl="1">
      <w:lvlJc w:val="left"/>
      <w:lvlText w:val="(%2)"/>
      <w:numFmt w:val="lowerLetter"/>
      <w:start w:val="2"/>
    </w:lvl>
  </w:abstractNum>
  <w:abstractNum w:abstractNumId="44">
    <w:nsid w:val="7FFFCA11"/>
    <w:multiLevelType w:val="hybridMultilevel"/>
    <w:lvl w:ilvl="0">
      <w:lvlJc w:val="left"/>
      <w:lvlText w:val="(%1)"/>
      <w:numFmt w:val="lowerRoman"/>
      <w:start w:val="1"/>
    </w:lvl>
  </w:abstractNum>
  <w:abstractNum w:abstractNumId="45">
    <w:nsid w:val="1A27709E"/>
    <w:multiLevelType w:val="hybridMultilevel"/>
    <w:lvl w:ilvl="0">
      <w:lvlJc w:val="left"/>
      <w:lvlText w:val="(%1)"/>
      <w:numFmt w:val="lowerRoman"/>
      <w:start w:val="5"/>
    </w:lvl>
  </w:abstractNum>
  <w:abstractNum w:abstractNumId="46">
    <w:nsid w:val="71EA1109"/>
    <w:multiLevelType w:val="hybridMultilevel"/>
    <w:lvl w:ilvl="0">
      <w:lvlJc w:val="left"/>
      <w:lvlText w:val="(%1)"/>
      <w:numFmt w:val="lowerLetter"/>
      <w:start w:val="2"/>
    </w:lvl>
  </w:abstractNum>
  <w:abstractNum w:abstractNumId="47">
    <w:nsid w:val="100F59DC"/>
    <w:multiLevelType w:val="hybridMultilevel"/>
    <w:lvl w:ilvl="0">
      <w:lvlJc w:val="left"/>
      <w:lvlText w:val="(%1)"/>
      <w:numFmt w:val="lowerRoman"/>
      <w:start w:val="1"/>
    </w:lvl>
  </w:abstractNum>
  <w:abstractNum w:abstractNumId="48">
    <w:nsid w:val="7FB7E0AA"/>
    <w:multiLevelType w:val="hybridMultilevel"/>
    <w:lvl w:ilvl="0">
      <w:lvlJc w:val="left"/>
      <w:lvlText w:val="(%1)"/>
      <w:numFmt w:val="lowerLetter"/>
      <w:start w:val="2"/>
    </w:lvl>
  </w:abstractNum>
  <w:abstractNum w:abstractNumId="49">
    <w:nsid w:val="6EB5BD4"/>
    <w:multiLevelType w:val="hybridMultilevel"/>
    <w:lvl w:ilvl="0">
      <w:lvlJc w:val="left"/>
      <w:lvlText w:val="(%1)"/>
      <w:numFmt w:val="lowerLetter"/>
      <w:start w:val="3"/>
    </w:lvl>
  </w:abstractNum>
  <w:abstractNum w:abstractNumId="50">
    <w:nsid w:val="6F6DD9AC"/>
    <w:multiLevelType w:val="hybridMultilevel"/>
    <w:lvl w:ilvl="0">
      <w:lvlJc w:val="left"/>
      <w:lvlText w:val="(%1)"/>
      <w:numFmt w:val="lowerLetter"/>
      <w:start w:val="1"/>
    </w:lvl>
  </w:abstractNum>
  <w:abstractNum w:abstractNumId="51">
    <w:nsid w:val="94211F2"/>
    <w:multiLevelType w:val="hybridMultilevel"/>
    <w:lvl w:ilvl="0">
      <w:lvlJc w:val="left"/>
      <w:lvlText w:val="(%1)"/>
      <w:numFmt w:val="lowerLetter"/>
      <w:start w:val="3"/>
    </w:lvl>
  </w:abstractNum>
  <w:abstractNum w:abstractNumId="52">
    <w:nsid w:val="885E1B"/>
    <w:multiLevelType w:val="hybridMultilevel"/>
    <w:lvl w:ilvl="0">
      <w:lvlJc w:val="left"/>
      <w:lvlText w:val="(%1)"/>
      <w:numFmt w:val="lowerLetter"/>
      <w:start w:val="2"/>
    </w:lvl>
  </w:abstractNum>
  <w:abstractNum w:abstractNumId="53">
    <w:nsid w:val="76272110"/>
    <w:multiLevelType w:val="hybridMultilevel"/>
    <w:lvl w:ilvl="0">
      <w:lvlJc w:val="left"/>
      <w:lvlText w:val="(%1)"/>
      <w:numFmt w:val="lowerLetter"/>
      <w:start w:val="1"/>
    </w:lvl>
  </w:abstractNum>
  <w:abstractNum w:abstractNumId="54">
    <w:nsid w:val="4C04A8AF"/>
    <w:multiLevelType w:val="hybridMultilevel"/>
    <w:lvl w:ilvl="0">
      <w:lvlJc w:val="left"/>
      <w:lvlText w:val="(%1)"/>
      <w:numFmt w:val="lowerLetter"/>
      <w:start w:val="1"/>
    </w:lvl>
  </w:abstractNum>
  <w:abstractNum w:abstractNumId="55">
    <w:nsid w:val="1716703B"/>
    <w:multiLevelType w:val="hybridMultilevel"/>
    <w:lvl w:ilvl="0">
      <w:lvlJc w:val="left"/>
      <w:lvlText w:val="(%1)"/>
      <w:numFmt w:val="lowerLetter"/>
      <w:start w:val="5"/>
    </w:lvl>
  </w:abstractNum>
  <w:abstractNum w:abstractNumId="56">
    <w:nsid w:val="14E17E33"/>
    <w:multiLevelType w:val="hybridMultilevel"/>
    <w:lvl w:ilvl="0">
      <w:lvlJc w:val="left"/>
      <w:lvlText w:val="%1"/>
      <w:numFmt w:val="lowerLetter"/>
      <w:start w:val="1"/>
    </w:lvl>
    <w:lvl w:ilvl="1">
      <w:lvlJc w:val="left"/>
      <w:lvlText w:val="(%2)"/>
      <w:numFmt w:val="lowerLetter"/>
      <w:start w:val="2"/>
    </w:lvl>
  </w:abstractNum>
  <w:abstractNum w:abstractNumId="57">
    <w:nsid w:val="3222E7CD"/>
    <w:multiLevelType w:val="hybridMultilevel"/>
    <w:lvl w:ilvl="0">
      <w:lvlJc w:val="left"/>
      <w:lvlText w:val="(%1)"/>
      <w:numFmt w:val="lowerLetter"/>
      <w:start w:val="9"/>
    </w:lvl>
    <w:lvl w:ilvl="1">
      <w:lvlJc w:val="left"/>
      <w:lvlText w:val="(%2)"/>
      <w:numFmt w:val="lowerLetter"/>
      <w:start w:val="3"/>
    </w:lvl>
  </w:abstractNum>
  <w:abstractNum w:abstractNumId="58">
    <w:nsid w:val="74DE0EE3"/>
    <w:multiLevelType w:val="hybridMultilevel"/>
    <w:lvl w:ilvl="0">
      <w:lvlJc w:val="left"/>
      <w:lvlText w:val="(%1)"/>
      <w:numFmt w:val="lowerLetter"/>
      <w:start w:val="4"/>
    </w:lvl>
  </w:abstractNum>
  <w:abstractNum w:abstractNumId="59">
    <w:nsid w:val="68EBC550"/>
    <w:multiLevelType w:val="hybridMultilevel"/>
    <w:lvl w:ilvl="0">
      <w:lvlJc w:val="left"/>
      <w:lvlText w:val="(%1)"/>
      <w:numFmt w:val="lowerLetter"/>
      <w:start w:val="2"/>
    </w:lvl>
  </w:abstractNum>
  <w:abstractNum w:abstractNumId="60">
    <w:nsid w:val="2DF6D648"/>
    <w:multiLevelType w:val="hybridMultilevel"/>
    <w:lvl w:ilvl="0">
      <w:lvlJc w:val="left"/>
      <w:lvlText w:val="(%1)"/>
      <w:numFmt w:val="lowerLetter"/>
      <w:start w:val="2"/>
    </w:lvl>
  </w:abstractNum>
  <w:abstractNum w:abstractNumId="61">
    <w:nsid w:val="46B7D447"/>
    <w:multiLevelType w:val="hybridMultilevel"/>
    <w:lvl w:ilvl="0">
      <w:lvlJc w:val="left"/>
      <w:lvlText w:val="(%1)"/>
      <w:numFmt w:val="lowerRoman"/>
      <w:start w:val="1"/>
    </w:lvl>
  </w:abstractNum>
  <w:abstractNum w:abstractNumId="62">
    <w:nsid w:val="4A2AC315"/>
    <w:multiLevelType w:val="hybridMultilevel"/>
    <w:lvl w:ilvl="0">
      <w:lvlJc w:val="left"/>
      <w:lvlText w:val="(%1)"/>
      <w:numFmt w:val="lowerRoman"/>
      <w:start w:val="6"/>
    </w:lvl>
  </w:abstractNum>
  <w:abstractNum w:abstractNumId="63">
    <w:nsid w:val="39EE015C"/>
    <w:multiLevelType w:val="hybridMultilevel"/>
    <w:lvl w:ilvl="0">
      <w:lvlJc w:val="left"/>
      <w:lvlText w:val="(%1)"/>
      <w:numFmt w:val="lowerLetter"/>
      <w:start w:val="3"/>
    </w:lvl>
  </w:abstractNum>
  <w:abstractNum w:abstractNumId="64">
    <w:nsid w:val="57FC4FBB"/>
    <w:multiLevelType w:val="hybridMultilevel"/>
    <w:lvl w:ilvl="0">
      <w:lvlJc w:val="left"/>
      <w:lvlText w:val="(%1)"/>
      <w:numFmt w:val="lowerRoman"/>
      <w:start w:val="1"/>
    </w:lvl>
  </w:abstractNum>
  <w:abstractNum w:abstractNumId="65">
    <w:nsid w:val="CC1016F"/>
    <w:multiLevelType w:val="hybridMultilevel"/>
    <w:lvl w:ilvl="0">
      <w:lvlJc w:val="left"/>
      <w:lvlText w:val="(%1)"/>
      <w:numFmt w:val="lowerRoman"/>
      <w:start w:val="3"/>
    </w:lvl>
  </w:abstractNum>
  <w:abstractNum w:abstractNumId="66">
    <w:nsid w:val="43F18422"/>
    <w:multiLevelType w:val="hybridMultilevel"/>
    <w:lvl w:ilvl="0">
      <w:lvlJc w:val="left"/>
      <w:lvlText w:val="(%1)"/>
      <w:numFmt w:val="lowerLetter"/>
      <w:start w:val="2"/>
    </w:lvl>
  </w:abstractNum>
  <w:abstractNum w:abstractNumId="67">
    <w:nsid w:val="60EF0119"/>
    <w:multiLevelType w:val="hybridMultilevel"/>
    <w:lvl w:ilvl="0">
      <w:lvlJc w:val="left"/>
      <w:lvlText w:val="(%1)"/>
      <w:numFmt w:val="lowerRoman"/>
      <w:start w:val="1"/>
    </w:lvl>
  </w:abstractNum>
  <w:abstractNum w:abstractNumId="68">
    <w:nsid w:val="26F324BA"/>
    <w:multiLevelType w:val="hybridMultilevel"/>
    <w:lvl w:ilvl="0">
      <w:lvlJc w:val="left"/>
      <w:lvlText w:val="(%1)"/>
      <w:numFmt w:val="lowerLetter"/>
      <w:start w:val="2"/>
    </w:lvl>
  </w:abstractNum>
  <w:abstractNum w:abstractNumId="69">
    <w:nsid w:val="7F01579B"/>
    <w:multiLevelType w:val="hybridMultilevel"/>
    <w:lvl w:ilvl="0">
      <w:lvlJc w:val="left"/>
      <w:lvlText w:val="(%1)"/>
      <w:numFmt w:val="lowerRoman"/>
      <w:start w:val="1"/>
    </w:lvl>
  </w:abstractNum>
  <w:abstractNum w:abstractNumId="70">
    <w:nsid w:val="49DA307D"/>
    <w:multiLevelType w:val="hybridMultilevel"/>
    <w:lvl w:ilvl="0">
      <w:lvlJc w:val="left"/>
      <w:lvlText w:val="(%1)"/>
      <w:numFmt w:val="lowerRoman"/>
      <w:start w:val="4"/>
    </w:lvl>
  </w:abstractNum>
  <w:abstractNum w:abstractNumId="71">
    <w:nsid w:val="7055A5F5"/>
    <w:multiLevelType w:val="hybridMultilevel"/>
    <w:lvl w:ilvl="0">
      <w:lvlJc w:val="left"/>
      <w:lvlText w:val="(%1)"/>
      <w:numFmt w:val="lowerLetter"/>
      <w:start w:val="1"/>
    </w:lvl>
  </w:abstractNum>
  <w:abstractNum w:abstractNumId="72">
    <w:nsid w:val="5FB8370B"/>
    <w:multiLevelType w:val="hybridMultilevel"/>
    <w:lvl w:ilvl="0">
      <w:lvlJc w:val="left"/>
      <w:lvlText w:val="(%1)"/>
      <w:numFmt w:val="lowerLetter"/>
      <w:start w:val="1"/>
    </w:lvl>
  </w:abstractNum>
  <w:abstractNum w:abstractNumId="73">
    <w:nsid w:val="50801EE1"/>
    <w:multiLevelType w:val="hybridMultilevel"/>
    <w:lvl w:ilvl="0">
      <w:lvlJc w:val="left"/>
      <w:lvlText w:val="(%1)"/>
      <w:numFmt w:val="lowerRoman"/>
      <w:start w:val="1"/>
    </w:lvl>
  </w:abstractNum>
  <w:abstractNum w:abstractNumId="74">
    <w:nsid w:val="488AC1A"/>
    <w:multiLevelType w:val="hybridMultilevel"/>
    <w:lvl w:ilvl="0">
      <w:lvlJc w:val="left"/>
      <w:lvlText w:val="(%1)"/>
      <w:numFmt w:val="lowerLetter"/>
      <w:start w:val="3"/>
    </w:lvl>
  </w:abstractNum>
  <w:abstractNum w:abstractNumId="75">
    <w:nsid w:val="5FB8011C"/>
    <w:multiLevelType w:val="hybridMultilevel"/>
    <w:lvl w:ilvl="0">
      <w:lvlJc w:val="left"/>
      <w:lvlText w:val="(%1)"/>
      <w:numFmt w:val="lowerLetter"/>
      <w:start w:val="1"/>
    </w:lvl>
  </w:abstractNum>
  <w:abstractNum w:abstractNumId="76">
    <w:nsid w:val="6AA78F7F"/>
    <w:multiLevelType w:val="hybridMultilevel"/>
    <w:lvl w:ilvl="0">
      <w:lvlJc w:val="left"/>
      <w:lvlText w:val="(%1)"/>
      <w:numFmt w:val="lowerLetter"/>
      <w:start w:val="3"/>
    </w:lvl>
  </w:abstractNum>
  <w:abstractNum w:abstractNumId="77">
    <w:nsid w:val="7672BD23"/>
    <w:multiLevelType w:val="hybridMultilevel"/>
    <w:lvl w:ilvl="0">
      <w:lvlJc w:val="left"/>
      <w:lvlText w:val="(%1)"/>
      <w:numFmt w:val="lowerLetter"/>
      <w:start w:val="1"/>
    </w:lvl>
  </w:abstractNum>
  <w:abstractNum w:abstractNumId="78">
    <w:nsid w:val="6FC75AF8"/>
    <w:multiLevelType w:val="hybridMultilevel"/>
    <w:lvl w:ilvl="0">
      <w:lvlJc w:val="left"/>
      <w:lvlText w:val="(%1)"/>
      <w:numFmt w:val="lowerRoman"/>
      <w:start w:val="2"/>
    </w:lvl>
  </w:abstractNum>
  <w:abstractNum w:abstractNumId="79">
    <w:nsid w:val="6A5F7029"/>
    <w:multiLevelType w:val="hybridMultilevel"/>
    <w:lvl w:ilvl="0">
      <w:lvlJc w:val="left"/>
      <w:lvlText w:val="(%1)"/>
      <w:numFmt w:val="lowerLetter"/>
      <w:start w:val="4"/>
    </w:lvl>
  </w:abstractNum>
  <w:abstractNum w:abstractNumId="80">
    <w:nsid w:val="7D5E18F8"/>
    <w:multiLevelType w:val="hybridMultilevel"/>
    <w:lvl w:ilvl="0">
      <w:lvlJc w:val="left"/>
      <w:lvlText w:val="(%1)"/>
      <w:numFmt w:val="lowerLetter"/>
      <w:start w:val="1"/>
    </w:lvl>
  </w:abstractNum>
  <w:abstractNum w:abstractNumId="81">
    <w:nsid w:val="5F3534A4"/>
    <w:multiLevelType w:val="hybridMultilevel"/>
    <w:lvl w:ilvl="0">
      <w:lvlJc w:val="left"/>
      <w:lvlText w:val="(%1)"/>
      <w:numFmt w:val="lowerLetter"/>
      <w:start w:val="4"/>
    </w:lvl>
  </w:abstractNum>
  <w:abstractNum w:abstractNumId="82">
    <w:nsid w:val="73A1821B"/>
    <w:multiLevelType w:val="hybridMultilevel"/>
    <w:lvl w:ilvl="0">
      <w:lvlJc w:val="left"/>
      <w:lvlText w:val="(%1)"/>
      <w:numFmt w:val="lowerLetter"/>
      <w:start w:val="1"/>
    </w:lvl>
  </w:abstractNum>
  <w:abstractNum w:abstractNumId="83">
    <w:nsid w:val="7DE67713"/>
    <w:multiLevelType w:val="hybridMultilevel"/>
    <w:lvl w:ilvl="0">
      <w:lvlJc w:val="left"/>
      <w:lvlText w:val="(%1)"/>
      <w:numFmt w:val="lowerLetter"/>
      <w:start w:val="1"/>
    </w:lvl>
  </w:abstractNum>
  <w:abstractNum w:abstractNumId="84">
    <w:nsid w:val="555C55B5"/>
    <w:multiLevelType w:val="hybridMultilevel"/>
    <w:lvl w:ilvl="0">
      <w:lvlJc w:val="left"/>
      <w:lvlText w:val="(%1)"/>
      <w:numFmt w:val="lowerLetter"/>
      <w:start w:val="1"/>
    </w:lvl>
  </w:abstractNum>
  <w:abstractNum w:abstractNumId="85">
    <w:nsid w:val="3FA62ACA"/>
    <w:multiLevelType w:val="hybridMultilevel"/>
    <w:lvl w:ilvl="0">
      <w:lvlJc w:val="left"/>
      <w:lvlText w:val="(%1)"/>
      <w:numFmt w:val="lowerLetter"/>
      <w:start w:val="2"/>
    </w:lvl>
  </w:abstractNum>
  <w:abstractNum w:abstractNumId="86">
    <w:nsid w:val="14FCE74E"/>
    <w:multiLevelType w:val="hybridMultilevel"/>
    <w:lvl w:ilvl="0">
      <w:lvlJc w:val="left"/>
      <w:lvlText w:val="(%1)"/>
      <w:numFmt w:val="lowerRoman"/>
      <w:start w:val="1"/>
    </w:lvl>
  </w:abstractNum>
  <w:abstractNum w:abstractNumId="87">
    <w:nsid w:val="6A3DD3E8"/>
    <w:multiLevelType w:val="hybridMultilevel"/>
    <w:lvl w:ilvl="0">
      <w:lvlJc w:val="left"/>
      <w:lvlText w:val="(%1)"/>
      <w:numFmt w:val="lowerRoman"/>
      <w:start w:val="3"/>
    </w:lvl>
  </w:abstractNum>
  <w:abstractNum w:abstractNumId="88">
    <w:nsid w:val="71C91298"/>
    <w:multiLevelType w:val="hybridMultilevel"/>
    <w:lvl w:ilvl="0">
      <w:lvlJc w:val="left"/>
      <w:lvlText w:val="(%1)"/>
      <w:numFmt w:val="lowerLetter"/>
      <w:start w:val="3"/>
    </w:lvl>
  </w:abstractNum>
  <w:abstractNum w:abstractNumId="89">
    <w:nsid w:val="9DAF632"/>
    <w:multiLevelType w:val="hybridMultilevel"/>
    <w:lvl w:ilvl="0">
      <w:lvlJc w:val="left"/>
      <w:lvlText w:val="(%1)"/>
      <w:numFmt w:val="lowerLetter"/>
      <w:start w:val="1"/>
    </w:lvl>
  </w:abstractNum>
  <w:abstractNum w:abstractNumId="90">
    <w:nsid w:val="53299938"/>
    <w:multiLevelType w:val="hybridMultilevel"/>
    <w:lvl w:ilvl="0">
      <w:lvlJc w:val="left"/>
      <w:lvlText w:val="(%1)"/>
      <w:numFmt w:val="lowerLetter"/>
      <w:start w:val="2"/>
    </w:lvl>
  </w:abstractNum>
  <w:abstractNum w:abstractNumId="91">
    <w:nsid w:val="1FBFE8E0"/>
    <w:multiLevelType w:val="hybridMultilevel"/>
    <w:lvl w:ilvl="0">
      <w:lvlJc w:val="left"/>
      <w:lvlText w:val="(%1)"/>
      <w:numFmt w:val="lowerLetter"/>
      <w:start w:val="1"/>
    </w:lvl>
  </w:abstractNum>
  <w:abstractNum w:abstractNumId="92">
    <w:nsid w:val="5092CA79"/>
    <w:multiLevelType w:val="hybridMultilevel"/>
    <w:lvl w:ilvl="0">
      <w:lvlJc w:val="left"/>
      <w:lvlText w:val="(%1)"/>
      <w:numFmt w:val="lowerLetter"/>
      <w:start w:val="3"/>
    </w:lvl>
  </w:abstractNum>
  <w:abstractNum w:abstractNumId="93">
    <w:nsid w:val="1D545C4D"/>
    <w:multiLevelType w:val="hybridMultilevel"/>
    <w:lvl w:ilvl="0">
      <w:lvlJc w:val="left"/>
      <w:lvlText w:val="(%1)"/>
      <w:numFmt w:val="lowerRoman"/>
      <w:start w:val="2"/>
    </w:lvl>
  </w:abstractNum>
  <w:abstractNum w:abstractNumId="94">
    <w:nsid w:val="59ADEA3D"/>
    <w:multiLevelType w:val="hybridMultilevel"/>
    <w:lvl w:ilvl="0">
      <w:lvlJc w:val="left"/>
      <w:lvlText w:val="(%1)"/>
      <w:numFmt w:val="lowerLetter"/>
      <w:start w:val="4"/>
    </w:lvl>
  </w:abstractNum>
  <w:abstractNum w:abstractNumId="95">
    <w:nsid w:val="288F1A34"/>
    <w:multiLevelType w:val="hybridMultilevel"/>
    <w:lvl w:ilvl="0">
      <w:lvlJc w:val="left"/>
      <w:lvlText w:val="(%1)"/>
      <w:numFmt w:val="lowerLetter"/>
      <w:start w:val="1"/>
    </w:lvl>
  </w:abstractNum>
  <w:abstractNum w:abstractNumId="96">
    <w:nsid w:val="2A155DBC"/>
    <w:multiLevelType w:val="hybridMultilevel"/>
    <w:lvl w:ilvl="0">
      <w:lvlJc w:val="left"/>
      <w:lvlText w:val="(%1)"/>
      <w:numFmt w:val="lowerLetter"/>
      <w:start w:val="3"/>
    </w:lvl>
  </w:abstractNum>
  <w:abstractNum w:abstractNumId="97">
    <w:nsid w:val="1D9F6E5F"/>
    <w:multiLevelType w:val="hybridMultilevel"/>
    <w:lvl w:ilvl="0">
      <w:lvlJc w:val="left"/>
      <w:lvlText w:val="(%1)"/>
      <w:numFmt w:val="lowerLetter"/>
      <w:start w:val="6"/>
    </w:lvl>
  </w:abstractNum>
  <w:abstractNum w:abstractNumId="98">
    <w:nsid w:val="97E1B4E"/>
    <w:multiLevelType w:val="hybridMultilevel"/>
    <w:lvl w:ilvl="0">
      <w:lvlJc w:val="left"/>
      <w:lvlText w:val="(%1)"/>
      <w:numFmt w:val="lowerLetter"/>
      <w:start w:val="1"/>
    </w:lvl>
  </w:abstractNum>
  <w:abstractNum w:abstractNumId="99">
    <w:nsid w:val="51088277"/>
    <w:multiLevelType w:val="hybridMultilevel"/>
    <w:lvl w:ilvl="0">
      <w:lvlJc w:val="left"/>
      <w:lvlText w:val="(%1)"/>
      <w:numFmt w:val="lowerLetter"/>
      <w:start w:val="1"/>
    </w:lvl>
  </w:abstractNum>
  <w:abstractNum w:abstractNumId="100">
    <w:nsid w:val="1CA0C5FA"/>
    <w:multiLevelType w:val="hybridMultilevel"/>
    <w:lvl w:ilvl="0">
      <w:lvlJc w:val="left"/>
      <w:lvlText w:val="(%1)"/>
      <w:numFmt w:val="lowerLetter"/>
      <w:start w:val="1"/>
    </w:lvl>
  </w:abstractNum>
  <w:abstractNum w:abstractNumId="101">
    <w:nsid w:val="53584BCB"/>
    <w:multiLevelType w:val="hybridMultilevel"/>
    <w:lvl w:ilvl="0">
      <w:lvlJc w:val="left"/>
      <w:lvlText w:val="(%1)"/>
      <w:numFmt w:val="lowerLetter"/>
      <w:start w:val="2"/>
    </w:lvl>
  </w:abstractNum>
  <w:abstractNum w:abstractNumId="102">
    <w:nsid w:val="415E286C"/>
    <w:multiLevelType w:val="hybridMultilevel"/>
    <w:lvl w:ilvl="0">
      <w:lvlJc w:val="left"/>
      <w:lvlText w:val="(%1)"/>
      <w:numFmt w:val="lowerRoman"/>
      <w:start w:val="1"/>
    </w:lvl>
  </w:abstractNum>
  <w:abstractNum w:abstractNumId="103">
    <w:nsid w:val="7C58FD05"/>
    <w:multiLevelType w:val="hybridMultilevel"/>
    <w:lvl w:ilvl="0">
      <w:lvlJc w:val="left"/>
      <w:lvlText w:val="(%1)"/>
      <w:numFmt w:val="lowerRoman"/>
      <w:start w:val="3"/>
    </w:lvl>
  </w:abstractNum>
  <w:abstractNum w:abstractNumId="104">
    <w:nsid w:val="23D86AAC"/>
    <w:multiLevelType w:val="hybridMultilevel"/>
    <w:lvl w:ilvl="0">
      <w:lvlJc w:val="left"/>
      <w:lvlText w:val="(%1)"/>
      <w:numFmt w:val="lowerLetter"/>
      <w:start w:val="3"/>
    </w:lvl>
  </w:abstractNum>
  <w:abstractNum w:abstractNumId="105">
    <w:nsid w:val="45E6D486"/>
    <w:multiLevelType w:val="hybridMultilevel"/>
    <w:lvl w:ilvl="0">
      <w:lvlJc w:val="left"/>
      <w:lvlText w:val="(%1)"/>
      <w:numFmt w:val="lowerLetter"/>
      <w:start w:val="1"/>
    </w:lvl>
  </w:abstractNum>
  <w:abstractNum w:abstractNumId="106">
    <w:nsid w:val="5C10FE21"/>
    <w:multiLevelType w:val="hybridMultilevel"/>
    <w:lvl w:ilvl="0">
      <w:lvlJc w:val="left"/>
      <w:lvlText w:val="(%1)"/>
      <w:numFmt w:val="lowerLetter"/>
      <w:start w:val="2"/>
    </w:lvl>
  </w:abstractNum>
  <w:abstractNum w:abstractNumId="107">
    <w:nsid w:val="E7FFA2B"/>
    <w:multiLevelType w:val="hybridMultilevel"/>
    <w:lvl w:ilvl="0">
      <w:lvlJc w:val="left"/>
      <w:lvlText w:val="(%1)"/>
      <w:numFmt w:val="lowerLetter"/>
      <w:start w:val="1"/>
    </w:lvl>
  </w:abstractNum>
  <w:abstractNum w:abstractNumId="108">
    <w:nsid w:val="3C5991AA"/>
    <w:multiLevelType w:val="hybridMultilevel"/>
    <w:lvl w:ilvl="0">
      <w:lvlJc w:val="left"/>
      <w:lvlText w:val="(%1)"/>
      <w:numFmt w:val="lowerLetter"/>
      <w:start w:val="3"/>
    </w:lvl>
  </w:abstractNum>
  <w:abstractNum w:abstractNumId="109">
    <w:nsid w:val="4BD8591A"/>
    <w:multiLevelType w:val="hybridMultilevel"/>
    <w:lvl w:ilvl="0">
      <w:lvlJc w:val="left"/>
      <w:lvlText w:val="(%1)"/>
      <w:numFmt w:val="lowerRoman"/>
      <w:start w:val="2"/>
    </w:lvl>
  </w:abstractNum>
  <w:abstractNum w:abstractNumId="110">
    <w:nsid w:val="78DF6A55"/>
    <w:multiLevelType w:val="hybridMultilevel"/>
    <w:lvl w:ilvl="0">
      <w:lvlJc w:val="left"/>
      <w:lvlText w:val="(%1)"/>
      <w:numFmt w:val="lowerLetter"/>
      <w:start w:val="4"/>
    </w:lvl>
  </w:abstractNum>
  <w:abstractNum w:abstractNumId="111">
    <w:nsid w:val="39B7AAA2"/>
    <w:multiLevelType w:val="hybridMultilevel"/>
    <w:lvl w:ilvl="0">
      <w:lvlJc w:val="left"/>
      <w:lvlText w:val="(%1)"/>
      <w:numFmt w:val="lowerLetter"/>
      <w:start w:val="1"/>
    </w:lvl>
  </w:abstractNum>
  <w:abstractNum w:abstractNumId="112">
    <w:nsid w:val="2B0D8DBE"/>
    <w:multiLevelType w:val="hybridMultilevel"/>
    <w:lvl w:ilvl="0">
      <w:lvlJc w:val="left"/>
      <w:lvlText w:val="(%1)"/>
      <w:numFmt w:val="lowerLetter"/>
      <w:start w:val="3"/>
    </w:lvl>
  </w:abstractNum>
  <w:abstractNum w:abstractNumId="113">
    <w:nsid w:val="6C80EC70"/>
    <w:multiLevelType w:val="hybridMultilevel"/>
    <w:lvl w:ilvl="0">
      <w:lvlJc w:val="left"/>
      <w:lvlText w:val="(%1)"/>
      <w:numFmt w:val="lowerLetter"/>
      <w:start w:val="5"/>
    </w:lvl>
  </w:abstractNum>
  <w:abstractNum w:abstractNumId="114">
    <w:nsid w:val="379E21B5"/>
    <w:multiLevelType w:val="hybridMultilevel"/>
    <w:lvl w:ilvl="0">
      <w:lvlJc w:val="left"/>
      <w:lvlText w:val="(%1)"/>
      <w:numFmt w:val="lowerLetter"/>
      <w:start w:val="1"/>
    </w:lvl>
  </w:abstractNum>
  <w:abstractNum w:abstractNumId="115">
    <w:nsid w:val="69E373"/>
    <w:multiLevelType w:val="hybridMultilevel"/>
    <w:lvl w:ilvl="0">
      <w:lvlJc w:val="left"/>
      <w:lvlText w:val="(%1)"/>
      <w:numFmt w:val="lowerLetter"/>
      <w:start w:val="2"/>
    </w:lvl>
  </w:abstractNum>
  <w:abstractNum w:abstractNumId="116">
    <w:nsid w:val="2C27173B"/>
    <w:multiLevelType w:val="hybridMultilevel"/>
    <w:lvl w:ilvl="0">
      <w:lvlJc w:val="left"/>
      <w:lvlText w:val="(%1)"/>
      <w:numFmt w:val="lowerLetter"/>
      <w:start w:val="2"/>
    </w:lvl>
  </w:abstractNum>
  <w:abstractNum w:abstractNumId="117">
    <w:nsid w:val="4C9B0904"/>
    <w:multiLevelType w:val="hybridMultilevel"/>
    <w:lvl w:ilvl="0">
      <w:lvlJc w:val="left"/>
      <w:lvlText w:val="(%1)"/>
      <w:numFmt w:val="lowerRoman"/>
      <w:start w:val="1"/>
    </w:lvl>
  </w:abstractNum>
  <w:abstractNum w:abstractNumId="118">
    <w:nsid w:val="6AA7B75C"/>
    <w:multiLevelType w:val="hybridMultilevel"/>
    <w:lvl w:ilvl="0">
      <w:lvlJc w:val="left"/>
      <w:lvlText w:val="%1"/>
      <w:numFmt w:val="lowerRoman"/>
      <w:start w:val="1"/>
    </w:lvl>
    <w:lvl w:ilvl="1">
      <w:lvlJc w:val="left"/>
      <w:lvlText w:val="(%2)"/>
      <w:numFmt w:val="lowerRoman"/>
      <w:start w:val="2"/>
    </w:lvl>
  </w:abstractNum>
  <w:abstractNum w:abstractNumId="119">
    <w:nsid w:val="1DF029D3"/>
    <w:multiLevelType w:val="hybridMultilevel"/>
    <w:lvl w:ilvl="0">
      <w:lvlJc w:val="left"/>
      <w:lvlText w:val="(%1)"/>
      <w:numFmt w:val="lowerRoman"/>
      <w:start w:val="5"/>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2023-07-24T15:24:55Z</dcterms:created>
  <dcterms:modified xsi:type="dcterms:W3CDTF">2023-07-24T15:24:55Z</dcterms:modified>
</cp:coreProperties>
</file>