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October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487680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41" w:right="1440" w:bottom="1440" w:gutter="0" w:footer="0" w:header="0"/>
        </w:sectPr>
      </w:pPr>
    </w:p>
    <w:bookmarkStart w:id="1" w:name="page2"/>
    <w:bookmarkEnd w:id="1"/>
    <w:p>
      <w:pPr>
        <w:ind w:firstLine="324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press release issued by GasLog Partners LP on October 31, 2024 relating to its results for the three-month period ended September 30, 2024 is attached hereto as Exhibit 99.1.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EXHIBIT LIST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Description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  <w:t>Press Release of GasLog Partners LP dated October 31,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440690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60"/>
          </w:cols>
          <w:pgMar w:left="320" w:top="909" w:right="519" w:bottom="1440" w:gutter="0" w:footer="0" w:header="0"/>
        </w:sectPr>
      </w:pPr>
    </w:p>
    <w:bookmarkStart w:id="2" w:name="page3"/>
    <w:bookmarkEnd w:id="2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SIGNATURES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324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Date: October 31, 2024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GASLOG PARTNERS LP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42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by</w:t>
        <w:tab/>
        <w:t>/s/ Paolo Enoizi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Name:</w:t>
        <w:tab/>
        <w:t>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-116205</wp:posOffset>
            </wp:positionV>
            <wp:extent cx="24257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444500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00"/>
          </w:cols>
          <w:pgMar w:left="320" w:top="895" w:right="47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GasLog Partners LP Reports Financial Results for the Three-Month Period Ended September 30, 2024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3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 xml:space="preserve">Majuro, Marshall Islands, October 31, 2024, GasLog Partners LP (“GasLog Partners” or the “Partnership”) (NYSE: GLOP-PA, GLOP-PB, GLOP-PC),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an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international owner, operator and acquirer of liquefied natural gas (“LNG”) carriers, today reported its financial results for the three-month period ended September 30, 2024.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Recent Developments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GIC Acquisition of BlackRock’s Shareholding in GasLog Ltd.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80" w:firstLine="648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GIC, a global institutional investor, and a fund managed by BlackRock’s Global Infrastructure Partners (“BlackRock”) have entered into an agreement whereby GIC will acquire BlackRock’s approximately 45% shareholding in GasLog Ltd. (“GasLog”), which holds 100% of the common units of the Partnership. Blenheim Holdings Ltd., which is wholly owned by the Livanos family, and the Onassis Foundation will maintain their respective shareholdings of approximately 55% in the aggregate in GasLog. The transaction is expected to close in the fourth quarter of 2024 subject to regulatory approvals and customary closing conditions.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 xml:space="preserve">Sale and Leaseback of the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u w:val="single" w:color="auto"/>
          <w:color w:val="auto"/>
        </w:rPr>
        <w:t>GasLog Santiago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00" w:firstLine="648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On August 27, 2024, the Partnership completed the sale and leaseback of the 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GasLog Santiago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, a 155,000 cubic meter (“cbm”) tri-fuel diesel electric (“TFDE”) LNG carrier, built in 2013, with a wholly owned subsidiary of China Development Bank Financial Leasing Co. Ltd., (“CDBL”). The vessel was sold and leased back under a bareboat charter with CDBL for a period of three years with no repurchase option or obligation, at a price of $151.0 million. The completion of the transaction resulted in the recognition of a gain on disposal of $8.2 million in the three months ended September 30, 2024.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GasLog Partners Dividend Declaration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20" w:firstLine="324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On September 30, 2024, the board of directors of GasLog Partners approved and declared a quarterly cash distribution of $2.87 per common unit to GasLog that was settled during the quarter ended September 30, 2024.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Quarterly Financial Results</w:t>
            </w:r>
          </w:p>
        </w:tc>
        <w:tc>
          <w:tcPr>
            <w:tcW w:w="6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10"/>
        </w:trPr>
        <w:tc>
          <w:tcPr>
            <w:tcW w:w="8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Amounts in thousands of U.S. dollars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For the three months ended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September 30,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September 30,</w:t>
            </w:r>
          </w:p>
        </w:tc>
      </w:tr>
      <w:tr>
        <w:trPr>
          <w:trHeight w:val="212"/>
        </w:trPr>
        <w:tc>
          <w:tcPr>
            <w:tcW w:w="194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2023</w:t>
            </w:r>
          </w:p>
        </w:tc>
        <w:tc>
          <w:tcPr>
            <w:tcW w:w="3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2024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2"/>
        </w:trPr>
        <w:tc>
          <w:tcPr>
            <w:tcW w:w="822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Revenues</w:t>
            </w:r>
          </w:p>
        </w:tc>
        <w:tc>
          <w:tcPr>
            <w:tcW w:w="380" w:type="dxa"/>
            <w:vAlign w:val="bottom"/>
            <w:shd w:val="clear" w:color="auto" w:fill="E5FFFF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100,747</w:t>
            </w:r>
          </w:p>
        </w:tc>
        <w:tc>
          <w:tcPr>
            <w:tcW w:w="3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5FFFF"/>
          </w:tcPr>
          <w:p>
            <w:pPr>
              <w:jc w:val="right"/>
              <w:ind w:righ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$</w:t>
            </w:r>
          </w:p>
        </w:tc>
        <w:tc>
          <w:tcPr>
            <w:tcW w:w="480" w:type="dxa"/>
            <w:vAlign w:val="bottom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85,670</w:t>
            </w:r>
          </w:p>
        </w:tc>
      </w:tr>
      <w:tr>
        <w:trPr>
          <w:trHeight w:val="210"/>
        </w:trPr>
        <w:tc>
          <w:tcPr>
            <w:tcW w:w="8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Profit for the period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30,939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$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44,488</w:t>
            </w:r>
          </w:p>
        </w:tc>
      </w:tr>
    </w:tbl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right="340" w:firstLine="324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Revenues were $85.7 million for the quarter ended September 30, 2024 ($100.7 million for the same period in 2023). The decrease of $15.0 million is mainly attributable to the second half of 2023 and 2024 fixtures, partially offset by the increase in available days (23 dry-docking off-hire days in the three-month period ended September 30, 2024, compared to 57 dry-docking and repair off-hire days in the same period in 2023).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40" w:firstLine="324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Profit was $44.5 million for the quarter ended September 30, 2024 ($30.9 million for the same period in 2023). The increase in profit of $13.6 million is mainly attributable to a) a decrease of $15.0 million in net financial costs due to the debt prepayment in November 2023 (following the refinancing of all of our vessels at the parent level of GasLog), b) $8.2 million non-cash gain on disposal for the vessel sold and leased back and c) a decrease of $3.1 million in general and administrative expenses mainly attributable to legal and professional fees and amortization of share-based compensation both relating to the completion of the merger agreement with GasLog in July 2023, partially offset by a decrease of $15.0 million in revenues, as discussed above.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418465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340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Unaudited condensed consolidated statements of financial position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(All amounts expressed in thousands of U.S. Dollars)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December 31, 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September 30,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40" w:type="dxa"/>
            <w:vAlign w:val="bottom"/>
            <w:tcBorders>
              <w:top w:val="single" w:sz="8" w:color="E9FFFF"/>
            </w:tcBorders>
            <w:gridSpan w:val="2"/>
            <w:shd w:val="clear" w:color="auto" w:fill="E9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Assets</w:t>
            </w:r>
          </w:p>
        </w:tc>
        <w:tc>
          <w:tcPr>
            <w:tcW w:w="1680" w:type="dxa"/>
            <w:vAlign w:val="bottom"/>
            <w:tcBorders>
              <w:top w:val="single" w:sz="8" w:color="E9FFFF"/>
            </w:tcBorders>
            <w:shd w:val="clear" w:color="auto" w:fill="E9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FFFF"/>
            </w:tcBorders>
            <w:shd w:val="clear" w:color="auto" w:fill="E9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9FFFF"/>
            </w:tcBorders>
            <w:shd w:val="clear" w:color="auto" w:fill="E9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FFFF"/>
            </w:tcBorders>
            <w:shd w:val="clear" w:color="auto" w:fill="E9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9FFFF"/>
            </w:tcBorders>
            <w:shd w:val="clear" w:color="auto" w:fill="E9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Non-current assets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Other non-current assets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1,988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1,606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Tangible fixed assets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1,477,458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1,296,241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Right-of-use assets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126,549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145,647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40" w:type="dxa"/>
            <w:vAlign w:val="bottom"/>
            <w:tcBorders>
              <w:bottom w:val="single" w:sz="8" w:color="E5FFF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non-current assets</w:t>
            </w:r>
          </w:p>
        </w:tc>
        <w:tc>
          <w:tcPr>
            <w:tcW w:w="168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1,605,995</w:t>
            </w:r>
          </w:p>
        </w:tc>
        <w:tc>
          <w:tcPr>
            <w:tcW w:w="4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1,443,494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Current assets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Trade and other receivables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24,444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16,394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Inventories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2,912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2,722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Due from related parties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15,295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13,044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Prepayments and other current assets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5,706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4,173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Cash and cash equivalents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11,887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3,803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40" w:type="dxa"/>
            <w:vAlign w:val="bottom"/>
            <w:tcBorders>
              <w:top w:val="single" w:sz="8" w:color="E5FFFF"/>
            </w:tcBorders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current assets</w:t>
            </w:r>
          </w:p>
        </w:tc>
        <w:tc>
          <w:tcPr>
            <w:tcW w:w="168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60,244</w:t>
            </w:r>
          </w:p>
        </w:tc>
        <w:tc>
          <w:tcPr>
            <w:tcW w:w="4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40,136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740" w:type="dxa"/>
            <w:vAlign w:val="bottom"/>
            <w:tcBorders>
              <w:bottom w:val="single" w:sz="8" w:color="E5FFF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assets</w:t>
            </w:r>
          </w:p>
        </w:tc>
        <w:tc>
          <w:tcPr>
            <w:tcW w:w="168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1,666,239</w:t>
            </w:r>
          </w:p>
        </w:tc>
        <w:tc>
          <w:tcPr>
            <w:tcW w:w="4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1,483,630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Partners’ equity and liabilities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5FF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Partners’ equity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Common unitholders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1,235,671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1,043,415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General partner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4,676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1,709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Preference unitholders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280,069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280,328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40" w:type="dxa"/>
            <w:vAlign w:val="bottom"/>
            <w:tcBorders>
              <w:bottom w:val="single" w:sz="8" w:color="E5FFF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partners’ equity</w:t>
            </w:r>
          </w:p>
        </w:tc>
        <w:tc>
          <w:tcPr>
            <w:tcW w:w="168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1,520,416</w:t>
            </w:r>
          </w:p>
        </w:tc>
        <w:tc>
          <w:tcPr>
            <w:tcW w:w="4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1,325,452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Current liabilities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Trade accounts payable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9,330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4,983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Other payables and accruals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42,188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34,061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Lease liabilities—current portion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28,831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43,891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40" w:type="dxa"/>
            <w:vAlign w:val="bottom"/>
            <w:tcBorders>
              <w:top w:val="single" w:sz="8" w:color="E5FFFF"/>
            </w:tcBorders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current liabilities</w:t>
            </w:r>
          </w:p>
        </w:tc>
        <w:tc>
          <w:tcPr>
            <w:tcW w:w="168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80,349</w:t>
            </w:r>
          </w:p>
        </w:tc>
        <w:tc>
          <w:tcPr>
            <w:tcW w:w="4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82,935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Non-current liabilities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Lease liabilities—non-current portion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E5FFFF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65,077</w:t>
            </w: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74,916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Other non-current liabilities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397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327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40" w:type="dxa"/>
            <w:vAlign w:val="bottom"/>
            <w:tcBorders>
              <w:top w:val="single" w:sz="8" w:color="E5FFFF"/>
            </w:tcBorders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non-current liabilities</w:t>
            </w:r>
          </w:p>
        </w:tc>
        <w:tc>
          <w:tcPr>
            <w:tcW w:w="168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65,474</w:t>
            </w:r>
          </w:p>
        </w:tc>
        <w:tc>
          <w:tcPr>
            <w:tcW w:w="4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75,243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partners’ equity and liabilities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1,666,239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1,483,630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Unaudited condensed consolidated statements of profit or loss</w:t>
            </w:r>
          </w:p>
        </w:tc>
        <w:tc>
          <w:tcPr>
            <w:tcW w:w="1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6"/>
        </w:trPr>
        <w:tc>
          <w:tcPr>
            <w:tcW w:w="5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(All amounts expressed in thousands of U.S. Dollars)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jc w:val="right"/>
              <w:ind w:righ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For the three months ended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For the nine months 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September 30, 2023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September 30, 2024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September 30, 2023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September 30,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Revenues</w:t>
            </w: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100,747</w:t>
            </w: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85,670</w:t>
            </w:r>
          </w:p>
        </w:tc>
        <w:tc>
          <w:tcPr>
            <w:tcW w:w="178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296,777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271,037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Voyage expenses and commissions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(3,128)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(1,370)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(7,766)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(4,295)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Vessel operating costs</w:t>
            </w:r>
          </w:p>
        </w:tc>
        <w:tc>
          <w:tcPr>
            <w:tcW w:w="178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(17,969)</w:t>
            </w:r>
          </w:p>
        </w:tc>
        <w:tc>
          <w:tcPr>
            <w:tcW w:w="192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(17,345)</w:t>
            </w:r>
          </w:p>
        </w:tc>
        <w:tc>
          <w:tcPr>
            <w:tcW w:w="1900" w:type="dxa"/>
            <w:vAlign w:val="bottom"/>
            <w:gridSpan w:val="3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(49,649)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(50,639)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Depreciation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(25,625)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(25,801)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(73,152)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(76,167)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General and administrative expenses</w:t>
            </w:r>
          </w:p>
        </w:tc>
        <w:tc>
          <w:tcPr>
            <w:tcW w:w="178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(6,843)</w:t>
            </w:r>
          </w:p>
        </w:tc>
        <w:tc>
          <w:tcPr>
            <w:tcW w:w="192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(3,650)</w:t>
            </w:r>
          </w:p>
        </w:tc>
        <w:tc>
          <w:tcPr>
            <w:tcW w:w="1900" w:type="dxa"/>
            <w:vAlign w:val="bottom"/>
            <w:gridSpan w:val="3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(18,709)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(12,091)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Gain/(loss) on disposal of vessel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—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8,196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(1,033)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8,196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Impairment loss on vessel</w:t>
            </w:r>
          </w:p>
        </w:tc>
        <w:tc>
          <w:tcPr>
            <w:tcW w:w="178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—</w:t>
            </w:r>
          </w:p>
        </w:tc>
        <w:tc>
          <w:tcPr>
            <w:tcW w:w="192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—</w:t>
            </w:r>
          </w:p>
        </w:tc>
        <w:tc>
          <w:tcPr>
            <w:tcW w:w="1900" w:type="dxa"/>
            <w:vAlign w:val="bottom"/>
            <w:gridSpan w:val="3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(142)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Profit from operations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47,182</w:t>
            </w:r>
          </w:p>
        </w:tc>
        <w:tc>
          <w:tcPr>
            <w:tcW w:w="1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45,700</w:t>
            </w: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146,326</w:t>
            </w: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136,041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20" w:type="dxa"/>
            <w:vAlign w:val="bottom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Financial costs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(17,450)</w:t>
            </w:r>
          </w:p>
        </w:tc>
        <w:tc>
          <w:tcPr>
            <w:tcW w:w="10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(1,232)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(51,847)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(3,193)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Financial income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1,287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20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7,079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(Loss)/gain on derivatives</w:t>
            </w:r>
          </w:p>
        </w:tc>
        <w:tc>
          <w:tcPr>
            <w:tcW w:w="178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(80)</w:t>
            </w:r>
          </w:p>
        </w:tc>
        <w:tc>
          <w:tcPr>
            <w:tcW w:w="1920" w:type="dxa"/>
            <w:vAlign w:val="bottom"/>
            <w:gridSpan w:val="2"/>
            <w:shd w:val="clear" w:color="auto" w:fill="E5FF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—</w:t>
            </w:r>
          </w:p>
        </w:tc>
        <w:tc>
          <w:tcPr>
            <w:tcW w:w="1780" w:type="dxa"/>
            <w:vAlign w:val="bottom"/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1,459</w:t>
            </w: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5FF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—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Total other expenses, net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(16,243)</w:t>
            </w:r>
          </w:p>
        </w:tc>
        <w:tc>
          <w:tcPr>
            <w:tcW w:w="10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(1,212)</w:t>
            </w: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(43,309)</w:t>
            </w: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(3,050)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620" w:type="dxa"/>
            <w:vAlign w:val="bottom"/>
            <w:tcBorders>
              <w:bottom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Profit for the period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5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30,939</w:t>
            </w:r>
          </w:p>
        </w:tc>
        <w:tc>
          <w:tcPr>
            <w:tcW w:w="100" w:type="dxa"/>
            <w:vAlign w:val="bottom"/>
            <w:tcBorders>
              <w:bottom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44,488</w:t>
            </w: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103,017</w:t>
            </w:r>
          </w:p>
        </w:tc>
        <w:tc>
          <w:tcPr>
            <w:tcW w:w="120" w:type="dxa"/>
            <w:vAlign w:val="bottom"/>
            <w:tcBorders>
              <w:bottom w:val="single" w:sz="8" w:color="E5FFFF"/>
            </w:tcBorders>
            <w:shd w:val="clear" w:color="auto" w:fill="E5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5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5FF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shd w:val="clear" w:color="auto" w:fill="E5FF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132,991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4"/>
        </w:trPr>
        <w:tc>
          <w:tcPr>
            <w:tcW w:w="3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90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2024-10-31T06:38:30Z</dcterms:created>
  <dcterms:modified xsi:type="dcterms:W3CDTF">2024-10-31T06:38:30Z</dcterms:modified>
</cp:coreProperties>
</file>