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REPORT OF FOREIGN PRIVATE ISSUER PURSUANT TO RULE 13a-16 OR 15d-16</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For the month of July 2023</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Commission File Number 001-36433</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GasLog Partners LP</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 GasLog LNG Services Ltd.</w:t>
      </w:r>
    </w:p>
    <w:p>
      <w:pPr>
        <w:jc w:val="center"/>
        <w:spacing w:after="0" w:line="238" w:lineRule="auto"/>
        <w:rPr>
          <w:sz w:val="20"/>
          <w:szCs w:val="20"/>
          <w:color w:val="auto"/>
        </w:rPr>
      </w:pPr>
      <w:r>
        <w:rPr>
          <w:rFonts w:ascii="Arial" w:cs="Arial" w:eastAsia="Arial" w:hAnsi="Arial"/>
          <w:sz w:val="22"/>
          <w:szCs w:val="22"/>
          <w:color w:val="auto"/>
        </w:rPr>
        <w:t>69 Akti Miaouli, 18537</w:t>
      </w:r>
    </w:p>
    <w:p>
      <w:pPr>
        <w:jc w:val="center"/>
        <w:spacing w:after="0" w:line="230" w:lineRule="auto"/>
        <w:rPr>
          <w:sz w:val="20"/>
          <w:szCs w:val="20"/>
          <w:color w:val="auto"/>
        </w:rPr>
      </w:pPr>
      <w:r>
        <w:rPr>
          <w:rFonts w:ascii="Arial" w:cs="Arial" w:eastAsia="Arial" w:hAnsi="Arial"/>
          <w:sz w:val="22"/>
          <w:szCs w:val="22"/>
          <w:color w:val="auto"/>
        </w:rPr>
        <w:t>Piraeus, Greece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(Address of principal executive office)</w:t>
      </w:r>
    </w:p>
    <w:p>
      <w:pPr>
        <w:spacing w:after="0" w:line="215" w:lineRule="exact"/>
        <w:rPr>
          <w:sz w:val="24"/>
          <w:szCs w:val="24"/>
          <w:color w:val="auto"/>
        </w:rPr>
      </w:pPr>
    </w:p>
    <w:p>
      <w:pPr>
        <w:ind w:right="1040"/>
        <w:spacing w:after="0" w:line="404" w:lineRule="exact"/>
        <w:rPr>
          <w:sz w:val="20"/>
          <w:szCs w:val="20"/>
          <w:color w:val="auto"/>
        </w:rPr>
      </w:pPr>
      <w:r>
        <w:rPr>
          <w:rFonts w:ascii="Arial" w:cs="Arial" w:eastAsia="Arial" w:hAnsi="Arial"/>
          <w:sz w:val="22"/>
          <w:szCs w:val="22"/>
          <w:color w:val="auto"/>
        </w:rPr>
        <w:t xml:space="preserve">Indicate by check mark whether the registrant files or will file annual reports under cover of Form 20-F or Form 40-F. Form 20-F </w:t>
      </w:r>
      <w:r>
        <w:rPr>
          <w:rFonts w:ascii="MS PGothic" w:cs="MS PGothic" w:eastAsia="MS PGothic" w:hAnsi="MS PGothic"/>
          <w:sz w:val="22"/>
          <w:szCs w:val="22"/>
          <w:color w:val="auto"/>
        </w:rPr>
        <w:t>☑</w:t>
      </w:r>
      <w:r>
        <w:rPr>
          <w:rFonts w:ascii="Arial" w:cs="Arial" w:eastAsia="Arial" w:hAnsi="Arial"/>
          <w:sz w:val="22"/>
          <w:szCs w:val="22"/>
          <w:color w:val="auto"/>
        </w:rPr>
        <w:t xml:space="preserve"> Form 40-F </w:t>
      </w:r>
      <w:r>
        <w:rPr>
          <w:rFonts w:ascii="MS PGothic" w:cs="MS PGothic" w:eastAsia="MS PGothic" w:hAnsi="MS PGothic"/>
          <w:sz w:val="22"/>
          <w:szCs w:val="22"/>
          <w:color w:val="auto"/>
        </w:rPr>
        <w: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000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24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000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24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3"/>
        </w:trPr>
        <w:tc>
          <w:tcPr>
            <w:tcW w:w="100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63"/>
        </w:trPr>
        <w:tc>
          <w:tcPr>
            <w:tcW w:w="100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183"/>
        </w:trPr>
        <w:tc>
          <w:tcPr>
            <w:tcW w:w="10000" w:type="dxa"/>
            <w:vAlign w:val="bottom"/>
            <w:tcBorders>
              <w:bottom w:val="single" w:sz="8" w:color="BFBFBF"/>
            </w:tcBorders>
          </w:tcPr>
          <w:p>
            <w:pPr>
              <w:spacing w:after="0"/>
              <w:rPr>
                <w:sz w:val="15"/>
                <w:szCs w:val="15"/>
                <w:color w:val="auto"/>
              </w:rPr>
            </w:pPr>
          </w:p>
        </w:tc>
        <w:tc>
          <w:tcPr>
            <w:tcW w:w="1240" w:type="dxa"/>
            <w:vAlign w:val="bottom"/>
            <w:tcBorders>
              <w:bottom w:val="single" w:sz="8" w:color="BFBFBF"/>
            </w:tcBorders>
          </w:tcPr>
          <w:p>
            <w:pPr>
              <w:spacing w:after="0"/>
              <w:rPr>
                <w:sz w:val="15"/>
                <w:szCs w:val="15"/>
                <w:color w:val="auto"/>
              </w:rPr>
            </w:pPr>
          </w:p>
        </w:tc>
      </w:tr>
    </w:tbl>
    <w:p>
      <w:pPr>
        <w:sectPr>
          <w:pgSz w:w="11900" w:h="16838" w:orient="portrait"/>
          <w:cols w:equalWidth="0" w:num="1">
            <w:col w:w="11240"/>
          </w:cols>
          <w:pgMar w:left="320" w:top="1125" w:right="339" w:bottom="1440" w:gutter="0" w:footer="0" w:header="0"/>
        </w:sectPr>
      </w:pPr>
    </w:p>
    <w:bookmarkStart w:id="1" w:name="page2"/>
    <w:bookmarkEnd w:id="1"/>
    <w:p>
      <w:pPr>
        <w:ind w:left="1140"/>
        <w:spacing w:after="0"/>
        <w:rPr>
          <w:sz w:val="20"/>
          <w:szCs w:val="20"/>
          <w:color w:val="auto"/>
        </w:rPr>
      </w:pPr>
      <w:r>
        <w:rPr>
          <w:rFonts w:ascii="Arial" w:cs="Arial" w:eastAsia="Arial" w:hAnsi="Arial"/>
          <w:sz w:val="21"/>
          <w:szCs w:val="21"/>
          <w:b w:val="1"/>
          <w:bCs w:val="1"/>
          <w:color w:val="auto"/>
        </w:rPr>
        <w:t>GasLog Ltd. Exercises Option to Convert Class B-4 Units into Common Units of GasLog Partners LP</w:t>
      </w:r>
    </w:p>
    <w:p>
      <w:pPr>
        <w:spacing w:after="0" w:line="251" w:lineRule="exact"/>
        <w:rPr>
          <w:sz w:val="20"/>
          <w:szCs w:val="20"/>
          <w:color w:val="auto"/>
        </w:rPr>
      </w:pPr>
    </w:p>
    <w:p>
      <w:pPr>
        <w:ind w:firstLine="405"/>
        <w:spacing w:after="0" w:line="275" w:lineRule="auto"/>
        <w:rPr>
          <w:sz w:val="20"/>
          <w:szCs w:val="20"/>
          <w:color w:val="auto"/>
        </w:rPr>
      </w:pPr>
      <w:r>
        <w:rPr>
          <w:rFonts w:ascii="Arial" w:cs="Arial" w:eastAsia="Arial" w:hAnsi="Arial"/>
          <w:sz w:val="19"/>
          <w:szCs w:val="19"/>
          <w:color w:val="auto"/>
        </w:rPr>
        <w:t>On July 3, 2023, GasLog Ltd. (“GasLog”) exercised its option to convert all 415,000 outstanding Class B-4 units of GasLog Partners LP (the “Partnership”) into 415,000 common units of the Partnership. As previously announced, GasLog and the Partnership agreed on June 24, 2019 to eliminate GasLog’s incentive distribution rights in the Partnership in exchange for newly issued limited partner units, including, among other consideration, 415,000 Class B-4 units. The Class B-4 Units were convertible at GasLog's option, exercisable in its sole discretion, on or after July 1, 2023 on a one-for-one basis into common units. As a result of the conversion, the Partnership has issued 415,000 new common units to GasLog and the 415,000 outstanding Class B-4 Units have been cancelled. After giving effect to the issuance of the common units, GasLog holds a 33.2% interest in the Partnership (including 2.0% through general partner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2"/>
          <w:szCs w:val="22"/>
          <w:color w:val="auto"/>
        </w:rPr>
        <w:t>INCORPORATION BY REFERENCE</w:t>
      </w:r>
    </w:p>
    <w:p>
      <w:pPr>
        <w:spacing w:after="0" w:line="234" w:lineRule="exact"/>
        <w:rPr>
          <w:sz w:val="20"/>
          <w:szCs w:val="20"/>
          <w:color w:val="auto"/>
        </w:rPr>
      </w:pPr>
    </w:p>
    <w:p>
      <w:pPr>
        <w:ind w:firstLine="376"/>
        <w:spacing w:after="0" w:line="282" w:lineRule="auto"/>
        <w:rPr>
          <w:sz w:val="20"/>
          <w:szCs w:val="20"/>
          <w:color w:val="auto"/>
        </w:rPr>
      </w:pPr>
      <w:r>
        <w:rPr>
          <w:rFonts w:ascii="Arial" w:cs="Arial" w:eastAsia="Arial" w:hAnsi="Arial"/>
          <w:sz w:val="19"/>
          <w:szCs w:val="19"/>
          <w:color w:val="auto"/>
        </w:rPr>
        <w:t>This Report on Form 6-K shall be incorporated by reference into our registration statement on Form F-3 (File No. 333-249399), filed with the Securities and Exchange Commission (the “SEC”) on October 9, 2020,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color w:val="auto"/>
        </w:rPr>
        <w:t>SIGNATURES</w:t>
      </w:r>
    </w:p>
    <w:p>
      <w:pPr>
        <w:spacing w:after="0" w:line="233" w:lineRule="exact"/>
        <w:rPr>
          <w:sz w:val="20"/>
          <w:szCs w:val="20"/>
          <w:color w:val="auto"/>
        </w:rPr>
      </w:pPr>
    </w:p>
    <w:p>
      <w:pPr>
        <w:ind w:firstLine="486"/>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 July 5, 2023</w:t>
      </w:r>
    </w:p>
    <w:p>
      <w:pPr>
        <w:spacing w:after="0" w:line="24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GASLOG PARTNERS LP</w:t>
      </w:r>
    </w:p>
    <w:p>
      <w:pPr>
        <w:spacing w:after="0" w:line="200" w:lineRule="exact"/>
        <w:rPr>
          <w:sz w:val="20"/>
          <w:szCs w:val="20"/>
          <w:color w:val="auto"/>
        </w:rPr>
      </w:pPr>
    </w:p>
    <w:p>
      <w:pPr>
        <w:spacing w:after="0" w:line="24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25031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Paolo Enoizi</w:t>
      </w:r>
    </w:p>
    <w:p>
      <w:pPr>
        <w:spacing w:after="0" w:line="23" w:lineRule="exact"/>
        <w:rPr>
          <w:sz w:val="20"/>
          <w:szCs w:val="20"/>
          <w:color w:val="auto"/>
        </w:rPr>
      </w:pPr>
    </w:p>
    <w:p>
      <w:pPr>
        <w:ind w:left="5940"/>
        <w:spacing w:after="0"/>
        <w:tabs>
          <w:tab w:leader="none" w:pos="6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sectPr>
      <w:pgSz w:w="11900" w:h="16838" w:orient="portrait"/>
      <w:cols w:equalWidth="0" w:num="1">
        <w:col w:w="11240"/>
      </w:cols>
      <w:pgMar w:left="320" w:top="3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2023-07-05T07:55:02Z</dcterms:created>
  <dcterms:modified xsi:type="dcterms:W3CDTF">2023-07-05T07:55:02Z</dcterms:modified>
</cp:coreProperties>
</file>