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left="1460"/>
        <w:spacing w:after="0" w:line="282" w:lineRule="auto"/>
        <w:rPr>
          <w:sz w:val="20"/>
          <w:szCs w:val="20"/>
          <w:color w:val="auto"/>
        </w:rPr>
      </w:pPr>
      <w:r>
        <w:rPr>
          <w:rFonts w:ascii="Arial" w:cs="Arial" w:eastAsia="Arial" w:hAnsi="Arial"/>
          <w:sz w:val="18"/>
          <w:szCs w:val="18"/>
          <w:b w:val="1"/>
          <w:bCs w:val="1"/>
          <w:color w:val="auto"/>
        </w:rPr>
        <w:t>REPORT OF FOREIGN PRIVATE ISSUER PURSUANT TO RULE 13a-16 OR 15d-16 UNDER THE SECURITIES EXCHANGE ACT OF 1934</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January 2022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c/o GasLog LNG Services Ltd.</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69 Akti Miaouli, 18537</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Piraeus, Greece</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2" w:lineRule="exact"/>
        <w:rPr>
          <w:sz w:val="24"/>
          <w:szCs w:val="24"/>
          <w:color w:val="auto"/>
        </w:rPr>
      </w:pPr>
    </w:p>
    <w:p>
      <w:pPr>
        <w:spacing w:after="0" w:line="207" w:lineRule="exact"/>
        <w:tabs>
          <w:tab w:leader="none" w:pos="12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Form 40-F o</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472" w:right="1440" w:bottom="1440" w:gutter="0" w:footer="0" w:header="0"/>
        </w:sectPr>
      </w:pPr>
    </w:p>
    <w:bookmarkStart w:id="1" w:name="page2"/>
    <w:bookmarkEnd w:id="1"/>
    <w:p>
      <w:pPr>
        <w:ind w:firstLine="376"/>
        <w:spacing w:after="0" w:line="293" w:lineRule="auto"/>
        <w:rPr>
          <w:sz w:val="20"/>
          <w:szCs w:val="20"/>
          <w:color w:val="auto"/>
        </w:rPr>
      </w:pPr>
      <w:r>
        <w:rPr>
          <w:rFonts w:ascii="Arial" w:cs="Arial" w:eastAsia="Arial" w:hAnsi="Arial"/>
          <w:sz w:val="16"/>
          <w:szCs w:val="16"/>
          <w:color w:val="auto"/>
        </w:rPr>
        <w:t>The press release issued by GasLog Partners LP on January 27, 2022 relating to its results for the three-month period and the year ended December 31, 2021 is attached hereto as Exhibit 99.1.</w:t>
      </w:r>
    </w:p>
    <w:p>
      <w:pPr>
        <w:spacing w:after="0" w:line="158"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EXHIBIT LIST</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6"/>
          <w:szCs w:val="16"/>
          <w:color w:val="auto"/>
        </w:rPr>
        <w:t>Exhibit</w:t>
      </w:r>
      <w:r>
        <w:rPr>
          <w:sz w:val="20"/>
          <w:szCs w:val="20"/>
          <w:color w:val="auto"/>
        </w:rPr>
        <w:tab/>
      </w:r>
      <w:r>
        <w:rPr>
          <w:rFonts w:ascii="Arial" w:cs="Arial" w:eastAsia="Arial" w:hAnsi="Arial"/>
          <w:sz w:val="16"/>
          <w:szCs w:val="16"/>
          <w:color w:val="auto"/>
        </w:rPr>
        <w:t>Description</w:t>
      </w:r>
    </w:p>
    <w:p>
      <w:pPr>
        <w:spacing w:after="0" w:line="248" w:lineRule="exact"/>
        <w:rPr>
          <w:sz w:val="20"/>
          <w:szCs w:val="20"/>
          <w:color w:val="auto"/>
        </w:rPr>
      </w:pPr>
    </w:p>
    <w:p>
      <w:pPr>
        <w:spacing w:after="0"/>
        <w:tabs>
          <w:tab w:leader="none" w:pos="1120" w:val="left"/>
        </w:tabs>
        <w:rPr>
          <w:rFonts w:ascii="Arial" w:cs="Arial" w:eastAsia="Arial" w:hAnsi="Arial"/>
          <w:sz w:val="14"/>
          <w:szCs w:val="14"/>
          <w:u w:val="single" w:color="auto"/>
          <w:color w:val="0000EE"/>
        </w:rPr>
      </w:pPr>
      <w:hyperlink w:anchor="page4">
        <w:r>
          <w:rPr>
            <w:rFonts w:ascii="Arial" w:cs="Arial" w:eastAsia="Arial" w:hAnsi="Arial"/>
            <w:sz w:val="16"/>
            <w:szCs w:val="16"/>
            <w:u w:val="single" w:color="auto"/>
            <w:color w:val="0000EE"/>
          </w:rPr>
          <w:t>99.1</w:t>
        </w:r>
      </w:hyperlink>
      <w:r>
        <w:rPr>
          <w:rFonts w:ascii="Arial" w:cs="Arial" w:eastAsia="Arial" w:hAnsi="Arial"/>
          <w:sz w:val="16"/>
          <w:szCs w:val="16"/>
          <w:u w:val="single" w:color="auto"/>
          <w:color w:val="0000EE"/>
        </w:rPr>
        <w:tab/>
      </w:r>
      <w:hyperlink w:anchor="page4">
        <w:r>
          <w:rPr>
            <w:rFonts w:ascii="Arial" w:cs="Arial" w:eastAsia="Arial" w:hAnsi="Arial"/>
            <w:sz w:val="14"/>
            <w:szCs w:val="14"/>
            <w:u w:val="single" w:color="auto"/>
            <w:color w:val="0000EE"/>
          </w:rPr>
          <w:t>Press Release dated January 27, 2022</w:t>
        </w:r>
      </w:hyperlink>
    </w:p>
    <w:p>
      <w:pPr>
        <w:spacing w:after="0" w:line="200" w:lineRule="exact"/>
        <w:rPr>
          <w:sz w:val="20"/>
          <w:szCs w:val="20"/>
          <w:color w:val="auto"/>
        </w:rPr>
      </w:pPr>
    </w:p>
    <w:p>
      <w:pPr>
        <w:spacing w:after="0" w:line="260" w:lineRule="exact"/>
        <w:rPr>
          <w:sz w:val="20"/>
          <w:szCs w:val="20"/>
          <w:color w:val="auto"/>
        </w:rPr>
      </w:pPr>
    </w:p>
    <w:p>
      <w:pPr>
        <w:jc w:val="center"/>
        <w:ind w:right="-5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80"/>
          </w:cols>
          <w:pgMar w:left="320" w:top="346" w:right="8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6"/>
          <w:szCs w:val="16"/>
          <w:color w:val="auto"/>
        </w:rPr>
        <w:t>SIGNATURES</w:t>
      </w:r>
    </w:p>
    <w:p>
      <w:pPr>
        <w:spacing w:after="0" w:line="221" w:lineRule="exact"/>
        <w:rPr>
          <w:sz w:val="20"/>
          <w:szCs w:val="20"/>
          <w:color w:val="auto"/>
        </w:rPr>
      </w:pPr>
    </w:p>
    <w:p>
      <w:pPr>
        <w:ind w:firstLine="376"/>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Date: January 27, 2022</w:t>
      </w:r>
    </w:p>
    <w:p>
      <w:pPr>
        <w:spacing w:after="0" w:line="248" w:lineRule="exact"/>
        <w:rPr>
          <w:sz w:val="20"/>
          <w:szCs w:val="20"/>
          <w:color w:val="auto"/>
        </w:rPr>
      </w:pPr>
    </w:p>
    <w:p>
      <w:pPr>
        <w:ind w:left="5640"/>
        <w:spacing w:after="0"/>
        <w:rPr>
          <w:sz w:val="20"/>
          <w:szCs w:val="20"/>
          <w:color w:val="auto"/>
        </w:rPr>
      </w:pPr>
      <w:r>
        <w:rPr>
          <w:rFonts w:ascii="Arial" w:cs="Arial" w:eastAsia="Arial" w:hAnsi="Arial"/>
          <w:sz w:val="16"/>
          <w:szCs w:val="16"/>
          <w:color w:val="auto"/>
        </w:rPr>
        <w:t>GASLOG PARTNERS LP</w:t>
      </w:r>
    </w:p>
    <w:p>
      <w:pPr>
        <w:spacing w:after="0" w:line="248" w:lineRule="exact"/>
        <w:rPr>
          <w:sz w:val="20"/>
          <w:szCs w:val="20"/>
          <w:color w:val="auto"/>
        </w:rPr>
      </w:pPr>
    </w:p>
    <w:p>
      <w:pPr>
        <w:ind w:left="5980"/>
        <w:spacing w:after="0"/>
        <w:tabs>
          <w:tab w:leader="none" w:pos="6300" w:val="left"/>
        </w:tabs>
        <w:rPr>
          <w:sz w:val="20"/>
          <w:szCs w:val="20"/>
          <w:color w:val="auto"/>
        </w:rPr>
      </w:pPr>
      <w:r>
        <w:rPr>
          <w:rFonts w:ascii="Arial" w:cs="Arial" w:eastAsia="Arial" w:hAnsi="Arial"/>
          <w:sz w:val="16"/>
          <w:szCs w:val="16"/>
          <w:color w:val="auto"/>
        </w:rPr>
        <w:t>by</w:t>
        <w:tab/>
        <w:t>/s/ Paolo Enoizi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26670</wp:posOffset>
            </wp:positionV>
            <wp:extent cx="2846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6" w:lineRule="exact"/>
        <w:rPr>
          <w:sz w:val="20"/>
          <w:szCs w:val="20"/>
          <w:color w:val="auto"/>
        </w:rPr>
      </w:pPr>
    </w:p>
    <w:p>
      <w:pPr>
        <w:ind w:left="6320"/>
        <w:spacing w:after="0"/>
        <w:tabs>
          <w:tab w:leader="none" w:pos="6900" w:val="left"/>
        </w:tabs>
        <w:rPr>
          <w:sz w:val="20"/>
          <w:szCs w:val="20"/>
          <w:color w:val="auto"/>
        </w:rPr>
      </w:pPr>
      <w:r>
        <w:rPr>
          <w:rFonts w:ascii="Arial" w:cs="Arial" w:eastAsia="Arial" w:hAnsi="Arial"/>
          <w:sz w:val="16"/>
          <w:szCs w:val="16"/>
          <w:color w:val="auto"/>
        </w:rPr>
        <w:t>Name:</w:t>
        <w:tab/>
        <w:t>Paolo Enoizi</w:t>
      </w:r>
    </w:p>
    <w:p>
      <w:pPr>
        <w:spacing w:after="0" w:line="22" w:lineRule="exact"/>
        <w:rPr>
          <w:sz w:val="20"/>
          <w:szCs w:val="20"/>
          <w:color w:val="auto"/>
        </w:rPr>
      </w:pPr>
    </w:p>
    <w:p>
      <w:pPr>
        <w:ind w:left="6320"/>
        <w:spacing w:after="0"/>
        <w:tabs>
          <w:tab w:leader="none" w:pos="690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6"/>
          <w:szCs w:val="16"/>
          <w:color w:val="auto"/>
        </w:rPr>
        <w:t>Chief Executive Officer</w:t>
      </w:r>
    </w:p>
    <w:p>
      <w:pPr>
        <w:spacing w:after="0" w:line="200" w:lineRule="exact"/>
        <w:rPr>
          <w:sz w:val="20"/>
          <w:szCs w:val="20"/>
          <w:color w:val="auto"/>
        </w:rPr>
      </w:pP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346"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u w:val="single" w:color="auto"/>
          <w:color w:val="auto"/>
        </w:rPr>
        <w:t>Press Release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GasLog Partners LP Reports Financial Results for the Three-Month Period and the Year Ended December 31, 2021 and Declares Cash Distribution</w:t>
      </w:r>
    </w:p>
    <w:p>
      <w:pPr>
        <w:spacing w:after="0" w:line="22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Majuro, Marshall Islands, January 27, 2022, GasLog Partners LP (“GasLog Partners” or the “Partnership”) (NYSE: GLOP), </w:t>
      </w:r>
      <w:r>
        <w:rPr>
          <w:rFonts w:ascii="Arial" w:cs="Arial" w:eastAsia="Arial" w:hAnsi="Arial"/>
          <w:sz w:val="16"/>
          <w:szCs w:val="16"/>
          <w:color w:val="auto"/>
        </w:rPr>
        <w:t>an international owner and operator of</w:t>
      </w:r>
      <w:r>
        <w:rPr>
          <w:rFonts w:ascii="Arial" w:cs="Arial" w:eastAsia="Arial" w:hAnsi="Arial"/>
          <w:sz w:val="16"/>
          <w:szCs w:val="16"/>
          <w:b w:val="1"/>
          <w:bCs w:val="1"/>
          <w:color w:val="auto"/>
        </w:rPr>
        <w:t xml:space="preserve"> </w:t>
      </w:r>
      <w:r>
        <w:rPr>
          <w:rFonts w:ascii="Arial" w:cs="Arial" w:eastAsia="Arial" w:hAnsi="Arial"/>
          <w:sz w:val="16"/>
          <w:szCs w:val="16"/>
          <w:color w:val="auto"/>
        </w:rPr>
        <w:t>liquefied natural gas (“LNG”) carriers, today reported its financial results for the three-month period and the year ended December 31, 2021.</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Highlights</w:t>
      </w:r>
    </w:p>
    <w:p>
      <w:pPr>
        <w:spacing w:after="0" w:line="225" w:lineRule="exact"/>
        <w:rPr>
          <w:sz w:val="20"/>
          <w:szCs w:val="20"/>
          <w:color w:val="auto"/>
        </w:rPr>
      </w:pPr>
    </w:p>
    <w:p>
      <w:pPr>
        <w:ind w:left="340" w:right="880" w:hanging="332"/>
        <w:spacing w:after="0" w:line="266"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Repurchased $6.0 million of preference units in the open market in the fourth quarter of 2021, bringing the total amount of preference units repurchased to $18.4 million during 2021.</w:t>
      </w:r>
    </w:p>
    <w:p>
      <w:pPr>
        <w:spacing w:after="0" w:line="1" w:lineRule="exact"/>
        <w:rPr>
          <w:rFonts w:ascii="Arial" w:cs="Arial" w:eastAsia="Arial" w:hAnsi="Arial"/>
          <w:sz w:val="16"/>
          <w:szCs w:val="16"/>
          <w:color w:val="auto"/>
        </w:rPr>
      </w:pPr>
    </w:p>
    <w:p>
      <w:pPr>
        <w:ind w:left="340" w:right="720" w:hanging="332"/>
        <w:spacing w:after="0" w:line="264"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Repaid $17.3 million of debt in the fourth quarter of 2021, bringing total debt repayment (excluding the prepayment pursuant to the sale and leaseback of the </w:t>
      </w:r>
      <w:r>
        <w:rPr>
          <w:rFonts w:ascii="Arial" w:cs="Arial" w:eastAsia="Arial" w:hAnsi="Arial"/>
          <w:sz w:val="16"/>
          <w:szCs w:val="16"/>
          <w:i w:val="1"/>
          <w:iCs w:val="1"/>
          <w:color w:val="auto"/>
        </w:rPr>
        <w:t>GasLog Shanghai</w:t>
      </w:r>
      <w:r>
        <w:rPr>
          <w:rFonts w:ascii="Arial" w:cs="Arial" w:eastAsia="Arial" w:hAnsi="Arial"/>
          <w:sz w:val="16"/>
          <w:szCs w:val="16"/>
          <w:color w:val="auto"/>
        </w:rPr>
        <w:t>) to $108.1 million during 2021.</w:t>
      </w:r>
    </w:p>
    <w:p>
      <w:pPr>
        <w:ind w:left="340" w:right="960" w:hanging="332"/>
        <w:spacing w:after="0" w:line="264"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Recognized a non-cash impairment loss of $104.0 million in the fourth quarter of 2021 on the book values of the five steam turbine propulsion (“Steam”) vessels of the Partnership, built in 2006 and 2007.</w:t>
      </w:r>
    </w:p>
    <w:p>
      <w:pPr>
        <w:ind w:left="340" w:hanging="332"/>
        <w:spacing w:after="0" w:line="197" w:lineRule="auto"/>
        <w:tabs>
          <w:tab w:leader="none" w:pos="340" w:val="left"/>
        </w:tabs>
        <w:numPr>
          <w:ilvl w:val="0"/>
          <w:numId w:val="1"/>
        </w:numPr>
        <w:rPr>
          <w:rFonts w:ascii="Arial" w:cs="Arial" w:eastAsia="Arial" w:hAnsi="Arial"/>
          <w:sz w:val="31"/>
          <w:szCs w:val="31"/>
          <w:color w:val="auto"/>
          <w:vertAlign w:val="superscript"/>
        </w:rPr>
      </w:pPr>
      <w:r>
        <w:rPr>
          <w:rFonts w:ascii="Arial" w:cs="Arial" w:eastAsia="Arial" w:hAnsi="Arial"/>
          <w:sz w:val="16"/>
          <w:szCs w:val="16"/>
          <w:color w:val="auto"/>
        </w:rPr>
        <w:t>Quarterly Revenues, Profit/(loss), Adjusted Profit</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and Adjusted EBITDA</w:t>
      </w:r>
      <w:r>
        <w:rPr>
          <w:rFonts w:ascii="Arial" w:cs="Arial" w:eastAsia="Arial" w:hAnsi="Arial"/>
          <w:sz w:val="25"/>
          <w:szCs w:val="25"/>
          <w:color w:val="auto"/>
          <w:vertAlign w:val="superscript"/>
        </w:rPr>
        <w:t>(1)</w:t>
      </w:r>
      <w:r>
        <w:rPr>
          <w:rFonts w:ascii="Arial" w:cs="Arial" w:eastAsia="Arial" w:hAnsi="Arial"/>
          <w:sz w:val="16"/>
          <w:szCs w:val="16"/>
          <w:color w:val="auto"/>
        </w:rPr>
        <w:t xml:space="preserve"> of $88.2 million, ($70.8) million, $30.7 million and $64.2 million, respectively.</w:t>
      </w:r>
    </w:p>
    <w:p>
      <w:pPr>
        <w:spacing w:after="0" w:line="1" w:lineRule="exact"/>
        <w:rPr>
          <w:rFonts w:ascii="Arial" w:cs="Arial" w:eastAsia="Arial" w:hAnsi="Arial"/>
          <w:sz w:val="31"/>
          <w:szCs w:val="31"/>
          <w:color w:val="auto"/>
          <w:vertAlign w:val="superscript"/>
        </w:rPr>
      </w:pPr>
    </w:p>
    <w:p>
      <w:pPr>
        <w:ind w:left="340" w:hanging="332"/>
        <w:spacing w:after="0" w:line="181" w:lineRule="auto"/>
        <w:tabs>
          <w:tab w:leader="none" w:pos="340" w:val="left"/>
        </w:tabs>
        <w:numPr>
          <w:ilvl w:val="0"/>
          <w:numId w:val="1"/>
        </w:numPr>
        <w:rPr>
          <w:rFonts w:ascii="Arial" w:cs="Arial" w:eastAsia="Arial" w:hAnsi="Arial"/>
          <w:sz w:val="28"/>
          <w:szCs w:val="28"/>
          <w:color w:val="auto"/>
          <w:vertAlign w:val="superscript"/>
        </w:rPr>
      </w:pPr>
      <w:r>
        <w:rPr>
          <w:rFonts w:ascii="Arial" w:cs="Arial" w:eastAsia="Arial" w:hAnsi="Arial"/>
          <w:sz w:val="15"/>
          <w:szCs w:val="15"/>
          <w:color w:val="auto"/>
        </w:rPr>
        <w:t>Annual Revenues, Profit/(loss), Adjusted Profit</w:t>
      </w:r>
      <w:r>
        <w:rPr>
          <w:rFonts w:ascii="Arial" w:cs="Arial" w:eastAsia="Arial" w:hAnsi="Arial"/>
          <w:sz w:val="23"/>
          <w:szCs w:val="23"/>
          <w:color w:val="auto"/>
          <w:vertAlign w:val="superscript"/>
        </w:rPr>
        <w:t>(1)</w:t>
      </w:r>
      <w:r>
        <w:rPr>
          <w:rFonts w:ascii="Arial" w:cs="Arial" w:eastAsia="Arial" w:hAnsi="Arial"/>
          <w:sz w:val="15"/>
          <w:szCs w:val="15"/>
          <w:color w:val="auto"/>
        </w:rPr>
        <w:t xml:space="preserve"> and Adjusted EBITDA</w:t>
      </w:r>
      <w:r>
        <w:rPr>
          <w:rFonts w:ascii="Arial" w:cs="Arial" w:eastAsia="Arial" w:hAnsi="Arial"/>
          <w:sz w:val="23"/>
          <w:szCs w:val="23"/>
          <w:color w:val="auto"/>
          <w:vertAlign w:val="superscript"/>
        </w:rPr>
        <w:t>(1)</w:t>
      </w:r>
      <w:r>
        <w:rPr>
          <w:rFonts w:ascii="Arial" w:cs="Arial" w:eastAsia="Arial" w:hAnsi="Arial"/>
          <w:sz w:val="15"/>
          <w:szCs w:val="15"/>
          <w:color w:val="auto"/>
        </w:rPr>
        <w:t xml:space="preserve"> of $326.1 million, $5.7 million, $99.8 million and $230.6 million, respectively.</w:t>
      </w:r>
    </w:p>
    <w:p>
      <w:pPr>
        <w:ind w:left="340" w:hanging="332"/>
        <w:spacing w:after="0" w:line="181" w:lineRule="auto"/>
        <w:tabs>
          <w:tab w:leader="none" w:pos="340" w:val="left"/>
        </w:tabs>
        <w:numPr>
          <w:ilvl w:val="0"/>
          <w:numId w:val="1"/>
        </w:numPr>
        <w:rPr>
          <w:rFonts w:ascii="Arial" w:cs="Arial" w:eastAsia="Arial" w:hAnsi="Arial"/>
          <w:sz w:val="23"/>
          <w:szCs w:val="23"/>
          <w:color w:val="auto"/>
          <w:vertAlign w:val="superscript"/>
        </w:rPr>
      </w:pPr>
      <w:r>
        <w:rPr>
          <w:rFonts w:ascii="Arial" w:cs="Arial" w:eastAsia="Arial" w:hAnsi="Arial"/>
          <w:sz w:val="13"/>
          <w:szCs w:val="13"/>
          <w:color w:val="auto"/>
        </w:rPr>
        <w:t>Quarterly Earnings/(loss) per unit (“EPU”) of ($1.50) and Adjusted EPU</w:t>
      </w:r>
      <w:r>
        <w:rPr>
          <w:rFonts w:ascii="Arial" w:cs="Arial" w:eastAsia="Arial" w:hAnsi="Arial"/>
          <w:sz w:val="19"/>
          <w:szCs w:val="19"/>
          <w:color w:val="auto"/>
          <w:vertAlign w:val="superscript"/>
        </w:rPr>
        <w:t>(1)</w:t>
      </w:r>
      <w:r>
        <w:rPr>
          <w:rFonts w:ascii="Arial" w:cs="Arial" w:eastAsia="Arial" w:hAnsi="Arial"/>
          <w:sz w:val="13"/>
          <w:szCs w:val="13"/>
          <w:color w:val="auto"/>
        </w:rPr>
        <w:t xml:space="preserve"> of $0.45.</w:t>
      </w:r>
    </w:p>
    <w:p>
      <w:pPr>
        <w:ind w:left="340" w:hanging="332"/>
        <w:spacing w:after="0" w:line="183" w:lineRule="auto"/>
        <w:tabs>
          <w:tab w:leader="none" w:pos="340" w:val="left"/>
        </w:tabs>
        <w:numPr>
          <w:ilvl w:val="0"/>
          <w:numId w:val="1"/>
        </w:numPr>
        <w:rPr>
          <w:rFonts w:ascii="Arial" w:cs="Arial" w:eastAsia="Arial" w:hAnsi="Arial"/>
          <w:sz w:val="28"/>
          <w:szCs w:val="28"/>
          <w:color w:val="auto"/>
          <w:vertAlign w:val="superscript"/>
        </w:rPr>
      </w:pPr>
      <w:r>
        <w:rPr>
          <w:rFonts w:ascii="Arial" w:cs="Arial" w:eastAsia="Arial" w:hAnsi="Arial"/>
          <w:sz w:val="15"/>
          <w:szCs w:val="15"/>
          <w:color w:val="auto"/>
        </w:rPr>
        <w:t>Annual EPU of ($0.47) and Adjusted EPU</w:t>
      </w:r>
      <w:r>
        <w:rPr>
          <w:rFonts w:ascii="Arial" w:cs="Arial" w:eastAsia="Arial" w:hAnsi="Arial"/>
          <w:sz w:val="23"/>
          <w:szCs w:val="23"/>
          <w:color w:val="auto"/>
          <w:vertAlign w:val="superscript"/>
        </w:rPr>
        <w:t>(1)</w:t>
      </w:r>
      <w:r>
        <w:rPr>
          <w:rFonts w:ascii="Arial" w:cs="Arial" w:eastAsia="Arial" w:hAnsi="Arial"/>
          <w:sz w:val="15"/>
          <w:szCs w:val="15"/>
          <w:color w:val="auto"/>
        </w:rPr>
        <w:t xml:space="preserve"> of $1.39.</w:t>
      </w:r>
    </w:p>
    <w:p>
      <w:pPr>
        <w:ind w:left="340" w:hanging="332"/>
        <w:spacing w:after="0"/>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Declared cash distribution of $0.01 per common unit for the fourth quarter of 2021.</w:t>
      </w: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CEO Statement</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Paolo Enoizi, Chief Executive Officer, commented: “The fourth quarter was another period of strong operational and financial performance for the Partnership. We have delivered for our customers amidst continued COVID-19 difficulties with 100% fleet uptime and zero lost-time incidents, while our continued cost optimization and rechartering activities helped improve our profitability, as well as our overall liquidity position, with approximately $146.0 million of cash and cash equivalents at the end of the year.</w:t>
      </w:r>
    </w:p>
    <w:p>
      <w:pPr>
        <w:spacing w:after="0" w:line="175"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We keep focusing on debt repayments and improving the breakeven rates of the Partnership, while successfully executing our strategy and making progress towards our target leverage metrics. Furthermore, we repurchased an additional $6.0 million of preference units in the open market during the fourth quarter, bringing the total amount of preference units repurchased to $18.4 million during 2021 and further improving the fleet’s all-in free cash flows.</w:t>
      </w:r>
    </w:p>
    <w:p>
      <w:pPr>
        <w:spacing w:after="0" w:line="171" w:lineRule="exact"/>
        <w:rPr>
          <w:sz w:val="20"/>
          <w:szCs w:val="20"/>
          <w:color w:val="auto"/>
        </w:rPr>
      </w:pPr>
    </w:p>
    <w:p>
      <w:pPr>
        <w:ind w:right="320"/>
        <w:spacing w:after="0" w:line="293" w:lineRule="auto"/>
        <w:rPr>
          <w:sz w:val="20"/>
          <w:szCs w:val="20"/>
          <w:color w:val="auto"/>
        </w:rPr>
      </w:pPr>
      <w:r>
        <w:rPr>
          <w:rFonts w:ascii="Arial" w:cs="Arial" w:eastAsia="Arial" w:hAnsi="Arial"/>
          <w:sz w:val="16"/>
          <w:szCs w:val="16"/>
          <w:color w:val="auto"/>
        </w:rPr>
        <w:t>As we look ahead to 2022, we expect to continue with our capital allocation strategy, which will enhance our competitiveness and position the Partnership for continued success in the spot and short-term market for LNG shipping.”</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gridSpan w:val="2"/>
          </w:tcPr>
          <w:p>
            <w:pPr>
              <w:spacing w:after="0"/>
              <w:rPr>
                <w:sz w:val="20"/>
                <w:szCs w:val="20"/>
                <w:color w:val="auto"/>
              </w:rPr>
            </w:pPr>
            <w:r>
              <w:rPr>
                <w:rFonts w:ascii="Arial" w:cs="Arial" w:eastAsia="Arial" w:hAnsi="Arial"/>
                <w:sz w:val="16"/>
                <w:szCs w:val="16"/>
                <w:b w:val="1"/>
                <w:bCs w:val="1"/>
                <w:color w:val="auto"/>
              </w:rPr>
              <w:t>Financial Summary</w:t>
            </w: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80" w:type="dxa"/>
            <w:vAlign w:val="bottom"/>
            <w:tcBorders>
              <w:top w:val="single" w:sz="8" w:color="auto"/>
            </w:tcBorders>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940" w:type="dxa"/>
            <w:vAlign w:val="bottom"/>
            <w:tcBorders>
              <w:bottom w:val="single" w:sz="8" w:color="auto"/>
            </w:tcBorders>
            <w:gridSpan w:val="5"/>
          </w:tcPr>
          <w:p>
            <w:pPr>
              <w:ind w:left="960"/>
              <w:spacing w:after="0"/>
              <w:rPr>
                <w:sz w:val="20"/>
                <w:szCs w:val="20"/>
                <w:color w:val="auto"/>
              </w:rPr>
            </w:pPr>
            <w:r>
              <w:rPr>
                <w:rFonts w:ascii="Arial" w:cs="Arial" w:eastAsia="Arial" w:hAnsi="Arial"/>
                <w:sz w:val="16"/>
                <w:szCs w:val="16"/>
                <w:b w:val="1"/>
                <w:bCs w:val="1"/>
                <w:color w:val="auto"/>
                <w:w w:val="92"/>
              </w:rPr>
              <w:t>For the three months ended</w:t>
            </w:r>
          </w:p>
        </w:tc>
        <w:tc>
          <w:tcPr>
            <w:tcW w:w="9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78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16"/>
                <w:szCs w:val="16"/>
                <w:b w:val="1"/>
                <w:bCs w:val="1"/>
                <w:color w:val="auto"/>
              </w:rPr>
              <w:t>For the years ended</w:t>
            </w:r>
          </w:p>
        </w:tc>
        <w:tc>
          <w:tcPr>
            <w:tcW w:w="100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9"/>
        </w:trPr>
        <w:tc>
          <w:tcPr>
            <w:tcW w:w="3400" w:type="dxa"/>
            <w:vAlign w:val="bottom"/>
            <w:gridSpan w:val="2"/>
          </w:tcPr>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All amounts expressed in</w:t>
            </w:r>
          </w:p>
        </w:tc>
        <w:tc>
          <w:tcPr>
            <w:tcW w:w="1460" w:type="dxa"/>
            <w:vAlign w:val="bottom"/>
            <w:gridSpan w:val="2"/>
            <w:vMerge w:val="restart"/>
          </w:tcPr>
          <w:p>
            <w:pPr>
              <w:jc w:val="right"/>
              <w:ind w:right="320"/>
              <w:spacing w:after="0"/>
              <w:rPr>
                <w:sz w:val="20"/>
                <w:szCs w:val="20"/>
                <w:color w:val="auto"/>
              </w:rPr>
            </w:pPr>
            <w:r>
              <w:rPr>
                <w:rFonts w:ascii="Arial" w:cs="Arial" w:eastAsia="Arial" w:hAnsi="Arial"/>
                <w:sz w:val="16"/>
                <w:szCs w:val="16"/>
                <w:b w:val="1"/>
                <w:bCs w:val="1"/>
                <w:color w:val="auto"/>
              </w:rPr>
              <w:t>December 31,</w:t>
            </w:r>
          </w:p>
        </w:tc>
        <w:tc>
          <w:tcPr>
            <w:tcW w:w="148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2"/>
            <w:vMerge w:val="restart"/>
          </w:tcPr>
          <w:p>
            <w:pPr>
              <w:ind w:left="180"/>
              <w:spacing w:after="0"/>
              <w:rPr>
                <w:sz w:val="20"/>
                <w:szCs w:val="20"/>
                <w:color w:val="auto"/>
              </w:rPr>
            </w:pPr>
            <w:r>
              <w:rPr>
                <w:rFonts w:ascii="Arial" w:cs="Arial" w:eastAsia="Arial" w:hAnsi="Arial"/>
                <w:sz w:val="16"/>
                <w:szCs w:val="16"/>
                <w:b w:val="1"/>
                <w:bCs w:val="1"/>
                <w:color w:val="auto"/>
              </w:rPr>
              <w:t>December 31,</w:t>
            </w:r>
          </w:p>
        </w:tc>
        <w:tc>
          <w:tcPr>
            <w:tcW w:w="1340" w:type="dxa"/>
            <w:vAlign w:val="bottom"/>
            <w:gridSpan w:val="2"/>
            <w:vMerge w:val="restart"/>
          </w:tcPr>
          <w:p>
            <w:pPr>
              <w:jc w:val="right"/>
              <w:ind w:right="260"/>
              <w:spacing w:after="0"/>
              <w:rPr>
                <w:sz w:val="20"/>
                <w:szCs w:val="20"/>
                <w:color w:val="auto"/>
              </w:rPr>
            </w:pPr>
            <w:r>
              <w:rPr>
                <w:rFonts w:ascii="Arial" w:cs="Arial" w:eastAsia="Arial" w:hAnsi="Arial"/>
                <w:sz w:val="16"/>
                <w:szCs w:val="16"/>
                <w:b w:val="1"/>
                <w:bCs w:val="1"/>
                <w:color w:val="auto"/>
              </w:rPr>
              <w:t>December 31,</w:t>
            </w: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34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thousands of U.S. dollars,</w:t>
            </w:r>
          </w:p>
        </w:tc>
        <w:tc>
          <w:tcPr>
            <w:tcW w:w="1460" w:type="dxa"/>
            <w:vAlign w:val="bottom"/>
            <w:gridSpan w:val="2"/>
            <w:vMerge w:val="continue"/>
          </w:tcPr>
          <w:p>
            <w:pPr>
              <w:spacing w:after="0"/>
              <w:rPr>
                <w:sz w:val="17"/>
                <w:szCs w:val="17"/>
                <w:color w:val="auto"/>
              </w:rPr>
            </w:pPr>
          </w:p>
        </w:tc>
        <w:tc>
          <w:tcPr>
            <w:tcW w:w="1480" w:type="dxa"/>
            <w:vAlign w:val="bottom"/>
            <w:gridSpan w:val="3"/>
            <w:vMerge w:val="continue"/>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vMerge w:val="continue"/>
          </w:tcPr>
          <w:p>
            <w:pPr>
              <w:spacing w:after="0"/>
              <w:rPr>
                <w:sz w:val="17"/>
                <w:szCs w:val="17"/>
                <w:color w:val="auto"/>
              </w:rPr>
            </w:pPr>
          </w:p>
        </w:tc>
        <w:tc>
          <w:tcPr>
            <w:tcW w:w="134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except per unit amounts</w:t>
            </w:r>
            <w:r>
              <w:rPr>
                <w:rFonts w:ascii="Arial" w:cs="Arial" w:eastAsia="Arial" w:hAnsi="Arial"/>
                <w:sz w:val="16"/>
                <w:szCs w:val="16"/>
                <w:color w:val="auto"/>
              </w:rPr>
              <w:t>)</w:t>
            </w:r>
          </w:p>
        </w:tc>
        <w:tc>
          <w:tcPr>
            <w:tcW w:w="134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4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w w:val="96"/>
              </w:rPr>
              <w:t>% change</w:t>
            </w:r>
          </w:p>
        </w:tc>
        <w:tc>
          <w:tcPr>
            <w:tcW w:w="1320" w:type="dxa"/>
            <w:vAlign w:val="bottom"/>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220" w:type="dxa"/>
            <w:vAlign w:val="bottom"/>
          </w:tcPr>
          <w:p>
            <w:pPr>
              <w:jc w:val="right"/>
              <w:ind w:right="359"/>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99"/>
        </w:trPr>
        <w:tc>
          <w:tcPr>
            <w:tcW w:w="3400" w:type="dxa"/>
            <w:vAlign w:val="bottom"/>
            <w:tcBorders>
              <w:top w:val="single" w:sz="8" w:color="E5FFFF"/>
            </w:tcBorders>
            <w:gridSpan w:val="2"/>
            <w:shd w:val="clear" w:color="auto" w:fill="E5FFFF"/>
          </w:tcPr>
          <w:p>
            <w:pPr>
              <w:spacing w:after="0"/>
              <w:rPr>
                <w:sz w:val="20"/>
                <w:szCs w:val="20"/>
                <w:color w:val="auto"/>
              </w:rPr>
            </w:pPr>
            <w:r>
              <w:rPr>
                <w:rFonts w:ascii="Arial" w:cs="Arial" w:eastAsia="Arial" w:hAnsi="Arial"/>
                <w:sz w:val="16"/>
                <w:szCs w:val="16"/>
                <w:color w:val="auto"/>
              </w:rPr>
              <w:t>Revenues</w:t>
            </w:r>
          </w:p>
        </w:tc>
        <w:tc>
          <w:tcPr>
            <w:tcW w:w="13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85,048</w:t>
            </w:r>
          </w:p>
        </w:tc>
        <w:tc>
          <w:tcPr>
            <w:tcW w:w="1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88,167</w:t>
            </w:r>
          </w:p>
        </w:tc>
        <w:tc>
          <w:tcPr>
            <w:tcW w:w="140" w:type="dxa"/>
            <w:vAlign w:val="bottom"/>
            <w:tcBorders>
              <w:top w:val="single" w:sz="8" w:color="E5FFFF"/>
            </w:tcBorders>
            <w:shd w:val="clear" w:color="auto" w:fill="E5FFFF"/>
          </w:tcPr>
          <w:p>
            <w:pPr>
              <w:spacing w:after="0"/>
              <w:rPr>
                <w:sz w:val="17"/>
                <w:szCs w:val="17"/>
                <w:color w:val="auto"/>
              </w:rPr>
            </w:pPr>
          </w:p>
        </w:tc>
        <w:tc>
          <w:tcPr>
            <w:tcW w:w="100" w:type="dxa"/>
            <w:vAlign w:val="bottom"/>
            <w:tcBorders>
              <w:top w:val="single" w:sz="8" w:color="auto"/>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17"/>
                <w:szCs w:val="17"/>
                <w:color w:val="auto"/>
              </w:rPr>
            </w:pPr>
          </w:p>
        </w:tc>
        <w:tc>
          <w:tcPr>
            <w:tcW w:w="13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333,662</w:t>
            </w:r>
          </w:p>
        </w:tc>
        <w:tc>
          <w:tcPr>
            <w:tcW w:w="12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326,142</w:t>
            </w:r>
          </w:p>
        </w:tc>
        <w:tc>
          <w:tcPr>
            <w:tcW w:w="120" w:type="dxa"/>
            <w:vAlign w:val="bottom"/>
            <w:tcBorders>
              <w:top w:val="single" w:sz="8" w:color="E5FFFF"/>
            </w:tcBorders>
            <w:shd w:val="clear" w:color="auto" w:fill="E5FFFF"/>
          </w:tcPr>
          <w:p>
            <w:pPr>
              <w:spacing w:after="0"/>
              <w:rPr>
                <w:sz w:val="17"/>
                <w:szCs w:val="17"/>
                <w:color w:val="auto"/>
              </w:rPr>
            </w:pPr>
          </w:p>
        </w:tc>
        <w:tc>
          <w:tcPr>
            <w:tcW w:w="1000" w:type="dxa"/>
            <w:vAlign w:val="bottom"/>
            <w:tcBorders>
              <w:top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00" w:type="dxa"/>
            <w:vAlign w:val="bottom"/>
            <w:gridSpan w:val="2"/>
          </w:tcPr>
          <w:p>
            <w:pPr>
              <w:spacing w:after="0"/>
              <w:rPr>
                <w:sz w:val="20"/>
                <w:szCs w:val="20"/>
                <w:color w:val="auto"/>
              </w:rPr>
            </w:pPr>
            <w:r>
              <w:rPr>
                <w:rFonts w:ascii="Arial" w:cs="Arial" w:eastAsia="Arial" w:hAnsi="Arial"/>
                <w:sz w:val="16"/>
                <w:szCs w:val="16"/>
                <w:color w:val="auto"/>
              </w:rPr>
              <w:t>Profit/(loss)</w:t>
            </w:r>
          </w:p>
        </w:tc>
        <w:tc>
          <w:tcPr>
            <w:tcW w:w="1460" w:type="dxa"/>
            <w:vAlign w:val="bottom"/>
            <w:gridSpan w:val="2"/>
          </w:tcPr>
          <w:p>
            <w:pPr>
              <w:jc w:val="right"/>
              <w:ind w:right="120"/>
              <w:spacing w:after="0"/>
              <w:rPr>
                <w:sz w:val="20"/>
                <w:szCs w:val="20"/>
                <w:color w:val="auto"/>
              </w:rPr>
            </w:pPr>
            <w:r>
              <w:rPr>
                <w:rFonts w:ascii="Arial" w:cs="Arial" w:eastAsia="Arial" w:hAnsi="Arial"/>
                <w:sz w:val="16"/>
                <w:szCs w:val="16"/>
                <w:color w:val="auto"/>
              </w:rPr>
              <w:t>22,611</w:t>
            </w:r>
          </w:p>
        </w:tc>
        <w:tc>
          <w:tcPr>
            <w:tcW w:w="1380" w:type="dxa"/>
            <w:vAlign w:val="bottom"/>
            <w:gridSpan w:val="2"/>
          </w:tcPr>
          <w:p>
            <w:pPr>
              <w:jc w:val="right"/>
              <w:ind w:right="80"/>
              <w:spacing w:after="0"/>
              <w:rPr>
                <w:sz w:val="20"/>
                <w:szCs w:val="20"/>
                <w:color w:val="auto"/>
              </w:rPr>
            </w:pPr>
            <w:r>
              <w:rPr>
                <w:rFonts w:ascii="Arial" w:cs="Arial" w:eastAsia="Arial" w:hAnsi="Arial"/>
                <w:sz w:val="16"/>
                <w:szCs w:val="16"/>
                <w:color w:val="auto"/>
              </w:rPr>
              <w:t>(70,784)</w:t>
            </w: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(413%)</w:t>
            </w:r>
          </w:p>
        </w:tc>
        <w:tc>
          <w:tcPr>
            <w:tcW w:w="1320" w:type="dxa"/>
            <w:vAlign w:val="bottom"/>
          </w:tcPr>
          <w:p>
            <w:pPr>
              <w:jc w:val="right"/>
              <w:spacing w:after="0"/>
              <w:rPr>
                <w:sz w:val="20"/>
                <w:szCs w:val="20"/>
                <w:color w:val="auto"/>
              </w:rPr>
            </w:pPr>
            <w:r>
              <w:rPr>
                <w:rFonts w:ascii="Arial" w:cs="Arial" w:eastAsia="Arial" w:hAnsi="Arial"/>
                <w:sz w:val="16"/>
                <w:szCs w:val="16"/>
                <w:color w:val="auto"/>
              </w:rPr>
              <w:t>56,859</w:t>
            </w:r>
          </w:p>
        </w:tc>
        <w:tc>
          <w:tcPr>
            <w:tcW w:w="12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5,726</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9"/>
        </w:trPr>
        <w:tc>
          <w:tcPr>
            <w:tcW w:w="34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EPU, common (basic)</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0.31</w:t>
            </w:r>
          </w:p>
        </w:tc>
        <w:tc>
          <w:tcPr>
            <w:tcW w:w="120" w:type="dxa"/>
            <w:vAlign w:val="bottom"/>
            <w:shd w:val="clear" w:color="auto" w:fill="E5FFFF"/>
          </w:tcPr>
          <w:p>
            <w:pPr>
              <w:spacing w:after="0"/>
              <w:rPr>
                <w:sz w:val="19"/>
                <w:szCs w:val="19"/>
                <w:color w:val="auto"/>
              </w:rPr>
            </w:pPr>
          </w:p>
        </w:tc>
        <w:tc>
          <w:tcPr>
            <w:tcW w:w="1380" w:type="dxa"/>
            <w:vAlign w:val="bottom"/>
            <w:gridSpan w:val="2"/>
            <w:shd w:val="clear" w:color="auto" w:fill="E5FFFF"/>
          </w:tcPr>
          <w:p>
            <w:pPr>
              <w:jc w:val="right"/>
              <w:ind w:right="80"/>
              <w:spacing w:after="0"/>
              <w:rPr>
                <w:sz w:val="20"/>
                <w:szCs w:val="20"/>
                <w:color w:val="auto"/>
              </w:rPr>
            </w:pPr>
            <w:r>
              <w:rPr>
                <w:rFonts w:ascii="Arial" w:cs="Arial" w:eastAsia="Arial" w:hAnsi="Arial"/>
                <w:sz w:val="16"/>
                <w:szCs w:val="16"/>
                <w:color w:val="auto"/>
              </w:rPr>
              <w:t>(1.50)</w:t>
            </w:r>
          </w:p>
        </w:tc>
        <w:tc>
          <w:tcPr>
            <w:tcW w:w="100" w:type="dxa"/>
            <w:vAlign w:val="bottom"/>
            <w:shd w:val="clear" w:color="auto" w:fill="E5FFFF"/>
          </w:tcPr>
          <w:p>
            <w:pPr>
              <w:spacing w:after="0"/>
              <w:rPr>
                <w:sz w:val="19"/>
                <w:szCs w:val="19"/>
                <w:color w:val="auto"/>
              </w:rPr>
            </w:pPr>
          </w:p>
        </w:tc>
        <w:tc>
          <w:tcPr>
            <w:tcW w:w="102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(584%)</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0.55</w:t>
            </w:r>
          </w:p>
        </w:tc>
        <w:tc>
          <w:tcPr>
            <w:tcW w:w="120" w:type="dxa"/>
            <w:vAlign w:val="bottom"/>
            <w:shd w:val="clear" w:color="auto" w:fill="E5FFFF"/>
          </w:tcPr>
          <w:p>
            <w:pPr>
              <w:spacing w:after="0"/>
              <w:rPr>
                <w:sz w:val="19"/>
                <w:szCs w:val="19"/>
                <w:color w:val="auto"/>
              </w:rPr>
            </w:pP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(0.47)</w:t>
            </w:r>
          </w:p>
        </w:tc>
        <w:tc>
          <w:tcPr>
            <w:tcW w:w="10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Arial" w:cs="Arial" w:eastAsia="Arial" w:hAnsi="Arial"/>
                <w:sz w:val="16"/>
                <w:szCs w:val="16"/>
                <w:color w:val="auto"/>
              </w:rPr>
              <w:t>Adjusted Profit</w:t>
            </w:r>
            <w:r>
              <w:rPr>
                <w:rFonts w:ascii="Arial" w:cs="Arial" w:eastAsia="Arial" w:hAnsi="Arial"/>
                <w:sz w:val="26"/>
                <w:szCs w:val="26"/>
                <w:color w:val="auto"/>
                <w:vertAlign w:val="superscript"/>
              </w:rPr>
              <w:t>(1)</w:t>
            </w:r>
          </w:p>
        </w:tc>
        <w:tc>
          <w:tcPr>
            <w:tcW w:w="1340" w:type="dxa"/>
            <w:vAlign w:val="bottom"/>
          </w:tcPr>
          <w:p>
            <w:pPr>
              <w:jc w:val="right"/>
              <w:spacing w:after="0"/>
              <w:rPr>
                <w:sz w:val="20"/>
                <w:szCs w:val="20"/>
                <w:color w:val="auto"/>
              </w:rPr>
            </w:pPr>
            <w:r>
              <w:rPr>
                <w:rFonts w:ascii="Arial" w:cs="Arial" w:eastAsia="Arial" w:hAnsi="Arial"/>
                <w:sz w:val="16"/>
                <w:szCs w:val="16"/>
                <w:color w:val="auto"/>
              </w:rPr>
              <w:t>25,926</w:t>
            </w:r>
          </w:p>
        </w:tc>
        <w:tc>
          <w:tcPr>
            <w:tcW w:w="1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30,691</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1320" w:type="dxa"/>
            <w:vAlign w:val="bottom"/>
          </w:tcPr>
          <w:p>
            <w:pPr>
              <w:jc w:val="right"/>
              <w:spacing w:after="0"/>
              <w:rPr>
                <w:sz w:val="20"/>
                <w:szCs w:val="20"/>
                <w:color w:val="auto"/>
              </w:rPr>
            </w:pPr>
            <w:r>
              <w:rPr>
                <w:rFonts w:ascii="Arial" w:cs="Arial" w:eastAsia="Arial" w:hAnsi="Arial"/>
                <w:sz w:val="16"/>
                <w:szCs w:val="16"/>
                <w:color w:val="auto"/>
              </w:rPr>
              <w:t>92,442</w:t>
            </w:r>
          </w:p>
        </w:tc>
        <w:tc>
          <w:tcPr>
            <w:tcW w:w="12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99,845</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43"/>
        </w:trPr>
        <w:tc>
          <w:tcPr>
            <w:tcW w:w="3400" w:type="dxa"/>
            <w:vAlign w:val="bottom"/>
            <w:gridSpan w:val="2"/>
            <w:shd w:val="clear" w:color="auto" w:fill="E5FFFF"/>
          </w:tcPr>
          <w:p>
            <w:pPr>
              <w:spacing w:after="0" w:line="243" w:lineRule="exact"/>
              <w:rPr>
                <w:sz w:val="20"/>
                <w:szCs w:val="20"/>
                <w:color w:val="auto"/>
              </w:rPr>
            </w:pPr>
            <w:r>
              <w:rPr>
                <w:rFonts w:ascii="Arial" w:cs="Arial" w:eastAsia="Arial" w:hAnsi="Arial"/>
                <w:sz w:val="16"/>
                <w:szCs w:val="16"/>
                <w:color w:val="auto"/>
              </w:rPr>
              <w:t>Adjusted EBITDA</w:t>
            </w:r>
            <w:r>
              <w:rPr>
                <w:rFonts w:ascii="Arial" w:cs="Arial" w:eastAsia="Arial" w:hAnsi="Arial"/>
                <w:sz w:val="26"/>
                <w:szCs w:val="26"/>
                <w:color w:val="auto"/>
                <w:vertAlign w:val="superscript"/>
              </w:rPr>
              <w:t>(2)</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59,049</w:t>
            </w:r>
          </w:p>
        </w:tc>
        <w:tc>
          <w:tcPr>
            <w:tcW w:w="120" w:type="dxa"/>
            <w:vAlign w:val="bottom"/>
            <w:shd w:val="clear" w:color="auto" w:fill="E5FFFF"/>
          </w:tcPr>
          <w:p>
            <w:pPr>
              <w:spacing w:after="0"/>
              <w:rPr>
                <w:sz w:val="21"/>
                <w:szCs w:val="21"/>
                <w:color w:val="auto"/>
              </w:rPr>
            </w:pP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64,171</w:t>
            </w:r>
          </w:p>
        </w:tc>
        <w:tc>
          <w:tcPr>
            <w:tcW w:w="100" w:type="dxa"/>
            <w:vAlign w:val="bottom"/>
            <w:shd w:val="clear" w:color="auto" w:fill="E5FFFF"/>
          </w:tcPr>
          <w:p>
            <w:pPr>
              <w:spacing w:after="0"/>
              <w:rPr>
                <w:sz w:val="21"/>
                <w:szCs w:val="21"/>
                <w:color w:val="auto"/>
              </w:rPr>
            </w:pP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9%</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230,635</w:t>
            </w:r>
          </w:p>
        </w:tc>
        <w:tc>
          <w:tcPr>
            <w:tcW w:w="120" w:type="dxa"/>
            <w:vAlign w:val="bottom"/>
            <w:shd w:val="clear" w:color="auto" w:fill="E5FFFF"/>
          </w:tcPr>
          <w:p>
            <w:pPr>
              <w:spacing w:after="0"/>
              <w:rPr>
                <w:sz w:val="21"/>
                <w:szCs w:val="21"/>
                <w:color w:val="auto"/>
              </w:rPr>
            </w:pPr>
          </w:p>
        </w:tc>
        <w:tc>
          <w:tcPr>
            <w:tcW w:w="13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230,584</w:t>
            </w:r>
          </w:p>
        </w:tc>
        <w:tc>
          <w:tcPr>
            <w:tcW w:w="10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00" w:type="dxa"/>
            <w:vAlign w:val="bottom"/>
            <w:gridSpan w:val="2"/>
          </w:tcPr>
          <w:p>
            <w:pPr>
              <w:spacing w:after="0" w:line="243" w:lineRule="exact"/>
              <w:rPr>
                <w:sz w:val="20"/>
                <w:szCs w:val="20"/>
                <w:color w:val="auto"/>
              </w:rPr>
            </w:pPr>
            <w:r>
              <w:rPr>
                <w:rFonts w:ascii="Arial" w:cs="Arial" w:eastAsia="Arial" w:hAnsi="Arial"/>
                <w:sz w:val="16"/>
                <w:szCs w:val="16"/>
                <w:color w:val="auto"/>
              </w:rPr>
              <w:t>Adjusted EPU, common (basic)</w:t>
            </w:r>
            <w:r>
              <w:rPr>
                <w:rFonts w:ascii="Arial" w:cs="Arial" w:eastAsia="Arial" w:hAnsi="Arial"/>
                <w:sz w:val="26"/>
                <w:szCs w:val="26"/>
                <w:color w:val="auto"/>
                <w:vertAlign w:val="superscript"/>
              </w:rPr>
              <w:t>(1)</w:t>
            </w:r>
          </w:p>
        </w:tc>
        <w:tc>
          <w:tcPr>
            <w:tcW w:w="1340" w:type="dxa"/>
            <w:vAlign w:val="bottom"/>
          </w:tcPr>
          <w:p>
            <w:pPr>
              <w:jc w:val="right"/>
              <w:spacing w:after="0"/>
              <w:rPr>
                <w:sz w:val="20"/>
                <w:szCs w:val="20"/>
                <w:color w:val="auto"/>
              </w:rPr>
            </w:pPr>
            <w:r>
              <w:rPr>
                <w:rFonts w:ascii="Arial" w:cs="Arial" w:eastAsia="Arial" w:hAnsi="Arial"/>
                <w:sz w:val="16"/>
                <w:szCs w:val="16"/>
                <w:color w:val="auto"/>
              </w:rPr>
              <w:t>0.38</w:t>
            </w:r>
          </w:p>
        </w:tc>
        <w:tc>
          <w:tcPr>
            <w:tcW w:w="12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6"/>
                <w:szCs w:val="16"/>
                <w:color w:val="auto"/>
              </w:rPr>
              <w:t>18%</w:t>
            </w:r>
          </w:p>
        </w:tc>
        <w:tc>
          <w:tcPr>
            <w:tcW w:w="132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1.39</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6"/>
        </w:trPr>
        <w:tc>
          <w:tcPr>
            <w:tcW w:w="3400" w:type="dxa"/>
            <w:vAlign w:val="bottom"/>
            <w:gridSpan w:val="2"/>
            <w:shd w:val="clear" w:color="auto" w:fill="E5FFFF"/>
          </w:tcPr>
          <w:p>
            <w:pPr>
              <w:spacing w:after="0"/>
              <w:rPr>
                <w:sz w:val="20"/>
                <w:szCs w:val="20"/>
                <w:color w:val="auto"/>
              </w:rPr>
            </w:pPr>
            <w:r>
              <w:rPr>
                <w:rFonts w:ascii="Arial" w:cs="Arial" w:eastAsia="Arial" w:hAnsi="Arial"/>
                <w:sz w:val="16"/>
                <w:szCs w:val="16"/>
                <w:color w:val="auto"/>
              </w:rPr>
              <w:t>Cash distribution per unit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E5FFFF"/>
          </w:tcPr>
          <w:p>
            <w:pPr>
              <w:spacing w:after="0"/>
              <w:rPr>
                <w:sz w:val="18"/>
                <w:szCs w:val="18"/>
                <w:color w:val="auto"/>
              </w:rPr>
            </w:pPr>
          </w:p>
        </w:tc>
        <w:tc>
          <w:tcPr>
            <w:tcW w:w="13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E5FFFF"/>
          </w:tcPr>
          <w:p>
            <w:pPr>
              <w:spacing w:after="0"/>
              <w:rPr>
                <w:sz w:val="18"/>
                <w:szCs w:val="18"/>
                <w:color w:val="auto"/>
              </w:rPr>
            </w:pPr>
          </w:p>
        </w:tc>
        <w:tc>
          <w:tcPr>
            <w:tcW w:w="102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0.27</w:t>
            </w:r>
          </w:p>
        </w:tc>
        <w:tc>
          <w:tcPr>
            <w:tcW w:w="12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0.04</w:t>
            </w:r>
          </w:p>
        </w:tc>
        <w:tc>
          <w:tcPr>
            <w:tcW w:w="100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9" w:lineRule="exact"/>
        <w:rPr>
          <w:sz w:val="20"/>
          <w:szCs w:val="20"/>
          <w:color w:val="auto"/>
        </w:rPr>
      </w:pPr>
    </w:p>
    <w:p>
      <w:pPr>
        <w:ind w:right="480"/>
        <w:spacing w:after="0" w:line="293" w:lineRule="auto"/>
        <w:rPr>
          <w:sz w:val="20"/>
          <w:szCs w:val="20"/>
          <w:color w:val="auto"/>
        </w:rPr>
      </w:pPr>
      <w:r>
        <w:rPr>
          <w:rFonts w:ascii="Arial" w:cs="Arial" w:eastAsia="Arial" w:hAnsi="Arial"/>
          <w:sz w:val="16"/>
          <w:szCs w:val="16"/>
          <w:color w:val="auto"/>
        </w:rPr>
        <w:t>There were 1,380 and 5,320 available days for the quarter and the year ended December 31, 2021, respectively, as compared to 1,360 and 5,333 available days for the quarter and the year ended December 31, 2020, respectively.</w:t>
      </w:r>
    </w:p>
    <w:p>
      <w:pPr>
        <w:spacing w:after="0" w:line="158"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Management classifies the Partnership’s vessels from a commercial point of view into two categories: (a) spot fleet and (b) long-term fleet. The spot fleet includes all vessels under charter party agreements with an initial duration of less than (or equal to) five years (excluding optional periods), while the long-term fleet comprises all vessels with charter party agreements of an initial duration of more than five years (excluding optional periods).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9" w:right="339" w:bottom="1440" w:gutter="0" w:footer="0" w:header="0"/>
        </w:sectPr>
      </w:pPr>
    </w:p>
    <w:bookmarkStart w:id="4" w:name="page5"/>
    <w:bookmarkEnd w:id="4"/>
    <w:p>
      <w:pPr>
        <w:ind w:right="120"/>
        <w:spacing w:after="0" w:line="293" w:lineRule="auto"/>
        <w:rPr>
          <w:sz w:val="20"/>
          <w:szCs w:val="20"/>
          <w:color w:val="auto"/>
        </w:rPr>
      </w:pPr>
      <w:r>
        <w:rPr>
          <w:rFonts w:ascii="Arial" w:cs="Arial" w:eastAsia="Arial" w:hAnsi="Arial"/>
          <w:sz w:val="16"/>
          <w:szCs w:val="16"/>
          <w:color w:val="auto"/>
        </w:rPr>
        <w:t>For the quarters and the years ended December 31, 2020 and 2021, an analysis of available days, revenues and voyage expenses and commissions per category is presented below:</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3060" w:type="dxa"/>
            <w:vAlign w:val="bottom"/>
            <w:gridSpan w:val="4"/>
          </w:tcPr>
          <w:p>
            <w:pPr>
              <w:jc w:val="right"/>
              <w:ind w:right="760"/>
              <w:spacing w:after="0"/>
              <w:rPr>
                <w:sz w:val="20"/>
                <w:szCs w:val="20"/>
                <w:color w:val="auto"/>
              </w:rPr>
            </w:pPr>
            <w:r>
              <w:rPr>
                <w:rFonts w:ascii="Arial" w:cs="Arial" w:eastAsia="Arial" w:hAnsi="Arial"/>
                <w:sz w:val="16"/>
                <w:szCs w:val="16"/>
                <w:b w:val="1"/>
                <w:bCs w:val="1"/>
                <w:color w:val="auto"/>
              </w:rPr>
              <w:t>For the three months ended</w:t>
            </w:r>
          </w:p>
        </w:tc>
        <w:tc>
          <w:tcPr>
            <w:tcW w:w="26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0"/>
              </w:rPr>
              <w:t>For the three months ended</w:t>
            </w:r>
          </w:p>
        </w:tc>
      </w:tr>
      <w:tr>
        <w:trPr>
          <w:trHeight w:val="216"/>
        </w:trPr>
        <w:tc>
          <w:tcPr>
            <w:tcW w:w="5520" w:type="dxa"/>
            <w:vAlign w:val="bottom"/>
          </w:tcPr>
          <w:p>
            <w:pPr>
              <w:spacing w:after="0"/>
              <w:rPr>
                <w:sz w:val="20"/>
                <w:szCs w:val="20"/>
                <w:color w:val="auto"/>
              </w:rPr>
            </w:pPr>
            <w:r>
              <w:rPr>
                <w:rFonts w:ascii="Arial" w:cs="Arial" w:eastAsia="Arial" w:hAnsi="Arial"/>
                <w:sz w:val="16"/>
                <w:szCs w:val="16"/>
                <w:b w:val="1"/>
                <w:bCs w:val="1"/>
                <w:i w:val="1"/>
                <w:iCs w:val="1"/>
                <w:color w:val="auto"/>
              </w:rPr>
              <w:t xml:space="preserve">(All amounts </w:t>
            </w:r>
            <w:r>
              <w:rPr>
                <w:rFonts w:ascii="Arial" w:cs="Arial" w:eastAsia="Arial" w:hAnsi="Arial"/>
                <w:sz w:val="16"/>
                <w:szCs w:val="16"/>
                <w:b w:val="1"/>
                <w:bCs w:val="1"/>
                <w:color w:val="auto"/>
              </w:rPr>
              <w:t>expressed</w:t>
            </w:r>
            <w:r>
              <w:rPr>
                <w:rFonts w:ascii="Arial" w:cs="Arial" w:eastAsia="Arial" w:hAnsi="Arial"/>
                <w:sz w:val="16"/>
                <w:szCs w:val="16"/>
                <w:b w:val="1"/>
                <w:bCs w:val="1"/>
                <w:i w:val="1"/>
                <w:iCs w:val="1"/>
                <w:color w:val="auto"/>
              </w:rPr>
              <w:t xml:space="preserve"> in thousands of U.S. dollars,</w:t>
            </w:r>
          </w:p>
        </w:tc>
        <w:tc>
          <w:tcPr>
            <w:tcW w:w="3060" w:type="dxa"/>
            <w:vAlign w:val="bottom"/>
            <w:gridSpan w:val="4"/>
          </w:tcPr>
          <w:p>
            <w:pPr>
              <w:jc w:val="right"/>
              <w:ind w:right="1040"/>
              <w:spacing w:after="0"/>
              <w:rPr>
                <w:sz w:val="20"/>
                <w:szCs w:val="20"/>
                <w:color w:val="auto"/>
              </w:rPr>
            </w:pPr>
            <w:r>
              <w:rPr>
                <w:rFonts w:ascii="Arial" w:cs="Arial" w:eastAsia="Arial" w:hAnsi="Arial"/>
                <w:sz w:val="16"/>
                <w:szCs w:val="16"/>
                <w:b w:val="1"/>
                <w:bCs w:val="1"/>
                <w:color w:val="auto"/>
              </w:rPr>
              <w:t>December 31, 2020</w:t>
            </w:r>
          </w:p>
        </w:tc>
        <w:tc>
          <w:tcPr>
            <w:tcW w:w="2600" w:type="dxa"/>
            <w:vAlign w:val="bottom"/>
            <w:gridSpan w:val="4"/>
          </w:tcPr>
          <w:p>
            <w:pPr>
              <w:jc w:val="center"/>
              <w:ind w:right="40"/>
              <w:spacing w:after="0"/>
              <w:rPr>
                <w:sz w:val="20"/>
                <w:szCs w:val="20"/>
                <w:color w:val="auto"/>
              </w:rPr>
            </w:pPr>
            <w:r>
              <w:rPr>
                <w:rFonts w:ascii="Arial" w:cs="Arial" w:eastAsia="Arial" w:hAnsi="Arial"/>
                <w:sz w:val="16"/>
                <w:szCs w:val="16"/>
                <w:b w:val="1"/>
                <w:bCs w:val="1"/>
                <w:color w:val="auto"/>
                <w:w w:val="91"/>
              </w:rPr>
              <w:t>December 31, 2021</w:t>
            </w:r>
          </w:p>
        </w:tc>
      </w:tr>
      <w:tr>
        <w:trPr>
          <w:trHeight w:val="213"/>
        </w:trPr>
        <w:tc>
          <w:tcPr>
            <w:tcW w:w="55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i w:val="1"/>
                <w:iCs w:val="1"/>
                <w:color w:val="auto"/>
              </w:rPr>
              <w:t>except number of days)</w:t>
            </w: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Spot fleet</w:t>
            </w:r>
          </w:p>
        </w:tc>
        <w:tc>
          <w:tcPr>
            <w:tcW w:w="1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Long-term fleet</w:t>
            </w:r>
          </w:p>
        </w:tc>
        <w:tc>
          <w:tcPr>
            <w:tcW w:w="34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Spot fleet</w:t>
            </w:r>
          </w:p>
        </w:tc>
        <w:tc>
          <w:tcPr>
            <w:tcW w:w="12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Long-term fleet</w:t>
            </w:r>
          </w:p>
        </w:tc>
        <w:tc>
          <w:tcPr>
            <w:tcW w:w="40" w:type="dxa"/>
            <w:vAlign w:val="bottom"/>
          </w:tcPr>
          <w:p>
            <w:pPr>
              <w:spacing w:after="0"/>
              <w:rPr>
                <w:sz w:val="18"/>
                <w:szCs w:val="18"/>
                <w:color w:val="auto"/>
              </w:rPr>
            </w:pPr>
          </w:p>
        </w:tc>
      </w:tr>
      <w:tr>
        <w:trPr>
          <w:trHeight w:val="226"/>
        </w:trPr>
        <w:tc>
          <w:tcPr>
            <w:tcW w:w="5520" w:type="dxa"/>
            <w:vAlign w:val="bottom"/>
            <w:shd w:val="clear" w:color="auto" w:fill="E5FFFF"/>
          </w:tcPr>
          <w:p>
            <w:pPr>
              <w:spacing w:after="0" w:line="226" w:lineRule="exact"/>
              <w:rPr>
                <w:sz w:val="20"/>
                <w:szCs w:val="20"/>
                <w:color w:val="auto"/>
              </w:rPr>
            </w:pPr>
            <w:r>
              <w:rPr>
                <w:rFonts w:ascii="Arial" w:cs="Arial" w:eastAsia="Arial" w:hAnsi="Arial"/>
                <w:sz w:val="16"/>
                <w:szCs w:val="16"/>
                <w:color w:val="auto"/>
              </w:rPr>
              <w:t xml:space="preserve">Available days </w:t>
            </w:r>
            <w:r>
              <w:rPr>
                <w:rFonts w:ascii="Arial" w:cs="Arial" w:eastAsia="Arial" w:hAnsi="Arial"/>
                <w:sz w:val="26"/>
                <w:szCs w:val="26"/>
                <w:color w:val="auto"/>
                <w:vertAlign w:val="superscript"/>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644</w:t>
            </w:r>
          </w:p>
        </w:tc>
        <w:tc>
          <w:tcPr>
            <w:tcW w:w="120" w:type="dxa"/>
            <w:vAlign w:val="bottom"/>
            <w:shd w:val="clear" w:color="auto" w:fill="E5FFFF"/>
          </w:tcPr>
          <w:p>
            <w:pPr>
              <w:spacing w:after="0"/>
              <w:rPr>
                <w:sz w:val="19"/>
                <w:szCs w:val="19"/>
                <w:color w:val="auto"/>
              </w:rPr>
            </w:pPr>
          </w:p>
        </w:tc>
        <w:tc>
          <w:tcPr>
            <w:tcW w:w="158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716</w:t>
            </w:r>
          </w:p>
        </w:tc>
        <w:tc>
          <w:tcPr>
            <w:tcW w:w="13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828</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552</w:t>
            </w:r>
          </w:p>
        </w:tc>
        <w:tc>
          <w:tcPr>
            <w:tcW w:w="40" w:type="dxa"/>
            <w:vAlign w:val="bottom"/>
          </w:tcPr>
          <w:p>
            <w:pPr>
              <w:spacing w:after="0"/>
              <w:rPr>
                <w:sz w:val="19"/>
                <w:szCs w:val="19"/>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Revenues</w:t>
            </w:r>
          </w:p>
        </w:tc>
        <w:tc>
          <w:tcPr>
            <w:tcW w:w="1360" w:type="dxa"/>
            <w:vAlign w:val="bottom"/>
          </w:tcPr>
          <w:p>
            <w:pPr>
              <w:jc w:val="right"/>
              <w:spacing w:after="0"/>
              <w:rPr>
                <w:sz w:val="20"/>
                <w:szCs w:val="20"/>
                <w:color w:val="auto"/>
              </w:rPr>
            </w:pPr>
            <w:r>
              <w:rPr>
                <w:rFonts w:ascii="Arial" w:cs="Arial" w:eastAsia="Arial" w:hAnsi="Arial"/>
                <w:sz w:val="16"/>
                <w:szCs w:val="16"/>
                <w:color w:val="auto"/>
              </w:rPr>
              <w:t>27,850</w:t>
            </w:r>
          </w:p>
        </w:tc>
        <w:tc>
          <w:tcPr>
            <w:tcW w:w="1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6"/>
                <w:szCs w:val="16"/>
                <w:color w:val="auto"/>
              </w:rPr>
              <w:t>57,198</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43,767</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44,400</w:t>
            </w:r>
          </w:p>
        </w:tc>
      </w:tr>
      <w:tr>
        <w:trPr>
          <w:trHeight w:val="219"/>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(549)</w:t>
            </w:r>
          </w:p>
        </w:tc>
        <w:tc>
          <w:tcPr>
            <w:tcW w:w="15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(978)</w:t>
            </w: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(803)</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(758)</w:t>
            </w:r>
          </w:p>
        </w:tc>
        <w:tc>
          <w:tcPr>
            <w:tcW w:w="40" w:type="dxa"/>
            <w:vAlign w:val="bottom"/>
          </w:tcPr>
          <w:p>
            <w:pPr>
              <w:spacing w:after="0"/>
              <w:rPr>
                <w:sz w:val="19"/>
                <w:szCs w:val="19"/>
                <w:color w:val="auto"/>
              </w:rPr>
            </w:pPr>
          </w:p>
        </w:tc>
      </w:tr>
    </w:tbl>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3060" w:type="dxa"/>
            <w:vAlign w:val="bottom"/>
            <w:gridSpan w:val="4"/>
          </w:tcPr>
          <w:p>
            <w:pPr>
              <w:jc w:val="right"/>
              <w:ind w:right="1040"/>
              <w:spacing w:after="0"/>
              <w:rPr>
                <w:sz w:val="20"/>
                <w:szCs w:val="20"/>
                <w:color w:val="auto"/>
              </w:rPr>
            </w:pPr>
            <w:r>
              <w:rPr>
                <w:rFonts w:ascii="Arial" w:cs="Arial" w:eastAsia="Arial" w:hAnsi="Arial"/>
                <w:sz w:val="16"/>
                <w:szCs w:val="16"/>
                <w:b w:val="1"/>
                <w:bCs w:val="1"/>
                <w:color w:val="auto"/>
              </w:rPr>
              <w:t>For the year ended</w:t>
            </w:r>
          </w:p>
        </w:tc>
        <w:tc>
          <w:tcPr>
            <w:tcW w:w="2600" w:type="dxa"/>
            <w:vAlign w:val="bottom"/>
            <w:gridSpan w:val="4"/>
          </w:tcPr>
          <w:p>
            <w:pPr>
              <w:ind w:left="620"/>
              <w:spacing w:after="0"/>
              <w:rPr>
                <w:sz w:val="20"/>
                <w:szCs w:val="20"/>
                <w:color w:val="auto"/>
              </w:rPr>
            </w:pPr>
            <w:r>
              <w:rPr>
                <w:rFonts w:ascii="Arial" w:cs="Arial" w:eastAsia="Arial" w:hAnsi="Arial"/>
                <w:sz w:val="16"/>
                <w:szCs w:val="16"/>
                <w:b w:val="1"/>
                <w:bCs w:val="1"/>
                <w:color w:val="auto"/>
              </w:rPr>
              <w:t>For the year ended</w:t>
            </w:r>
          </w:p>
        </w:tc>
      </w:tr>
      <w:tr>
        <w:trPr>
          <w:trHeight w:val="210"/>
        </w:trPr>
        <w:tc>
          <w:tcPr>
            <w:tcW w:w="5520" w:type="dxa"/>
            <w:vAlign w:val="bottom"/>
          </w:tcPr>
          <w:p>
            <w:pPr>
              <w:spacing w:after="0"/>
              <w:rPr>
                <w:sz w:val="18"/>
                <w:szCs w:val="18"/>
                <w:color w:val="auto"/>
              </w:rPr>
            </w:pPr>
          </w:p>
        </w:tc>
        <w:tc>
          <w:tcPr>
            <w:tcW w:w="3060" w:type="dxa"/>
            <w:vAlign w:val="bottom"/>
            <w:gridSpan w:val="4"/>
          </w:tcPr>
          <w:p>
            <w:pPr>
              <w:jc w:val="right"/>
              <w:ind w:right="1040"/>
              <w:spacing w:after="0"/>
              <w:rPr>
                <w:sz w:val="20"/>
                <w:szCs w:val="20"/>
                <w:color w:val="auto"/>
              </w:rPr>
            </w:pPr>
            <w:r>
              <w:rPr>
                <w:rFonts w:ascii="Arial" w:cs="Arial" w:eastAsia="Arial" w:hAnsi="Arial"/>
                <w:sz w:val="16"/>
                <w:szCs w:val="16"/>
                <w:b w:val="1"/>
                <w:bCs w:val="1"/>
                <w:color w:val="auto"/>
              </w:rPr>
              <w:t>December 31, 2020</w:t>
            </w:r>
          </w:p>
        </w:tc>
        <w:tc>
          <w:tcPr>
            <w:tcW w:w="2600" w:type="dxa"/>
            <w:vAlign w:val="bottom"/>
            <w:gridSpan w:val="4"/>
          </w:tcPr>
          <w:p>
            <w:pPr>
              <w:ind w:left="620"/>
              <w:spacing w:after="0"/>
              <w:rPr>
                <w:sz w:val="20"/>
                <w:szCs w:val="20"/>
                <w:color w:val="auto"/>
              </w:rPr>
            </w:pPr>
            <w:r>
              <w:rPr>
                <w:rFonts w:ascii="Arial" w:cs="Arial" w:eastAsia="Arial" w:hAnsi="Arial"/>
                <w:sz w:val="16"/>
                <w:szCs w:val="16"/>
                <w:b w:val="1"/>
                <w:bCs w:val="1"/>
                <w:color w:val="auto"/>
              </w:rPr>
              <w:t>December 31, 2021</w:t>
            </w:r>
          </w:p>
        </w:tc>
      </w:tr>
      <w:tr>
        <w:trPr>
          <w:trHeight w:val="219"/>
        </w:trPr>
        <w:tc>
          <w:tcPr>
            <w:tcW w:w="5520" w:type="dxa"/>
            <w:vAlign w:val="bottom"/>
            <w:tcBorders>
              <w:bottom w:val="single" w:sz="8" w:color="E5FFFF"/>
            </w:tcBorders>
          </w:tcPr>
          <w:p>
            <w:pPr>
              <w:spacing w:after="0"/>
              <w:rPr>
                <w:sz w:val="19"/>
                <w:szCs w:val="19"/>
                <w:color w:val="auto"/>
              </w:rPr>
            </w:pPr>
          </w:p>
        </w:tc>
        <w:tc>
          <w:tcPr>
            <w:tcW w:w="13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Spot fleet</w:t>
            </w:r>
          </w:p>
        </w:tc>
        <w:tc>
          <w:tcPr>
            <w:tcW w:w="120" w:type="dxa"/>
            <w:vAlign w:val="bottom"/>
            <w:tcBorders>
              <w:bottom w:val="single" w:sz="8" w:color="E5FF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Long-term fleet</w:t>
            </w:r>
          </w:p>
        </w:tc>
        <w:tc>
          <w:tcPr>
            <w:tcW w:w="340" w:type="dxa"/>
            <w:vAlign w:val="bottom"/>
            <w:tcBorders>
              <w:bottom w:val="single" w:sz="8" w:color="E5FFFF"/>
            </w:tcBorders>
          </w:tcPr>
          <w:p>
            <w:pPr>
              <w:spacing w:after="0"/>
              <w:rPr>
                <w:sz w:val="19"/>
                <w:szCs w:val="19"/>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Spot fleet</w:t>
            </w:r>
          </w:p>
        </w:tc>
        <w:tc>
          <w:tcPr>
            <w:tcW w:w="120" w:type="dxa"/>
            <w:vAlign w:val="bottom"/>
            <w:tcBorders>
              <w:bottom w:val="single" w:sz="8" w:color="E5FF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6"/>
              </w:rPr>
              <w:t>Long-term fleet</w:t>
            </w:r>
          </w:p>
        </w:tc>
        <w:tc>
          <w:tcPr>
            <w:tcW w:w="40" w:type="dxa"/>
            <w:vAlign w:val="bottom"/>
          </w:tcPr>
          <w:p>
            <w:pPr>
              <w:spacing w:after="0"/>
              <w:rPr>
                <w:sz w:val="19"/>
                <w:szCs w:val="19"/>
                <w:color w:val="auto"/>
              </w:rPr>
            </w:pPr>
          </w:p>
        </w:tc>
      </w:tr>
      <w:tr>
        <w:trPr>
          <w:trHeight w:val="226"/>
        </w:trPr>
        <w:tc>
          <w:tcPr>
            <w:tcW w:w="5520" w:type="dxa"/>
            <w:vAlign w:val="bottom"/>
            <w:shd w:val="clear" w:color="auto" w:fill="E5FFFF"/>
          </w:tcPr>
          <w:p>
            <w:pPr>
              <w:spacing w:after="0" w:line="226" w:lineRule="exact"/>
              <w:rPr>
                <w:sz w:val="20"/>
                <w:szCs w:val="20"/>
                <w:color w:val="auto"/>
              </w:rPr>
            </w:pPr>
            <w:r>
              <w:rPr>
                <w:rFonts w:ascii="Arial" w:cs="Arial" w:eastAsia="Arial" w:hAnsi="Arial"/>
                <w:sz w:val="16"/>
                <w:szCs w:val="16"/>
                <w:color w:val="auto"/>
              </w:rPr>
              <w:t xml:space="preserve">Available days </w:t>
            </w:r>
            <w:r>
              <w:rPr>
                <w:rFonts w:ascii="Arial" w:cs="Arial" w:eastAsia="Arial" w:hAnsi="Arial"/>
                <w:sz w:val="26"/>
                <w:szCs w:val="26"/>
                <w:color w:val="auto"/>
                <w:vertAlign w:val="superscript"/>
              </w:rPr>
              <w:t>(*)</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2,225</w:t>
            </w:r>
          </w:p>
        </w:tc>
        <w:tc>
          <w:tcPr>
            <w:tcW w:w="120" w:type="dxa"/>
            <w:vAlign w:val="bottom"/>
            <w:shd w:val="clear" w:color="auto" w:fill="E5FFFF"/>
          </w:tcPr>
          <w:p>
            <w:pPr>
              <w:spacing w:after="0"/>
              <w:rPr>
                <w:sz w:val="19"/>
                <w:szCs w:val="19"/>
                <w:color w:val="auto"/>
              </w:rPr>
            </w:pPr>
          </w:p>
        </w:tc>
        <w:tc>
          <w:tcPr>
            <w:tcW w:w="1580" w:type="dxa"/>
            <w:vAlign w:val="bottom"/>
            <w:gridSpan w:val="2"/>
            <w:shd w:val="clear" w:color="auto" w:fill="E5FFFF"/>
          </w:tcPr>
          <w:p>
            <w:pPr>
              <w:jc w:val="right"/>
              <w:ind w:right="340"/>
              <w:spacing w:after="0"/>
              <w:rPr>
                <w:sz w:val="20"/>
                <w:szCs w:val="20"/>
                <w:color w:val="auto"/>
              </w:rPr>
            </w:pPr>
            <w:r>
              <w:rPr>
                <w:rFonts w:ascii="Arial" w:cs="Arial" w:eastAsia="Arial" w:hAnsi="Arial"/>
                <w:sz w:val="16"/>
                <w:szCs w:val="16"/>
                <w:color w:val="auto"/>
              </w:rPr>
              <w:t>3,108</w:t>
            </w:r>
          </w:p>
        </w:tc>
        <w:tc>
          <w:tcPr>
            <w:tcW w:w="134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3,115</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2,205</w:t>
            </w:r>
          </w:p>
        </w:tc>
        <w:tc>
          <w:tcPr>
            <w:tcW w:w="40" w:type="dxa"/>
            <w:vAlign w:val="bottom"/>
          </w:tcPr>
          <w:p>
            <w:pPr>
              <w:spacing w:after="0"/>
              <w:rPr>
                <w:sz w:val="19"/>
                <w:szCs w:val="19"/>
                <w:color w:val="auto"/>
              </w:rPr>
            </w:pPr>
          </w:p>
        </w:tc>
      </w:tr>
      <w:tr>
        <w:trPr>
          <w:trHeight w:val="213"/>
        </w:trPr>
        <w:tc>
          <w:tcPr>
            <w:tcW w:w="5520" w:type="dxa"/>
            <w:vAlign w:val="bottom"/>
          </w:tcPr>
          <w:p>
            <w:pPr>
              <w:spacing w:after="0"/>
              <w:rPr>
                <w:sz w:val="20"/>
                <w:szCs w:val="20"/>
                <w:color w:val="auto"/>
              </w:rPr>
            </w:pPr>
            <w:r>
              <w:rPr>
                <w:rFonts w:ascii="Arial" w:cs="Arial" w:eastAsia="Arial" w:hAnsi="Arial"/>
                <w:sz w:val="16"/>
                <w:szCs w:val="16"/>
                <w:color w:val="auto"/>
              </w:rPr>
              <w:t>Revenues</w:t>
            </w:r>
          </w:p>
        </w:tc>
        <w:tc>
          <w:tcPr>
            <w:tcW w:w="1360" w:type="dxa"/>
            <w:vAlign w:val="bottom"/>
          </w:tcPr>
          <w:p>
            <w:pPr>
              <w:jc w:val="right"/>
              <w:spacing w:after="0"/>
              <w:rPr>
                <w:sz w:val="20"/>
                <w:szCs w:val="20"/>
                <w:color w:val="auto"/>
              </w:rPr>
            </w:pPr>
            <w:r>
              <w:rPr>
                <w:rFonts w:ascii="Arial" w:cs="Arial" w:eastAsia="Arial" w:hAnsi="Arial"/>
                <w:sz w:val="16"/>
                <w:szCs w:val="16"/>
                <w:color w:val="auto"/>
              </w:rPr>
              <w:t>90,374</w:t>
            </w:r>
          </w:p>
        </w:tc>
        <w:tc>
          <w:tcPr>
            <w:tcW w:w="120" w:type="dxa"/>
            <w:vAlign w:val="bottom"/>
          </w:tcPr>
          <w:p>
            <w:pPr>
              <w:spacing w:after="0"/>
              <w:rPr>
                <w:sz w:val="18"/>
                <w:szCs w:val="18"/>
                <w:color w:val="auto"/>
              </w:rPr>
            </w:pPr>
          </w:p>
        </w:tc>
        <w:tc>
          <w:tcPr>
            <w:tcW w:w="1580" w:type="dxa"/>
            <w:vAlign w:val="bottom"/>
            <w:gridSpan w:val="2"/>
          </w:tcPr>
          <w:p>
            <w:pPr>
              <w:jc w:val="right"/>
              <w:ind w:right="340"/>
              <w:spacing w:after="0"/>
              <w:rPr>
                <w:sz w:val="20"/>
                <w:szCs w:val="20"/>
                <w:color w:val="auto"/>
              </w:rPr>
            </w:pPr>
            <w:r>
              <w:rPr>
                <w:rFonts w:ascii="Arial" w:cs="Arial" w:eastAsia="Arial" w:hAnsi="Arial"/>
                <w:sz w:val="16"/>
                <w:szCs w:val="16"/>
                <w:color w:val="auto"/>
              </w:rPr>
              <w:t>243,288</w:t>
            </w:r>
          </w:p>
        </w:tc>
        <w:tc>
          <w:tcPr>
            <w:tcW w:w="1340" w:type="dxa"/>
            <w:vAlign w:val="bottom"/>
            <w:gridSpan w:val="2"/>
          </w:tcPr>
          <w:p>
            <w:pPr>
              <w:jc w:val="right"/>
              <w:ind w:right="120"/>
              <w:spacing w:after="0"/>
              <w:rPr>
                <w:sz w:val="20"/>
                <w:szCs w:val="20"/>
                <w:color w:val="auto"/>
              </w:rPr>
            </w:pPr>
            <w:r>
              <w:rPr>
                <w:rFonts w:ascii="Arial" w:cs="Arial" w:eastAsia="Arial" w:hAnsi="Arial"/>
                <w:sz w:val="16"/>
                <w:szCs w:val="16"/>
                <w:color w:val="auto"/>
              </w:rPr>
              <w:t>148,867</w:t>
            </w:r>
          </w:p>
        </w:tc>
        <w:tc>
          <w:tcPr>
            <w:tcW w:w="1260" w:type="dxa"/>
            <w:vAlign w:val="bottom"/>
            <w:gridSpan w:val="2"/>
          </w:tcPr>
          <w:p>
            <w:pPr>
              <w:jc w:val="right"/>
              <w:ind w:right="40"/>
              <w:spacing w:after="0"/>
              <w:rPr>
                <w:sz w:val="20"/>
                <w:szCs w:val="20"/>
                <w:color w:val="auto"/>
              </w:rPr>
            </w:pPr>
            <w:r>
              <w:rPr>
                <w:rFonts w:ascii="Arial" w:cs="Arial" w:eastAsia="Arial" w:hAnsi="Arial"/>
                <w:sz w:val="16"/>
                <w:szCs w:val="16"/>
                <w:color w:val="auto"/>
              </w:rPr>
              <w:t>177,275</w:t>
            </w:r>
          </w:p>
        </w:tc>
      </w:tr>
      <w:tr>
        <w:trPr>
          <w:trHeight w:val="219"/>
        </w:trPr>
        <w:tc>
          <w:tcPr>
            <w:tcW w:w="5520" w:type="dxa"/>
            <w:vAlign w:val="bottom"/>
            <w:shd w:val="clear" w:color="auto" w:fill="E5FFFF"/>
          </w:tcPr>
          <w:p>
            <w:pPr>
              <w:spacing w:after="0"/>
              <w:rPr>
                <w:sz w:val="20"/>
                <w:szCs w:val="20"/>
                <w:color w:val="auto"/>
              </w:rPr>
            </w:pPr>
            <w:r>
              <w:rPr>
                <w:rFonts w:ascii="Arial" w:cs="Arial" w:eastAsia="Arial" w:hAnsi="Arial"/>
                <w:sz w:val="16"/>
                <w:szCs w:val="16"/>
                <w:color w:val="auto"/>
              </w:rPr>
              <w:t>Voyage expenses and commissions</w:t>
            </w:r>
          </w:p>
        </w:tc>
        <w:tc>
          <w:tcPr>
            <w:tcW w:w="148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(6,272)</w:t>
            </w:r>
          </w:p>
        </w:tc>
        <w:tc>
          <w:tcPr>
            <w:tcW w:w="1580" w:type="dxa"/>
            <w:vAlign w:val="bottom"/>
            <w:gridSpan w:val="2"/>
            <w:shd w:val="clear" w:color="auto" w:fill="E5FFFF"/>
          </w:tcPr>
          <w:p>
            <w:pPr>
              <w:jc w:val="right"/>
              <w:ind w:right="280"/>
              <w:spacing w:after="0"/>
              <w:rPr>
                <w:sz w:val="20"/>
                <w:szCs w:val="20"/>
                <w:color w:val="auto"/>
              </w:rPr>
            </w:pPr>
            <w:r>
              <w:rPr>
                <w:rFonts w:ascii="Arial" w:cs="Arial" w:eastAsia="Arial" w:hAnsi="Arial"/>
                <w:sz w:val="16"/>
                <w:szCs w:val="16"/>
                <w:color w:val="auto"/>
              </w:rPr>
              <w:t>(4,171)</w:t>
            </w:r>
          </w:p>
        </w:tc>
        <w:tc>
          <w:tcPr>
            <w:tcW w:w="1340" w:type="dxa"/>
            <w:vAlign w:val="bottom"/>
            <w:gridSpan w:val="2"/>
            <w:shd w:val="clear" w:color="auto" w:fill="E5FFFF"/>
          </w:tcPr>
          <w:p>
            <w:pPr>
              <w:jc w:val="right"/>
              <w:ind w:right="60"/>
              <w:spacing w:after="0"/>
              <w:rPr>
                <w:sz w:val="20"/>
                <w:szCs w:val="20"/>
                <w:color w:val="auto"/>
              </w:rPr>
            </w:pPr>
            <w:r>
              <w:rPr>
                <w:rFonts w:ascii="Arial" w:cs="Arial" w:eastAsia="Arial" w:hAnsi="Arial"/>
                <w:sz w:val="16"/>
                <w:szCs w:val="16"/>
                <w:color w:val="auto"/>
              </w:rPr>
              <w:t>(3,914)</w:t>
            </w:r>
          </w:p>
        </w:tc>
        <w:tc>
          <w:tcPr>
            <w:tcW w:w="12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(2,949)</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pacing w:after="0" w:line="236" w:lineRule="exact"/>
        <w:rPr>
          <w:sz w:val="20"/>
          <w:szCs w:val="20"/>
          <w:color w:val="auto"/>
        </w:rPr>
      </w:pPr>
    </w:p>
    <w:p>
      <w:pPr>
        <w:ind w:right="120" w:firstLine="8"/>
        <w:spacing w:after="0" w:line="213" w:lineRule="auto"/>
        <w:tabs>
          <w:tab w:leader="none" w:pos="189" w:val="left"/>
        </w:tabs>
        <w:numPr>
          <w:ilvl w:val="0"/>
          <w:numId w:val="2"/>
        </w:numPr>
        <w:rPr>
          <w:rFonts w:ascii="Arial" w:cs="Arial" w:eastAsia="Arial" w:hAnsi="Arial"/>
          <w:sz w:val="25"/>
          <w:szCs w:val="25"/>
          <w:color w:val="auto"/>
          <w:vertAlign w:val="superscript"/>
        </w:rPr>
      </w:pPr>
      <w:r>
        <w:rPr>
          <w:rFonts w:ascii="Arial" w:cs="Arial" w:eastAsia="Arial" w:hAnsi="Arial"/>
          <w:sz w:val="15"/>
          <w:szCs w:val="15"/>
          <w:color w:val="auto"/>
        </w:rPr>
        <w:t>Available days represent total calendar days in the period after deducting off-hire days where vessels are undergoing dry-dockings and unavailable days (i.e. days before and after a dry-docking where the vessel has limited practical ability for chartering opportunities).</w:t>
      </w:r>
    </w:p>
    <w:p>
      <w:pPr>
        <w:spacing w:after="0" w:line="19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Revenues increased by $3.2 million, from $85.0 million for the quarter ended December 31, 2020, to $88.2 million for the same period in 2021. The increase is mainly attributable to the improved performance of our spot fleet in the fourth quarter of 2021, in line with the ongoing improvement of the LNG shipping market observed in 2021 and the short-term charters we entered into.</w:t>
      </w:r>
    </w:p>
    <w:p>
      <w:pPr>
        <w:spacing w:after="0" w:line="17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 xml:space="preserve">Vessel operating costs decreased by $0.6 million, from $19.5 million for the quarter ended December 31, 2020, to $18.9 million for the same period in 2021. The decrease in vessel operating costs is mainly attributable to a decrease of $1.0 million in technical maintenance expenses, primarily in connection with increased maintenance needs of the fleet in the fourth quarter of 2020 compared to the same period in 2021. This decrease was partially offset by an increase in other operating expenses. Daily operating costs per vessel (after excluding calendar days for the </w:t>
      </w:r>
      <w:r>
        <w:rPr>
          <w:rFonts w:ascii="Arial" w:cs="Arial" w:eastAsia="Arial" w:hAnsi="Arial"/>
          <w:sz w:val="16"/>
          <w:szCs w:val="16"/>
          <w:i w:val="1"/>
          <w:iCs w:val="1"/>
          <w:color w:val="auto"/>
        </w:rPr>
        <w:t>Solaris</w:t>
      </w:r>
      <w:r>
        <w:rPr>
          <w:rFonts w:ascii="Arial" w:cs="Arial" w:eastAsia="Arial" w:hAnsi="Arial"/>
          <w:sz w:val="17"/>
          <w:szCs w:val="17"/>
          <w:color w:val="auto"/>
        </w:rPr>
        <w:t>,</w:t>
      </w:r>
      <w:r>
        <w:rPr>
          <w:rFonts w:ascii="Arial" w:cs="Arial" w:eastAsia="Arial" w:hAnsi="Arial"/>
          <w:sz w:val="16"/>
          <w:szCs w:val="16"/>
          <w:color w:val="auto"/>
        </w:rPr>
        <w:t xml:space="preserve"> the operating costs of which are covered by the charterers) decreased from $15,127 per day for the quarter ended December 31, 2020, to $14,695 per day for the quarter ended December 31, 2021.</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General and administrative expenses decreased by $1.5 million, from $5.0 million for the quarter ended December 31, 2020, to $3.5 million for the same period in 2021. The decrease in general and administrative expenses is mainly attributable to a decrease of $0.8 million in administrative services fees, driven by cost-reduction initiatives, and an additional decrease of $0.5 million in legal and professional fees. As a result, daily general and administrative expenses decreased from $3,615 per vessel per day for the quarter ended December 31, 2020, to $2,543 per vessel per day for the quarter ended December 31, 2021.</w:t>
      </w:r>
    </w:p>
    <w:p>
      <w:pPr>
        <w:spacing w:after="0" w:line="174" w:lineRule="exact"/>
        <w:rPr>
          <w:sz w:val="20"/>
          <w:szCs w:val="20"/>
          <w:color w:val="auto"/>
        </w:rPr>
      </w:pPr>
    </w:p>
    <w:p>
      <w:pPr>
        <w:ind w:right="100"/>
        <w:spacing w:after="0" w:line="234" w:lineRule="auto"/>
        <w:rPr>
          <w:sz w:val="20"/>
          <w:szCs w:val="20"/>
          <w:color w:val="auto"/>
        </w:rPr>
      </w:pPr>
      <w:r>
        <w:rPr>
          <w:rFonts w:ascii="Arial" w:cs="Arial" w:eastAsia="Arial" w:hAnsi="Arial"/>
          <w:sz w:val="16"/>
          <w:szCs w:val="16"/>
          <w:color w:val="auto"/>
        </w:rPr>
        <w:t>The increase in Adjusted EBITDA</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of $5.2 million, from $59.0 million in the fourth quarter of 2020 as compared to $64.2 million in the same period in 2021 is mainly attributable to the increase in revenues of $3.2 million and an aggregate decrease of $2.1 million from reduced operating expenses and general and administrative expenses, as discussed above.</w:t>
      </w:r>
    </w:p>
    <w:p>
      <w:pPr>
        <w:spacing w:after="0" w:line="201" w:lineRule="exact"/>
        <w:rPr>
          <w:sz w:val="20"/>
          <w:szCs w:val="20"/>
          <w:color w:val="auto"/>
        </w:rPr>
      </w:pPr>
    </w:p>
    <w:p>
      <w:pPr>
        <w:ind w:right="280"/>
        <w:spacing w:after="0" w:line="298" w:lineRule="auto"/>
        <w:rPr>
          <w:sz w:val="20"/>
          <w:szCs w:val="20"/>
          <w:color w:val="auto"/>
        </w:rPr>
      </w:pPr>
      <w:r>
        <w:rPr>
          <w:rFonts w:ascii="Arial" w:cs="Arial" w:eastAsia="Arial" w:hAnsi="Arial"/>
          <w:sz w:val="15"/>
          <w:szCs w:val="15"/>
          <w:color w:val="auto"/>
        </w:rPr>
        <w:t xml:space="preserve">The Partnership recognized an aggregate non-cash impairment loss of $104.0 million with respect to its five Steam vessels for the quarter ended December 31, 2021, in accordance with International Financial Reporting Standards (“IFRS”), as compared to an aggregate impairment loss of $5.1 million for the same period in 2020. The principal factors </w:t>
      </w:r>
      <w:r>
        <w:rPr>
          <w:rFonts w:ascii="Arial" w:cs="Arial" w:eastAsia="Arial" w:hAnsi="Arial"/>
          <w:sz w:val="16"/>
          <w:szCs w:val="16"/>
          <w:color w:val="auto"/>
        </w:rPr>
        <w:t>t</w:t>
      </w:r>
      <w:r>
        <w:rPr>
          <w:rFonts w:ascii="Arial" w:cs="Arial" w:eastAsia="Arial" w:hAnsi="Arial"/>
          <w:sz w:val="15"/>
          <w:szCs w:val="15"/>
          <w:color w:val="auto"/>
        </w:rPr>
        <w:t>hat led to the recognition of a non-cash impairment loss in the fourth quarter of 2021 included the differences of the ship broker estimates of our Steam vessels’ fair market values compared to their carrying values, as well as reduced expectations of the long-term rates for these older technology vessels.</w:t>
      </w:r>
    </w:p>
    <w:p>
      <w:pPr>
        <w:spacing w:after="0" w:line="155"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 xml:space="preserve">Financial costs decreased by $0.6 million, from $10.0 million for the quarter ended December 31, 2020 to $9.4 million for the same period in 2021. The decrease in financial costs is primarily attributable to a decrease in interest expense on loans of $1.5 million, mainly due to the reduced debt balances year-over-year, partially offset by an increase of $0.5 million in amortization and write-off of deferred loan issuance costs, as a result of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debt prepayment pursuant to the sale and leaseback transaction completed in October 2021. During the quarter ended December 31, 2020, we had an average of $1,316.2 million of outstanding indebtedness with a weighted average interest rate of 2.5%, compared to an average of $1,137.7 million of outstanding indebtedness with a weighted average interest rate of 2.4% during the quarter ended December 31, 2021.</w:t>
      </w:r>
    </w:p>
    <w:p>
      <w:pPr>
        <w:spacing w:after="0" w:line="180"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Loss on derivatives decreased by $2.0 million, from a loss of $0.2 million for the quarter ended December 31, 2020 to a gain of $1.8 million for the same period in 2021. The decrease is attributable to an increase of $2.0 million in unrealized gain from the mark-to-market valuation of derivatives which were carried at fair value through profit or loss.</w:t>
      </w:r>
    </w:p>
    <w:p>
      <w:pPr>
        <w:spacing w:after="0" w:line="171" w:lineRule="exact"/>
        <w:rPr>
          <w:sz w:val="20"/>
          <w:szCs w:val="20"/>
          <w:color w:val="auto"/>
        </w:rPr>
      </w:pPr>
    </w:p>
    <w:p>
      <w:pPr>
        <w:ind w:right="240"/>
        <w:spacing w:after="0" w:line="304" w:lineRule="auto"/>
        <w:rPr>
          <w:sz w:val="20"/>
          <w:szCs w:val="20"/>
          <w:color w:val="auto"/>
        </w:rPr>
      </w:pPr>
      <w:r>
        <w:rPr>
          <w:rFonts w:ascii="Arial" w:cs="Arial" w:eastAsia="Arial" w:hAnsi="Arial"/>
          <w:sz w:val="14"/>
          <w:szCs w:val="14"/>
          <w:color w:val="auto"/>
        </w:rPr>
        <w:t>The decrease in profit of $93.4 million, from a profit of $22.6 million in the fourth quarter of 2020 to a loss of $70.8 million in the fourth quarter of 2021 is mainly attributable to an increase in impairment loss of $98.9 million ($104.0 million recognized in the fourth quarter of 2021, compared to $5.1 million recognized in the fourth</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quarter of 2020), partially offset by the increase of $5.2 million in Adjusted EBITDA</w:t>
      </w:r>
      <w:r>
        <w:rPr>
          <w:rFonts w:ascii="Arial" w:cs="Arial" w:eastAsia="Arial" w:hAnsi="Arial"/>
          <w:sz w:val="26"/>
          <w:szCs w:val="26"/>
          <w:color w:val="auto"/>
          <w:vertAlign w:val="superscript"/>
        </w:rPr>
        <w:t>(1)</w:t>
      </w:r>
      <w:r>
        <w:rPr>
          <w:rFonts w:ascii="Arial" w:cs="Arial" w:eastAsia="Arial" w:hAnsi="Arial"/>
          <w:sz w:val="16"/>
          <w:szCs w:val="16"/>
          <w:color w:val="auto"/>
        </w:rPr>
        <w:t>, as discussed above.</w:t>
      </w:r>
    </w:p>
    <w:p>
      <w:pPr>
        <w:spacing w:after="0" w:line="142" w:lineRule="exact"/>
        <w:rPr>
          <w:sz w:val="20"/>
          <w:szCs w:val="20"/>
          <w:color w:val="auto"/>
        </w:rPr>
      </w:pPr>
    </w:p>
    <w:p>
      <w:pPr>
        <w:ind w:right="20"/>
        <w:spacing w:after="0" w:line="239" w:lineRule="auto"/>
        <w:rPr>
          <w:sz w:val="20"/>
          <w:szCs w:val="20"/>
          <w:color w:val="auto"/>
        </w:rPr>
      </w:pPr>
      <w:r>
        <w:rPr>
          <w:rFonts w:ascii="Arial" w:cs="Arial" w:eastAsia="Arial" w:hAnsi="Arial"/>
          <w:sz w:val="16"/>
          <w:szCs w:val="16"/>
          <w:color w:val="auto"/>
        </w:rPr>
        <w:t>The increase in Adjusted Profit</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of $4.8 million, from $25.9 million in the fourth quarter of 2020 to $30.7 million in the fourth quarter of 2021, is mainly attributable to the increase of $5.2 million in Adjusted EBITDA</w:t>
      </w:r>
      <w:r>
        <w:rPr>
          <w:rFonts w:ascii="Arial" w:cs="Arial" w:eastAsia="Arial" w:hAnsi="Arial"/>
          <w:sz w:val="26"/>
          <w:szCs w:val="26"/>
          <w:color w:val="auto"/>
          <w:vertAlign w:val="superscript"/>
        </w:rPr>
        <w:t>(1)</w:t>
      </w:r>
      <w:r>
        <w:rPr>
          <w:rFonts w:ascii="Arial" w:cs="Arial" w:eastAsia="Arial" w:hAnsi="Arial"/>
          <w:sz w:val="16"/>
          <w:szCs w:val="16"/>
          <w:color w:val="auto"/>
        </w:rPr>
        <w:t>, as discussed above.</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5" w:name="page6"/>
    <w:bookmarkEnd w:id="5"/>
    <w:p>
      <w:pPr>
        <w:jc w:val="both"/>
        <w:ind w:right="140"/>
        <w:spacing w:after="0" w:line="293" w:lineRule="auto"/>
        <w:rPr>
          <w:sz w:val="20"/>
          <w:szCs w:val="20"/>
          <w:color w:val="auto"/>
        </w:rPr>
      </w:pPr>
      <w:r>
        <w:rPr>
          <w:rFonts w:ascii="Arial" w:cs="Arial" w:eastAsia="Arial" w:hAnsi="Arial"/>
          <w:sz w:val="16"/>
          <w:szCs w:val="16"/>
          <w:color w:val="auto"/>
        </w:rPr>
        <w:t>As of December 31, 2021, we had $145.5 million of cash and cash equivalents, out of which $72.6 million was held in current accounts and $72.9 million was held in time deposits with an original duration of up to three months.</w:t>
      </w:r>
    </w:p>
    <w:p>
      <w:pPr>
        <w:spacing w:after="0" w:line="158" w:lineRule="exact"/>
        <w:rPr>
          <w:sz w:val="20"/>
          <w:szCs w:val="20"/>
          <w:color w:val="auto"/>
        </w:rPr>
      </w:pPr>
    </w:p>
    <w:p>
      <w:pPr>
        <w:jc w:val="both"/>
        <w:ind w:right="140"/>
        <w:spacing w:after="0" w:line="278" w:lineRule="auto"/>
        <w:rPr>
          <w:sz w:val="20"/>
          <w:szCs w:val="20"/>
          <w:color w:val="auto"/>
        </w:rPr>
      </w:pPr>
      <w:r>
        <w:rPr>
          <w:rFonts w:ascii="Arial" w:cs="Arial" w:eastAsia="Arial" w:hAnsi="Arial"/>
          <w:sz w:val="16"/>
          <w:szCs w:val="16"/>
          <w:color w:val="auto"/>
        </w:rPr>
        <w:t xml:space="preserve">As of December 31, 2021, we had an aggregate of $1,085.8 million of borrowings outstanding under our credit facilities, of which $99.3 million was repayable within one year, and an aggregate of $55.9 million of lease liabilities mainly related to the sale and leaseback of the </w:t>
      </w:r>
      <w:r>
        <w:rPr>
          <w:rFonts w:ascii="Arial" w:cs="Arial" w:eastAsia="Arial" w:hAnsi="Arial"/>
          <w:sz w:val="16"/>
          <w:szCs w:val="16"/>
          <w:i w:val="1"/>
          <w:iCs w:val="1"/>
          <w:color w:val="auto"/>
        </w:rPr>
        <w:t>GasLog Shanghai</w:t>
      </w:r>
      <w:r>
        <w:rPr>
          <w:rFonts w:ascii="Arial" w:cs="Arial" w:eastAsia="Arial" w:hAnsi="Arial"/>
          <w:sz w:val="16"/>
          <w:szCs w:val="16"/>
          <w:color w:val="auto"/>
        </w:rPr>
        <w:t>, of which $10.3 million was payable within one year.</w:t>
      </w:r>
    </w:p>
    <w:p>
      <w:pPr>
        <w:spacing w:after="0" w:line="17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As of December 31, 2021, our current assets totaled $161.1 million and current liabilities totaled $175.5 million, resulting in a negative working capital position of $14.4 million. Current liabilities include $28.3 million of unearned revenue in relation to hires received in advance as of December 31, 2021 (which represents a non-cash liability that will be recognized as revenues after December 31, 2021 as the services are rendered).</w:t>
      </w:r>
    </w:p>
    <w:p>
      <w:pPr>
        <w:spacing w:after="0" w:line="162" w:lineRule="exact"/>
        <w:rPr>
          <w:sz w:val="20"/>
          <w:szCs w:val="20"/>
          <w:color w:val="auto"/>
        </w:rPr>
      </w:pPr>
    </w:p>
    <w:p>
      <w:pPr>
        <w:ind w:left="340" w:right="40" w:hanging="332"/>
        <w:spacing w:after="0" w:line="238" w:lineRule="auto"/>
        <w:tabs>
          <w:tab w:leader="none" w:pos="340" w:val="left"/>
        </w:tabs>
        <w:numPr>
          <w:ilvl w:val="0"/>
          <w:numId w:val="3"/>
        </w:numPr>
        <w:rPr>
          <w:rFonts w:ascii="Arial" w:cs="Arial" w:eastAsia="Arial" w:hAnsi="Arial"/>
          <w:sz w:val="10"/>
          <w:szCs w:val="10"/>
          <w:color w:val="auto"/>
        </w:rPr>
      </w:pPr>
      <w:r>
        <w:rPr>
          <w:rFonts w:ascii="Arial" w:cs="Arial" w:eastAsia="Arial" w:hAnsi="Arial"/>
          <w:sz w:val="14"/>
          <w:szCs w:val="14"/>
          <w:color w:val="auto"/>
        </w:rPr>
        <w:t>Adjusted Profit, Adjusted EBITDA and Adjusted EPU are non-GAAP financial measures and should not be used in isolation or as substitutes for GasLog Partners’ financial results presented in accordance with IFRS. For the definitions and reconciliations of these measures to the most directly comparable financial measures calculated and presented in accordance with IFRS, please refer to Exhibit II at the end of this press release.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 xml:space="preserve">Sale and Leaseback of the </w:t>
      </w:r>
      <w:r>
        <w:rPr>
          <w:rFonts w:ascii="Arial" w:cs="Arial" w:eastAsia="Arial" w:hAnsi="Arial"/>
          <w:sz w:val="16"/>
          <w:szCs w:val="16"/>
          <w:b w:val="1"/>
          <w:bCs w:val="1"/>
          <w:i w:val="1"/>
          <w:iCs w:val="1"/>
          <w:u w:val="single" w:color="auto"/>
          <w:color w:val="auto"/>
        </w:rPr>
        <w:t>GasLog Shanghai</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 xml:space="preserve">On October 26, 2021, GasLog Partners completed the sale and leaseback of the </w:t>
      </w:r>
      <w:r>
        <w:rPr>
          <w:rFonts w:ascii="Arial" w:cs="Arial" w:eastAsia="Arial" w:hAnsi="Arial"/>
          <w:sz w:val="16"/>
          <w:szCs w:val="16"/>
          <w:i w:val="1"/>
          <w:iCs w:val="1"/>
          <w:color w:val="auto"/>
        </w:rPr>
        <w:t>GasLog Shanghai</w:t>
      </w:r>
      <w:r>
        <w:rPr>
          <w:rFonts w:ascii="Arial" w:cs="Arial" w:eastAsia="Arial" w:hAnsi="Arial"/>
          <w:sz w:val="16"/>
          <w:szCs w:val="16"/>
          <w:color w:val="auto"/>
        </w:rPr>
        <w:t>, a 155,000 cubic meter (“cbm”) tri-fuel diesel electric propulsion (“TFDE”) LNG carrier, built in 2013, with a wholly-owned subsidiary of China Development Bank Financial Leasing Co., Ltd. (“CDBL”), releasing $20.5 million of incremental net liquidity (net sale proceeds less debt prepayment) to the Partnership. The vessel was sold and leased back under a bareboat charter with CDBL for a period of five years with no repurchase option or obligation, resulting in the recognition of a loss on disposal of $0.6 million. The vessel remains on its charter with a subsidiary of Gunvor Group Ltd. (“Gunvor”).</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Preference Unit Repurchase Programme</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5"/>
          <w:szCs w:val="15"/>
          <w:color w:val="auto"/>
        </w:rPr>
        <w:t>In March 2021, the Partnership established a preference unit repurchase programme (the “Repurchase Programme”), which authorized the repurchase of preference units through March 31, 2023. In the three months ended December 31, 2021, GasLog Partners repurchased and cancelled 130,093 8.200% Series B Cumulative Redeemable Perpetual Fixed to Floating Rate Preference Units (the “Series B Preference Units”) and 114,548 8.500% Series C Cumulative Redeemable Perpetual Fixed to Floating Rate Preference Units (the “Series C Preference Units”) under the Repurchase Programme, for an aggregate amount of $6.0 million, including commissions.</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the year ended December 31, 2021 and since inception of the Repurchase Programme, GasLog Partners has repurchased and cancelled an aggregate of 464,429 Series B Preference Units and 269,549 Series C Preference Units at a weighted average price of $25.00 per preference unit for both Series. The total amount repaid during the period for repurchases of preference units was $18.4 million, including commissions.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LNG Market Update and Outlook</w:t>
      </w:r>
    </w:p>
    <w:p>
      <w:pPr>
        <w:spacing w:after="0" w:line="225"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Global LNG demand was 100 million tonnes (“mt”) in the fourth quarter of 2021, according to Poten &amp; Partners Group, Inc. (“Poten”), compared to 94 mt in the fourth quarter of 2020, an increase of approximately 6%, primarily led by increased demand in Europe and the Middle East. European and Middle Eastern demand in the fourth quarter was primarily in response to seasonal heating demand, inventory re-stocking and a continued economic recovery. For the full year 2021, LNG demand was 386 mt compared to approximately 363 mt for the full year 2020, an increase of 6%. Demand growth in 2021 was led by China, where demand grew by approximately 12 mt, or 17%, and South Korea where demand grew by approximately 7 mt, or 16%. This growth was balanced by declines in Europe, where demand declined by approximately 6 mt, or 8%, and India, where demand declined by approximately 2 mt, or 7%.</w:t>
      </w:r>
    </w:p>
    <w:p>
      <w:pPr>
        <w:spacing w:after="0" w:line="180"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Global LNG supply was approximately 98 mt in the fourth quarter of 2021, growing by 8 mt (or 8%) year-over-year, according to Poten. Supply growth in the fourth quarter was dominated by output from the United States (“U.S.”), which increased by 4 mt, or 28% year-over-year, primarily due to increased utilization of existing liquefaction terminals, but also due to the startup of new trains in the second half of 2020. Growth in U.S. production offset declines from many other supply sources around the world, including Nigeria, Malaysia and Oman, either due to continued feedstock issues or downtime. Supply for 2021 totaled 393 mt, an increase of 22 mt or approximately 6% over 2020. The U.S. led supply growth in 2021, up by approximately 25 mt, or 51% year-over-year, while Nigeria, Trinidad and Norway each registered a decline of over 3 mt, or 18%, 29% and 97%, respectively. Looking ahead, approximately 112 mt of new LNG capacity is currently under construction and scheduled to come online between 2022 and 2026.</w:t>
      </w:r>
    </w:p>
    <w:p>
      <w:pPr>
        <w:spacing w:after="0" w:line="176" w:lineRule="exact"/>
        <w:rPr>
          <w:sz w:val="20"/>
          <w:szCs w:val="20"/>
          <w:color w:val="auto"/>
        </w:rPr>
      </w:pPr>
    </w:p>
    <w:p>
      <w:pPr>
        <w:spacing w:after="0" w:line="297" w:lineRule="auto"/>
        <w:rPr>
          <w:sz w:val="20"/>
          <w:szCs w:val="20"/>
          <w:color w:val="auto"/>
        </w:rPr>
      </w:pPr>
      <w:r>
        <w:rPr>
          <w:rFonts w:ascii="Arial" w:cs="Arial" w:eastAsia="Arial" w:hAnsi="Arial"/>
          <w:sz w:val="15"/>
          <w:szCs w:val="15"/>
          <w:color w:val="auto"/>
        </w:rPr>
        <w:t>Headline spot rates for TFDE LNG carriers, as reported by Clarkson Research Services Limited (“Clarksons”), averaged $149,000 per day in the fourth quarter of 2021, a 38% increase over the $104,000 per day average in the fourth quarter of 2020. Headline spot rates for Steam vessels averaged $107,000 per day in the fourth quarter of 2021, 47% higher than the average of $73,000 per day in the fourth quarter of 2020. Headline spot rates in the fourth quarter benefited from low vessel availability as well as LNG demand growth combined with LNG supply growth in the U.S. as detailed above and longer than average wait times at the Panama Canal.</w:t>
      </w:r>
    </w:p>
    <w:p>
      <w:pPr>
        <w:spacing w:after="0" w:line="159" w:lineRule="exact"/>
        <w:rPr>
          <w:sz w:val="20"/>
          <w:szCs w:val="20"/>
          <w:color w:val="auto"/>
        </w:rPr>
      </w:pPr>
    </w:p>
    <w:p>
      <w:pPr>
        <w:ind w:right="780"/>
        <w:spacing w:after="0" w:line="293" w:lineRule="auto"/>
        <w:rPr>
          <w:sz w:val="20"/>
          <w:szCs w:val="20"/>
          <w:color w:val="auto"/>
        </w:rPr>
      </w:pPr>
      <w:r>
        <w:rPr>
          <w:rFonts w:ascii="Arial" w:cs="Arial" w:eastAsia="Arial" w:hAnsi="Arial"/>
          <w:sz w:val="16"/>
          <w:szCs w:val="16"/>
          <w:color w:val="auto"/>
        </w:rPr>
        <w:t>As of January 21, 2022, Clarksons assessed headline spot rates for TFDE and Steam LNG carriers at $28,500 per day and $19,500 per day, respectively. Forward assessments for LNG carrier spot rates indicate rising spot rates through the remainder of the year.</w:t>
      </w:r>
    </w:p>
    <w:p>
      <w:pPr>
        <w:spacing w:after="0" w:line="158" w:lineRule="exact"/>
        <w:rPr>
          <w:sz w:val="20"/>
          <w:szCs w:val="20"/>
          <w:color w:val="auto"/>
        </w:rPr>
      </w:pPr>
    </w:p>
    <w:p>
      <w:pPr>
        <w:ind w:right="200"/>
        <w:spacing w:after="0" w:line="293" w:lineRule="auto"/>
        <w:rPr>
          <w:sz w:val="20"/>
          <w:szCs w:val="20"/>
          <w:color w:val="auto"/>
        </w:rPr>
      </w:pPr>
      <w:r>
        <w:rPr>
          <w:rFonts w:ascii="Arial" w:cs="Arial" w:eastAsia="Arial" w:hAnsi="Arial"/>
          <w:sz w:val="16"/>
          <w:szCs w:val="16"/>
          <w:color w:val="auto"/>
        </w:rPr>
        <w:t>As of January 13, 2022, Poten estimated that the orderbook totaled 151 dedicated LNG carriers (&gt;100,000 cbm), representing 25% of the on-the-water fleet. Of these, 122 vessels (or 79%) have multi-year charters. There were 82 orders for newbuild LNG carriers in 2021 compared with 34 in 2020.</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u w:val="single" w:color="auto"/>
          <w:color w:val="auto"/>
        </w:rPr>
        <w:t>Preference Unit Distributions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On November 16, 2021, the board of directors of GasLog Partners approved and declared a distribution on the 8.625% Series A Cumulative Redeemable Perpetual Fixed to Floating Rate Preference Units (the “Series A Preference Units”) of $0.5390625 per preference unit, a distribution on the Series B Preference Units of $0.5125 per preference unit and a distribution on the Series C Preference Units of $0.53125 per preference unit. The cash distributions were paid on December 15, 2021 to all unitholders of record as of December 8, 2021.</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Common Unit Distribution</w:t>
      </w:r>
    </w:p>
    <w:p>
      <w:pPr>
        <w:spacing w:after="0" w:line="225" w:lineRule="exact"/>
        <w:rPr>
          <w:sz w:val="20"/>
          <w:szCs w:val="20"/>
          <w:color w:val="auto"/>
        </w:rPr>
      </w:pPr>
    </w:p>
    <w:p>
      <w:pPr>
        <w:ind w:right="620"/>
        <w:spacing w:after="0" w:line="293" w:lineRule="auto"/>
        <w:rPr>
          <w:sz w:val="20"/>
          <w:szCs w:val="20"/>
          <w:color w:val="auto"/>
        </w:rPr>
      </w:pPr>
      <w:r>
        <w:rPr>
          <w:rFonts w:ascii="Arial" w:cs="Arial" w:eastAsia="Arial" w:hAnsi="Arial"/>
          <w:sz w:val="16"/>
          <w:szCs w:val="16"/>
          <w:color w:val="auto"/>
        </w:rPr>
        <w:t>On January 26, 2022, the board of directors of GasLog Partners approved and declared a quarterly cash distribution of $0.01 per common unit for the quarter ended December 31, 2021. The cash distribution is payable on February 10, 2022 to all unitholders of record as of February 7, 2022.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ATM Common Equity Offering Programme (“ATM Programme”)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Partnership did not issue any common units under the ATM Programme during the fourth quarter of 2021.</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Our Fleet</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6"/>
          <w:szCs w:val="16"/>
          <w:color w:val="auto"/>
        </w:rPr>
        <w:t>Our owned and bareboat fleet currently consists of the following vessels: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Owned Fleet</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Cargo</w:t>
            </w: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Charterer (for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Charter</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24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6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8"/>
              </w:rPr>
              <w:t>contracts of more</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Expiration</w:t>
            </w: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20" w:type="dxa"/>
            <w:vAlign w:val="bottom"/>
            <w:tcBorders>
              <w:bottom w:val="single" w:sz="8" w:color="E5FF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Year Built</w:t>
            </w:r>
          </w:p>
        </w:tc>
        <w:tc>
          <w:tcPr>
            <w:tcW w:w="120" w:type="dxa"/>
            <w:vAlign w:val="bottom"/>
            <w:tcBorders>
              <w:bottom w:val="single" w:sz="8" w:color="E5FF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20" w:type="dxa"/>
            <w:vAlign w:val="bottom"/>
            <w:tcBorders>
              <w:bottom w:val="single" w:sz="8" w:color="E5FF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than six months)</w:t>
            </w:r>
          </w:p>
        </w:tc>
        <w:tc>
          <w:tcPr>
            <w:tcW w:w="100" w:type="dxa"/>
            <w:vAlign w:val="bottom"/>
            <w:tcBorders>
              <w:bottom w:val="single" w:sz="8" w:color="E5FF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Propulsion</w:t>
            </w:r>
          </w:p>
        </w:tc>
        <w:tc>
          <w:tcPr>
            <w:tcW w:w="10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(Firm Period)</w:t>
            </w:r>
          </w:p>
        </w:tc>
        <w:tc>
          <w:tcPr>
            <w:tcW w:w="12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ind w:left="160"/>
              <w:spacing w:after="0"/>
              <w:rPr>
                <w:sz w:val="20"/>
                <w:szCs w:val="20"/>
                <w:color w:val="auto"/>
              </w:rPr>
            </w:pPr>
            <w:r>
              <w:rPr>
                <w:rFonts w:ascii="Arial" w:cs="Arial" w:eastAsia="Arial" w:hAnsi="Arial"/>
                <w:sz w:val="16"/>
                <w:szCs w:val="16"/>
                <w:b w:val="1"/>
                <w:bCs w:val="1"/>
                <w:color w:val="auto"/>
              </w:rPr>
              <w:t>Optional Period</w:t>
            </w:r>
          </w:p>
        </w:tc>
        <w:tc>
          <w:tcPr>
            <w:tcW w:w="100" w:type="dxa"/>
            <w:vAlign w:val="bottom"/>
            <w:tcBorders>
              <w:bottom w:val="single" w:sz="8" w:color="E5FFFF"/>
            </w:tcBorders>
          </w:tcPr>
          <w:p>
            <w:pPr>
              <w:spacing w:after="0"/>
              <w:rPr>
                <w:sz w:val="18"/>
                <w:szCs w:val="18"/>
                <w:color w:val="auto"/>
              </w:rPr>
            </w:pPr>
          </w:p>
        </w:tc>
      </w:tr>
      <w:tr>
        <w:trPr>
          <w:trHeight w:val="239"/>
        </w:trPr>
        <w:tc>
          <w:tcPr>
            <w:tcW w:w="2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1</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i w:val="1"/>
                <w:iCs w:val="1"/>
                <w:color w:val="auto"/>
              </w:rPr>
              <w:t>Methane Rita Andrea</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2006</w:t>
            </w:r>
          </w:p>
        </w:tc>
        <w:tc>
          <w:tcPr>
            <w:tcW w:w="120" w:type="dxa"/>
            <w:vAlign w:val="bottom"/>
            <w:shd w:val="clear" w:color="auto" w:fill="E5FFFF"/>
          </w:tcPr>
          <w:p>
            <w:pPr>
              <w:spacing w:after="0"/>
              <w:rPr>
                <w:sz w:val="20"/>
                <w:szCs w:val="20"/>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20"/>
                <w:szCs w:val="20"/>
                <w:color w:val="auto"/>
              </w:rPr>
            </w:pPr>
          </w:p>
        </w:tc>
        <w:tc>
          <w:tcPr>
            <w:tcW w:w="1560" w:type="dxa"/>
            <w:vAlign w:val="bottom"/>
            <w:shd w:val="clear" w:color="auto" w:fill="E5FFFF"/>
          </w:tcPr>
          <w:p>
            <w:pPr>
              <w:jc w:val="center"/>
              <w:spacing w:after="0" w:line="240" w:lineRule="exact"/>
              <w:rPr>
                <w:sz w:val="20"/>
                <w:szCs w:val="20"/>
                <w:color w:val="auto"/>
              </w:rPr>
            </w:pPr>
            <w:r>
              <w:rPr>
                <w:rFonts w:ascii="Arial" w:cs="Arial" w:eastAsia="Arial" w:hAnsi="Arial"/>
                <w:sz w:val="16"/>
                <w:szCs w:val="16"/>
                <w:color w:val="auto"/>
                <w:w w:val="87"/>
              </w:rPr>
              <w:t xml:space="preserve">Gunvor </w:t>
            </w:r>
            <w:r>
              <w:rPr>
                <w:rFonts w:ascii="Arial" w:cs="Arial" w:eastAsia="Arial" w:hAnsi="Arial"/>
                <w:sz w:val="26"/>
                <w:szCs w:val="26"/>
                <w:color w:val="auto"/>
                <w:w w:val="87"/>
                <w:vertAlign w:val="superscript"/>
              </w:rPr>
              <w:t>(1)</w:t>
            </w:r>
          </w:p>
        </w:tc>
        <w:tc>
          <w:tcPr>
            <w:tcW w:w="100" w:type="dxa"/>
            <w:vAlign w:val="bottom"/>
            <w:shd w:val="clear" w:color="auto" w:fill="E5FFFF"/>
          </w:tcPr>
          <w:p>
            <w:pPr>
              <w:spacing w:after="0"/>
              <w:rPr>
                <w:sz w:val="20"/>
                <w:szCs w:val="20"/>
                <w:color w:val="auto"/>
              </w:rPr>
            </w:pP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6"/>
              </w:rPr>
              <w:t>Steam</w:t>
            </w:r>
          </w:p>
        </w:tc>
        <w:tc>
          <w:tcPr>
            <w:tcW w:w="100" w:type="dxa"/>
            <w:vAlign w:val="bottom"/>
            <w:shd w:val="clear" w:color="auto" w:fill="E5FFFF"/>
          </w:tcPr>
          <w:p>
            <w:pPr>
              <w:spacing w:after="0"/>
              <w:rPr>
                <w:sz w:val="20"/>
                <w:szCs w:val="20"/>
                <w:color w:val="auto"/>
              </w:rPr>
            </w:pP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4"/>
              </w:rPr>
              <w:t>March 2022</w:t>
            </w:r>
          </w:p>
        </w:tc>
        <w:tc>
          <w:tcPr>
            <w:tcW w:w="1460" w:type="dxa"/>
            <w:vAlign w:val="bottom"/>
            <w:shd w:val="clear" w:color="auto" w:fill="E5FFFF"/>
          </w:tcPr>
          <w:p>
            <w:pPr>
              <w:jc w:val="center"/>
              <w:spacing w:after="0" w:line="240" w:lineRule="exact"/>
              <w:rPr>
                <w:sz w:val="20"/>
                <w:szCs w:val="20"/>
                <w:color w:val="auto"/>
              </w:rPr>
            </w:pPr>
            <w:r>
              <w:rPr>
                <w:rFonts w:ascii="Arial" w:cs="Arial" w:eastAsia="Arial" w:hAnsi="Arial"/>
                <w:sz w:val="16"/>
                <w:szCs w:val="16"/>
                <w:color w:val="auto"/>
                <w:w w:val="84"/>
              </w:rPr>
              <w:t xml:space="preserve">2022 </w:t>
            </w:r>
            <w:r>
              <w:rPr>
                <w:rFonts w:ascii="Arial" w:cs="Arial" w:eastAsia="Arial" w:hAnsi="Arial"/>
                <w:sz w:val="26"/>
                <w:szCs w:val="26"/>
                <w:color w:val="auto"/>
                <w:w w:val="84"/>
                <w:vertAlign w:val="superscript"/>
              </w:rPr>
              <w:t>(1)</w:t>
            </w:r>
          </w:p>
        </w:tc>
        <w:tc>
          <w:tcPr>
            <w:tcW w:w="100" w:type="dxa"/>
            <w:vAlign w:val="bottom"/>
            <w:shd w:val="clear" w:color="auto" w:fill="E5FFFF"/>
          </w:tcPr>
          <w:p>
            <w:pPr>
              <w:spacing w:after="0"/>
              <w:rPr>
                <w:sz w:val="20"/>
                <w:szCs w:val="20"/>
                <w:color w:val="auto"/>
              </w:rPr>
            </w:pPr>
          </w:p>
        </w:tc>
      </w:tr>
      <w:tr>
        <w:trPr>
          <w:trHeight w:val="243"/>
        </w:trPr>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2</w:t>
            </w:r>
          </w:p>
        </w:tc>
        <w:tc>
          <w:tcPr>
            <w:tcW w:w="2480" w:type="dxa"/>
            <w:vAlign w:val="bottom"/>
            <w:gridSpan w:val="2"/>
          </w:tcPr>
          <w:p>
            <w:pPr>
              <w:spacing w:after="0"/>
              <w:rPr>
                <w:sz w:val="20"/>
                <w:szCs w:val="20"/>
                <w:color w:val="auto"/>
              </w:rPr>
            </w:pPr>
            <w:r>
              <w:rPr>
                <w:rFonts w:ascii="Arial" w:cs="Arial" w:eastAsia="Arial" w:hAnsi="Arial"/>
                <w:sz w:val="16"/>
                <w:szCs w:val="16"/>
                <w:i w:val="1"/>
                <w:iCs w:val="1"/>
                <w:color w:val="auto"/>
              </w:rPr>
              <w:t>Solaris</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2014</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line="243" w:lineRule="exact"/>
              <w:rPr>
                <w:sz w:val="20"/>
                <w:szCs w:val="20"/>
                <w:color w:val="auto"/>
              </w:rPr>
            </w:pPr>
            <w:r>
              <w:rPr>
                <w:rFonts w:ascii="Arial" w:cs="Arial" w:eastAsia="Arial" w:hAnsi="Arial"/>
                <w:sz w:val="16"/>
                <w:szCs w:val="16"/>
                <w:color w:val="auto"/>
                <w:w w:val="84"/>
              </w:rPr>
              <w:t xml:space="preserve">Shell </w:t>
            </w:r>
            <w:r>
              <w:rPr>
                <w:rFonts w:ascii="Arial" w:cs="Arial" w:eastAsia="Arial" w:hAnsi="Arial"/>
                <w:sz w:val="26"/>
                <w:szCs w:val="26"/>
                <w:color w:val="auto"/>
                <w:w w:val="84"/>
                <w:vertAlign w:val="superscript"/>
              </w:rPr>
              <w:t>(2)</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March 2022</w:t>
            </w:r>
          </w:p>
        </w:tc>
        <w:tc>
          <w:tcPr>
            <w:tcW w:w="1460" w:type="dxa"/>
            <w:vAlign w:val="bottom"/>
          </w:tcPr>
          <w:p>
            <w:pPr>
              <w:jc w:val="center"/>
              <w:spacing w:after="0" w:line="243" w:lineRule="exact"/>
              <w:rPr>
                <w:sz w:val="20"/>
                <w:szCs w:val="20"/>
                <w:color w:val="auto"/>
              </w:rPr>
            </w:pPr>
            <w:r>
              <w:rPr>
                <w:rFonts w:ascii="Arial" w:cs="Arial" w:eastAsia="Arial" w:hAnsi="Arial"/>
                <w:sz w:val="16"/>
                <w:szCs w:val="16"/>
                <w:color w:val="auto"/>
                <w:w w:val="84"/>
              </w:rPr>
              <w:t xml:space="preserve">2022 </w:t>
            </w:r>
            <w:r>
              <w:rPr>
                <w:rFonts w:ascii="Arial" w:cs="Arial" w:eastAsia="Arial" w:hAnsi="Arial"/>
                <w:sz w:val="26"/>
                <w:szCs w:val="26"/>
                <w:color w:val="auto"/>
                <w:w w:val="84"/>
                <w:vertAlign w:val="superscript"/>
              </w:rPr>
              <w:t>(2)</w:t>
            </w:r>
          </w:p>
        </w:tc>
        <w:tc>
          <w:tcPr>
            <w:tcW w:w="100" w:type="dxa"/>
            <w:vAlign w:val="bottom"/>
          </w:tcPr>
          <w:p>
            <w:pPr>
              <w:spacing w:after="0"/>
              <w:rPr>
                <w:sz w:val="21"/>
                <w:szCs w:val="21"/>
                <w:color w:val="auto"/>
              </w:rPr>
            </w:pPr>
          </w:p>
        </w:tc>
      </w:tr>
      <w:tr>
        <w:trPr>
          <w:trHeight w:val="243"/>
        </w:trPr>
        <w:tc>
          <w:tcPr>
            <w:tcW w:w="2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3</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i w:val="1"/>
                <w:iCs w:val="1"/>
                <w:color w:val="auto"/>
              </w:rPr>
              <w:t>Methane Heather Sally</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2007</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shd w:val="clear" w:color="auto" w:fill="E5FFFF"/>
          </w:tcPr>
          <w:p>
            <w:pPr>
              <w:spacing w:after="0"/>
              <w:rPr>
                <w:sz w:val="21"/>
                <w:szCs w:val="21"/>
                <w:color w:val="auto"/>
              </w:rPr>
            </w:pPr>
          </w:p>
        </w:tc>
        <w:tc>
          <w:tcPr>
            <w:tcW w:w="1660" w:type="dxa"/>
            <w:vAlign w:val="bottom"/>
            <w:gridSpan w:val="2"/>
            <w:shd w:val="clear" w:color="auto" w:fill="E5FFFF"/>
          </w:tcPr>
          <w:p>
            <w:pPr>
              <w:jc w:val="center"/>
              <w:ind w:right="120"/>
              <w:spacing w:after="0" w:line="243" w:lineRule="exact"/>
              <w:rPr>
                <w:sz w:val="20"/>
                <w:szCs w:val="20"/>
                <w:color w:val="auto"/>
              </w:rPr>
            </w:pPr>
            <w:r>
              <w:rPr>
                <w:rFonts w:ascii="Arial" w:cs="Arial" w:eastAsia="Arial" w:hAnsi="Arial"/>
                <w:sz w:val="16"/>
                <w:szCs w:val="16"/>
                <w:color w:val="auto"/>
                <w:w w:val="86"/>
              </w:rPr>
              <w:t xml:space="preserve">Cheniere </w:t>
            </w:r>
            <w:r>
              <w:rPr>
                <w:rFonts w:ascii="Arial" w:cs="Arial" w:eastAsia="Arial" w:hAnsi="Arial"/>
                <w:sz w:val="26"/>
                <w:szCs w:val="26"/>
                <w:color w:val="auto"/>
                <w:w w:val="86"/>
                <w:vertAlign w:val="superscript"/>
              </w:rPr>
              <w:t>(3)</w:t>
            </w:r>
          </w:p>
        </w:tc>
        <w:tc>
          <w:tcPr>
            <w:tcW w:w="10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86"/>
              </w:rPr>
              <w:t>Steam</w:t>
            </w: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June 2022</w:t>
            </w:r>
          </w:p>
        </w:tc>
        <w:tc>
          <w:tcPr>
            <w:tcW w:w="15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9"/>
              </w:rPr>
              <w:t>—</w:t>
            </w:r>
          </w:p>
        </w:tc>
      </w:tr>
      <w:tr>
        <w:trPr>
          <w:trHeight w:val="243"/>
        </w:trPr>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4</w:t>
            </w:r>
          </w:p>
        </w:tc>
        <w:tc>
          <w:tcPr>
            <w:tcW w:w="2480" w:type="dxa"/>
            <w:vAlign w:val="bottom"/>
            <w:gridSpan w:val="2"/>
          </w:tcPr>
          <w:p>
            <w:pPr>
              <w:spacing w:after="0"/>
              <w:rPr>
                <w:sz w:val="20"/>
                <w:szCs w:val="20"/>
                <w:color w:val="auto"/>
              </w:rPr>
            </w:pPr>
            <w:r>
              <w:rPr>
                <w:rFonts w:ascii="Arial" w:cs="Arial" w:eastAsia="Arial" w:hAnsi="Arial"/>
                <w:sz w:val="16"/>
                <w:szCs w:val="16"/>
                <w:i w:val="1"/>
                <w:iCs w:val="1"/>
                <w:color w:val="auto"/>
              </w:rPr>
              <w:t>GasLog Sydney</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line="243" w:lineRule="exact"/>
              <w:rPr>
                <w:sz w:val="20"/>
                <w:szCs w:val="20"/>
                <w:color w:val="auto"/>
              </w:rPr>
            </w:pPr>
            <w:r>
              <w:rPr>
                <w:rFonts w:ascii="Arial" w:cs="Arial" w:eastAsia="Arial" w:hAnsi="Arial"/>
                <w:sz w:val="16"/>
                <w:szCs w:val="16"/>
                <w:color w:val="auto"/>
                <w:w w:val="86"/>
              </w:rPr>
              <w:t xml:space="preserve">TotalEnergies </w:t>
            </w:r>
            <w:r>
              <w:rPr>
                <w:rFonts w:ascii="Arial" w:cs="Arial" w:eastAsia="Arial" w:hAnsi="Arial"/>
                <w:sz w:val="26"/>
                <w:szCs w:val="26"/>
                <w:color w:val="auto"/>
                <w:w w:val="86"/>
                <w:vertAlign w:val="superscript"/>
              </w:rPr>
              <w:t>(4)</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2022</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r>
      <w:tr>
        <w:trPr>
          <w:trHeight w:val="216"/>
        </w:trPr>
        <w:tc>
          <w:tcPr>
            <w:tcW w:w="2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5</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i w:val="1"/>
                <w:iCs w:val="1"/>
                <w:color w:val="auto"/>
              </w:rPr>
              <w:t>GasLog Seattle</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shd w:val="clear" w:color="auto" w:fill="E5FFFF"/>
          </w:tcPr>
          <w:p>
            <w:pPr>
              <w:spacing w:after="0"/>
              <w:rPr>
                <w:sz w:val="18"/>
                <w:szCs w:val="18"/>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18"/>
                <w:szCs w:val="18"/>
                <w:color w:val="auto"/>
              </w:rPr>
            </w:pPr>
          </w:p>
        </w:tc>
        <w:tc>
          <w:tcPr>
            <w:tcW w:w="16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TotalEnergies</w:t>
            </w:r>
          </w:p>
        </w:tc>
        <w:tc>
          <w:tcPr>
            <w:tcW w:w="10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88"/>
              </w:rPr>
              <w:t>June 2022</w:t>
            </w:r>
          </w:p>
        </w:tc>
        <w:tc>
          <w:tcPr>
            <w:tcW w:w="156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9"/>
              </w:rPr>
              <w:t>—</w:t>
            </w:r>
          </w:p>
        </w:tc>
      </w:tr>
      <w:tr>
        <w:trPr>
          <w:trHeight w:val="243"/>
        </w:trPr>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480" w:type="dxa"/>
            <w:vAlign w:val="bottom"/>
            <w:gridSpan w:val="2"/>
          </w:tcPr>
          <w:p>
            <w:pPr>
              <w:spacing w:after="0"/>
              <w:rPr>
                <w:sz w:val="20"/>
                <w:szCs w:val="20"/>
                <w:color w:val="auto"/>
              </w:rPr>
            </w:pPr>
            <w:r>
              <w:rPr>
                <w:rFonts w:ascii="Arial" w:cs="Arial" w:eastAsia="Arial" w:hAnsi="Arial"/>
                <w:sz w:val="16"/>
                <w:szCs w:val="16"/>
                <w:i w:val="1"/>
                <w:iCs w:val="1"/>
                <w:color w:val="auto"/>
              </w:rPr>
              <w:t>Methane Shirley Elisabeth</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line="243" w:lineRule="exact"/>
              <w:rPr>
                <w:sz w:val="20"/>
                <w:szCs w:val="20"/>
                <w:color w:val="auto"/>
              </w:rPr>
            </w:pPr>
            <w:r>
              <w:rPr>
                <w:rFonts w:ascii="Arial" w:cs="Arial" w:eastAsia="Arial" w:hAnsi="Arial"/>
                <w:sz w:val="16"/>
                <w:szCs w:val="16"/>
                <w:color w:val="auto"/>
                <w:w w:val="86"/>
              </w:rPr>
              <w:t xml:space="preserve">JOVO </w:t>
            </w:r>
            <w:r>
              <w:rPr>
                <w:rFonts w:ascii="Arial" w:cs="Arial" w:eastAsia="Arial" w:hAnsi="Arial"/>
                <w:sz w:val="26"/>
                <w:szCs w:val="26"/>
                <w:color w:val="auto"/>
                <w:w w:val="86"/>
                <w:vertAlign w:val="superscript"/>
              </w:rPr>
              <w:t>(5)</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86"/>
              </w:rPr>
              <w:t>Steam</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August 2022</w:t>
            </w:r>
          </w:p>
        </w:tc>
        <w:tc>
          <w:tcPr>
            <w:tcW w:w="1560" w:type="dxa"/>
            <w:vAlign w:val="bottom"/>
            <w:gridSpan w:val="2"/>
          </w:tcPr>
          <w:p>
            <w:pPr>
              <w:jc w:val="center"/>
              <w:ind w:right="120"/>
              <w:spacing w:after="0"/>
              <w:rPr>
                <w:sz w:val="20"/>
                <w:szCs w:val="20"/>
                <w:color w:val="auto"/>
              </w:rPr>
            </w:pPr>
            <w:r>
              <w:rPr>
                <w:rFonts w:ascii="Arial" w:cs="Arial" w:eastAsia="Arial" w:hAnsi="Arial"/>
                <w:sz w:val="16"/>
                <w:szCs w:val="16"/>
                <w:color w:val="auto"/>
                <w:w w:val="99"/>
              </w:rPr>
              <w:t>—</w:t>
            </w:r>
          </w:p>
        </w:tc>
      </w:tr>
      <w:tr>
        <w:trPr>
          <w:trHeight w:val="243"/>
        </w:trPr>
        <w:tc>
          <w:tcPr>
            <w:tcW w:w="2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7</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i w:val="1"/>
                <w:iCs w:val="1"/>
                <w:color w:val="auto"/>
              </w:rPr>
              <w:t>GasLog Santiago</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2013</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21"/>
                <w:szCs w:val="21"/>
                <w:color w:val="auto"/>
              </w:rPr>
            </w:pPr>
          </w:p>
        </w:tc>
        <w:tc>
          <w:tcPr>
            <w:tcW w:w="1660" w:type="dxa"/>
            <w:vAlign w:val="bottom"/>
            <w:gridSpan w:val="2"/>
            <w:shd w:val="clear" w:color="auto" w:fill="E5FFFF"/>
          </w:tcPr>
          <w:p>
            <w:pPr>
              <w:jc w:val="center"/>
              <w:ind w:right="100"/>
              <w:spacing w:after="0" w:line="243" w:lineRule="exact"/>
              <w:rPr>
                <w:sz w:val="20"/>
                <w:szCs w:val="20"/>
                <w:color w:val="auto"/>
              </w:rPr>
            </w:pPr>
            <w:r>
              <w:rPr>
                <w:rFonts w:ascii="Arial" w:cs="Arial" w:eastAsia="Arial" w:hAnsi="Arial"/>
                <w:sz w:val="16"/>
                <w:szCs w:val="16"/>
                <w:color w:val="auto"/>
                <w:w w:val="89"/>
              </w:rPr>
              <w:t xml:space="preserve">Trafigura </w:t>
            </w:r>
            <w:r>
              <w:rPr>
                <w:rFonts w:ascii="Arial" w:cs="Arial" w:eastAsia="Arial" w:hAnsi="Arial"/>
                <w:sz w:val="26"/>
                <w:szCs w:val="26"/>
                <w:color w:val="auto"/>
                <w:w w:val="89"/>
                <w:vertAlign w:val="superscript"/>
              </w:rPr>
              <w:t>(6)</w:t>
            </w:r>
          </w:p>
        </w:tc>
        <w:tc>
          <w:tcPr>
            <w:tcW w:w="10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1"/>
              </w:rPr>
              <w:t>December 2022</w:t>
            </w:r>
          </w:p>
        </w:tc>
        <w:tc>
          <w:tcPr>
            <w:tcW w:w="1560" w:type="dxa"/>
            <w:vAlign w:val="bottom"/>
            <w:gridSpan w:val="2"/>
            <w:shd w:val="clear" w:color="auto" w:fill="E5FFFF"/>
          </w:tcPr>
          <w:p>
            <w:pPr>
              <w:jc w:val="center"/>
              <w:ind w:right="120"/>
              <w:spacing w:after="0" w:line="243" w:lineRule="exact"/>
              <w:rPr>
                <w:sz w:val="20"/>
                <w:szCs w:val="20"/>
                <w:color w:val="auto"/>
              </w:rPr>
            </w:pPr>
            <w:r>
              <w:rPr>
                <w:rFonts w:ascii="Arial" w:cs="Arial" w:eastAsia="Arial" w:hAnsi="Arial"/>
                <w:sz w:val="16"/>
                <w:szCs w:val="16"/>
                <w:color w:val="auto"/>
                <w:w w:val="86"/>
              </w:rPr>
              <w:t xml:space="preserve">2023–2028 </w:t>
            </w:r>
            <w:r>
              <w:rPr>
                <w:rFonts w:ascii="Arial" w:cs="Arial" w:eastAsia="Arial" w:hAnsi="Arial"/>
                <w:sz w:val="26"/>
                <w:szCs w:val="26"/>
                <w:color w:val="auto"/>
                <w:w w:val="86"/>
                <w:vertAlign w:val="superscript"/>
              </w:rPr>
              <w:t>(6)</w:t>
            </w:r>
          </w:p>
        </w:tc>
      </w:tr>
      <w:tr>
        <w:trPr>
          <w:trHeight w:val="243"/>
        </w:trPr>
        <w:tc>
          <w:tcPr>
            <w:tcW w:w="240" w:type="dxa"/>
            <w:vAlign w:val="bottom"/>
          </w:tcPr>
          <w:p>
            <w:pPr>
              <w:jc w:val="right"/>
              <w:spacing w:after="0"/>
              <w:rPr>
                <w:sz w:val="20"/>
                <w:szCs w:val="20"/>
                <w:color w:val="auto"/>
              </w:rPr>
            </w:pPr>
            <w:r>
              <w:rPr>
                <w:rFonts w:ascii="Arial" w:cs="Arial" w:eastAsia="Arial" w:hAnsi="Arial"/>
                <w:sz w:val="16"/>
                <w:szCs w:val="16"/>
                <w:b w:val="1"/>
                <w:bCs w:val="1"/>
                <w:color w:val="auto"/>
              </w:rPr>
              <w:t>8</w:t>
            </w:r>
          </w:p>
        </w:tc>
        <w:tc>
          <w:tcPr>
            <w:tcW w:w="2480" w:type="dxa"/>
            <w:vAlign w:val="bottom"/>
            <w:gridSpan w:val="2"/>
          </w:tcPr>
          <w:p>
            <w:pPr>
              <w:spacing w:after="0"/>
              <w:rPr>
                <w:sz w:val="20"/>
                <w:szCs w:val="20"/>
                <w:color w:val="auto"/>
              </w:rPr>
            </w:pPr>
            <w:r>
              <w:rPr>
                <w:rFonts w:ascii="Arial" w:cs="Arial" w:eastAsia="Arial" w:hAnsi="Arial"/>
                <w:sz w:val="16"/>
                <w:szCs w:val="16"/>
                <w:i w:val="1"/>
                <w:iCs w:val="1"/>
                <w:color w:val="auto"/>
              </w:rPr>
              <w:t>Methane Jane Elizabeth</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2006</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Cheniere</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86"/>
              </w:rPr>
              <w:t>Steam</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March 2023</w:t>
            </w:r>
          </w:p>
        </w:tc>
        <w:tc>
          <w:tcPr>
            <w:tcW w:w="1560" w:type="dxa"/>
            <w:vAlign w:val="bottom"/>
            <w:gridSpan w:val="2"/>
          </w:tcPr>
          <w:p>
            <w:pPr>
              <w:jc w:val="center"/>
              <w:ind w:right="120"/>
              <w:spacing w:after="0" w:line="243" w:lineRule="exact"/>
              <w:rPr>
                <w:sz w:val="20"/>
                <w:szCs w:val="20"/>
                <w:color w:val="auto"/>
              </w:rPr>
            </w:pPr>
            <w:r>
              <w:rPr>
                <w:rFonts w:ascii="Arial" w:cs="Arial" w:eastAsia="Arial" w:hAnsi="Arial"/>
                <w:sz w:val="16"/>
                <w:szCs w:val="16"/>
                <w:color w:val="auto"/>
                <w:w w:val="86"/>
              </w:rPr>
              <w:t xml:space="preserve">2024–2025 </w:t>
            </w:r>
            <w:r>
              <w:rPr>
                <w:rFonts w:ascii="Arial" w:cs="Arial" w:eastAsia="Arial" w:hAnsi="Arial"/>
                <w:sz w:val="26"/>
                <w:szCs w:val="26"/>
                <w:color w:val="auto"/>
                <w:w w:val="86"/>
                <w:vertAlign w:val="superscript"/>
              </w:rPr>
              <w:t>(7)</w:t>
            </w:r>
          </w:p>
        </w:tc>
      </w:tr>
      <w:tr>
        <w:trPr>
          <w:trHeight w:val="243"/>
        </w:trPr>
        <w:tc>
          <w:tcPr>
            <w:tcW w:w="2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9</w:t>
            </w:r>
          </w:p>
        </w:tc>
        <w:tc>
          <w:tcPr>
            <w:tcW w:w="2480" w:type="dxa"/>
            <w:vAlign w:val="bottom"/>
            <w:gridSpan w:val="2"/>
            <w:shd w:val="clear" w:color="auto" w:fill="E5FFFF"/>
          </w:tcPr>
          <w:p>
            <w:pPr>
              <w:spacing w:after="0"/>
              <w:rPr>
                <w:sz w:val="20"/>
                <w:szCs w:val="20"/>
                <w:color w:val="auto"/>
              </w:rPr>
            </w:pPr>
            <w:r>
              <w:rPr>
                <w:rFonts w:ascii="Arial" w:cs="Arial" w:eastAsia="Arial" w:hAnsi="Arial"/>
                <w:sz w:val="16"/>
                <w:szCs w:val="16"/>
                <w:i w:val="1"/>
                <w:iCs w:val="1"/>
                <w:color w:val="auto"/>
              </w:rPr>
              <w:t>GasLog Geneva</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21"/>
                <w:szCs w:val="21"/>
                <w:color w:val="auto"/>
              </w:rPr>
            </w:pPr>
          </w:p>
        </w:tc>
        <w:tc>
          <w:tcPr>
            <w:tcW w:w="16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Shell</w:t>
            </w:r>
          </w:p>
        </w:tc>
        <w:tc>
          <w:tcPr>
            <w:tcW w:w="10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89"/>
              </w:rPr>
              <w:t>September 2023</w:t>
            </w:r>
          </w:p>
        </w:tc>
        <w:tc>
          <w:tcPr>
            <w:tcW w:w="146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6"/>
              </w:rPr>
              <w:t xml:space="preserve">2028–2031 </w:t>
            </w:r>
            <w:r>
              <w:rPr>
                <w:rFonts w:ascii="Arial" w:cs="Arial" w:eastAsia="Arial" w:hAnsi="Arial"/>
                <w:sz w:val="26"/>
                <w:szCs w:val="26"/>
                <w:color w:val="auto"/>
                <w:w w:val="86"/>
                <w:vertAlign w:val="superscript"/>
              </w:rPr>
              <w:t>(8)</w:t>
            </w:r>
          </w:p>
        </w:tc>
        <w:tc>
          <w:tcPr>
            <w:tcW w:w="100" w:type="dxa"/>
            <w:vAlign w:val="bottom"/>
          </w:tcPr>
          <w:p>
            <w:pPr>
              <w:spacing w:after="0"/>
              <w:rPr>
                <w:sz w:val="21"/>
                <w:szCs w:val="21"/>
                <w:color w:val="auto"/>
              </w:rPr>
            </w:pPr>
          </w:p>
        </w:tc>
      </w:tr>
      <w:tr>
        <w:trPr>
          <w:trHeight w:val="243"/>
        </w:trPr>
        <w:tc>
          <w:tcPr>
            <w:tcW w:w="272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10 </w:t>
            </w:r>
            <w:r>
              <w:rPr>
                <w:rFonts w:ascii="Arial" w:cs="Arial" w:eastAsia="Arial" w:hAnsi="Arial"/>
                <w:sz w:val="16"/>
                <w:szCs w:val="16"/>
                <w:i w:val="1"/>
                <w:iCs w:val="1"/>
                <w:color w:val="auto"/>
              </w:rPr>
              <w:t>Methane Alison Victoria</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2007</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145,000</w:t>
            </w:r>
          </w:p>
        </w:tc>
        <w:tc>
          <w:tcPr>
            <w:tcW w:w="120" w:type="dxa"/>
            <w:vAlign w:val="bottom"/>
          </w:tcPr>
          <w:p>
            <w:pPr>
              <w:spacing w:after="0"/>
              <w:rPr>
                <w:sz w:val="21"/>
                <w:szCs w:val="21"/>
                <w:color w:val="auto"/>
              </w:rPr>
            </w:pPr>
          </w:p>
        </w:tc>
        <w:tc>
          <w:tcPr>
            <w:tcW w:w="1660" w:type="dxa"/>
            <w:vAlign w:val="bottom"/>
            <w:gridSpan w:val="2"/>
          </w:tcPr>
          <w:p>
            <w:pPr>
              <w:jc w:val="center"/>
              <w:ind w:right="120"/>
              <w:spacing w:after="0" w:line="243" w:lineRule="exact"/>
              <w:rPr>
                <w:sz w:val="20"/>
                <w:szCs w:val="20"/>
                <w:color w:val="auto"/>
              </w:rPr>
            </w:pPr>
            <w:r>
              <w:rPr>
                <w:rFonts w:ascii="Arial" w:cs="Arial" w:eastAsia="Arial" w:hAnsi="Arial"/>
                <w:sz w:val="16"/>
                <w:szCs w:val="16"/>
                <w:color w:val="auto"/>
                <w:w w:val="93"/>
              </w:rPr>
              <w:t xml:space="preserve">CNTIC VPower </w:t>
            </w:r>
            <w:r>
              <w:rPr>
                <w:rFonts w:ascii="Arial" w:cs="Arial" w:eastAsia="Arial" w:hAnsi="Arial"/>
                <w:sz w:val="26"/>
                <w:szCs w:val="26"/>
                <w:color w:val="auto"/>
                <w:w w:val="93"/>
                <w:vertAlign w:val="superscript"/>
              </w:rPr>
              <w:t>(9)</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86"/>
              </w:rPr>
              <w:t>Steam</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October 2023</w:t>
            </w:r>
          </w:p>
        </w:tc>
        <w:tc>
          <w:tcPr>
            <w:tcW w:w="1460" w:type="dxa"/>
            <w:vAlign w:val="bottom"/>
          </w:tcPr>
          <w:p>
            <w:pPr>
              <w:jc w:val="center"/>
              <w:spacing w:after="0" w:line="243" w:lineRule="exact"/>
              <w:rPr>
                <w:sz w:val="20"/>
                <w:szCs w:val="20"/>
                <w:color w:val="auto"/>
              </w:rPr>
            </w:pPr>
            <w:r>
              <w:rPr>
                <w:rFonts w:ascii="Arial" w:cs="Arial" w:eastAsia="Arial" w:hAnsi="Arial"/>
                <w:sz w:val="16"/>
                <w:szCs w:val="16"/>
                <w:color w:val="auto"/>
                <w:w w:val="86"/>
              </w:rPr>
              <w:t xml:space="preserve">2024–2025 </w:t>
            </w:r>
            <w:r>
              <w:rPr>
                <w:rFonts w:ascii="Arial" w:cs="Arial" w:eastAsia="Arial" w:hAnsi="Arial"/>
                <w:sz w:val="26"/>
                <w:szCs w:val="26"/>
                <w:color w:val="auto"/>
                <w:w w:val="86"/>
                <w:vertAlign w:val="superscript"/>
              </w:rPr>
              <w:t>(9)</w:t>
            </w:r>
          </w:p>
        </w:tc>
        <w:tc>
          <w:tcPr>
            <w:tcW w:w="100" w:type="dxa"/>
            <w:vAlign w:val="bottom"/>
          </w:tcPr>
          <w:p>
            <w:pPr>
              <w:spacing w:after="0"/>
              <w:rPr>
                <w:sz w:val="21"/>
                <w:szCs w:val="21"/>
                <w:color w:val="auto"/>
              </w:rPr>
            </w:pPr>
          </w:p>
        </w:tc>
      </w:tr>
      <w:tr>
        <w:trPr>
          <w:trHeight w:val="243"/>
        </w:trPr>
        <w:tc>
          <w:tcPr>
            <w:tcW w:w="2720" w:type="dxa"/>
            <w:vAlign w:val="bottom"/>
            <w:gridSpan w:val="3"/>
            <w:shd w:val="clear" w:color="auto" w:fill="E5FFFF"/>
          </w:tcPr>
          <w:p>
            <w:pPr>
              <w:ind w:left="40"/>
              <w:spacing w:after="0"/>
              <w:rPr>
                <w:sz w:val="20"/>
                <w:szCs w:val="20"/>
                <w:color w:val="auto"/>
              </w:rPr>
            </w:pPr>
            <w:r>
              <w:rPr>
                <w:rFonts w:ascii="Arial" w:cs="Arial" w:eastAsia="Arial" w:hAnsi="Arial"/>
                <w:sz w:val="16"/>
                <w:szCs w:val="16"/>
                <w:b w:val="1"/>
                <w:bCs w:val="1"/>
                <w:color w:val="auto"/>
              </w:rPr>
              <w:t xml:space="preserve">11 </w:t>
            </w:r>
            <w:r>
              <w:rPr>
                <w:rFonts w:ascii="Arial" w:cs="Arial" w:eastAsia="Arial" w:hAnsi="Arial"/>
                <w:sz w:val="16"/>
                <w:szCs w:val="16"/>
                <w:i w:val="1"/>
                <w:iCs w:val="1"/>
                <w:color w:val="auto"/>
              </w:rPr>
              <w:t>GasLog Gibraltar</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21"/>
                <w:szCs w:val="21"/>
                <w:color w:val="auto"/>
              </w:rPr>
            </w:pPr>
          </w:p>
        </w:tc>
        <w:tc>
          <w:tcPr>
            <w:tcW w:w="16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Shell</w:t>
            </w:r>
          </w:p>
        </w:tc>
        <w:tc>
          <w:tcPr>
            <w:tcW w:w="10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shd w:val="clear" w:color="auto" w:fill="E5FFFF"/>
          </w:tcPr>
          <w:p>
            <w:pPr>
              <w:jc w:val="center"/>
              <w:ind w:right="60"/>
              <w:spacing w:after="0"/>
              <w:rPr>
                <w:sz w:val="20"/>
                <w:szCs w:val="20"/>
                <w:color w:val="auto"/>
              </w:rPr>
            </w:pPr>
            <w:r>
              <w:rPr>
                <w:rFonts w:ascii="Arial" w:cs="Arial" w:eastAsia="Arial" w:hAnsi="Arial"/>
                <w:sz w:val="16"/>
                <w:szCs w:val="16"/>
                <w:color w:val="auto"/>
                <w:w w:val="90"/>
              </w:rPr>
              <w:t>October 2023</w:t>
            </w:r>
          </w:p>
        </w:tc>
        <w:tc>
          <w:tcPr>
            <w:tcW w:w="146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6"/>
              </w:rPr>
              <w:t xml:space="preserve">2028–2031 </w:t>
            </w:r>
            <w:r>
              <w:rPr>
                <w:rFonts w:ascii="Arial" w:cs="Arial" w:eastAsia="Arial" w:hAnsi="Arial"/>
                <w:sz w:val="26"/>
                <w:szCs w:val="26"/>
                <w:color w:val="auto"/>
                <w:w w:val="86"/>
                <w:vertAlign w:val="superscript"/>
              </w:rPr>
              <w:t>(8)</w:t>
            </w:r>
          </w:p>
        </w:tc>
        <w:tc>
          <w:tcPr>
            <w:tcW w:w="100" w:type="dxa"/>
            <w:vAlign w:val="bottom"/>
          </w:tcPr>
          <w:p>
            <w:pPr>
              <w:spacing w:after="0"/>
              <w:rPr>
                <w:sz w:val="21"/>
                <w:szCs w:val="21"/>
                <w:color w:val="auto"/>
              </w:rPr>
            </w:pPr>
          </w:p>
        </w:tc>
      </w:tr>
      <w:tr>
        <w:trPr>
          <w:trHeight w:val="243"/>
        </w:trPr>
        <w:tc>
          <w:tcPr>
            <w:tcW w:w="272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12 </w:t>
            </w:r>
            <w:r>
              <w:rPr>
                <w:rFonts w:ascii="Arial" w:cs="Arial" w:eastAsia="Arial" w:hAnsi="Arial"/>
                <w:sz w:val="16"/>
                <w:szCs w:val="16"/>
                <w:i w:val="1"/>
                <w:iCs w:val="1"/>
                <w:color w:val="auto"/>
              </w:rPr>
              <w:t>Methane Becki Anne</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2010</w:t>
            </w:r>
          </w:p>
        </w:tc>
        <w:tc>
          <w:tcPr>
            <w:tcW w:w="120" w:type="dxa"/>
            <w:vAlign w:val="bottom"/>
          </w:tcPr>
          <w:p>
            <w:pPr>
              <w:spacing w:after="0"/>
              <w:rPr>
                <w:sz w:val="21"/>
                <w:szCs w:val="21"/>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170,000</w:t>
            </w:r>
          </w:p>
        </w:tc>
        <w:tc>
          <w:tcPr>
            <w:tcW w:w="120" w:type="dxa"/>
            <w:vAlign w:val="bottom"/>
          </w:tcPr>
          <w:p>
            <w:pPr>
              <w:spacing w:after="0"/>
              <w:rPr>
                <w:sz w:val="21"/>
                <w:szCs w:val="21"/>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Shell</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color w:val="auto"/>
                <w:w w:val="94"/>
              </w:rPr>
              <w:t>March 2024</w:t>
            </w:r>
          </w:p>
        </w:tc>
        <w:tc>
          <w:tcPr>
            <w:tcW w:w="1460" w:type="dxa"/>
            <w:vAlign w:val="bottom"/>
          </w:tcPr>
          <w:p>
            <w:pPr>
              <w:jc w:val="center"/>
              <w:spacing w:after="0" w:line="243" w:lineRule="exact"/>
              <w:rPr>
                <w:sz w:val="20"/>
                <w:szCs w:val="20"/>
                <w:color w:val="auto"/>
              </w:rPr>
            </w:pPr>
            <w:r>
              <w:rPr>
                <w:rFonts w:ascii="Arial" w:cs="Arial" w:eastAsia="Arial" w:hAnsi="Arial"/>
                <w:sz w:val="16"/>
                <w:szCs w:val="16"/>
                <w:color w:val="auto"/>
                <w:w w:val="86"/>
              </w:rPr>
              <w:t xml:space="preserve">2027–2029 </w:t>
            </w:r>
            <w:r>
              <w:rPr>
                <w:rFonts w:ascii="Arial" w:cs="Arial" w:eastAsia="Arial" w:hAnsi="Arial"/>
                <w:sz w:val="26"/>
                <w:szCs w:val="26"/>
                <w:color w:val="auto"/>
                <w:w w:val="86"/>
                <w:vertAlign w:val="superscript"/>
              </w:rPr>
              <w:t>(10)</w:t>
            </w:r>
          </w:p>
        </w:tc>
        <w:tc>
          <w:tcPr>
            <w:tcW w:w="100" w:type="dxa"/>
            <w:vAlign w:val="bottom"/>
          </w:tcPr>
          <w:p>
            <w:pPr>
              <w:spacing w:after="0"/>
              <w:rPr>
                <w:sz w:val="21"/>
                <w:szCs w:val="21"/>
                <w:color w:val="auto"/>
              </w:rPr>
            </w:pPr>
          </w:p>
        </w:tc>
      </w:tr>
      <w:tr>
        <w:trPr>
          <w:trHeight w:val="243"/>
        </w:trPr>
        <w:tc>
          <w:tcPr>
            <w:tcW w:w="2720" w:type="dxa"/>
            <w:vAlign w:val="bottom"/>
            <w:gridSpan w:val="3"/>
            <w:shd w:val="clear" w:color="auto" w:fill="E5FFFF"/>
          </w:tcPr>
          <w:p>
            <w:pPr>
              <w:ind w:left="40"/>
              <w:spacing w:after="0"/>
              <w:rPr>
                <w:sz w:val="20"/>
                <w:szCs w:val="20"/>
                <w:color w:val="auto"/>
              </w:rPr>
            </w:pPr>
            <w:r>
              <w:rPr>
                <w:rFonts w:ascii="Arial" w:cs="Arial" w:eastAsia="Arial" w:hAnsi="Arial"/>
                <w:sz w:val="16"/>
                <w:szCs w:val="16"/>
                <w:b w:val="1"/>
                <w:bCs w:val="1"/>
                <w:color w:val="auto"/>
              </w:rPr>
              <w:t xml:space="preserve">13 </w:t>
            </w:r>
            <w:r>
              <w:rPr>
                <w:rFonts w:ascii="Arial" w:cs="Arial" w:eastAsia="Arial" w:hAnsi="Arial"/>
                <w:sz w:val="16"/>
                <w:szCs w:val="16"/>
                <w:i w:val="1"/>
                <w:iCs w:val="1"/>
                <w:color w:val="auto"/>
              </w:rPr>
              <w:t>GasLog Greece</w:t>
            </w:r>
          </w:p>
        </w:tc>
        <w:tc>
          <w:tcPr>
            <w:tcW w:w="9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shd w:val="clear" w:color="auto" w:fill="E5FFFF"/>
          </w:tcPr>
          <w:p>
            <w:pPr>
              <w:spacing w:after="0"/>
              <w:rPr>
                <w:sz w:val="21"/>
                <w:szCs w:val="21"/>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shd w:val="clear" w:color="auto" w:fill="E5FFFF"/>
          </w:tcPr>
          <w:p>
            <w:pPr>
              <w:spacing w:after="0"/>
              <w:rPr>
                <w:sz w:val="21"/>
                <w:szCs w:val="21"/>
                <w:color w:val="auto"/>
              </w:rPr>
            </w:pPr>
          </w:p>
        </w:tc>
        <w:tc>
          <w:tcPr>
            <w:tcW w:w="166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89"/>
              </w:rPr>
              <w:t>Shell</w:t>
            </w:r>
          </w:p>
        </w:tc>
        <w:tc>
          <w:tcPr>
            <w:tcW w:w="1000" w:type="dxa"/>
            <w:vAlign w:val="bottom"/>
            <w:gridSpan w:val="2"/>
            <w:shd w:val="clear" w:color="auto" w:fill="E5FFFF"/>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4"/>
              </w:rPr>
              <w:t>March 2026</w:t>
            </w:r>
          </w:p>
        </w:tc>
        <w:tc>
          <w:tcPr>
            <w:tcW w:w="1460" w:type="dxa"/>
            <w:vAlign w:val="bottom"/>
            <w:shd w:val="clear" w:color="auto" w:fill="E5FFFF"/>
          </w:tcPr>
          <w:p>
            <w:pPr>
              <w:jc w:val="center"/>
              <w:spacing w:after="0" w:line="243" w:lineRule="exact"/>
              <w:rPr>
                <w:sz w:val="20"/>
                <w:szCs w:val="20"/>
                <w:color w:val="auto"/>
              </w:rPr>
            </w:pPr>
            <w:r>
              <w:rPr>
                <w:rFonts w:ascii="Arial" w:cs="Arial" w:eastAsia="Arial" w:hAnsi="Arial"/>
                <w:sz w:val="16"/>
                <w:szCs w:val="16"/>
                <w:color w:val="auto"/>
                <w:w w:val="81"/>
              </w:rPr>
              <w:t xml:space="preserve">2031 </w:t>
            </w:r>
            <w:r>
              <w:rPr>
                <w:rFonts w:ascii="Arial" w:cs="Arial" w:eastAsia="Arial" w:hAnsi="Arial"/>
                <w:sz w:val="26"/>
                <w:szCs w:val="26"/>
                <w:color w:val="auto"/>
                <w:w w:val="81"/>
                <w:vertAlign w:val="superscript"/>
              </w:rPr>
              <w:t>(11)</w:t>
            </w:r>
          </w:p>
        </w:tc>
        <w:tc>
          <w:tcPr>
            <w:tcW w:w="100" w:type="dxa"/>
            <w:vAlign w:val="bottom"/>
          </w:tcPr>
          <w:p>
            <w:pPr>
              <w:spacing w:after="0"/>
              <w:rPr>
                <w:sz w:val="21"/>
                <w:szCs w:val="21"/>
                <w:color w:val="auto"/>
              </w:rPr>
            </w:pPr>
          </w:p>
        </w:tc>
      </w:tr>
      <w:tr>
        <w:trPr>
          <w:trHeight w:val="353"/>
        </w:trPr>
        <w:tc>
          <w:tcPr>
            <w:tcW w:w="2720" w:type="dxa"/>
            <w:vAlign w:val="bottom"/>
            <w:gridSpan w:val="3"/>
          </w:tcPr>
          <w:p>
            <w:pPr>
              <w:ind w:left="40"/>
              <w:spacing w:after="0"/>
              <w:rPr>
                <w:sz w:val="20"/>
                <w:szCs w:val="20"/>
                <w:color w:val="auto"/>
              </w:rPr>
            </w:pPr>
            <w:r>
              <w:rPr>
                <w:rFonts w:ascii="Arial" w:cs="Arial" w:eastAsia="Arial" w:hAnsi="Arial"/>
                <w:sz w:val="16"/>
                <w:szCs w:val="16"/>
                <w:b w:val="1"/>
                <w:bCs w:val="1"/>
                <w:color w:val="auto"/>
              </w:rPr>
              <w:t xml:space="preserve">14 </w:t>
            </w:r>
            <w:r>
              <w:rPr>
                <w:rFonts w:ascii="Arial" w:cs="Arial" w:eastAsia="Arial" w:hAnsi="Arial"/>
                <w:sz w:val="16"/>
                <w:szCs w:val="16"/>
                <w:i w:val="1"/>
                <w:iCs w:val="1"/>
                <w:color w:val="auto"/>
              </w:rPr>
              <w:t>GasLog Glasgow</w:t>
            </w:r>
          </w:p>
        </w:tc>
        <w:tc>
          <w:tcPr>
            <w:tcW w:w="900" w:type="dxa"/>
            <w:vAlign w:val="bottom"/>
          </w:tcPr>
          <w:p>
            <w:pPr>
              <w:jc w:val="center"/>
              <w:spacing w:after="0"/>
              <w:rPr>
                <w:sz w:val="20"/>
                <w:szCs w:val="20"/>
                <w:color w:val="auto"/>
              </w:rPr>
            </w:pPr>
            <w:r>
              <w:rPr>
                <w:rFonts w:ascii="Arial" w:cs="Arial" w:eastAsia="Arial" w:hAnsi="Arial"/>
                <w:sz w:val="16"/>
                <w:szCs w:val="16"/>
                <w:color w:val="auto"/>
                <w:w w:val="89"/>
              </w:rPr>
              <w:t>2016</w:t>
            </w:r>
          </w:p>
        </w:tc>
        <w:tc>
          <w:tcPr>
            <w:tcW w:w="120" w:type="dxa"/>
            <w:vAlign w:val="bottom"/>
          </w:tcPr>
          <w:p>
            <w:pPr>
              <w:spacing w:after="0"/>
              <w:rPr>
                <w:sz w:val="24"/>
                <w:szCs w:val="24"/>
                <w:color w:val="auto"/>
              </w:rPr>
            </w:pP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174,000</w:t>
            </w:r>
          </w:p>
        </w:tc>
        <w:tc>
          <w:tcPr>
            <w:tcW w:w="12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Shell</w:t>
            </w:r>
          </w:p>
        </w:tc>
        <w:tc>
          <w:tcPr>
            <w:tcW w:w="1000" w:type="dxa"/>
            <w:vAlign w:val="bottom"/>
            <w:gridSpan w:val="2"/>
          </w:tcPr>
          <w:p>
            <w:pPr>
              <w:jc w:val="center"/>
              <w:ind w:right="80"/>
              <w:spacing w:after="0"/>
              <w:rPr>
                <w:sz w:val="20"/>
                <w:szCs w:val="20"/>
                <w:color w:val="auto"/>
              </w:rPr>
            </w:pPr>
            <w:r>
              <w:rPr>
                <w:rFonts w:ascii="Arial" w:cs="Arial" w:eastAsia="Arial" w:hAnsi="Arial"/>
                <w:sz w:val="16"/>
                <w:szCs w:val="16"/>
                <w:color w:val="auto"/>
                <w:w w:val="95"/>
              </w:rPr>
              <w:t>TFDE</w:t>
            </w: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2026</w:t>
            </w:r>
          </w:p>
        </w:tc>
        <w:tc>
          <w:tcPr>
            <w:tcW w:w="1460" w:type="dxa"/>
            <w:vAlign w:val="bottom"/>
          </w:tcPr>
          <w:p>
            <w:pPr>
              <w:jc w:val="center"/>
              <w:spacing w:after="0"/>
              <w:rPr>
                <w:sz w:val="20"/>
                <w:szCs w:val="20"/>
                <w:color w:val="auto"/>
              </w:rPr>
            </w:pPr>
            <w:r>
              <w:rPr>
                <w:rFonts w:ascii="Arial" w:cs="Arial" w:eastAsia="Arial" w:hAnsi="Arial"/>
                <w:sz w:val="16"/>
                <w:szCs w:val="16"/>
                <w:color w:val="auto"/>
                <w:w w:val="81"/>
              </w:rPr>
              <w:t xml:space="preserve">2031 </w:t>
            </w:r>
            <w:r>
              <w:rPr>
                <w:rFonts w:ascii="Arial" w:cs="Arial" w:eastAsia="Arial" w:hAnsi="Arial"/>
                <w:sz w:val="26"/>
                <w:szCs w:val="26"/>
                <w:color w:val="auto"/>
                <w:w w:val="81"/>
                <w:vertAlign w:val="superscript"/>
              </w:rPr>
              <w:t>(11)</w:t>
            </w:r>
          </w:p>
        </w:tc>
        <w:tc>
          <w:tcPr>
            <w:tcW w:w="100" w:type="dxa"/>
            <w:vAlign w:val="bottom"/>
          </w:tcPr>
          <w:p>
            <w:pPr>
              <w:spacing w:after="0"/>
              <w:rPr>
                <w:sz w:val="24"/>
                <w:szCs w:val="24"/>
                <w:color w:val="auto"/>
              </w:rPr>
            </w:pPr>
          </w:p>
        </w:tc>
      </w:tr>
      <w:tr>
        <w:trPr>
          <w:trHeight w:val="106"/>
        </w:trPr>
        <w:tc>
          <w:tcPr>
            <w:tcW w:w="240" w:type="dxa"/>
            <w:vAlign w:val="bottom"/>
          </w:tcPr>
          <w:p>
            <w:pPr>
              <w:spacing w:after="0"/>
              <w:rPr>
                <w:sz w:val="9"/>
                <w:szCs w:val="9"/>
                <w:color w:val="auto"/>
              </w:rPr>
            </w:pPr>
          </w:p>
        </w:tc>
        <w:tc>
          <w:tcPr>
            <w:tcW w:w="236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386"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0"/>
          <w:szCs w:val="10"/>
          <w:color w:val="auto"/>
        </w:rPr>
      </w:pPr>
      <w:r>
        <w:rPr>
          <w:rFonts w:ascii="Arial" w:cs="Arial" w:eastAsia="Arial" w:hAnsi="Arial"/>
          <w:sz w:val="14"/>
          <w:szCs w:val="14"/>
          <w:color w:val="auto"/>
        </w:rPr>
        <w:t>The vessel is chartered to Clearlake Shipping Pte. Ltd., a subsidiary of Gunvor. Charterers may extend the term of the time charter by an additional period of six months.</w:t>
      </w:r>
    </w:p>
    <w:p>
      <w:pPr>
        <w:ind w:left="340" w:hanging="332"/>
        <w:spacing w:after="0" w:line="221" w:lineRule="auto"/>
        <w:tabs>
          <w:tab w:leader="none" w:pos="340" w:val="left"/>
        </w:tabs>
        <w:numPr>
          <w:ilvl w:val="0"/>
          <w:numId w:val="4"/>
        </w:numPr>
        <w:rPr>
          <w:rFonts w:ascii="Arial" w:cs="Arial" w:eastAsia="Arial" w:hAnsi="Arial"/>
          <w:sz w:val="10"/>
          <w:szCs w:val="10"/>
          <w:color w:val="auto"/>
        </w:rPr>
      </w:pPr>
      <w:r>
        <w:rPr>
          <w:rFonts w:ascii="Arial" w:cs="Arial" w:eastAsia="Arial" w:hAnsi="Arial"/>
          <w:sz w:val="14"/>
          <w:szCs w:val="14"/>
          <w:color w:val="auto"/>
        </w:rPr>
        <w:t>The vessel is chartered to a wholly owned subsidiary of Royal Dutch Shell plc, (“Shell”). Charterers have the option to extend the charter by an additional four months.</w:t>
      </w:r>
    </w:p>
    <w:p>
      <w:pPr>
        <w:ind w:left="340" w:hanging="332"/>
        <w:spacing w:after="0" w:line="221" w:lineRule="auto"/>
        <w:tabs>
          <w:tab w:leader="none" w:pos="340" w:val="left"/>
        </w:tabs>
        <w:numPr>
          <w:ilvl w:val="0"/>
          <w:numId w:val="4"/>
        </w:numPr>
        <w:rPr>
          <w:rFonts w:ascii="Arial" w:cs="Arial" w:eastAsia="Arial" w:hAnsi="Arial"/>
          <w:sz w:val="10"/>
          <w:szCs w:val="10"/>
          <w:color w:val="auto"/>
        </w:rPr>
      </w:pPr>
      <w:r>
        <w:rPr>
          <w:rFonts w:ascii="Arial" w:cs="Arial" w:eastAsia="Arial" w:hAnsi="Arial"/>
          <w:sz w:val="14"/>
          <w:szCs w:val="14"/>
          <w:color w:val="auto"/>
        </w:rPr>
        <w:t>The vessel is chartered to Cheniere Marketing International LLP, a subsidiary of Cheniere Energy Inc. (“Cheniere”).</w:t>
      </w:r>
    </w:p>
    <w:p>
      <w:pPr>
        <w:ind w:left="340" w:hanging="332"/>
        <w:spacing w:after="0" w:line="221" w:lineRule="auto"/>
        <w:tabs>
          <w:tab w:leader="none" w:pos="340" w:val="left"/>
        </w:tabs>
        <w:numPr>
          <w:ilvl w:val="0"/>
          <w:numId w:val="4"/>
        </w:numPr>
        <w:rPr>
          <w:rFonts w:ascii="Arial" w:cs="Arial" w:eastAsia="Arial" w:hAnsi="Arial"/>
          <w:sz w:val="10"/>
          <w:szCs w:val="10"/>
          <w:color w:val="auto"/>
        </w:rPr>
      </w:pPr>
      <w:r>
        <w:rPr>
          <w:rFonts w:ascii="Arial" w:cs="Arial" w:eastAsia="Arial" w:hAnsi="Arial"/>
          <w:sz w:val="14"/>
          <w:szCs w:val="14"/>
          <w:color w:val="auto"/>
        </w:rPr>
        <w:t>The vessel is chartered to TotalEnergies Gas &amp; Power Limited, a wholly owned subsidiary of TotalEnergies SE (“TotalEnergies”).</w:t>
      </w:r>
    </w:p>
    <w:p>
      <w:pPr>
        <w:ind w:left="340" w:hanging="332"/>
        <w:spacing w:after="0" w:line="221" w:lineRule="auto"/>
        <w:tabs>
          <w:tab w:leader="none" w:pos="340" w:val="left"/>
        </w:tabs>
        <w:numPr>
          <w:ilvl w:val="0"/>
          <w:numId w:val="4"/>
        </w:numPr>
        <w:rPr>
          <w:rFonts w:ascii="Arial" w:cs="Arial" w:eastAsia="Arial" w:hAnsi="Arial"/>
          <w:sz w:val="10"/>
          <w:szCs w:val="10"/>
          <w:color w:val="auto"/>
        </w:rPr>
      </w:pPr>
      <w:r>
        <w:rPr>
          <w:rFonts w:ascii="Arial" w:cs="Arial" w:eastAsia="Arial" w:hAnsi="Arial"/>
          <w:sz w:val="14"/>
          <w:szCs w:val="14"/>
          <w:color w:val="auto"/>
        </w:rPr>
        <w:t>The vessel is chartered to Singapore Carbon Hydrogen Energy Pte. Ltd., a wholly owned subsidiary of JOVO Group (“JOVO”).</w:t>
      </w:r>
    </w:p>
    <w:p>
      <w:pPr>
        <w:ind w:left="340" w:right="160" w:hanging="332"/>
        <w:spacing w:after="0" w:line="221" w:lineRule="auto"/>
        <w:tabs>
          <w:tab w:leader="none" w:pos="340" w:val="left"/>
        </w:tabs>
        <w:numPr>
          <w:ilvl w:val="0"/>
          <w:numId w:val="4"/>
        </w:numPr>
        <w:rPr>
          <w:rFonts w:ascii="Arial" w:cs="Arial" w:eastAsia="Arial" w:hAnsi="Arial"/>
          <w:sz w:val="10"/>
          <w:szCs w:val="10"/>
          <w:color w:val="auto"/>
        </w:rPr>
      </w:pPr>
      <w:r>
        <w:rPr>
          <w:rFonts w:ascii="Arial" w:cs="Arial" w:eastAsia="Arial" w:hAnsi="Arial"/>
          <w:sz w:val="14"/>
          <w:szCs w:val="14"/>
          <w:color w:val="auto"/>
        </w:rPr>
        <w:t>The vessel is chartered to Trafigura Maritime Logistics PTE Ltd. (“Trafigura”). Charterer may extend the term of this time charter for a period ranging from one to six years, provided that the charterer gives us advance notice of declaration. The period shown reflects the expiration of the minimum optional period and the maximum optional period.</w:t>
      </w:r>
    </w:p>
    <w:p>
      <w:pPr>
        <w:ind w:left="340" w:right="160" w:hanging="332"/>
        <w:spacing w:after="0" w:line="221" w:lineRule="auto"/>
        <w:tabs>
          <w:tab w:leader="none" w:pos="340" w:val="left"/>
        </w:tabs>
        <w:numPr>
          <w:ilvl w:val="0"/>
          <w:numId w:val="4"/>
        </w:numPr>
        <w:rPr>
          <w:rFonts w:ascii="Arial" w:cs="Arial" w:eastAsia="Arial" w:hAnsi="Arial"/>
          <w:sz w:val="10"/>
          <w:szCs w:val="10"/>
          <w:color w:val="auto"/>
        </w:rPr>
      </w:pPr>
      <w:r>
        <w:rPr>
          <w:rFonts w:ascii="Arial" w:cs="Arial" w:eastAsia="Arial" w:hAnsi="Arial"/>
          <w:sz w:val="14"/>
          <w:szCs w:val="14"/>
          <w:color w:val="auto"/>
        </w:rPr>
        <w:t>Charterers may extend the term of the time charters by two additional periods of one year, provided that the charterer gives us advance notice of declaration. The period shown reflects the expiration of the minimum optional period and the maximum optional period.</w:t>
      </w:r>
    </w:p>
    <w:p>
      <w:pPr>
        <w:ind w:left="340" w:right="300" w:hanging="332"/>
        <w:spacing w:after="0" w:line="221" w:lineRule="auto"/>
        <w:tabs>
          <w:tab w:leader="none" w:pos="340" w:val="left"/>
        </w:tabs>
        <w:numPr>
          <w:ilvl w:val="0"/>
          <w:numId w:val="4"/>
        </w:numPr>
        <w:rPr>
          <w:rFonts w:ascii="Arial" w:cs="Arial" w:eastAsia="Arial" w:hAnsi="Arial"/>
          <w:sz w:val="10"/>
          <w:szCs w:val="10"/>
          <w:color w:val="auto"/>
        </w:rPr>
      </w:pPr>
      <w:r>
        <w:rPr>
          <w:rFonts w:ascii="Arial" w:cs="Arial" w:eastAsia="Arial" w:hAnsi="Arial"/>
          <w:sz w:val="14"/>
          <w:szCs w:val="14"/>
          <w:color w:val="auto"/>
        </w:rPr>
        <w:t>Charterer may extend the term of the time charters by two additional periods of five and three years, respectively, provided that the charterer gives us advance notice of declaration. The period shown reflects the expiration of the minimum optional period and the maximum optional period.</w:t>
      </w:r>
    </w:p>
    <w:p>
      <w:pPr>
        <w:ind w:left="340" w:right="100" w:hanging="332"/>
        <w:spacing w:after="0" w:line="221" w:lineRule="auto"/>
        <w:tabs>
          <w:tab w:leader="none" w:pos="340" w:val="left"/>
        </w:tabs>
        <w:numPr>
          <w:ilvl w:val="0"/>
          <w:numId w:val="4"/>
        </w:numPr>
        <w:rPr>
          <w:rFonts w:ascii="Arial" w:cs="Arial" w:eastAsia="Arial" w:hAnsi="Arial"/>
          <w:sz w:val="10"/>
          <w:szCs w:val="10"/>
          <w:color w:val="auto"/>
        </w:rPr>
      </w:pPr>
      <w:r>
        <w:rPr>
          <w:rFonts w:ascii="Arial" w:cs="Arial" w:eastAsia="Arial" w:hAnsi="Arial"/>
          <w:sz w:val="14"/>
          <w:szCs w:val="14"/>
          <w:color w:val="auto"/>
        </w:rPr>
        <w:t>The vessel is chartered to CNTIC Vpower Energy Ltd. (“CNTIC Vpower”), an independent Chinese energy company. The charterer may extend the term of the related charter by two additional periods of one year, provided that the charterer gives us advance notice of its exercise of any extension option. The period shown reflects the expiration of the minimum optional period and the maximum optional period.</w:t>
      </w:r>
    </w:p>
    <w:p>
      <w:pPr>
        <w:ind w:left="340" w:right="440" w:hanging="332"/>
        <w:spacing w:after="0" w:line="221" w:lineRule="auto"/>
        <w:tabs>
          <w:tab w:leader="none" w:pos="340" w:val="left"/>
        </w:tabs>
        <w:numPr>
          <w:ilvl w:val="0"/>
          <w:numId w:val="4"/>
        </w:numPr>
        <w:rPr>
          <w:rFonts w:ascii="Arial" w:cs="Arial" w:eastAsia="Arial" w:hAnsi="Arial"/>
          <w:sz w:val="10"/>
          <w:szCs w:val="10"/>
          <w:color w:val="auto"/>
        </w:rPr>
      </w:pPr>
      <w:r>
        <w:rPr>
          <w:rFonts w:ascii="Arial" w:cs="Arial" w:eastAsia="Arial" w:hAnsi="Arial"/>
          <w:sz w:val="14"/>
          <w:szCs w:val="14"/>
          <w:color w:val="auto"/>
        </w:rPr>
        <w:t>Charterer may extend the term of the related charter for one extension period of three or five years, provided that the charterer gives us advance notice of its exercise of any extension option. The period shown reflects the expiration of the minimum optional period and the maximum optional period.</w:t>
      </w:r>
    </w:p>
    <w:p>
      <w:pPr>
        <w:ind w:left="340" w:hanging="332"/>
        <w:spacing w:after="0"/>
        <w:tabs>
          <w:tab w:leader="none" w:pos="340" w:val="left"/>
        </w:tabs>
        <w:numPr>
          <w:ilvl w:val="0"/>
          <w:numId w:val="4"/>
        </w:numPr>
        <w:rPr>
          <w:rFonts w:ascii="Arial" w:cs="Arial" w:eastAsia="Arial" w:hAnsi="Arial"/>
          <w:sz w:val="10"/>
          <w:szCs w:val="10"/>
          <w:color w:val="auto"/>
        </w:rPr>
      </w:pPr>
      <w:r>
        <w:rPr>
          <w:rFonts w:ascii="Arial" w:cs="Arial" w:eastAsia="Arial" w:hAnsi="Arial"/>
          <w:sz w:val="14"/>
          <w:szCs w:val="14"/>
          <w:color w:val="auto"/>
        </w:rPr>
        <w:t>Charterer may extend the term of these time charters for a period of five years, provided that the charterer gives us advance notice of declaration.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6"/>
        </w:trPr>
        <w:tc>
          <w:tcPr>
            <w:tcW w:w="2840" w:type="dxa"/>
            <w:vAlign w:val="bottom"/>
            <w:gridSpan w:val="3"/>
          </w:tcPr>
          <w:p>
            <w:pPr>
              <w:spacing w:after="0"/>
              <w:rPr>
                <w:sz w:val="20"/>
                <w:szCs w:val="20"/>
                <w:color w:val="auto"/>
              </w:rPr>
            </w:pPr>
            <w:r>
              <w:rPr>
                <w:rFonts w:ascii="Arial" w:cs="Arial" w:eastAsia="Arial" w:hAnsi="Arial"/>
                <w:sz w:val="16"/>
                <w:szCs w:val="16"/>
                <w:b w:val="1"/>
                <w:bCs w:val="1"/>
                <w:i w:val="1"/>
                <w:iCs w:val="1"/>
                <w:color w:val="auto"/>
              </w:rPr>
              <w:t>Bareboat Vessel</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397"/>
        </w:trPr>
        <w:tc>
          <w:tcPr>
            <w:tcW w:w="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Cargo</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Charterer (for</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03"/>
        </w:trPr>
        <w:tc>
          <w:tcPr>
            <w:tcW w:w="24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Capacity</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contracts of more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Charter Expiration</w:t>
            </w:r>
          </w:p>
        </w:tc>
        <w:tc>
          <w:tcPr>
            <w:tcW w:w="1440" w:type="dxa"/>
            <w:vAlign w:val="bottom"/>
          </w:tcPr>
          <w:p>
            <w:pPr>
              <w:spacing w:after="0"/>
              <w:rPr>
                <w:sz w:val="17"/>
                <w:szCs w:val="17"/>
                <w:color w:val="auto"/>
              </w:rPr>
            </w:pPr>
          </w:p>
        </w:tc>
      </w:tr>
      <w:tr>
        <w:trPr>
          <w:trHeight w:val="213"/>
        </w:trPr>
        <w:tc>
          <w:tcPr>
            <w:tcW w:w="27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rPr>
              <w:t>LNG Carrier</w:t>
            </w:r>
          </w:p>
        </w:tc>
        <w:tc>
          <w:tcPr>
            <w:tcW w:w="120" w:type="dxa"/>
            <w:vAlign w:val="bottom"/>
            <w:tcBorders>
              <w:bottom w:val="single" w:sz="8" w:color="E5FFFF"/>
            </w:tcBorders>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Year Built</w:t>
            </w:r>
          </w:p>
        </w:tc>
        <w:tc>
          <w:tcPr>
            <w:tcW w:w="120" w:type="dxa"/>
            <w:vAlign w:val="bottom"/>
            <w:tcBorders>
              <w:bottom w:val="single" w:sz="8" w:color="E5FF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(cbm)</w:t>
            </w:r>
          </w:p>
        </w:tc>
        <w:tc>
          <w:tcPr>
            <w:tcW w:w="120" w:type="dxa"/>
            <w:vAlign w:val="bottom"/>
            <w:tcBorders>
              <w:bottom w:val="single" w:sz="8" w:color="E5FF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than six months)</w:t>
            </w:r>
          </w:p>
        </w:tc>
        <w:tc>
          <w:tcPr>
            <w:tcW w:w="120" w:type="dxa"/>
            <w:vAlign w:val="bottom"/>
            <w:tcBorders>
              <w:bottom w:val="single" w:sz="8" w:color="E5FFFF"/>
            </w:tcBorders>
          </w:tcPr>
          <w:p>
            <w:pPr>
              <w:spacing w:after="0"/>
              <w:rPr>
                <w:sz w:val="18"/>
                <w:szCs w:val="18"/>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Propulsion</w:t>
            </w:r>
          </w:p>
        </w:tc>
        <w:tc>
          <w:tcPr>
            <w:tcW w:w="100" w:type="dxa"/>
            <w:vAlign w:val="bottom"/>
            <w:tcBorders>
              <w:bottom w:val="single" w:sz="8" w:color="E5FFFF"/>
            </w:tcBorders>
          </w:tcPr>
          <w:p>
            <w:pPr>
              <w:spacing w:after="0"/>
              <w:rPr>
                <w:sz w:val="18"/>
                <w:szCs w:val="18"/>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6"/>
              </w:rPr>
              <w:t>(Firm Period)</w:t>
            </w:r>
          </w:p>
        </w:tc>
        <w:tc>
          <w:tcPr>
            <w:tcW w:w="120" w:type="dxa"/>
            <w:vAlign w:val="bottom"/>
            <w:tcBorders>
              <w:bottom w:val="single" w:sz="8" w:color="E5FFFF"/>
            </w:tcBorders>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Optional Period</w:t>
            </w:r>
          </w:p>
        </w:tc>
      </w:tr>
      <w:tr>
        <w:trPr>
          <w:trHeight w:val="240"/>
        </w:trPr>
        <w:tc>
          <w:tcPr>
            <w:tcW w:w="2720" w:type="dxa"/>
            <w:vAlign w:val="bottom"/>
            <w:gridSpan w:val="2"/>
            <w:shd w:val="clear" w:color="auto" w:fill="E5FFFF"/>
          </w:tcPr>
          <w:p>
            <w:pPr>
              <w:ind w:left="80"/>
              <w:spacing w:after="0" w:line="240" w:lineRule="exact"/>
              <w:rPr>
                <w:sz w:val="20"/>
                <w:szCs w:val="20"/>
                <w:color w:val="auto"/>
              </w:rPr>
            </w:pPr>
            <w:r>
              <w:rPr>
                <w:rFonts w:ascii="Arial" w:cs="Arial" w:eastAsia="Arial" w:hAnsi="Arial"/>
                <w:sz w:val="16"/>
                <w:szCs w:val="16"/>
                <w:b w:val="1"/>
                <w:bCs w:val="1"/>
                <w:color w:val="auto"/>
              </w:rPr>
              <w:t xml:space="preserve">1 </w:t>
            </w:r>
            <w:r>
              <w:rPr>
                <w:rFonts w:ascii="Arial" w:cs="Arial" w:eastAsia="Arial" w:hAnsi="Arial"/>
                <w:sz w:val="16"/>
                <w:szCs w:val="16"/>
                <w:i w:val="1"/>
                <w:iCs w:val="1"/>
                <w:color w:val="auto"/>
              </w:rPr>
              <w:t>GasLog Shanghai</w:t>
            </w:r>
            <w:r>
              <w:rPr>
                <w:rFonts w:ascii="Arial" w:cs="Arial" w:eastAsia="Arial" w:hAnsi="Arial"/>
                <w:sz w:val="16"/>
                <w:szCs w:val="16"/>
                <w:b w:val="1"/>
                <w:bCs w:val="1"/>
                <w:color w:val="auto"/>
              </w:rPr>
              <w:t xml:space="preserve"> </w:t>
            </w:r>
            <w:r>
              <w:rPr>
                <w:rFonts w:ascii="Arial" w:cs="Arial" w:eastAsia="Arial" w:hAnsi="Arial"/>
                <w:sz w:val="26"/>
                <w:szCs w:val="26"/>
                <w:color w:val="auto"/>
                <w:vertAlign w:val="superscript"/>
              </w:rPr>
              <w:t>(1)</w:t>
            </w:r>
          </w:p>
        </w:tc>
        <w:tc>
          <w:tcPr>
            <w:tcW w:w="120" w:type="dxa"/>
            <w:vAlign w:val="bottom"/>
            <w:shd w:val="clear" w:color="auto" w:fill="E5FFFF"/>
          </w:tcPr>
          <w:p>
            <w:pPr>
              <w:spacing w:after="0"/>
              <w:rPr>
                <w:sz w:val="20"/>
                <w:szCs w:val="20"/>
                <w:color w:val="auto"/>
              </w:rPr>
            </w:pPr>
          </w:p>
        </w:tc>
        <w:tc>
          <w:tcPr>
            <w:tcW w:w="900" w:type="dxa"/>
            <w:vAlign w:val="bottom"/>
            <w:shd w:val="clear" w:color="auto" w:fill="E5FFFF"/>
          </w:tcPr>
          <w:p>
            <w:pPr>
              <w:jc w:val="right"/>
              <w:ind w:right="199"/>
              <w:spacing w:after="0"/>
              <w:rPr>
                <w:sz w:val="20"/>
                <w:szCs w:val="20"/>
                <w:color w:val="auto"/>
              </w:rPr>
            </w:pPr>
            <w:r>
              <w:rPr>
                <w:rFonts w:ascii="Arial" w:cs="Arial" w:eastAsia="Arial" w:hAnsi="Arial"/>
                <w:sz w:val="16"/>
                <w:szCs w:val="16"/>
                <w:color w:val="auto"/>
              </w:rPr>
              <w:t>2013</w:t>
            </w:r>
          </w:p>
        </w:tc>
        <w:tc>
          <w:tcPr>
            <w:tcW w:w="120" w:type="dxa"/>
            <w:vAlign w:val="bottom"/>
            <w:shd w:val="clear" w:color="auto" w:fill="E5FFFF"/>
          </w:tcPr>
          <w:p>
            <w:pPr>
              <w:spacing w:after="0"/>
              <w:rPr>
                <w:sz w:val="20"/>
                <w:szCs w:val="20"/>
                <w:color w:val="auto"/>
              </w:rPr>
            </w:pPr>
          </w:p>
        </w:tc>
        <w:tc>
          <w:tcPr>
            <w:tcW w:w="158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155,000</w:t>
            </w:r>
          </w:p>
        </w:tc>
        <w:tc>
          <w:tcPr>
            <w:tcW w:w="120" w:type="dxa"/>
            <w:vAlign w:val="bottom"/>
            <w:shd w:val="clear" w:color="auto" w:fill="E5FFFF"/>
          </w:tcPr>
          <w:p>
            <w:pPr>
              <w:spacing w:after="0"/>
              <w:rPr>
                <w:sz w:val="20"/>
                <w:szCs w:val="20"/>
                <w:color w:val="auto"/>
              </w:rPr>
            </w:pPr>
          </w:p>
        </w:tc>
        <w:tc>
          <w:tcPr>
            <w:tcW w:w="1680" w:type="dxa"/>
            <w:vAlign w:val="bottom"/>
            <w:gridSpan w:val="2"/>
            <w:shd w:val="clear" w:color="auto" w:fill="E5FFFF"/>
          </w:tcPr>
          <w:p>
            <w:pPr>
              <w:jc w:val="center"/>
              <w:ind w:right="120"/>
              <w:spacing w:after="0"/>
              <w:rPr>
                <w:sz w:val="20"/>
                <w:szCs w:val="20"/>
                <w:color w:val="auto"/>
              </w:rPr>
            </w:pPr>
            <w:r>
              <w:rPr>
                <w:rFonts w:ascii="Arial" w:cs="Arial" w:eastAsia="Arial" w:hAnsi="Arial"/>
                <w:sz w:val="16"/>
                <w:szCs w:val="16"/>
                <w:color w:val="auto"/>
                <w:w w:val="91"/>
              </w:rPr>
              <w:t>Gunvor</w:t>
            </w:r>
          </w:p>
        </w:tc>
        <w:tc>
          <w:tcPr>
            <w:tcW w:w="9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5"/>
              </w:rPr>
              <w:t>TFDE</w:t>
            </w:r>
          </w:p>
        </w:tc>
        <w:tc>
          <w:tcPr>
            <w:tcW w:w="1580" w:type="dxa"/>
            <w:vAlign w:val="bottom"/>
            <w:gridSpan w:val="2"/>
            <w:shd w:val="clear" w:color="auto" w:fill="E5FFFF"/>
          </w:tcPr>
          <w:p>
            <w:pPr>
              <w:jc w:val="center"/>
              <w:ind w:right="100"/>
              <w:spacing w:after="0"/>
              <w:rPr>
                <w:sz w:val="20"/>
                <w:szCs w:val="20"/>
                <w:color w:val="auto"/>
              </w:rPr>
            </w:pPr>
            <w:r>
              <w:rPr>
                <w:rFonts w:ascii="Arial" w:cs="Arial" w:eastAsia="Arial" w:hAnsi="Arial"/>
                <w:sz w:val="16"/>
                <w:szCs w:val="16"/>
                <w:color w:val="auto"/>
                <w:w w:val="91"/>
              </w:rPr>
              <w:t>November 2022</w:t>
            </w:r>
          </w:p>
        </w:tc>
        <w:tc>
          <w:tcPr>
            <w:tcW w:w="14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9"/>
              </w:rPr>
              <w:t>—</w:t>
            </w:r>
          </w:p>
        </w:tc>
      </w:tr>
      <w:tr>
        <w:trPr>
          <w:trHeight w:val="216"/>
        </w:trPr>
        <w:tc>
          <w:tcPr>
            <w:tcW w:w="240" w:type="dxa"/>
            <w:vAlign w:val="bottom"/>
          </w:tcPr>
          <w:p>
            <w:pPr>
              <w:spacing w:after="0"/>
              <w:rPr>
                <w:sz w:val="18"/>
                <w:szCs w:val="18"/>
                <w:color w:val="auto"/>
              </w:rPr>
            </w:pPr>
          </w:p>
        </w:tc>
        <w:tc>
          <w:tcPr>
            <w:tcW w:w="2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bl>
    <w:p>
      <w:pPr>
        <w:spacing w:after="0" w:line="184"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0"/>
          <w:szCs w:val="10"/>
          <w:color w:val="auto"/>
        </w:rPr>
      </w:pPr>
      <w:r>
        <w:rPr>
          <w:rFonts w:ascii="Arial" w:cs="Arial" w:eastAsia="Arial" w:hAnsi="Arial"/>
          <w:sz w:val="14"/>
          <w:szCs w:val="14"/>
          <w:color w:val="auto"/>
        </w:rPr>
        <w:t>In October 2021, the vessel was sold and leased back from CDBL for a period of five years, with no repurchase option or obligation.</w:t>
      </w:r>
    </w:p>
    <w:p>
      <w:pPr>
        <w:spacing w:after="0" w:line="397"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Contracted Charter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GasLog Partners’ contracted charter revenues and vessel utilization for the years ending December 31, 2022 and 2023:</w:t>
      </w:r>
    </w:p>
    <w:p>
      <w:pPr>
        <w:spacing w:after="0" w:line="258" w:lineRule="exact"/>
        <w:rPr>
          <w:sz w:val="20"/>
          <w:szCs w:val="20"/>
          <w:color w:val="auto"/>
        </w:rPr>
      </w:pPr>
    </w:p>
    <w:tbl>
      <w:tblPr>
        <w:tblLayout w:type="fixed"/>
        <w:tblInd w:w="860" w:type="dxa"/>
        <w:tblCellMar>
          <w:top w:w="0" w:type="dxa"/>
          <w:left w:w="0" w:type="dxa"/>
          <w:bottom w:w="0" w:type="dxa"/>
          <w:right w:w="0" w:type="dxa"/>
        </w:tblCellMar>
      </w:tblPr>
      <w:tr>
        <w:trPr>
          <w:trHeight w:val="210"/>
        </w:trPr>
        <w:tc>
          <w:tcPr>
            <w:tcW w:w="6200" w:type="dxa"/>
            <w:vAlign w:val="bottom"/>
          </w:tcPr>
          <w:p>
            <w:pPr>
              <w:spacing w:after="0"/>
              <w:rPr>
                <w:sz w:val="18"/>
                <w:szCs w:val="18"/>
                <w:color w:val="auto"/>
              </w:rPr>
            </w:pPr>
          </w:p>
        </w:tc>
        <w:tc>
          <w:tcPr>
            <w:tcW w:w="3340" w:type="dxa"/>
            <w:vAlign w:val="bottom"/>
            <w:tcBorders>
              <w:bottom w:val="single" w:sz="8" w:color="auto"/>
            </w:tcBorders>
            <w:gridSpan w:val="2"/>
          </w:tcPr>
          <w:p>
            <w:pPr>
              <w:ind w:left="520"/>
              <w:spacing w:after="0"/>
              <w:rPr>
                <w:sz w:val="20"/>
                <w:szCs w:val="20"/>
                <w:color w:val="auto"/>
              </w:rPr>
            </w:pPr>
            <w:r>
              <w:rPr>
                <w:rFonts w:ascii="Arial" w:cs="Arial" w:eastAsia="Arial" w:hAnsi="Arial"/>
                <w:sz w:val="16"/>
                <w:szCs w:val="16"/>
                <w:b w:val="1"/>
                <w:bCs w:val="1"/>
                <w:color w:val="auto"/>
              </w:rPr>
              <w:t>For the years ending December 31,</w:t>
            </w:r>
          </w:p>
        </w:tc>
        <w:tc>
          <w:tcPr>
            <w:tcW w:w="0" w:type="dxa"/>
            <w:vAlign w:val="bottom"/>
          </w:tcPr>
          <w:p>
            <w:pPr>
              <w:spacing w:after="0"/>
              <w:rPr>
                <w:sz w:val="1"/>
                <w:szCs w:val="1"/>
                <w:color w:val="auto"/>
              </w:rPr>
            </w:pPr>
          </w:p>
        </w:tc>
      </w:tr>
      <w:tr>
        <w:trPr>
          <w:trHeight w:val="202"/>
        </w:trPr>
        <w:tc>
          <w:tcPr>
            <w:tcW w:w="6200" w:type="dxa"/>
            <w:vAlign w:val="bottom"/>
            <w:tcBorders>
              <w:bottom w:val="single" w:sz="8" w:color="E5FFFF"/>
            </w:tcBorders>
          </w:tcPr>
          <w:p>
            <w:pPr>
              <w:ind w:left="80"/>
              <w:spacing w:after="0"/>
              <w:rPr>
                <w:sz w:val="20"/>
                <w:szCs w:val="20"/>
                <w:color w:val="auto"/>
              </w:rPr>
            </w:pPr>
            <w:r>
              <w:rPr>
                <w:rFonts w:ascii="Arial" w:cs="Arial" w:eastAsia="Arial" w:hAnsi="Arial"/>
                <w:sz w:val="16"/>
                <w:szCs w:val="16"/>
                <w:b w:val="1"/>
                <w:bCs w:val="1"/>
                <w:i w:val="1"/>
                <w:iCs w:val="1"/>
                <w:color w:val="auto"/>
              </w:rPr>
              <w:t>(in millions of U.S. dollars, except days and percentages)</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2023</w:t>
            </w:r>
          </w:p>
        </w:tc>
        <w:tc>
          <w:tcPr>
            <w:tcW w:w="0" w:type="dxa"/>
            <w:vAlign w:val="bottom"/>
          </w:tcPr>
          <w:p>
            <w:pPr>
              <w:spacing w:after="0"/>
              <w:rPr>
                <w:sz w:val="1"/>
                <w:szCs w:val="1"/>
                <w:color w:val="auto"/>
              </w:rPr>
            </w:pPr>
          </w:p>
        </w:tc>
      </w:tr>
      <w:tr>
        <w:trPr>
          <w:trHeight w:val="223"/>
        </w:trPr>
        <w:tc>
          <w:tcPr>
            <w:tcW w:w="6200" w:type="dxa"/>
            <w:vAlign w:val="bottom"/>
            <w:shd w:val="clear" w:color="auto" w:fill="E5FFFF"/>
          </w:tcPr>
          <w:p>
            <w:pPr>
              <w:ind w:left="80"/>
              <w:spacing w:after="0" w:line="223" w:lineRule="exact"/>
              <w:rPr>
                <w:sz w:val="20"/>
                <w:szCs w:val="20"/>
                <w:color w:val="auto"/>
              </w:rPr>
            </w:pPr>
            <w:r>
              <w:rPr>
                <w:rFonts w:ascii="Arial" w:cs="Arial" w:eastAsia="Arial" w:hAnsi="Arial"/>
                <w:sz w:val="16"/>
                <w:szCs w:val="16"/>
                <w:color w:val="auto"/>
              </w:rPr>
              <w:t>Contracted time charter revenues</w:t>
            </w:r>
            <w:r>
              <w:rPr>
                <w:rFonts w:ascii="Arial" w:cs="Arial" w:eastAsia="Arial" w:hAnsi="Arial"/>
                <w:sz w:val="25"/>
                <w:szCs w:val="25"/>
                <w:color w:val="auto"/>
                <w:vertAlign w:val="superscript"/>
              </w:rPr>
              <w:t>(1)(2)(3)(4)</w:t>
            </w:r>
          </w:p>
        </w:tc>
        <w:tc>
          <w:tcPr>
            <w:tcW w:w="1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$257.1</w:t>
            </w: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3"/>
              </w:rPr>
              <w:t>$151.3</w:t>
            </w:r>
          </w:p>
        </w:tc>
        <w:tc>
          <w:tcPr>
            <w:tcW w:w="0" w:type="dxa"/>
            <w:vAlign w:val="bottom"/>
          </w:tcPr>
          <w:p>
            <w:pPr>
              <w:spacing w:after="0"/>
              <w:rPr>
                <w:sz w:val="1"/>
                <w:szCs w:val="1"/>
                <w:color w:val="auto"/>
              </w:rPr>
            </w:pPr>
          </w:p>
        </w:tc>
      </w:tr>
      <w:tr>
        <w:trPr>
          <w:trHeight w:val="122"/>
        </w:trPr>
        <w:tc>
          <w:tcPr>
            <w:tcW w:w="6200" w:type="dxa"/>
            <w:vAlign w:val="bottom"/>
          </w:tcPr>
          <w:p>
            <w:pPr>
              <w:ind w:left="1480"/>
              <w:spacing w:after="0" w:line="122" w:lineRule="exact"/>
              <w:rPr>
                <w:sz w:val="20"/>
                <w:szCs w:val="20"/>
                <w:color w:val="auto"/>
              </w:rPr>
            </w:pPr>
            <w:r>
              <w:rPr>
                <w:rFonts w:ascii="Arial" w:cs="Arial" w:eastAsia="Arial" w:hAnsi="Arial"/>
                <w:sz w:val="13"/>
                <w:szCs w:val="13"/>
                <w:color w:val="auto"/>
              </w:rPr>
              <w:t>(1)</w:t>
            </w:r>
            <w:r>
              <w:rPr>
                <w:rFonts w:ascii="Arial" w:cs="Arial" w:eastAsia="Arial" w:hAnsi="Arial"/>
                <w:sz w:val="10"/>
                <w:szCs w:val="10"/>
                <w:color w:val="auto"/>
              </w:rPr>
              <w:t>(2)</w:t>
            </w:r>
          </w:p>
        </w:tc>
        <w:tc>
          <w:tcPr>
            <w:tcW w:w="1700" w:type="dxa"/>
            <w:vAlign w:val="bottom"/>
            <w:vMerge w:val="restart"/>
          </w:tcPr>
          <w:p>
            <w:pPr>
              <w:jc w:val="center"/>
              <w:spacing w:after="0"/>
              <w:rPr>
                <w:sz w:val="20"/>
                <w:szCs w:val="20"/>
                <w:color w:val="auto"/>
              </w:rPr>
            </w:pPr>
            <w:r>
              <w:rPr>
                <w:rFonts w:ascii="Arial" w:cs="Arial" w:eastAsia="Arial" w:hAnsi="Arial"/>
                <w:sz w:val="16"/>
                <w:szCs w:val="16"/>
                <w:color w:val="auto"/>
                <w:w w:val="89"/>
              </w:rPr>
              <w:t>4,174</w:t>
            </w:r>
          </w:p>
        </w:tc>
        <w:tc>
          <w:tcPr>
            <w:tcW w:w="1640" w:type="dxa"/>
            <w:vAlign w:val="bottom"/>
            <w:vMerge w:val="restart"/>
          </w:tcPr>
          <w:p>
            <w:pPr>
              <w:jc w:val="center"/>
              <w:spacing w:after="0"/>
              <w:rPr>
                <w:sz w:val="20"/>
                <w:szCs w:val="20"/>
                <w:color w:val="auto"/>
              </w:rPr>
            </w:pPr>
            <w:r>
              <w:rPr>
                <w:rFonts w:ascii="Arial" w:cs="Arial" w:eastAsia="Arial" w:hAnsi="Arial"/>
                <w:sz w:val="16"/>
                <w:szCs w:val="16"/>
                <w:color w:val="auto"/>
                <w:w w:val="89"/>
              </w:rPr>
              <w:t>2,045</w:t>
            </w:r>
          </w:p>
        </w:tc>
        <w:tc>
          <w:tcPr>
            <w:tcW w:w="0" w:type="dxa"/>
            <w:vAlign w:val="bottom"/>
          </w:tcPr>
          <w:p>
            <w:pPr>
              <w:spacing w:after="0"/>
              <w:rPr>
                <w:sz w:val="1"/>
                <w:szCs w:val="1"/>
                <w:color w:val="auto"/>
              </w:rPr>
            </w:pPr>
          </w:p>
        </w:tc>
      </w:tr>
      <w:tr>
        <w:trPr>
          <w:trHeight w:val="122"/>
        </w:trPr>
        <w:tc>
          <w:tcPr>
            <w:tcW w:w="6200" w:type="dxa"/>
            <w:vAlign w:val="bottom"/>
          </w:tcPr>
          <w:p>
            <w:pPr>
              <w:ind w:left="80"/>
              <w:spacing w:after="0" w:line="122" w:lineRule="exact"/>
              <w:rPr>
                <w:sz w:val="20"/>
                <w:szCs w:val="20"/>
                <w:color w:val="auto"/>
              </w:rPr>
            </w:pPr>
            <w:r>
              <w:rPr>
                <w:rFonts w:ascii="Arial" w:cs="Arial" w:eastAsia="Arial" w:hAnsi="Arial"/>
                <w:sz w:val="14"/>
                <w:szCs w:val="14"/>
                <w:color w:val="auto"/>
              </w:rPr>
              <w:t>Total contracted days</w:t>
            </w:r>
          </w:p>
        </w:tc>
        <w:tc>
          <w:tcPr>
            <w:tcW w:w="17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6200" w:type="dxa"/>
            <w:vAlign w:val="bottom"/>
            <w:shd w:val="clear" w:color="auto" w:fill="E5FFFF"/>
          </w:tcPr>
          <w:p>
            <w:pPr>
              <w:ind w:left="80"/>
              <w:spacing w:after="0" w:line="243" w:lineRule="exact"/>
              <w:rPr>
                <w:sz w:val="20"/>
                <w:szCs w:val="20"/>
                <w:color w:val="auto"/>
              </w:rPr>
            </w:pPr>
            <w:r>
              <w:rPr>
                <w:rFonts w:ascii="Arial" w:cs="Arial" w:eastAsia="Arial" w:hAnsi="Arial"/>
                <w:sz w:val="16"/>
                <w:szCs w:val="16"/>
                <w:color w:val="auto"/>
              </w:rPr>
              <w:t>Total available days</w:t>
            </w:r>
            <w:r>
              <w:rPr>
                <w:rFonts w:ascii="Arial" w:cs="Arial" w:eastAsia="Arial" w:hAnsi="Arial"/>
                <w:sz w:val="26"/>
                <w:szCs w:val="26"/>
                <w:color w:val="auto"/>
                <w:vertAlign w:val="superscript"/>
              </w:rPr>
              <w:t>(5)</w:t>
            </w:r>
          </w:p>
        </w:tc>
        <w:tc>
          <w:tcPr>
            <w:tcW w:w="1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5,475</w:t>
            </w: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9"/>
              </w:rPr>
              <w:t>5,355</w:t>
            </w:r>
          </w:p>
        </w:tc>
        <w:tc>
          <w:tcPr>
            <w:tcW w:w="0" w:type="dxa"/>
            <w:vAlign w:val="bottom"/>
          </w:tcPr>
          <w:p>
            <w:pPr>
              <w:spacing w:after="0"/>
              <w:rPr>
                <w:sz w:val="1"/>
                <w:szCs w:val="1"/>
                <w:color w:val="auto"/>
              </w:rPr>
            </w:pPr>
          </w:p>
        </w:tc>
      </w:tr>
      <w:tr>
        <w:trPr>
          <w:trHeight w:val="243"/>
        </w:trPr>
        <w:tc>
          <w:tcPr>
            <w:tcW w:w="6200" w:type="dxa"/>
            <w:vAlign w:val="bottom"/>
          </w:tcPr>
          <w:p>
            <w:pPr>
              <w:ind w:left="80"/>
              <w:spacing w:after="0" w:line="243" w:lineRule="exact"/>
              <w:rPr>
                <w:sz w:val="20"/>
                <w:szCs w:val="20"/>
                <w:color w:val="auto"/>
              </w:rPr>
            </w:pPr>
            <w:r>
              <w:rPr>
                <w:rFonts w:ascii="Arial" w:cs="Arial" w:eastAsia="Arial" w:hAnsi="Arial"/>
                <w:sz w:val="16"/>
                <w:szCs w:val="16"/>
                <w:color w:val="auto"/>
              </w:rPr>
              <w:t>Total unfixed days</w:t>
            </w:r>
            <w:r>
              <w:rPr>
                <w:rFonts w:ascii="Arial" w:cs="Arial" w:eastAsia="Arial" w:hAnsi="Arial"/>
                <w:sz w:val="26"/>
                <w:szCs w:val="26"/>
                <w:color w:val="auto"/>
                <w:vertAlign w:val="superscript"/>
              </w:rPr>
              <w:t>(6)</w:t>
            </w: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1,301</w:t>
            </w:r>
          </w:p>
        </w:tc>
        <w:tc>
          <w:tcPr>
            <w:tcW w:w="1640" w:type="dxa"/>
            <w:vAlign w:val="bottom"/>
          </w:tcPr>
          <w:p>
            <w:pPr>
              <w:jc w:val="center"/>
              <w:spacing w:after="0"/>
              <w:rPr>
                <w:sz w:val="20"/>
                <w:szCs w:val="20"/>
                <w:color w:val="auto"/>
              </w:rPr>
            </w:pPr>
            <w:r>
              <w:rPr>
                <w:rFonts w:ascii="Arial" w:cs="Arial" w:eastAsia="Arial" w:hAnsi="Arial"/>
                <w:sz w:val="16"/>
                <w:szCs w:val="16"/>
                <w:color w:val="auto"/>
                <w:w w:val="89"/>
              </w:rPr>
              <w:t>3,310</w:t>
            </w:r>
          </w:p>
        </w:tc>
        <w:tc>
          <w:tcPr>
            <w:tcW w:w="0" w:type="dxa"/>
            <w:vAlign w:val="bottom"/>
          </w:tcPr>
          <w:p>
            <w:pPr>
              <w:spacing w:after="0"/>
              <w:rPr>
                <w:sz w:val="1"/>
                <w:szCs w:val="1"/>
                <w:color w:val="auto"/>
              </w:rPr>
            </w:pPr>
          </w:p>
        </w:tc>
      </w:tr>
      <w:tr>
        <w:trPr>
          <w:trHeight w:val="203"/>
        </w:trPr>
        <w:tc>
          <w:tcPr>
            <w:tcW w:w="6200" w:type="dxa"/>
            <w:vAlign w:val="bottom"/>
            <w:shd w:val="clear" w:color="auto" w:fill="E5FFFF"/>
          </w:tcPr>
          <w:p>
            <w:pPr>
              <w:ind w:left="80"/>
              <w:spacing w:after="0"/>
              <w:rPr>
                <w:sz w:val="20"/>
                <w:szCs w:val="20"/>
                <w:color w:val="auto"/>
              </w:rPr>
            </w:pPr>
            <w:r>
              <w:rPr>
                <w:rFonts w:ascii="Arial" w:cs="Arial" w:eastAsia="Arial" w:hAnsi="Arial"/>
                <w:sz w:val="16"/>
                <w:szCs w:val="16"/>
                <w:color w:val="auto"/>
              </w:rPr>
              <w:t>Percentage of total contracted days/ total available days</w:t>
            </w:r>
          </w:p>
        </w:tc>
        <w:tc>
          <w:tcPr>
            <w:tcW w:w="170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88"/>
              </w:rPr>
              <w:t>76.2%</w:t>
            </w:r>
          </w:p>
        </w:tc>
        <w:tc>
          <w:tcPr>
            <w:tcW w:w="1640" w:type="dxa"/>
            <w:vAlign w:val="bottom"/>
            <w:shd w:val="clear" w:color="auto" w:fill="E5FFFF"/>
          </w:tcPr>
          <w:p>
            <w:pPr>
              <w:jc w:val="center"/>
              <w:spacing w:after="0"/>
              <w:rPr>
                <w:sz w:val="20"/>
                <w:szCs w:val="20"/>
                <w:color w:val="auto"/>
              </w:rPr>
            </w:pPr>
            <w:r>
              <w:rPr>
                <w:rFonts w:ascii="Arial" w:cs="Arial" w:eastAsia="Arial" w:hAnsi="Arial"/>
                <w:sz w:val="16"/>
                <w:szCs w:val="16"/>
                <w:color w:val="auto"/>
                <w:w w:val="92"/>
              </w:rPr>
              <w:t>38.2%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1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91" w:lineRule="exact"/>
        <w:rPr>
          <w:sz w:val="20"/>
          <w:szCs w:val="20"/>
          <w:color w:val="auto"/>
        </w:rPr>
      </w:pPr>
    </w:p>
    <w:p>
      <w:pPr>
        <w:ind w:left="200" w:right="200" w:hanging="192"/>
        <w:spacing w:after="0" w:line="268" w:lineRule="auto"/>
        <w:tabs>
          <w:tab w:leader="none" w:pos="200" w:val="left"/>
        </w:tabs>
        <w:numPr>
          <w:ilvl w:val="0"/>
          <w:numId w:val="6"/>
        </w:numPr>
        <w:rPr>
          <w:rFonts w:ascii="Arial" w:cs="Arial" w:eastAsia="Arial" w:hAnsi="Arial"/>
          <w:sz w:val="9"/>
          <w:szCs w:val="9"/>
          <w:color w:val="auto"/>
        </w:rPr>
      </w:pPr>
      <w:r>
        <w:rPr>
          <w:rFonts w:ascii="Arial" w:cs="Arial" w:eastAsia="Arial" w:hAnsi="Arial"/>
          <w:sz w:val="12"/>
          <w:szCs w:val="12"/>
          <w:color w:val="auto"/>
        </w:rPr>
        <w:t>Reflects time charter revenues and contracted days for the 15 LNG carriers in our fleet as of December 31, 2021 and through December 31, 2023 (including one vessel sold and leased back under a bareboat charter in October 2021). Contracted days are calculated taking into account the firm period charter expiration and expected market conditions as of December 31, 2021.</w:t>
      </w:r>
    </w:p>
    <w:p>
      <w:pPr>
        <w:ind w:left="200" w:right="240" w:hanging="192"/>
        <w:spacing w:after="0" w:line="221" w:lineRule="auto"/>
        <w:tabs>
          <w:tab w:leader="none" w:pos="200" w:val="left"/>
        </w:tabs>
        <w:numPr>
          <w:ilvl w:val="0"/>
          <w:numId w:val="6"/>
        </w:numPr>
        <w:rPr>
          <w:rFonts w:ascii="Arial" w:cs="Arial" w:eastAsia="Arial" w:hAnsi="Arial"/>
          <w:sz w:val="10"/>
          <w:szCs w:val="10"/>
          <w:color w:val="auto"/>
        </w:rPr>
      </w:pPr>
      <w:r>
        <w:rPr>
          <w:rFonts w:ascii="Arial" w:cs="Arial" w:eastAsia="Arial" w:hAnsi="Arial"/>
          <w:sz w:val="14"/>
          <w:szCs w:val="14"/>
          <w:color w:val="auto"/>
        </w:rPr>
        <w:t>Our ships are scheduled to undergo dry-docking once every five years. Revenue calculations assume 365 revenue days per ship per annum, with 30 off-hire days when each ship undergoes scheduled dry-docking.</w:t>
      </w:r>
    </w:p>
    <w:p>
      <w:pPr>
        <w:ind w:left="200" w:right="340" w:hanging="192"/>
        <w:spacing w:after="0" w:line="221" w:lineRule="auto"/>
        <w:tabs>
          <w:tab w:leader="none" w:pos="200" w:val="left"/>
        </w:tabs>
        <w:numPr>
          <w:ilvl w:val="0"/>
          <w:numId w:val="6"/>
        </w:numPr>
        <w:rPr>
          <w:rFonts w:ascii="Arial" w:cs="Arial" w:eastAsia="Arial" w:hAnsi="Arial"/>
          <w:sz w:val="10"/>
          <w:szCs w:val="10"/>
          <w:color w:val="auto"/>
        </w:rPr>
      </w:pPr>
      <w:r>
        <w:rPr>
          <w:rFonts w:ascii="Arial" w:cs="Arial" w:eastAsia="Arial" w:hAnsi="Arial"/>
          <w:sz w:val="14"/>
          <w:szCs w:val="14"/>
          <w:color w:val="auto"/>
        </w:rPr>
        <w:t>For time charters that include a variable rate of hire within an agreed range during the charter period, revenue calculations are based on the agreed minimum rate of hire for the respective period.</w:t>
      </w:r>
    </w:p>
    <w:p>
      <w:pPr>
        <w:ind w:left="200" w:hanging="192"/>
        <w:spacing w:after="0" w:line="221" w:lineRule="auto"/>
        <w:tabs>
          <w:tab w:leader="none" w:pos="200" w:val="left"/>
        </w:tabs>
        <w:numPr>
          <w:ilvl w:val="0"/>
          <w:numId w:val="6"/>
        </w:numPr>
        <w:rPr>
          <w:rFonts w:ascii="Arial" w:cs="Arial" w:eastAsia="Arial" w:hAnsi="Arial"/>
          <w:sz w:val="10"/>
          <w:szCs w:val="10"/>
          <w:color w:val="auto"/>
        </w:rPr>
      </w:pPr>
      <w:r>
        <w:rPr>
          <w:rFonts w:ascii="Arial" w:cs="Arial" w:eastAsia="Arial" w:hAnsi="Arial"/>
          <w:sz w:val="14"/>
          <w:szCs w:val="14"/>
          <w:color w:val="auto"/>
        </w:rPr>
        <w:t>Revenue calculations assume no exercise of any option to extend the terms of the charters.</w:t>
      </w:r>
    </w:p>
    <w:p>
      <w:pPr>
        <w:ind w:left="200" w:hanging="192"/>
        <w:spacing w:after="0" w:line="221" w:lineRule="auto"/>
        <w:tabs>
          <w:tab w:leader="none" w:pos="200" w:val="left"/>
        </w:tabs>
        <w:numPr>
          <w:ilvl w:val="0"/>
          <w:numId w:val="6"/>
        </w:numPr>
        <w:rPr>
          <w:rFonts w:ascii="Arial" w:cs="Arial" w:eastAsia="Arial" w:hAnsi="Arial"/>
          <w:sz w:val="10"/>
          <w:szCs w:val="10"/>
          <w:color w:val="auto"/>
        </w:rPr>
      </w:pPr>
      <w:r>
        <w:rPr>
          <w:rFonts w:ascii="Arial" w:cs="Arial" w:eastAsia="Arial" w:hAnsi="Arial"/>
          <w:sz w:val="14"/>
          <w:szCs w:val="14"/>
          <w:color w:val="auto"/>
        </w:rPr>
        <w:t>Available days represent total calendar days after deducting 30 off-hire days when the ship undergoes scheduled dry-docking.</w:t>
      </w:r>
    </w:p>
    <w:p>
      <w:pPr>
        <w:ind w:left="200" w:hanging="192"/>
        <w:spacing w:after="0"/>
        <w:tabs>
          <w:tab w:leader="none" w:pos="200" w:val="left"/>
        </w:tabs>
        <w:numPr>
          <w:ilvl w:val="0"/>
          <w:numId w:val="6"/>
        </w:numPr>
        <w:rPr>
          <w:rFonts w:ascii="Arial" w:cs="Arial" w:eastAsia="Arial" w:hAnsi="Arial"/>
          <w:sz w:val="10"/>
          <w:szCs w:val="10"/>
          <w:color w:val="auto"/>
        </w:rPr>
      </w:pPr>
      <w:r>
        <w:rPr>
          <w:rFonts w:ascii="Arial" w:cs="Arial" w:eastAsia="Arial" w:hAnsi="Arial"/>
          <w:sz w:val="14"/>
          <w:szCs w:val="14"/>
          <w:color w:val="auto"/>
        </w:rPr>
        <w:t>Represents available days for the ships after the expiration of the existing charters (assuming charterers do not exercise any option to extend the terms of the charters).</w:t>
      </w:r>
    </w:p>
    <w:p>
      <w:pPr>
        <w:spacing w:after="0" w:line="187" w:lineRule="exact"/>
        <w:rPr>
          <w:sz w:val="20"/>
          <w:szCs w:val="20"/>
          <w:color w:val="auto"/>
        </w:rPr>
      </w:pPr>
    </w:p>
    <w:p>
      <w:pPr>
        <w:ind w:right="20" w:firstLine="194"/>
        <w:spacing w:after="0" w:line="306" w:lineRule="auto"/>
        <w:rPr>
          <w:sz w:val="20"/>
          <w:szCs w:val="20"/>
          <w:color w:val="auto"/>
        </w:rPr>
      </w:pPr>
      <w:r>
        <w:rPr>
          <w:rFonts w:ascii="Arial" w:cs="Arial" w:eastAsia="Arial" w:hAnsi="Arial"/>
          <w:sz w:val="14"/>
          <w:szCs w:val="14"/>
          <w:color w:val="auto"/>
        </w:rPr>
        <w:t>The table above provides information about our contracted charter revenues and ship utilization based on contracts in effect for the 15 LNG carriers in our fleet as of December 31, 2021 and through December 31, 2023 (including one vessel sold and leased back under a bareboat charter in October 2021). The table reflects only our contracted charter revenues for the ships in our owned and bareboat fleet for which we have secured time charters, and it does not reflect the costs or expenses we will incur in fulfilling our obligations under the charters. In particular, the table does not reflect time charter revenues from any additional ships we may acquire in the future, nor does it reflect the options under our time charters that permit our charterers to extend the time charter terms for successive multi-year periods at comparable charter hire rates. If exercised, the options to extend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non-performance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 Please see the disclosure under the heading “Risk Factors” in our Annual Report on Form 20-F filed with the SEC on March 2, 2021. For these reasons, the contracted charter revenue information presented above is not fact and should not be relied upon as being necessarily indicative of future results and readers are cautioned not to place undue reliance on this information. Neither the Partnership’s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Conference Call</w:t>
      </w:r>
    </w:p>
    <w:p>
      <w:pPr>
        <w:spacing w:after="0" w:line="225" w:lineRule="exact"/>
        <w:rPr>
          <w:sz w:val="20"/>
          <w:szCs w:val="20"/>
          <w:color w:val="auto"/>
        </w:rPr>
      </w:pPr>
    </w:p>
    <w:p>
      <w:pPr>
        <w:ind w:right="400"/>
        <w:spacing w:after="0" w:line="369" w:lineRule="auto"/>
        <w:rPr>
          <w:sz w:val="20"/>
          <w:szCs w:val="20"/>
          <w:color w:val="auto"/>
        </w:rPr>
      </w:pPr>
      <w:r>
        <w:rPr>
          <w:rFonts w:ascii="Arial" w:cs="Arial" w:eastAsia="Arial" w:hAnsi="Arial"/>
          <w:sz w:val="14"/>
          <w:szCs w:val="14"/>
          <w:color w:val="auto"/>
        </w:rPr>
        <w:t>GasLog Partners will host a conference call to discuss its results for the fourth quarter of 2021 at 8.30 a.m. EST (3.30 p.m. EET) on Thursday, January 27, 2022. The Partnership’s senior management will review the operational and financial performance for the period. Management’s presentation will be followed by a Q&amp;A session.</w:t>
      </w:r>
    </w:p>
    <w:p>
      <w:pPr>
        <w:spacing w:after="0" w:line="112" w:lineRule="exact"/>
        <w:rPr>
          <w:sz w:val="20"/>
          <w:szCs w:val="20"/>
          <w:color w:val="auto"/>
        </w:rPr>
      </w:pPr>
    </w:p>
    <w:p>
      <w:pPr>
        <w:spacing w:after="0"/>
        <w:rPr>
          <w:sz w:val="20"/>
          <w:szCs w:val="20"/>
          <w:color w:val="auto"/>
        </w:rPr>
      </w:pPr>
      <w:r>
        <w:rPr>
          <w:rFonts w:ascii="Arial" w:cs="Arial" w:eastAsia="Arial" w:hAnsi="Arial"/>
          <w:sz w:val="16"/>
          <w:szCs w:val="16"/>
          <w:color w:val="auto"/>
        </w:rPr>
        <w:t>The dial-in numbers for the conference call are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+1 855 253 8928 (USA)</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+852 5819 4851 (Hong Kong)</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9" w:right="339" w:bottom="1440" w:gutter="0" w:footer="0" w:header="0"/>
        </w:sectPr>
      </w:pPr>
    </w:p>
    <w:bookmarkStart w:id="8" w:name="page9"/>
    <w:bookmarkEnd w:id="8"/>
    <w:p>
      <w:pPr>
        <w:spacing w:after="0"/>
        <w:rPr>
          <w:sz w:val="20"/>
          <w:szCs w:val="20"/>
          <w:color w:val="auto"/>
        </w:rPr>
      </w:pPr>
      <w:r>
        <w:rPr>
          <w:rFonts w:ascii="Arial" w:cs="Arial" w:eastAsia="Arial" w:hAnsi="Arial"/>
          <w:sz w:val="16"/>
          <w:szCs w:val="16"/>
          <w:color w:val="auto"/>
        </w:rPr>
        <w:t>+47 2396 4173 (Oslo)</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Conference ID: 8735524</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color w:val="auto"/>
        </w:rPr>
        <w:t>A live webcast of the conference call will also be available on the Investor Relations page of the GasLog Partners website (</w:t>
      </w:r>
      <w:r>
        <w:rPr>
          <w:rFonts w:ascii="Arial" w:cs="Arial" w:eastAsia="Arial" w:hAnsi="Arial"/>
          <w:sz w:val="15"/>
          <w:szCs w:val="15"/>
          <w:u w:val="single" w:color="auto"/>
          <w:color w:val="0000FF"/>
        </w:rPr>
        <w:t>http://www.gaslogmlp.com/investors</w:t>
      </w:r>
      <w:r>
        <w:rPr>
          <w:rFonts w:ascii="Arial" w:cs="Arial" w:eastAsia="Arial" w:hAnsi="Arial"/>
          <w:sz w:val="15"/>
          <w:szCs w:val="15"/>
          <w:color w:val="auto"/>
        </w:rPr>
        <w:t>).</w:t>
      </w:r>
    </w:p>
    <w:p>
      <w:pPr>
        <w:spacing w:after="0" w:line="233" w:lineRule="exact"/>
        <w:rPr>
          <w:sz w:val="20"/>
          <w:szCs w:val="20"/>
          <w:color w:val="auto"/>
        </w:rPr>
      </w:pPr>
    </w:p>
    <w:p>
      <w:pPr>
        <w:ind w:right="1040"/>
        <w:spacing w:after="0" w:line="293" w:lineRule="auto"/>
        <w:rPr>
          <w:sz w:val="20"/>
          <w:szCs w:val="20"/>
          <w:color w:val="auto"/>
        </w:rPr>
      </w:pPr>
      <w:r>
        <w:rPr>
          <w:rFonts w:ascii="Arial" w:cs="Arial" w:eastAsia="Arial" w:hAnsi="Arial"/>
          <w:sz w:val="16"/>
          <w:szCs w:val="16"/>
          <w:color w:val="auto"/>
        </w:rPr>
        <w:t>For those unable to participate in the conference call, a replay of the webcast will be available on the Investor Relations page of the GasLog Partners website (</w:t>
      </w:r>
      <w:r>
        <w:rPr>
          <w:rFonts w:ascii="Arial" w:cs="Arial" w:eastAsia="Arial" w:hAnsi="Arial"/>
          <w:sz w:val="16"/>
          <w:szCs w:val="16"/>
          <w:u w:val="single" w:color="auto"/>
          <w:color w:val="0000FF"/>
        </w:rPr>
        <w:t>http://www.gaslogmlp.com/investors</w:t>
      </w:r>
      <w:r>
        <w:rPr>
          <w:rFonts w:ascii="Arial" w:cs="Arial" w:eastAsia="Arial" w:hAnsi="Arial"/>
          <w:sz w:val="16"/>
          <w:szCs w:val="16"/>
          <w:color w:val="auto"/>
        </w:rPr>
        <w:t>).</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About GasLog Partners</w:t>
      </w:r>
    </w:p>
    <w:p>
      <w:pPr>
        <w:spacing w:after="0" w:line="225"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GasLog Partners is a growth-oriented owner, operator and acquirer of LNG carriers. The Partnership’s fleet consists of 14 LNG wholly owned carriers as well as one vessel on a bareboat charter, with an average carrying capacity of approximately 158,000 cbm. GasLog Partners is a publicly traded master limited partnership (NYSE: GLOP) but has elected to be treated as a C corporation for U.S. income tax purposes and therefore its investors receive an Internal Revenue Service Form 1099 with respect to any distributions declared and received. Visit GasLog Partners’ website at </w:t>
      </w:r>
      <w:r>
        <w:rPr>
          <w:rFonts w:ascii="Arial" w:cs="Arial" w:eastAsia="Arial" w:hAnsi="Arial"/>
          <w:sz w:val="16"/>
          <w:szCs w:val="16"/>
          <w:u w:val="single" w:color="auto"/>
          <w:color w:val="0000FF"/>
        </w:rPr>
        <w:t>http://www.gaslogmlp.com</w:t>
      </w:r>
      <w:r>
        <w:rPr>
          <w:rFonts w:ascii="Arial" w:cs="Arial" w:eastAsia="Arial" w:hAnsi="Arial"/>
          <w:sz w:val="16"/>
          <w:szCs w:val="16"/>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auto"/>
        </w:rPr>
        <w:t>Forward-Looking Statements</w:t>
      </w:r>
    </w:p>
    <w:p>
      <w:pPr>
        <w:spacing w:after="0" w:line="225" w:lineRule="exact"/>
        <w:rPr>
          <w:sz w:val="20"/>
          <w:szCs w:val="20"/>
          <w:color w:val="auto"/>
        </w:rPr>
      </w:pPr>
    </w:p>
    <w:p>
      <w:pPr>
        <w:spacing w:after="0" w:line="313" w:lineRule="auto"/>
        <w:rPr>
          <w:sz w:val="20"/>
          <w:szCs w:val="20"/>
          <w:color w:val="auto"/>
        </w:rPr>
      </w:pPr>
      <w:r>
        <w:rPr>
          <w:rFonts w:ascii="Arial" w:cs="Arial" w:eastAsia="Arial" w:hAnsi="Arial"/>
          <w:sz w:val="14"/>
          <w:szCs w:val="14"/>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Partnership expects, projects, believes or anticipates will or may occur in the future, particularly in relation to our operations, cash flows, financial position, liquidity and cash available for distributions, and the impact of changes to cash distributions on the Partnership’s business and growth prospects, plans, strategies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Factors that might cause future results and outcomes to differ include, but are not limited to, the following:</w:t>
      </w:r>
    </w:p>
    <w:p>
      <w:pPr>
        <w:spacing w:after="0" w:line="221" w:lineRule="exact"/>
        <w:rPr>
          <w:sz w:val="20"/>
          <w:szCs w:val="20"/>
          <w:color w:val="auto"/>
        </w:rPr>
      </w:pPr>
    </w:p>
    <w:p>
      <w:pPr>
        <w:ind w:left="660" w:right="300" w:hanging="328"/>
        <w:spacing w:after="0" w:line="284" w:lineRule="auto"/>
        <w:tabs>
          <w:tab w:leader="none" w:pos="660" w:val="left"/>
        </w:tabs>
        <w:numPr>
          <w:ilvl w:val="0"/>
          <w:numId w:val="7"/>
        </w:numPr>
        <w:rPr>
          <w:rFonts w:ascii="Arial" w:cs="Arial" w:eastAsia="Arial" w:hAnsi="Arial"/>
          <w:sz w:val="15"/>
          <w:szCs w:val="15"/>
          <w:color w:val="auto"/>
        </w:rPr>
      </w:pPr>
      <w:r>
        <w:rPr>
          <w:rFonts w:ascii="Arial" w:cs="Arial" w:eastAsia="Arial" w:hAnsi="Arial"/>
          <w:sz w:val="15"/>
          <w:szCs w:val="15"/>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charter hire rates, vessel utilization and vessel values;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secure new multi-year charters at economically attractive rates;</w:t>
      </w:r>
    </w:p>
    <w:p>
      <w:pPr>
        <w:spacing w:after="0" w:line="18" w:lineRule="exact"/>
        <w:rPr>
          <w:rFonts w:ascii="Arial" w:cs="Arial" w:eastAsia="Arial" w:hAnsi="Arial"/>
          <w:sz w:val="16"/>
          <w:szCs w:val="16"/>
          <w:color w:val="auto"/>
        </w:rPr>
      </w:pPr>
    </w:p>
    <w:p>
      <w:pPr>
        <w:jc w:val="both"/>
        <w:ind w:left="660" w:right="160" w:hanging="328"/>
        <w:spacing w:after="0" w:line="26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maximize the use of our vessels, including the re-deployment or disposition of vessels which are not operating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our operating expenses, including crew wages, maintenance, dry-docking and insurance costs and bunker prices;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number of off-hire days and dry-docking requirements, including our ability to complete scheduled dry-dockings on time and within budget;</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planned capital expenditures and availability of capital resources to fund capital expenditures;</w:t>
      </w:r>
    </w:p>
    <w:p>
      <w:pPr>
        <w:spacing w:after="0" w:line="18" w:lineRule="exact"/>
        <w:rPr>
          <w:rFonts w:ascii="Arial" w:cs="Arial" w:eastAsia="Arial" w:hAnsi="Arial"/>
          <w:sz w:val="16"/>
          <w:szCs w:val="16"/>
          <w:color w:val="auto"/>
        </w:rPr>
      </w:pPr>
    </w:p>
    <w:p>
      <w:pPr>
        <w:ind w:left="660" w:right="20" w:hanging="328"/>
        <w:spacing w:after="0" w:line="26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business disruptions resulting from measures taken to reduce the spread of COVID-19, including possible delays due to the quarantine of vessels and crew, as well as government-imposed shutdowns;</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prices for crude oil, petroleum products and natural gas, including LNG;</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fluctuations in exchange rates, especially the U.S. dollar and the Euro;</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expand our portfolio by acquiring vessels through our drop-down pipeline with GasLog or by acquiring other assets from third parties;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leverage GasLog’s relationships and reputation in the shipping industry;</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ability of GasLog to maintain long-term relationships with major energy companies and major LNG producers, marketers and consumers;</w:t>
      </w:r>
    </w:p>
    <w:p>
      <w:pPr>
        <w:spacing w:after="0" w:line="18" w:lineRule="exact"/>
        <w:rPr>
          <w:rFonts w:ascii="Arial" w:cs="Arial" w:eastAsia="Arial" w:hAnsi="Arial"/>
          <w:sz w:val="16"/>
          <w:szCs w:val="16"/>
          <w:color w:val="auto"/>
        </w:rPr>
      </w:pPr>
    </w:p>
    <w:p>
      <w:pPr>
        <w:ind w:left="660" w:right="140" w:hanging="328"/>
        <w:spacing w:after="0" w:line="26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GasLog’s relationships with its employees and ship crews, its ability to retain key employees and provide services to us, and the availability of skilled labor, ship crews and management;</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changes in the ownership of our charterers;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customers’ performance of their obligations under our time charters and other contracts;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future operating performance, financial condition, liquidity and cash available for distributions;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distribution policy and our ability to make cash distributions on our units or the impact of changes to cash distributions on our financial position;</w:t>
      </w:r>
    </w:p>
    <w:p>
      <w:pPr>
        <w:spacing w:after="0" w:line="18" w:lineRule="exact"/>
        <w:rPr>
          <w:rFonts w:ascii="Arial" w:cs="Arial" w:eastAsia="Arial" w:hAnsi="Arial"/>
          <w:sz w:val="16"/>
          <w:szCs w:val="16"/>
          <w:color w:val="auto"/>
        </w:rPr>
      </w:pPr>
    </w:p>
    <w:p>
      <w:pPr>
        <w:ind w:left="660" w:right="260" w:hanging="328"/>
        <w:spacing w:after="0" w:line="264"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future, pending or recent acquisitions of ships or other assets, business strategy, areas of possible expansion and expected capital spending;</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99" w:right="359" w:bottom="1440" w:gutter="0" w:footer="0" w:header="0"/>
        </w:sectPr>
      </w:pPr>
    </w:p>
    <w:bookmarkStart w:id="9" w:name="page10"/>
    <w:bookmarkEnd w:id="9"/>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risks inherent in ship operation, including the discharge of pollutants;</w:t>
      </w:r>
    </w:p>
    <w:p>
      <w:pPr>
        <w:spacing w:after="0" w:line="22"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impact on us and the shipping industry of environmental concerns, including climate change;</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5"/>
          <w:szCs w:val="15"/>
          <w:color w:val="auto"/>
        </w:rPr>
      </w:pPr>
      <w:r>
        <w:rPr>
          <w:rFonts w:ascii="Arial" w:cs="Arial" w:eastAsia="Arial" w:hAnsi="Arial"/>
          <w:sz w:val="15"/>
          <w:szCs w:val="15"/>
          <w:color w:val="auto"/>
        </w:rPr>
        <w:t>any malfunction or disruption of information technology systems and networks that our operations rely on or any impact of a possible cybersecurity event;</w:t>
      </w:r>
    </w:p>
    <w:p>
      <w:pPr>
        <w:spacing w:after="0" w:line="30" w:lineRule="exact"/>
        <w:rPr>
          <w:rFonts w:ascii="Arial" w:cs="Arial" w:eastAsia="Arial" w:hAnsi="Arial"/>
          <w:sz w:val="15"/>
          <w:szCs w:val="15"/>
          <w:color w:val="auto"/>
        </w:rPr>
      </w:pPr>
    </w:p>
    <w:p>
      <w:pPr>
        <w:ind w:left="660" w:right="360" w:hanging="328"/>
        <w:spacing w:after="0" w:line="264"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expected cost of and our ability to comply with environmental and regulatory requirements,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disruption of shipping routes due to accidents, diseases, pandemics, political events, piracy or acts by terrorists;</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potential liability from future litigation; and</w:t>
      </w:r>
    </w:p>
    <w:p>
      <w:pPr>
        <w:spacing w:after="0" w:line="18"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4"/>
          <w:szCs w:val="14"/>
          <w:color w:val="auto"/>
        </w:rPr>
      </w:pPr>
      <w:r>
        <w:rPr>
          <w:rFonts w:ascii="Arial" w:cs="Arial" w:eastAsia="Arial" w:hAnsi="Arial"/>
          <w:sz w:val="14"/>
          <w:szCs w:val="14"/>
          <w:color w:val="auto"/>
        </w:rPr>
        <w:t xml:space="preserve">other risks and uncertainties described in the Partnership’s Annual Report on Form 20-F filed with the SEC on March 2, 2021, available at </w:t>
      </w:r>
      <w:r>
        <w:rPr>
          <w:rFonts w:ascii="Arial" w:cs="Arial" w:eastAsia="Arial" w:hAnsi="Arial"/>
          <w:sz w:val="14"/>
          <w:szCs w:val="14"/>
          <w:u w:val="single" w:color="auto"/>
          <w:color w:val="0000FF"/>
        </w:rPr>
        <w:t>http://www.sec.gov</w:t>
      </w:r>
      <w:r>
        <w:rPr>
          <w:rFonts w:ascii="Arial" w:cs="Arial" w:eastAsia="Arial" w:hAnsi="Arial"/>
          <w:sz w:val="14"/>
          <w:szCs w:val="14"/>
          <w:color w:val="auto"/>
        </w:rPr>
        <w:t>.</w:t>
      </w:r>
    </w:p>
    <w:p>
      <w:pPr>
        <w:spacing w:after="0" w:line="240" w:lineRule="exact"/>
        <w:rPr>
          <w:sz w:val="20"/>
          <w:szCs w:val="20"/>
          <w:color w:val="auto"/>
        </w:rPr>
      </w:pPr>
    </w:p>
    <w:p>
      <w:pPr>
        <w:ind w:right="20"/>
        <w:spacing w:after="0" w:line="273" w:lineRule="auto"/>
        <w:rPr>
          <w:sz w:val="20"/>
          <w:szCs w:val="20"/>
          <w:color w:val="auto"/>
        </w:rPr>
      </w:pPr>
      <w:r>
        <w:rPr>
          <w:rFonts w:ascii="Arial" w:cs="Arial" w:eastAsia="Arial" w:hAnsi="Arial"/>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5" w:lineRule="exact"/>
        <w:rPr>
          <w:sz w:val="20"/>
          <w:szCs w:val="20"/>
          <w:color w:val="auto"/>
        </w:rPr>
      </w:pPr>
    </w:p>
    <w:p>
      <w:pPr>
        <w:spacing w:after="0" w:line="369" w:lineRule="auto"/>
        <w:rPr>
          <w:sz w:val="20"/>
          <w:szCs w:val="20"/>
          <w:color w:val="auto"/>
        </w:rPr>
      </w:pPr>
      <w:r>
        <w:rPr>
          <w:rFonts w:ascii="Arial" w:cs="Arial" w:eastAsia="Arial" w:hAnsi="Arial"/>
          <w:sz w:val="14"/>
          <w:szCs w:val="14"/>
          <w:color w:val="auto"/>
        </w:rPr>
        <w:t>The declaration and payment of distributions are at all times subject to the discretion of our board of directors and will depend on, amongst other things, risks and uncertainties described above, restrictions in our credit facilities, the provisions of Marshall Islands law and such other factors as our board of directors may deem relevant.</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Contacts: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Joseph Nelson</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+1-212-223-0643</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ir@gaslogmlp.com</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Robert Brinberg</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Rose &amp; Company</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Phone: +1 212-517-0810</w:t>
      </w: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Email: </w:t>
      </w:r>
      <w:r>
        <w:rPr>
          <w:rFonts w:ascii="Arial" w:cs="Arial" w:eastAsia="Arial" w:hAnsi="Arial"/>
          <w:sz w:val="16"/>
          <w:szCs w:val="16"/>
          <w:u w:val="single" w:color="auto"/>
          <w:color w:val="0000FF"/>
        </w:rPr>
        <w:t>gaslog@roseandco.com</w:t>
      </w:r>
    </w:p>
    <w:p>
      <w:pPr>
        <w:spacing w:after="0" w:line="200" w:lineRule="exact"/>
        <w:rPr>
          <w:sz w:val="20"/>
          <w:szCs w:val="20"/>
          <w:color w:val="auto"/>
        </w:rPr>
      </w:pPr>
    </w:p>
    <w:p>
      <w:pPr>
        <w:spacing w:after="0" w:line="23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845" w:right="459" w:bottom="1440" w:gutter="0" w:footer="0" w:header="0"/>
        </w:sectPr>
      </w:pPr>
    </w:p>
    <w:bookmarkStart w:id="10" w:name="page11"/>
    <w:bookmarkEnd w:id="10"/>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spacing w:after="0"/>
              <w:rPr>
                <w:sz w:val="20"/>
                <w:szCs w:val="20"/>
                <w:color w:val="auto"/>
              </w:rPr>
            </w:pPr>
            <w:r>
              <w:rPr>
                <w:rFonts w:ascii="Arial" w:cs="Arial" w:eastAsia="Arial" w:hAnsi="Arial"/>
                <w:sz w:val="16"/>
                <w:szCs w:val="16"/>
                <w:b w:val="1"/>
                <w:bCs w:val="1"/>
                <w:color w:val="auto"/>
              </w:rPr>
              <w:t>EXHIBIT I – Unaudited Interim Financial Information</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8220" w:type="dxa"/>
            <w:vAlign w:val="bottom"/>
          </w:tcPr>
          <w:p>
            <w:pPr>
              <w:spacing w:after="0"/>
              <w:rPr>
                <w:sz w:val="20"/>
                <w:szCs w:val="20"/>
                <w:color w:val="auto"/>
              </w:rPr>
            </w:pPr>
            <w:r>
              <w:rPr>
                <w:rFonts w:ascii="Arial" w:cs="Arial" w:eastAsia="Arial" w:hAnsi="Arial"/>
                <w:sz w:val="16"/>
                <w:szCs w:val="16"/>
                <w:b w:val="1"/>
                <w:bCs w:val="1"/>
                <w:color w:val="auto"/>
              </w:rPr>
              <w:t>Unaudited condensed consolidated statements of financial position</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220" w:type="dxa"/>
            <w:vAlign w:val="bottom"/>
          </w:tcPr>
          <w:p>
            <w:pPr>
              <w:spacing w:after="0"/>
              <w:rPr>
                <w:sz w:val="20"/>
                <w:szCs w:val="20"/>
                <w:color w:val="auto"/>
              </w:rPr>
            </w:pPr>
            <w:r>
              <w:rPr>
                <w:rFonts w:ascii="Arial" w:cs="Arial" w:eastAsia="Arial" w:hAnsi="Arial"/>
                <w:sz w:val="16"/>
                <w:szCs w:val="16"/>
                <w:b w:val="1"/>
                <w:bCs w:val="1"/>
                <w:color w:val="auto"/>
              </w:rPr>
              <w:t>As of December 31, 2020 and 2021</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Arial" w:cs="Arial" w:eastAsia="Arial" w:hAnsi="Arial"/>
                <w:sz w:val="16"/>
                <w:szCs w:val="16"/>
                <w:b w:val="1"/>
                <w:bCs w:val="1"/>
                <w:color w:val="auto"/>
              </w:rPr>
              <w:t>(All amounts expressed in thousands of U.S. Dollars, except unit data)</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7"/>
        </w:trPr>
        <w:tc>
          <w:tcPr>
            <w:tcW w:w="8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December 31,</w:t>
            </w:r>
          </w:p>
        </w:tc>
        <w:tc>
          <w:tcPr>
            <w:tcW w:w="1340" w:type="dxa"/>
            <w:vAlign w:val="bottom"/>
          </w:tcPr>
          <w:p>
            <w:pPr>
              <w:jc w:val="right"/>
              <w:ind w:right="11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8220" w:type="dxa"/>
            <w:vAlign w:val="bottom"/>
          </w:tcPr>
          <w:p>
            <w:pPr>
              <w:spacing w:after="0"/>
              <w:rPr>
                <w:sz w:val="18"/>
                <w:szCs w:val="18"/>
                <w:color w:val="auto"/>
              </w:rPr>
            </w:pPr>
          </w:p>
        </w:tc>
        <w:tc>
          <w:tcPr>
            <w:tcW w:w="1460" w:type="dxa"/>
            <w:vAlign w:val="bottom"/>
            <w:gridSpan w:val="2"/>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8"/>
                <w:szCs w:val="18"/>
                <w:color w:val="auto"/>
              </w:rPr>
            </w:pPr>
          </w:p>
        </w:tc>
        <w:tc>
          <w:tcPr>
            <w:tcW w:w="1340" w:type="dxa"/>
            <w:vAlign w:val="bottom"/>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3"/>
        </w:trPr>
        <w:tc>
          <w:tcPr>
            <w:tcW w:w="8220" w:type="dxa"/>
            <w:vAlign w:val="bottom"/>
            <w:tcBorders>
              <w:top w:val="single" w:sz="8" w:color="E9FFFF"/>
            </w:tcBorders>
            <w:shd w:val="clear" w:color="auto" w:fill="E9FFFF"/>
          </w:tcPr>
          <w:p>
            <w:pPr>
              <w:spacing w:after="0"/>
              <w:rPr>
                <w:sz w:val="20"/>
                <w:szCs w:val="20"/>
                <w:color w:val="auto"/>
              </w:rPr>
            </w:pPr>
            <w:r>
              <w:rPr>
                <w:rFonts w:ascii="Arial" w:cs="Arial" w:eastAsia="Arial" w:hAnsi="Arial"/>
                <w:sz w:val="16"/>
                <w:szCs w:val="16"/>
                <w:b w:val="1"/>
                <w:bCs w:val="1"/>
                <w:color w:val="auto"/>
              </w:rPr>
              <w:t>Assets</w:t>
            </w: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spacing w:after="0"/>
              <w:rPr>
                <w:sz w:val="20"/>
                <w:szCs w:val="20"/>
                <w:color w:val="auto"/>
              </w:rPr>
            </w:pPr>
            <w:r>
              <w:rPr>
                <w:rFonts w:ascii="Arial" w:cs="Arial" w:eastAsia="Arial" w:hAnsi="Arial"/>
                <w:sz w:val="16"/>
                <w:szCs w:val="16"/>
                <w:b w:val="1"/>
                <w:bCs w:val="1"/>
                <w:color w:val="auto"/>
              </w:rPr>
              <w:t>Non-current assets</w:t>
            </w: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Other non-current assets</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186</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213"/>
        </w:trPr>
        <w:tc>
          <w:tcPr>
            <w:tcW w:w="8220" w:type="dxa"/>
            <w:vAlign w:val="bottom"/>
          </w:tcPr>
          <w:p>
            <w:pPr>
              <w:spacing w:after="0"/>
              <w:rPr>
                <w:sz w:val="20"/>
                <w:szCs w:val="20"/>
                <w:color w:val="auto"/>
              </w:rPr>
            </w:pPr>
            <w:r>
              <w:rPr>
                <w:rFonts w:ascii="Arial" w:cs="Arial" w:eastAsia="Arial" w:hAnsi="Arial"/>
                <w:sz w:val="16"/>
                <w:szCs w:val="16"/>
                <w:color w:val="auto"/>
              </w:rPr>
              <w:t>Tangible fixed assets</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2,206,618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1,888,583</w:t>
            </w:r>
          </w:p>
        </w:tc>
        <w:tc>
          <w:tcPr>
            <w:tcW w:w="0" w:type="dxa"/>
            <w:vAlign w:val="bottom"/>
          </w:tcPr>
          <w:p>
            <w:pPr>
              <w:spacing w:after="0"/>
              <w:rPr>
                <w:sz w:val="1"/>
                <w:szCs w:val="1"/>
                <w:color w:val="auto"/>
              </w:rPr>
            </w:pPr>
          </w:p>
        </w:tc>
      </w:tr>
      <w:tr>
        <w:trPr>
          <w:trHeight w:val="219"/>
        </w:trPr>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Right-of-use assets</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516</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81,996</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non-current assets</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2,207,320</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1,970,623</w:t>
            </w:r>
          </w:p>
        </w:tc>
        <w:tc>
          <w:tcPr>
            <w:tcW w:w="0" w:type="dxa"/>
            <w:vAlign w:val="bottom"/>
          </w:tcPr>
          <w:p>
            <w:pPr>
              <w:spacing w:after="0"/>
              <w:rPr>
                <w:sz w:val="1"/>
                <w:szCs w:val="1"/>
                <w:color w:val="auto"/>
              </w:rPr>
            </w:pPr>
          </w:p>
        </w:tc>
      </w:tr>
      <w:tr>
        <w:trPr>
          <w:trHeight w:val="209"/>
        </w:trPr>
        <w:tc>
          <w:tcPr>
            <w:tcW w:w="82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Current assets</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20" w:type="dxa"/>
            <w:vAlign w:val="bottom"/>
          </w:tcPr>
          <w:p>
            <w:pPr>
              <w:spacing w:after="0"/>
              <w:rPr>
                <w:sz w:val="20"/>
                <w:szCs w:val="20"/>
                <w:color w:val="auto"/>
              </w:rPr>
            </w:pPr>
            <w:r>
              <w:rPr>
                <w:rFonts w:ascii="Arial" w:cs="Arial" w:eastAsia="Arial" w:hAnsi="Arial"/>
                <w:sz w:val="16"/>
                <w:szCs w:val="16"/>
                <w:color w:val="auto"/>
              </w:rPr>
              <w:t>Trade and other receivables</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16,265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11,156</w:t>
            </w:r>
          </w:p>
        </w:tc>
        <w:tc>
          <w:tcPr>
            <w:tcW w:w="0" w:type="dxa"/>
            <w:vAlign w:val="bottom"/>
          </w:tcPr>
          <w:p>
            <w:pPr>
              <w:spacing w:after="0"/>
              <w:rPr>
                <w:sz w:val="1"/>
                <w:szCs w:val="1"/>
                <w:color w:val="auto"/>
              </w:rPr>
            </w:pPr>
          </w:p>
        </w:tc>
      </w:tr>
      <w:tr>
        <w:trPr>
          <w:trHeight w:val="219"/>
        </w:trPr>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Inventories</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3,036</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2,991</w:t>
            </w:r>
          </w:p>
        </w:tc>
        <w:tc>
          <w:tcPr>
            <w:tcW w:w="0" w:type="dxa"/>
            <w:vAlign w:val="bottom"/>
          </w:tcPr>
          <w:p>
            <w:pPr>
              <w:spacing w:after="0"/>
              <w:rPr>
                <w:sz w:val="1"/>
                <w:szCs w:val="1"/>
                <w:color w:val="auto"/>
              </w:rPr>
            </w:pPr>
          </w:p>
        </w:tc>
      </w:tr>
      <w:tr>
        <w:trPr>
          <w:trHeight w:val="213"/>
        </w:trPr>
        <w:tc>
          <w:tcPr>
            <w:tcW w:w="8220" w:type="dxa"/>
            <w:vAlign w:val="bottom"/>
          </w:tcPr>
          <w:p>
            <w:pPr>
              <w:spacing w:after="0"/>
              <w:rPr>
                <w:sz w:val="20"/>
                <w:szCs w:val="20"/>
                <w:color w:val="auto"/>
              </w:rPr>
            </w:pPr>
            <w:r>
              <w:rPr>
                <w:rFonts w:ascii="Arial" w:cs="Arial" w:eastAsia="Arial" w:hAnsi="Arial"/>
                <w:sz w:val="16"/>
                <w:szCs w:val="16"/>
                <w:color w:val="auto"/>
              </w:rPr>
              <w:t>Prepayments and other current assets</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2,691</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1,433</w:t>
            </w:r>
          </w:p>
        </w:tc>
        <w:tc>
          <w:tcPr>
            <w:tcW w:w="0" w:type="dxa"/>
            <w:vAlign w:val="bottom"/>
          </w:tcPr>
          <w:p>
            <w:pPr>
              <w:spacing w:after="0"/>
              <w:rPr>
                <w:sz w:val="1"/>
                <w:szCs w:val="1"/>
                <w:color w:val="auto"/>
              </w:rPr>
            </w:pPr>
          </w:p>
        </w:tc>
      </w:tr>
      <w:tr>
        <w:trPr>
          <w:trHeight w:val="219"/>
        </w:trPr>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Cash and cash equivalents</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103,736</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145,530</w:t>
            </w:r>
          </w:p>
        </w:tc>
        <w:tc>
          <w:tcPr>
            <w:tcW w:w="0" w:type="dxa"/>
            <w:vAlign w:val="bottom"/>
          </w:tcPr>
          <w:p>
            <w:pPr>
              <w:spacing w:after="0"/>
              <w:rPr>
                <w:sz w:val="1"/>
                <w:szCs w:val="1"/>
                <w:color w:val="auto"/>
              </w:rPr>
            </w:pPr>
          </w:p>
        </w:tc>
      </w:tr>
      <w:tr>
        <w:trPr>
          <w:trHeight w:val="196"/>
        </w:trPr>
        <w:tc>
          <w:tcPr>
            <w:tcW w:w="82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current assets</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125,728</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161,110</w:t>
            </w:r>
          </w:p>
        </w:tc>
        <w:tc>
          <w:tcPr>
            <w:tcW w:w="0" w:type="dxa"/>
            <w:vAlign w:val="bottom"/>
          </w:tcPr>
          <w:p>
            <w:pPr>
              <w:spacing w:after="0"/>
              <w:rPr>
                <w:sz w:val="1"/>
                <w:szCs w:val="1"/>
                <w:color w:val="auto"/>
              </w:rPr>
            </w:pPr>
          </w:p>
        </w:tc>
      </w:tr>
      <w:tr>
        <w:trPr>
          <w:trHeight w:val="220"/>
        </w:trPr>
        <w:tc>
          <w:tcPr>
            <w:tcW w:w="82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Total assets</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b w:val="1"/>
                <w:bCs w:val="1"/>
                <w:color w:val="auto"/>
              </w:rPr>
              <w:t>2,333,048</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b w:val="1"/>
                <w:bCs w:val="1"/>
                <w:color w:val="auto"/>
              </w:rPr>
              <w:t>2,131,733</w:t>
            </w:r>
          </w:p>
        </w:tc>
        <w:tc>
          <w:tcPr>
            <w:tcW w:w="0" w:type="dxa"/>
            <w:vAlign w:val="bottom"/>
          </w:tcPr>
          <w:p>
            <w:pPr>
              <w:spacing w:after="0"/>
              <w:rPr>
                <w:sz w:val="1"/>
                <w:szCs w:val="1"/>
                <w:color w:val="auto"/>
              </w:rPr>
            </w:pPr>
          </w:p>
        </w:tc>
      </w:tr>
      <w:tr>
        <w:trPr>
          <w:trHeight w:val="20"/>
        </w:trPr>
        <w:tc>
          <w:tcPr>
            <w:tcW w:w="8220" w:type="dxa"/>
            <w:vAlign w:val="bottom"/>
            <w:tcBorders>
              <w:top w:val="single" w:sz="8" w:color="E5FFFF"/>
              <w:bottom w:val="single" w:sz="8" w:color="E5FFFF"/>
            </w:tcBorders>
            <w:vMerge w:val="restart"/>
          </w:tcPr>
          <w:p>
            <w:pPr>
              <w:spacing w:after="0"/>
              <w:rPr>
                <w:sz w:val="20"/>
                <w:szCs w:val="20"/>
                <w:color w:val="auto"/>
              </w:rPr>
            </w:pPr>
            <w:r>
              <w:rPr>
                <w:rFonts w:ascii="Arial" w:cs="Arial" w:eastAsia="Arial" w:hAnsi="Arial"/>
                <w:sz w:val="16"/>
                <w:szCs w:val="16"/>
                <w:b w:val="1"/>
                <w:bCs w:val="1"/>
                <w:color w:val="auto"/>
              </w:rPr>
              <w:t>Partners’ equity and liabilities</w:t>
            </w:r>
          </w:p>
        </w:tc>
        <w:tc>
          <w:tcPr>
            <w:tcW w:w="12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Partners’ equity</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8220" w:type="dxa"/>
            <w:vAlign w:val="bottom"/>
          </w:tcPr>
          <w:p>
            <w:pPr>
              <w:spacing w:after="0"/>
              <w:rPr>
                <w:sz w:val="20"/>
                <w:szCs w:val="20"/>
                <w:color w:val="auto"/>
              </w:rPr>
            </w:pPr>
            <w:r>
              <w:rPr>
                <w:rFonts w:ascii="Arial" w:cs="Arial" w:eastAsia="Arial" w:hAnsi="Arial"/>
                <w:sz w:val="16"/>
                <w:szCs w:val="16"/>
                <w:color w:val="auto"/>
                <w:w w:val="94"/>
              </w:rPr>
              <w:t>Common unitholders (47,517,824 units issued and outstanding as of December 31, 2020 and 51,137,201 units issued and</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220" w:type="dxa"/>
            <w:vAlign w:val="bottom"/>
          </w:tcPr>
          <w:p>
            <w:pPr>
              <w:ind w:left="160"/>
              <w:spacing w:after="0"/>
              <w:rPr>
                <w:sz w:val="20"/>
                <w:szCs w:val="20"/>
                <w:color w:val="auto"/>
              </w:rPr>
            </w:pPr>
            <w:r>
              <w:rPr>
                <w:rFonts w:ascii="Arial" w:cs="Arial" w:eastAsia="Arial" w:hAnsi="Arial"/>
                <w:sz w:val="16"/>
                <w:szCs w:val="16"/>
                <w:color w:val="auto"/>
              </w:rPr>
              <w:t>outstanding as of December 31, 2021)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594,901</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579,447</w:t>
            </w:r>
          </w:p>
        </w:tc>
        <w:tc>
          <w:tcPr>
            <w:tcW w:w="0" w:type="dxa"/>
            <w:vAlign w:val="bottom"/>
          </w:tcPr>
          <w:p>
            <w:pPr>
              <w:spacing w:after="0"/>
              <w:rPr>
                <w:sz w:val="1"/>
                <w:szCs w:val="1"/>
                <w:color w:val="auto"/>
              </w:rPr>
            </w:pPr>
          </w:p>
        </w:tc>
      </w:tr>
      <w:tr>
        <w:trPr>
          <w:trHeight w:val="196"/>
        </w:trPr>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w w:val="91"/>
              </w:rPr>
              <w:t>General partner (1,021,336 units issued and outstanding as of December 31, 2020 and 1,077,494 units issued and outstanding</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220" w:type="dxa"/>
            <w:vAlign w:val="bottom"/>
            <w:shd w:val="clear" w:color="auto" w:fill="E5FFFF"/>
          </w:tcPr>
          <w:p>
            <w:pPr>
              <w:ind w:left="160"/>
              <w:spacing w:after="0"/>
              <w:rPr>
                <w:sz w:val="20"/>
                <w:szCs w:val="20"/>
                <w:color w:val="auto"/>
              </w:rPr>
            </w:pPr>
            <w:r>
              <w:rPr>
                <w:rFonts w:ascii="Arial" w:cs="Arial" w:eastAsia="Arial" w:hAnsi="Arial"/>
                <w:sz w:val="16"/>
                <w:szCs w:val="16"/>
                <w:color w:val="auto"/>
              </w:rPr>
              <w:t>as of December 31, 2021)</w:t>
            </w:r>
          </w:p>
        </w:tc>
        <w:tc>
          <w:tcPr>
            <w:tcW w:w="158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11,028</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10,717</w:t>
            </w:r>
          </w:p>
        </w:tc>
        <w:tc>
          <w:tcPr>
            <w:tcW w:w="0" w:type="dxa"/>
            <w:vAlign w:val="bottom"/>
          </w:tcPr>
          <w:p>
            <w:pPr>
              <w:spacing w:after="0"/>
              <w:rPr>
                <w:sz w:val="1"/>
                <w:szCs w:val="1"/>
                <w:color w:val="auto"/>
              </w:rPr>
            </w:pPr>
          </w:p>
        </w:tc>
      </w:tr>
      <w:tr>
        <w:trPr>
          <w:trHeight w:val="193"/>
        </w:trPr>
        <w:tc>
          <w:tcPr>
            <w:tcW w:w="8220" w:type="dxa"/>
            <w:vAlign w:val="bottom"/>
          </w:tcPr>
          <w:p>
            <w:pPr>
              <w:spacing w:after="0"/>
              <w:rPr>
                <w:sz w:val="20"/>
                <w:szCs w:val="20"/>
                <w:color w:val="auto"/>
              </w:rPr>
            </w:pPr>
            <w:r>
              <w:rPr>
                <w:rFonts w:ascii="Arial" w:cs="Arial" w:eastAsia="Arial" w:hAnsi="Arial"/>
                <w:sz w:val="16"/>
                <w:szCs w:val="16"/>
                <w:color w:val="auto"/>
                <w:w w:val="94"/>
              </w:rPr>
              <w:t>Preference unitholders (5,750,000 Series A Preference Units, 4,600,000 Series B Preference Units and 4,000,000 Series C</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220" w:type="dxa"/>
            <w:vAlign w:val="bottom"/>
          </w:tcPr>
          <w:p>
            <w:pPr>
              <w:ind w:left="160"/>
              <w:spacing w:after="0"/>
              <w:rPr>
                <w:sz w:val="20"/>
                <w:szCs w:val="20"/>
                <w:color w:val="auto"/>
              </w:rPr>
            </w:pPr>
            <w:r>
              <w:rPr>
                <w:rFonts w:ascii="Arial" w:cs="Arial" w:eastAsia="Arial" w:hAnsi="Arial"/>
                <w:sz w:val="16"/>
                <w:szCs w:val="16"/>
                <w:color w:val="auto"/>
                <w:w w:val="94"/>
              </w:rPr>
              <w:t>Preference Units issued and outstanding as of December 31, 2020 and 5,750,000 Series A Preference Units, 4,135,571</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220" w:type="dxa"/>
            <w:vAlign w:val="bottom"/>
          </w:tcPr>
          <w:p>
            <w:pPr>
              <w:ind w:left="160"/>
              <w:spacing w:after="0"/>
              <w:rPr>
                <w:sz w:val="20"/>
                <w:szCs w:val="20"/>
                <w:color w:val="auto"/>
              </w:rPr>
            </w:pPr>
            <w:r>
              <w:rPr>
                <w:rFonts w:ascii="Arial" w:cs="Arial" w:eastAsia="Arial" w:hAnsi="Arial"/>
                <w:sz w:val="16"/>
                <w:szCs w:val="16"/>
                <w:color w:val="auto"/>
                <w:w w:val="95"/>
              </w:rPr>
              <w:t>Series B Preference Units and 3,730,451 Series C Preference Units issued and outstanding as of December 31, 2021)</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347,889</w:t>
            </w:r>
          </w:p>
        </w:tc>
        <w:tc>
          <w:tcPr>
            <w:tcW w:w="12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329,334</w:t>
            </w:r>
          </w:p>
        </w:tc>
        <w:tc>
          <w:tcPr>
            <w:tcW w:w="0" w:type="dxa"/>
            <w:vAlign w:val="bottom"/>
          </w:tcPr>
          <w:p>
            <w:pPr>
              <w:spacing w:after="0"/>
              <w:rPr>
                <w:sz w:val="1"/>
                <w:szCs w:val="1"/>
                <w:color w:val="auto"/>
              </w:rPr>
            </w:pPr>
          </w:p>
        </w:tc>
      </w:tr>
      <w:tr>
        <w:trPr>
          <w:trHeight w:val="202"/>
        </w:trPr>
        <w:tc>
          <w:tcPr>
            <w:tcW w:w="82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partners’ equity</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953,818</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919,498</w:t>
            </w:r>
          </w:p>
        </w:tc>
        <w:tc>
          <w:tcPr>
            <w:tcW w:w="0" w:type="dxa"/>
            <w:vAlign w:val="bottom"/>
          </w:tcPr>
          <w:p>
            <w:pPr>
              <w:spacing w:after="0"/>
              <w:rPr>
                <w:sz w:val="1"/>
                <w:szCs w:val="1"/>
                <w:color w:val="auto"/>
              </w:rPr>
            </w:pPr>
          </w:p>
        </w:tc>
      </w:tr>
      <w:tr>
        <w:trPr>
          <w:trHeight w:val="206"/>
        </w:trPr>
        <w:tc>
          <w:tcPr>
            <w:tcW w:w="822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Trade accounts payable</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13,578</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9,547</w:t>
            </w:r>
          </w:p>
        </w:tc>
        <w:tc>
          <w:tcPr>
            <w:tcW w:w="0" w:type="dxa"/>
            <w:vAlign w:val="bottom"/>
          </w:tcPr>
          <w:p>
            <w:pPr>
              <w:spacing w:after="0"/>
              <w:rPr>
                <w:sz w:val="1"/>
                <w:szCs w:val="1"/>
                <w:color w:val="auto"/>
              </w:rPr>
            </w:pPr>
          </w:p>
        </w:tc>
      </w:tr>
      <w:tr>
        <w:trPr>
          <w:trHeight w:val="213"/>
        </w:trPr>
        <w:tc>
          <w:tcPr>
            <w:tcW w:w="8220" w:type="dxa"/>
            <w:vAlign w:val="bottom"/>
          </w:tcPr>
          <w:p>
            <w:pPr>
              <w:spacing w:after="0"/>
              <w:rPr>
                <w:sz w:val="20"/>
                <w:szCs w:val="20"/>
                <w:color w:val="auto"/>
              </w:rPr>
            </w:pPr>
            <w:r>
              <w:rPr>
                <w:rFonts w:ascii="Arial" w:cs="Arial" w:eastAsia="Arial" w:hAnsi="Arial"/>
                <w:sz w:val="16"/>
                <w:szCs w:val="16"/>
                <w:color w:val="auto"/>
              </w:rPr>
              <w:t>Due to related parties</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7,525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952</w:t>
            </w:r>
          </w:p>
        </w:tc>
        <w:tc>
          <w:tcPr>
            <w:tcW w:w="0" w:type="dxa"/>
            <w:vAlign w:val="bottom"/>
          </w:tcPr>
          <w:p>
            <w:pPr>
              <w:spacing w:after="0"/>
              <w:rPr>
                <w:sz w:val="1"/>
                <w:szCs w:val="1"/>
                <w:color w:val="auto"/>
              </w:rPr>
            </w:pPr>
          </w:p>
        </w:tc>
      </w:tr>
      <w:tr>
        <w:trPr>
          <w:trHeight w:val="219"/>
        </w:trPr>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instruments—current portion</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8,185</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5,184</w:t>
            </w:r>
          </w:p>
        </w:tc>
        <w:tc>
          <w:tcPr>
            <w:tcW w:w="0" w:type="dxa"/>
            <w:vAlign w:val="bottom"/>
          </w:tcPr>
          <w:p>
            <w:pPr>
              <w:spacing w:after="0"/>
              <w:rPr>
                <w:sz w:val="1"/>
                <w:szCs w:val="1"/>
                <w:color w:val="auto"/>
              </w:rPr>
            </w:pPr>
          </w:p>
        </w:tc>
      </w:tr>
      <w:tr>
        <w:trPr>
          <w:trHeight w:val="213"/>
        </w:trPr>
        <w:tc>
          <w:tcPr>
            <w:tcW w:w="8220" w:type="dxa"/>
            <w:vAlign w:val="bottom"/>
          </w:tcPr>
          <w:p>
            <w:pPr>
              <w:spacing w:after="0"/>
              <w:rPr>
                <w:sz w:val="20"/>
                <w:szCs w:val="20"/>
                <w:color w:val="auto"/>
              </w:rPr>
            </w:pPr>
            <w:r>
              <w:rPr>
                <w:rFonts w:ascii="Arial" w:cs="Arial" w:eastAsia="Arial" w:hAnsi="Arial"/>
                <w:sz w:val="16"/>
                <w:szCs w:val="16"/>
                <w:color w:val="auto"/>
              </w:rPr>
              <w:t>Other payables and accruals</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50,679</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50,171</w:t>
            </w:r>
          </w:p>
        </w:tc>
        <w:tc>
          <w:tcPr>
            <w:tcW w:w="0" w:type="dxa"/>
            <w:vAlign w:val="bottom"/>
          </w:tcPr>
          <w:p>
            <w:pPr>
              <w:spacing w:after="0"/>
              <w:rPr>
                <w:sz w:val="1"/>
                <w:szCs w:val="1"/>
                <w:color w:val="auto"/>
              </w:rPr>
            </w:pPr>
          </w:p>
        </w:tc>
      </w:tr>
      <w:tr>
        <w:trPr>
          <w:trHeight w:val="219"/>
        </w:trPr>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Borrowings—current portion</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104,908</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99,307</w:t>
            </w: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Arial" w:cs="Arial" w:eastAsia="Arial" w:hAnsi="Arial"/>
                <w:sz w:val="16"/>
                <w:szCs w:val="16"/>
                <w:color w:val="auto"/>
              </w:rPr>
              <w:t>Lease liabilities—current portion</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332</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10,342</w:t>
            </w:r>
          </w:p>
        </w:tc>
        <w:tc>
          <w:tcPr>
            <w:tcW w:w="0" w:type="dxa"/>
            <w:vAlign w:val="bottom"/>
          </w:tcPr>
          <w:p>
            <w:pPr>
              <w:spacing w:after="0"/>
              <w:rPr>
                <w:sz w:val="1"/>
                <w:szCs w:val="1"/>
                <w:color w:val="auto"/>
              </w:rPr>
            </w:pPr>
          </w:p>
        </w:tc>
      </w:tr>
      <w:tr>
        <w:trPr>
          <w:trHeight w:val="202"/>
        </w:trPr>
        <w:tc>
          <w:tcPr>
            <w:tcW w:w="82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current liabilities</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185,207</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175,503</w:t>
            </w:r>
          </w:p>
        </w:tc>
        <w:tc>
          <w:tcPr>
            <w:tcW w:w="0" w:type="dxa"/>
            <w:vAlign w:val="bottom"/>
          </w:tcPr>
          <w:p>
            <w:pPr>
              <w:spacing w:after="0"/>
              <w:rPr>
                <w:sz w:val="1"/>
                <w:szCs w:val="1"/>
                <w:color w:val="auto"/>
              </w:rPr>
            </w:pPr>
          </w:p>
        </w:tc>
      </w:tr>
      <w:tr>
        <w:trPr>
          <w:trHeight w:val="206"/>
        </w:trPr>
        <w:tc>
          <w:tcPr>
            <w:tcW w:w="8220" w:type="dxa"/>
            <w:vAlign w:val="bottom"/>
          </w:tcPr>
          <w:p>
            <w:pPr>
              <w:spacing w:after="0"/>
              <w:rPr>
                <w:sz w:val="20"/>
                <w:szCs w:val="20"/>
                <w:color w:val="auto"/>
              </w:rPr>
            </w:pPr>
            <w:r>
              <w:rPr>
                <w:rFonts w:ascii="Arial" w:cs="Arial" w:eastAsia="Arial" w:hAnsi="Arial"/>
                <w:sz w:val="16"/>
                <w:szCs w:val="16"/>
                <w:b w:val="1"/>
                <w:bCs w:val="1"/>
                <w:color w:val="auto"/>
              </w:rPr>
              <w:t>Non-current liabilities</w:t>
            </w: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Derivative financial instruments—non-current portion</w:t>
            </w:r>
          </w:p>
        </w:tc>
        <w:tc>
          <w:tcPr>
            <w:tcW w:w="146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12,152</w:t>
            </w: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4,061</w:t>
            </w:r>
          </w:p>
        </w:tc>
        <w:tc>
          <w:tcPr>
            <w:tcW w:w="0" w:type="dxa"/>
            <w:vAlign w:val="bottom"/>
          </w:tcPr>
          <w:p>
            <w:pPr>
              <w:spacing w:after="0"/>
              <w:rPr>
                <w:sz w:val="1"/>
                <w:szCs w:val="1"/>
                <w:color w:val="auto"/>
              </w:rPr>
            </w:pPr>
          </w:p>
        </w:tc>
      </w:tr>
      <w:tr>
        <w:trPr>
          <w:trHeight w:val="213"/>
        </w:trPr>
        <w:tc>
          <w:tcPr>
            <w:tcW w:w="8220" w:type="dxa"/>
            <w:vAlign w:val="bottom"/>
          </w:tcPr>
          <w:p>
            <w:pPr>
              <w:spacing w:after="0"/>
              <w:rPr>
                <w:sz w:val="20"/>
                <w:szCs w:val="20"/>
                <w:color w:val="auto"/>
              </w:rPr>
            </w:pPr>
            <w:r>
              <w:rPr>
                <w:rFonts w:ascii="Arial" w:cs="Arial" w:eastAsia="Arial" w:hAnsi="Arial"/>
                <w:sz w:val="16"/>
                <w:szCs w:val="16"/>
                <w:color w:val="auto"/>
              </w:rPr>
              <w:t>Borrowings—non-current portion</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1,180,635</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986,451</w:t>
            </w:r>
          </w:p>
        </w:tc>
        <w:tc>
          <w:tcPr>
            <w:tcW w:w="0" w:type="dxa"/>
            <w:vAlign w:val="bottom"/>
          </w:tcPr>
          <w:p>
            <w:pPr>
              <w:spacing w:after="0"/>
              <w:rPr>
                <w:sz w:val="1"/>
                <w:szCs w:val="1"/>
                <w:color w:val="auto"/>
              </w:rPr>
            </w:pPr>
          </w:p>
        </w:tc>
      </w:tr>
      <w:tr>
        <w:trPr>
          <w:trHeight w:val="219"/>
        </w:trPr>
        <w:tc>
          <w:tcPr>
            <w:tcW w:w="8220" w:type="dxa"/>
            <w:vAlign w:val="bottom"/>
            <w:shd w:val="clear" w:color="auto" w:fill="E5FFFF"/>
          </w:tcPr>
          <w:p>
            <w:pPr>
              <w:spacing w:after="0"/>
              <w:rPr>
                <w:sz w:val="20"/>
                <w:szCs w:val="20"/>
                <w:color w:val="auto"/>
              </w:rPr>
            </w:pPr>
            <w:r>
              <w:rPr>
                <w:rFonts w:ascii="Arial" w:cs="Arial" w:eastAsia="Arial" w:hAnsi="Arial"/>
                <w:sz w:val="16"/>
                <w:szCs w:val="16"/>
                <w:color w:val="auto"/>
              </w:rPr>
              <w:t>Lease liabilities—non-current portion</w:t>
            </w:r>
          </w:p>
        </w:tc>
        <w:tc>
          <w:tcPr>
            <w:tcW w:w="1580" w:type="dxa"/>
            <w:vAlign w:val="bottom"/>
            <w:gridSpan w:val="3"/>
            <w:shd w:val="clear" w:color="auto" w:fill="E5FFFF"/>
          </w:tcPr>
          <w:p>
            <w:pPr>
              <w:jc w:val="right"/>
              <w:ind w:right="120"/>
              <w:spacing w:after="0"/>
              <w:rPr>
                <w:sz w:val="20"/>
                <w:szCs w:val="20"/>
                <w:color w:val="auto"/>
              </w:rPr>
            </w:pPr>
            <w:r>
              <w:rPr>
                <w:rFonts w:ascii="Arial" w:cs="Arial" w:eastAsia="Arial" w:hAnsi="Arial"/>
                <w:sz w:val="16"/>
                <w:szCs w:val="16"/>
                <w:color w:val="auto"/>
              </w:rPr>
              <w:t>112</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45,556</w:t>
            </w:r>
          </w:p>
        </w:tc>
        <w:tc>
          <w:tcPr>
            <w:tcW w:w="0" w:type="dxa"/>
            <w:vAlign w:val="bottom"/>
          </w:tcPr>
          <w:p>
            <w:pPr>
              <w:spacing w:after="0"/>
              <w:rPr>
                <w:sz w:val="1"/>
                <w:szCs w:val="1"/>
                <w:color w:val="auto"/>
              </w:rPr>
            </w:pPr>
          </w:p>
        </w:tc>
      </w:tr>
      <w:tr>
        <w:trPr>
          <w:trHeight w:val="210"/>
        </w:trPr>
        <w:tc>
          <w:tcPr>
            <w:tcW w:w="822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460" w:type="dxa"/>
            <w:vAlign w:val="bottom"/>
            <w:gridSpan w:val="2"/>
          </w:tcPr>
          <w:p>
            <w:pPr>
              <w:jc w:val="right"/>
              <w:spacing w:after="0"/>
              <w:rPr>
                <w:sz w:val="20"/>
                <w:szCs w:val="20"/>
                <w:color w:val="auto"/>
              </w:rPr>
            </w:pPr>
            <w:r>
              <w:rPr>
                <w:rFonts w:ascii="Arial" w:cs="Arial" w:eastAsia="Arial" w:hAnsi="Arial"/>
                <w:sz w:val="16"/>
                <w:szCs w:val="16"/>
                <w:color w:val="auto"/>
              </w:rPr>
              <w:t>1,124</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664</w:t>
            </w:r>
          </w:p>
        </w:tc>
        <w:tc>
          <w:tcPr>
            <w:tcW w:w="0" w:type="dxa"/>
            <w:vAlign w:val="bottom"/>
          </w:tcPr>
          <w:p>
            <w:pPr>
              <w:spacing w:after="0"/>
              <w:rPr>
                <w:sz w:val="1"/>
                <w:szCs w:val="1"/>
                <w:color w:val="auto"/>
              </w:rPr>
            </w:pPr>
          </w:p>
        </w:tc>
      </w:tr>
      <w:tr>
        <w:trPr>
          <w:trHeight w:val="202"/>
        </w:trPr>
        <w:tc>
          <w:tcPr>
            <w:tcW w:w="822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Total non-current liabilities</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1,194,023</w:t>
            </w:r>
          </w:p>
        </w:tc>
        <w:tc>
          <w:tcPr>
            <w:tcW w:w="1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1,036,732</w:t>
            </w:r>
          </w:p>
        </w:tc>
        <w:tc>
          <w:tcPr>
            <w:tcW w:w="0" w:type="dxa"/>
            <w:vAlign w:val="bottom"/>
          </w:tcPr>
          <w:p>
            <w:pPr>
              <w:spacing w:after="0"/>
              <w:rPr>
                <w:sz w:val="1"/>
                <w:szCs w:val="1"/>
                <w:color w:val="auto"/>
              </w:rPr>
            </w:pPr>
          </w:p>
        </w:tc>
      </w:tr>
      <w:tr>
        <w:trPr>
          <w:trHeight w:val="220"/>
        </w:trPr>
        <w:tc>
          <w:tcPr>
            <w:tcW w:w="8220" w:type="dxa"/>
            <w:vAlign w:val="bottom"/>
          </w:tcPr>
          <w:p>
            <w:pPr>
              <w:spacing w:after="0"/>
              <w:rPr>
                <w:sz w:val="20"/>
                <w:szCs w:val="20"/>
                <w:color w:val="auto"/>
              </w:rPr>
            </w:pPr>
            <w:r>
              <w:rPr>
                <w:rFonts w:ascii="Arial" w:cs="Arial" w:eastAsia="Arial" w:hAnsi="Arial"/>
                <w:sz w:val="16"/>
                <w:szCs w:val="16"/>
                <w:b w:val="1"/>
                <w:bCs w:val="1"/>
                <w:color w:val="auto"/>
              </w:rPr>
              <w:t>Total partners’ equity and liabilities</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2,333,048</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2,131,733</w:t>
            </w:r>
          </w:p>
        </w:tc>
        <w:tc>
          <w:tcPr>
            <w:tcW w:w="0" w:type="dxa"/>
            <w:vAlign w:val="bottom"/>
          </w:tcPr>
          <w:p>
            <w:pPr>
              <w:spacing w:after="0"/>
              <w:rPr>
                <w:sz w:val="1"/>
                <w:szCs w:val="1"/>
                <w:color w:val="auto"/>
              </w:rPr>
            </w:pPr>
          </w:p>
        </w:tc>
      </w:tr>
      <w:tr>
        <w:trPr>
          <w:trHeight w:val="20"/>
        </w:trPr>
        <w:tc>
          <w:tcPr>
            <w:tcW w:w="8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color w:val="auto"/>
        </w:rPr>
        <w:t>Unaudited condensed consolidated statements of profit or loss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three-month periods and the years ended December 31, 2020 and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 except per unit data)</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292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rPr>
              <w:t>For the three months ended</w:t>
            </w:r>
          </w:p>
        </w:tc>
        <w:tc>
          <w:tcPr>
            <w:tcW w:w="2840" w:type="dxa"/>
            <w:vAlign w:val="bottom"/>
            <w:gridSpan w:val="4"/>
          </w:tcPr>
          <w:p>
            <w:pPr>
              <w:jc w:val="right"/>
              <w:ind w:right="679"/>
              <w:spacing w:after="0"/>
              <w:rPr>
                <w:sz w:val="20"/>
                <w:szCs w:val="20"/>
                <w:color w:val="auto"/>
              </w:rPr>
            </w:pPr>
            <w:r>
              <w:rPr>
                <w:rFonts w:ascii="Arial" w:cs="Arial" w:eastAsia="Arial" w:hAnsi="Arial"/>
                <w:sz w:val="16"/>
                <w:szCs w:val="16"/>
                <w:b w:val="1"/>
                <w:bCs w:val="1"/>
                <w:color w:val="auto"/>
              </w:rPr>
              <w:t>For the years ended</w:t>
            </w:r>
          </w:p>
        </w:tc>
        <w:tc>
          <w:tcPr>
            <w:tcW w:w="0" w:type="dxa"/>
            <w:vAlign w:val="bottom"/>
          </w:tcPr>
          <w:p>
            <w:pPr>
              <w:spacing w:after="0"/>
              <w:rPr>
                <w:sz w:val="1"/>
                <w:szCs w:val="1"/>
                <w:color w:val="auto"/>
              </w:rPr>
            </w:pPr>
          </w:p>
        </w:tc>
      </w:tr>
      <w:tr>
        <w:trPr>
          <w:trHeight w:val="203"/>
        </w:trPr>
        <w:tc>
          <w:tcPr>
            <w:tcW w:w="5320" w:type="dxa"/>
            <w:vAlign w:val="bottom"/>
          </w:tcPr>
          <w:p>
            <w:pPr>
              <w:spacing w:after="0"/>
              <w:rPr>
                <w:sz w:val="17"/>
                <w:szCs w:val="17"/>
                <w:color w:val="auto"/>
              </w:rPr>
            </w:pPr>
          </w:p>
        </w:tc>
        <w:tc>
          <w:tcPr>
            <w:tcW w:w="1480" w:type="dxa"/>
            <w:vAlign w:val="bottom"/>
            <w:gridSpan w:val="2"/>
          </w:tcPr>
          <w:p>
            <w:pPr>
              <w:jc w:val="right"/>
              <w:ind w:right="279"/>
              <w:spacing w:after="0"/>
              <w:rPr>
                <w:sz w:val="20"/>
                <w:szCs w:val="20"/>
                <w:color w:val="auto"/>
              </w:rPr>
            </w:pPr>
            <w:r>
              <w:rPr>
                <w:rFonts w:ascii="Arial" w:cs="Arial" w:eastAsia="Arial" w:hAnsi="Arial"/>
                <w:sz w:val="16"/>
                <w:szCs w:val="16"/>
                <w:b w:val="1"/>
                <w:bCs w:val="1"/>
                <w:color w:val="auto"/>
              </w:rPr>
              <w:t>December 31,</w:t>
            </w:r>
          </w:p>
        </w:tc>
        <w:tc>
          <w:tcPr>
            <w:tcW w:w="144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December 31,</w:t>
            </w:r>
          </w:p>
        </w:tc>
        <w:tc>
          <w:tcPr>
            <w:tcW w:w="1440" w:type="dxa"/>
            <w:vAlign w:val="bottom"/>
            <w:gridSpan w:val="2"/>
          </w:tcPr>
          <w:p>
            <w:pPr>
              <w:jc w:val="right"/>
              <w:ind w:right="239"/>
              <w:spacing w:after="0"/>
              <w:rPr>
                <w:sz w:val="20"/>
                <w:szCs w:val="20"/>
                <w:color w:val="auto"/>
              </w:rPr>
            </w:pPr>
            <w:r>
              <w:rPr>
                <w:rFonts w:ascii="Arial" w:cs="Arial" w:eastAsia="Arial" w:hAnsi="Arial"/>
                <w:sz w:val="16"/>
                <w:szCs w:val="16"/>
                <w:b w:val="1"/>
                <w:bCs w:val="1"/>
                <w:color w:val="auto"/>
              </w:rPr>
              <w:t>December 31,</w:t>
            </w:r>
          </w:p>
        </w:tc>
        <w:tc>
          <w:tcPr>
            <w:tcW w:w="1400" w:type="dxa"/>
            <w:vAlign w:val="bottom"/>
            <w:gridSpan w:val="2"/>
          </w:tcPr>
          <w:p>
            <w:pPr>
              <w:jc w:val="right"/>
              <w:ind w:right="19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532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Revenues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85,048</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88,167</w:t>
            </w: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333,662</w:t>
            </w: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326,142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6"/>
                <w:szCs w:val="16"/>
                <w:color w:val="auto"/>
              </w:rPr>
              <w:t>Voyage expenses and commissions</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(1,527)</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(1,561)</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(10,443)</w:t>
            </w:r>
          </w:p>
        </w:tc>
        <w:tc>
          <w:tcPr>
            <w:tcW w:w="1340" w:type="dxa"/>
            <w:vAlign w:val="bottom"/>
          </w:tcPr>
          <w:p>
            <w:pPr>
              <w:jc w:val="right"/>
              <w:spacing w:after="0"/>
              <w:rPr>
                <w:sz w:val="20"/>
                <w:szCs w:val="20"/>
                <w:color w:val="auto"/>
              </w:rPr>
            </w:pPr>
            <w:r>
              <w:rPr>
                <w:rFonts w:ascii="Arial" w:cs="Arial" w:eastAsia="Arial" w:hAnsi="Arial"/>
                <w:sz w:val="16"/>
                <w:szCs w:val="16"/>
                <w:color w:val="auto"/>
              </w:rPr>
              <w:t>(6,863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Vessel operating costs</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(19,483)</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(18,927)</w:t>
            </w:r>
          </w:p>
        </w:tc>
        <w:tc>
          <w:tcPr>
            <w:tcW w:w="14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(74,798)</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(75,333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6"/>
                <w:szCs w:val="16"/>
                <w:color w:val="auto"/>
              </w:rPr>
              <w:t>Depreciation</w:t>
            </w:r>
          </w:p>
        </w:tc>
        <w:tc>
          <w:tcPr>
            <w:tcW w:w="1480" w:type="dxa"/>
            <w:vAlign w:val="bottom"/>
            <w:gridSpan w:val="2"/>
          </w:tcPr>
          <w:p>
            <w:pPr>
              <w:jc w:val="right"/>
              <w:spacing w:after="0"/>
              <w:rPr>
                <w:sz w:val="20"/>
                <w:szCs w:val="20"/>
                <w:color w:val="auto"/>
              </w:rPr>
            </w:pPr>
            <w:r>
              <w:rPr>
                <w:rFonts w:ascii="Arial" w:cs="Arial" w:eastAsia="Arial" w:hAnsi="Arial"/>
                <w:sz w:val="16"/>
                <w:szCs w:val="16"/>
                <w:color w:val="auto"/>
              </w:rPr>
              <w:t>(21,208)</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(22,728)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(83,058)</w:t>
            </w:r>
          </w:p>
        </w:tc>
        <w:tc>
          <w:tcPr>
            <w:tcW w:w="1340" w:type="dxa"/>
            <w:vAlign w:val="bottom"/>
          </w:tcPr>
          <w:p>
            <w:pPr>
              <w:jc w:val="right"/>
              <w:spacing w:after="0"/>
              <w:rPr>
                <w:sz w:val="20"/>
                <w:szCs w:val="20"/>
                <w:color w:val="auto"/>
              </w:rPr>
            </w:pPr>
            <w:r>
              <w:rPr>
                <w:rFonts w:ascii="Arial" w:cs="Arial" w:eastAsia="Arial" w:hAnsi="Arial"/>
                <w:sz w:val="16"/>
                <w:szCs w:val="16"/>
                <w:color w:val="auto"/>
              </w:rPr>
              <w:t>(85,493</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General and administrative expenses</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(4,989)</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(3,508)</w:t>
            </w:r>
          </w:p>
        </w:tc>
        <w:tc>
          <w:tcPr>
            <w:tcW w:w="14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(18,960)</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(13,362</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6"/>
                <w:szCs w:val="16"/>
                <w:color w:val="auto"/>
              </w:rPr>
              <w:t>Loss on disposal of vessel</w:t>
            </w:r>
          </w:p>
        </w:tc>
        <w:tc>
          <w:tcPr>
            <w:tcW w:w="148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(630)</w:t>
            </w:r>
          </w:p>
        </w:tc>
        <w:tc>
          <w:tcPr>
            <w:tcW w:w="1440" w:type="dxa"/>
            <w:vAlign w:val="bottom"/>
            <w:gridSpan w:val="2"/>
          </w:tcPr>
          <w:p>
            <w:pPr>
              <w:jc w:val="right"/>
              <w:ind w:right="3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(630</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(5,082)</w:t>
            </w: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(103,977)</w:t>
            </w:r>
          </w:p>
        </w:tc>
        <w:tc>
          <w:tcPr>
            <w:tcW w:w="14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(23,923)</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(103,977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Profit/(loss) from operations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32,759</w:t>
            </w:r>
          </w:p>
        </w:tc>
        <w:tc>
          <w:tcPr>
            <w:tcW w:w="1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(63,164)</w:t>
            </w:r>
          </w:p>
        </w:tc>
        <w:tc>
          <w:tcPr>
            <w:tcW w:w="10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122,480</w:t>
            </w:r>
          </w:p>
        </w:tc>
        <w:tc>
          <w:tcPr>
            <w:tcW w:w="10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40,484</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Financial costs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(9,970</w:t>
            </w:r>
          </w:p>
        </w:tc>
        <w:tc>
          <w:tcPr>
            <w:tcW w:w="12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(9,393)</w:t>
            </w: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(50,987</w:t>
            </w:r>
          </w:p>
        </w:tc>
        <w:tc>
          <w:tcPr>
            <w:tcW w:w="100" w:type="dxa"/>
            <w:vAlign w:val="bottom"/>
            <w:shd w:val="clear" w:color="auto" w:fill="E5FFFF"/>
          </w:tcPr>
          <w:p>
            <w:pPr>
              <w:jc w:val="right"/>
              <w:spacing w:after="0"/>
              <w:rPr>
                <w:sz w:val="20"/>
                <w:szCs w:val="20"/>
                <w:color w:val="auto"/>
              </w:rPr>
            </w:pPr>
            <w:r>
              <w:rPr>
                <w:rFonts w:ascii="Arial" w:cs="Arial" w:eastAsia="Arial" w:hAnsi="Arial"/>
                <w:sz w:val="16"/>
                <w:szCs w:val="16"/>
                <w:color w:val="auto"/>
                <w:w w:val="74"/>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(37,297</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320" w:type="dxa"/>
            <w:vAlign w:val="bottom"/>
          </w:tcPr>
          <w:p>
            <w:pPr>
              <w:spacing w:after="0"/>
              <w:rPr>
                <w:sz w:val="20"/>
                <w:szCs w:val="20"/>
                <w:color w:val="auto"/>
              </w:rPr>
            </w:pPr>
            <w:r>
              <w:rPr>
                <w:rFonts w:ascii="Arial" w:cs="Arial" w:eastAsia="Arial" w:hAnsi="Arial"/>
                <w:sz w:val="16"/>
                <w:szCs w:val="16"/>
                <w:color w:val="auto"/>
              </w:rPr>
              <w:t>Financial income</w:t>
            </w:r>
          </w:p>
        </w:tc>
        <w:tc>
          <w:tcPr>
            <w:tcW w:w="13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(Loss)/gain on derivatives</w:t>
            </w:r>
          </w:p>
        </w:tc>
        <w:tc>
          <w:tcPr>
            <w:tcW w:w="148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(188)</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1,762</w:t>
            </w:r>
          </w:p>
        </w:tc>
        <w:tc>
          <w:tcPr>
            <w:tcW w:w="10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spacing w:after="0"/>
              <w:rPr>
                <w:sz w:val="20"/>
                <w:szCs w:val="20"/>
                <w:color w:val="auto"/>
              </w:rPr>
            </w:pPr>
            <w:r>
              <w:rPr>
                <w:rFonts w:ascii="Arial" w:cs="Arial" w:eastAsia="Arial" w:hAnsi="Arial"/>
                <w:sz w:val="16"/>
                <w:szCs w:val="16"/>
                <w:color w:val="auto"/>
              </w:rPr>
              <w:t>(14,929)</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2,496</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6"/>
        </w:trPr>
        <w:tc>
          <w:tcPr>
            <w:tcW w:w="532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Total other expenses, net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(10,148</w:t>
            </w:r>
          </w:p>
        </w:tc>
        <w:tc>
          <w:tcPr>
            <w:tcW w:w="12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(7,620</w:t>
            </w:r>
          </w:p>
        </w:tc>
        <w:tc>
          <w:tcPr>
            <w:tcW w:w="100" w:type="dxa"/>
            <w:vAlign w:val="bottom"/>
            <w:tcBorders>
              <w:bottom w:val="single" w:sz="8" w:color="E5FFFF"/>
            </w:tcBorders>
          </w:tcPr>
          <w:p>
            <w:pPr>
              <w:jc w:val="right"/>
              <w:ind w:right="20"/>
              <w:spacing w:after="0"/>
              <w:rPr>
                <w:sz w:val="20"/>
                <w:szCs w:val="20"/>
                <w:color w:val="auto"/>
              </w:rPr>
            </w:pPr>
            <w:r>
              <w:rPr>
                <w:rFonts w:ascii="Arial" w:cs="Arial" w:eastAsia="Arial" w:hAnsi="Arial"/>
                <w:sz w:val="8"/>
                <w:szCs w:val="8"/>
                <w:color w:val="auto"/>
                <w:w w:val="7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(65,621</w:t>
            </w:r>
          </w:p>
        </w:tc>
        <w:tc>
          <w:tcPr>
            <w:tcW w:w="100" w:type="dxa"/>
            <w:vAlign w:val="bottom"/>
            <w:tcBorders>
              <w:bottom w:val="single" w:sz="8" w:color="E5FFFF"/>
            </w:tcBorders>
          </w:tcPr>
          <w:p>
            <w:pPr>
              <w:jc w:val="right"/>
              <w:spacing w:after="0"/>
              <w:rPr>
                <w:sz w:val="20"/>
                <w:szCs w:val="20"/>
                <w:color w:val="auto"/>
              </w:rPr>
            </w:pPr>
            <w:r>
              <w:rPr>
                <w:rFonts w:ascii="Arial" w:cs="Arial" w:eastAsia="Arial" w:hAnsi="Arial"/>
                <w:sz w:val="16"/>
                <w:szCs w:val="16"/>
                <w:b w:val="1"/>
                <w:bCs w:val="1"/>
                <w:color w:val="auto"/>
                <w:w w:val="74"/>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(34,758</w:t>
            </w:r>
          </w:p>
        </w:tc>
        <w:tc>
          <w:tcPr>
            <w:tcW w:w="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32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Profit/(loss) and total comprehensive income/(loss) for the period</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22,611</w:t>
            </w:r>
          </w:p>
        </w:tc>
        <w:tc>
          <w:tcPr>
            <w:tcW w:w="120" w:type="dxa"/>
            <w:vAlign w:val="bottom"/>
            <w:tcBorders>
              <w:bottom w:val="single" w:sz="8" w:color="E5FFFF"/>
            </w:tcBorders>
            <w:shd w:val="clear" w:color="auto" w:fill="E5FFFF"/>
          </w:tcPr>
          <w:p>
            <w:pPr>
              <w:spacing w:after="0"/>
              <w:rPr>
                <w:sz w:val="19"/>
                <w:szCs w:val="19"/>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(70,784</w:t>
            </w:r>
          </w:p>
        </w:tc>
        <w:tc>
          <w:tcPr>
            <w:tcW w:w="100" w:type="dxa"/>
            <w:vAlign w:val="bottom"/>
            <w:tcBorders>
              <w:bottom w:val="single" w:sz="8" w:color="E5FFFF"/>
            </w:tcBorders>
            <w:shd w:val="clear" w:color="auto" w:fill="E5FFFF"/>
          </w:tcPr>
          <w:p>
            <w:pPr>
              <w:jc w:val="right"/>
              <w:ind w:right="20"/>
              <w:spacing w:after="0"/>
              <w:rPr>
                <w:sz w:val="20"/>
                <w:szCs w:val="20"/>
                <w:color w:val="auto"/>
              </w:rPr>
            </w:pPr>
            <w:r>
              <w:rPr>
                <w:rFonts w:ascii="Arial" w:cs="Arial" w:eastAsia="Arial" w:hAnsi="Arial"/>
                <w:sz w:val="8"/>
                <w:szCs w:val="8"/>
                <w:b w:val="1"/>
                <w:bCs w:val="1"/>
                <w:color w:val="auto"/>
                <w:w w:val="73"/>
              </w:rPr>
              <w:t>)</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56,859</w:t>
            </w:r>
          </w:p>
        </w:tc>
        <w:tc>
          <w:tcPr>
            <w:tcW w:w="100" w:type="dxa"/>
            <w:vAlign w:val="bottom"/>
            <w:tcBorders>
              <w:bottom w:val="single" w:sz="8" w:color="E5FFFF"/>
            </w:tcBorders>
            <w:shd w:val="clear" w:color="auto" w:fill="E5FFFF"/>
          </w:tcPr>
          <w:p>
            <w:pPr>
              <w:spacing w:after="0"/>
              <w:rPr>
                <w:sz w:val="19"/>
                <w:szCs w:val="19"/>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5,726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5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Earnings/(loss) per unit, basic and diluted:</w:t>
            </w:r>
          </w:p>
        </w:tc>
        <w:tc>
          <w:tcPr>
            <w:tcW w:w="136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6"/>
                <w:szCs w:val="16"/>
                <w:color w:val="auto"/>
              </w:rPr>
              <w:t>Common unit, basic</w:t>
            </w:r>
          </w:p>
        </w:tc>
        <w:tc>
          <w:tcPr>
            <w:tcW w:w="1360" w:type="dxa"/>
            <w:vAlign w:val="bottom"/>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(1.50)</w:t>
            </w:r>
          </w:p>
        </w:tc>
        <w:tc>
          <w:tcPr>
            <w:tcW w:w="134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(0.47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2"/>
        </w:trPr>
        <w:tc>
          <w:tcPr>
            <w:tcW w:w="5320" w:type="dxa"/>
            <w:vAlign w:val="bottom"/>
            <w:shd w:val="clear" w:color="auto" w:fill="E5FFFF"/>
          </w:tcPr>
          <w:p>
            <w:pPr>
              <w:spacing w:after="0"/>
              <w:rPr>
                <w:sz w:val="20"/>
                <w:szCs w:val="20"/>
                <w:color w:val="auto"/>
              </w:rPr>
            </w:pPr>
            <w:r>
              <w:rPr>
                <w:rFonts w:ascii="Arial" w:cs="Arial" w:eastAsia="Arial" w:hAnsi="Arial"/>
                <w:sz w:val="16"/>
                <w:szCs w:val="16"/>
                <w:color w:val="auto"/>
              </w:rPr>
              <w:t>Common unit, diluted</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0.30</w:t>
            </w:r>
          </w:p>
        </w:tc>
        <w:tc>
          <w:tcPr>
            <w:tcW w:w="12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20"/>
              <w:spacing w:after="0"/>
              <w:rPr>
                <w:sz w:val="20"/>
                <w:szCs w:val="20"/>
                <w:color w:val="auto"/>
              </w:rPr>
            </w:pPr>
            <w:r>
              <w:rPr>
                <w:rFonts w:ascii="Arial" w:cs="Arial" w:eastAsia="Arial" w:hAnsi="Arial"/>
                <w:sz w:val="16"/>
                <w:szCs w:val="16"/>
                <w:color w:val="auto"/>
              </w:rPr>
              <w:t>(1.50)</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0.52</w:t>
            </w:r>
          </w:p>
        </w:tc>
        <w:tc>
          <w:tcPr>
            <w:tcW w:w="10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(0.47</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320" w:type="dxa"/>
            <w:vAlign w:val="bottom"/>
          </w:tcPr>
          <w:p>
            <w:pPr>
              <w:spacing w:after="0"/>
              <w:rPr>
                <w:sz w:val="20"/>
                <w:szCs w:val="20"/>
                <w:color w:val="auto"/>
              </w:rPr>
            </w:pPr>
            <w:r>
              <w:rPr>
                <w:rFonts w:ascii="Arial" w:cs="Arial" w:eastAsia="Arial" w:hAnsi="Arial"/>
                <w:sz w:val="16"/>
                <w:szCs w:val="16"/>
                <w:color w:val="auto"/>
              </w:rPr>
              <w:t>General partner unit</w:t>
            </w:r>
          </w:p>
        </w:tc>
        <w:tc>
          <w:tcPr>
            <w:tcW w:w="1360" w:type="dxa"/>
            <w:vAlign w:val="bottom"/>
          </w:tcPr>
          <w:p>
            <w:pPr>
              <w:jc w:val="right"/>
              <w:spacing w:after="0"/>
              <w:rPr>
                <w:sz w:val="20"/>
                <w:szCs w:val="20"/>
                <w:color w:val="auto"/>
              </w:rPr>
            </w:pPr>
            <w:r>
              <w:rPr>
                <w:rFonts w:ascii="Arial" w:cs="Arial" w:eastAsia="Arial" w:hAnsi="Arial"/>
                <w:sz w:val="16"/>
                <w:szCs w:val="16"/>
                <w:color w:val="auto"/>
              </w:rPr>
              <w:t>0.31</w:t>
            </w:r>
          </w:p>
        </w:tc>
        <w:tc>
          <w:tcPr>
            <w:tcW w:w="12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(1.50)</w:t>
            </w:r>
          </w:p>
        </w:tc>
        <w:tc>
          <w:tcPr>
            <w:tcW w:w="134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(0.46</w:t>
            </w:r>
          </w:p>
        </w:tc>
        <w:tc>
          <w:tcPr>
            <w:tcW w:w="6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895" w:right="49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color w:val="auto"/>
        </w:rPr>
        <w:t>Unaudited condensed consolidated statements of cash flows</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the years ended December 31, 2020 and 2021</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amounts expressed in thousands of U.S. Dollars)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tcPr>
          <w:p>
            <w:pPr>
              <w:spacing w:after="0"/>
              <w:rPr>
                <w:sz w:val="17"/>
                <w:szCs w:val="17"/>
                <w:color w:val="auto"/>
              </w:rPr>
            </w:pPr>
          </w:p>
        </w:tc>
        <w:tc>
          <w:tcPr>
            <w:tcW w:w="3080" w:type="dxa"/>
            <w:vAlign w:val="bottom"/>
            <w:gridSpan w:val="4"/>
          </w:tcPr>
          <w:p>
            <w:pPr>
              <w:jc w:val="right"/>
              <w:ind w:right="840"/>
              <w:spacing w:after="0"/>
              <w:rPr>
                <w:sz w:val="20"/>
                <w:szCs w:val="20"/>
                <w:color w:val="auto"/>
              </w:rPr>
            </w:pPr>
            <w:r>
              <w:rPr>
                <w:rFonts w:ascii="Arial" w:cs="Arial" w:eastAsia="Arial" w:hAnsi="Arial"/>
                <w:sz w:val="16"/>
                <w:szCs w:val="16"/>
                <w:b w:val="1"/>
                <w:bCs w:val="1"/>
                <w:color w:val="auto"/>
              </w:rPr>
              <w:t>For the years ended</w:t>
            </w:r>
          </w:p>
        </w:tc>
        <w:tc>
          <w:tcPr>
            <w:tcW w:w="0" w:type="dxa"/>
            <w:vAlign w:val="bottom"/>
          </w:tcPr>
          <w:p>
            <w:pPr>
              <w:spacing w:after="0"/>
              <w:rPr>
                <w:sz w:val="1"/>
                <w:szCs w:val="1"/>
                <w:color w:val="auto"/>
              </w:rPr>
            </w:pPr>
          </w:p>
        </w:tc>
      </w:tr>
      <w:tr>
        <w:trPr>
          <w:trHeight w:val="203"/>
        </w:trPr>
        <w:tc>
          <w:tcPr>
            <w:tcW w:w="8100" w:type="dxa"/>
            <w:vAlign w:val="bottom"/>
          </w:tcPr>
          <w:p>
            <w:pPr>
              <w:spacing w:after="0"/>
              <w:rPr>
                <w:sz w:val="17"/>
                <w:szCs w:val="17"/>
                <w:color w:val="auto"/>
              </w:rPr>
            </w:pPr>
          </w:p>
        </w:tc>
        <w:tc>
          <w:tcPr>
            <w:tcW w:w="1700" w:type="dxa"/>
            <w:vAlign w:val="bottom"/>
            <w:gridSpan w:val="2"/>
          </w:tcPr>
          <w:p>
            <w:pPr>
              <w:jc w:val="right"/>
              <w:ind w:right="459"/>
              <w:spacing w:after="0"/>
              <w:rPr>
                <w:sz w:val="20"/>
                <w:szCs w:val="20"/>
                <w:color w:val="auto"/>
              </w:rPr>
            </w:pPr>
            <w:r>
              <w:rPr>
                <w:rFonts w:ascii="Arial" w:cs="Arial" w:eastAsia="Arial" w:hAnsi="Arial"/>
                <w:sz w:val="16"/>
                <w:szCs w:val="16"/>
                <w:b w:val="1"/>
                <w:bCs w:val="1"/>
                <w:color w:val="auto"/>
              </w:rPr>
              <w:t>December 31,</w:t>
            </w:r>
          </w:p>
        </w:tc>
        <w:tc>
          <w:tcPr>
            <w:tcW w:w="13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81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34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shd w:val="clear" w:color="auto" w:fill="E5FFFF"/>
          </w:tcPr>
          <w:p>
            <w:pPr>
              <w:spacing w:after="0"/>
              <w:rPr>
                <w:sz w:val="18"/>
                <w:szCs w:val="18"/>
                <w:color w:val="auto"/>
              </w:rPr>
            </w:pPr>
          </w:p>
        </w:tc>
        <w:tc>
          <w:tcPr>
            <w:tcW w:w="1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Profit for the year</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56,859</w:t>
            </w:r>
          </w:p>
        </w:tc>
        <w:tc>
          <w:tcPr>
            <w:tcW w:w="34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5,726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Adjustments for:</w:t>
            </w:r>
          </w:p>
        </w:tc>
        <w:tc>
          <w:tcPr>
            <w:tcW w:w="1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Depreciation</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83,058</w:t>
            </w:r>
          </w:p>
        </w:tc>
        <w:tc>
          <w:tcPr>
            <w:tcW w:w="34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85,493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360" w:type="dxa"/>
            <w:vAlign w:val="bottom"/>
          </w:tcPr>
          <w:p>
            <w:pPr>
              <w:jc w:val="right"/>
              <w:spacing w:after="0"/>
              <w:rPr>
                <w:sz w:val="20"/>
                <w:szCs w:val="20"/>
                <w:color w:val="auto"/>
              </w:rPr>
            </w:pPr>
            <w:r>
              <w:rPr>
                <w:rFonts w:ascii="Arial" w:cs="Arial" w:eastAsia="Arial" w:hAnsi="Arial"/>
                <w:sz w:val="16"/>
                <w:szCs w:val="16"/>
                <w:color w:val="auto"/>
              </w:rPr>
              <w:t>23,923</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103,977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Loss on disposal of vessel</w:t>
            </w:r>
          </w:p>
        </w:tc>
        <w:tc>
          <w:tcPr>
            <w:tcW w:w="1700" w:type="dxa"/>
            <w:vAlign w:val="bottom"/>
            <w:gridSpan w:val="2"/>
            <w:shd w:val="clear" w:color="auto" w:fill="E5FFFF"/>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Arial" w:cs="Arial" w:eastAsia="Arial" w:hAnsi="Arial"/>
                <w:sz w:val="16"/>
                <w:szCs w:val="16"/>
                <w:color w:val="auto"/>
              </w:rPr>
              <w:t>Financial costs</w:t>
            </w:r>
          </w:p>
        </w:tc>
        <w:tc>
          <w:tcPr>
            <w:tcW w:w="1360" w:type="dxa"/>
            <w:vAlign w:val="bottom"/>
          </w:tcPr>
          <w:p>
            <w:pPr>
              <w:jc w:val="right"/>
              <w:spacing w:after="0"/>
              <w:rPr>
                <w:sz w:val="20"/>
                <w:szCs w:val="20"/>
                <w:color w:val="auto"/>
              </w:rPr>
            </w:pPr>
            <w:r>
              <w:rPr>
                <w:rFonts w:ascii="Arial" w:cs="Arial" w:eastAsia="Arial" w:hAnsi="Arial"/>
                <w:sz w:val="16"/>
                <w:szCs w:val="16"/>
                <w:color w:val="auto"/>
              </w:rPr>
              <w:t>50,987</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37,297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Financial income</w:t>
            </w:r>
          </w:p>
        </w:tc>
        <w:tc>
          <w:tcPr>
            <w:tcW w:w="170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(295)</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Arial" w:cs="Arial" w:eastAsia="Arial" w:hAnsi="Arial"/>
                <w:sz w:val="16"/>
                <w:szCs w:val="16"/>
                <w:color w:val="auto"/>
              </w:rPr>
              <w:t>Loss/(gain) on derivatives (excluding realized loss on forward foreign exchange contracts held for trading)</w:t>
            </w:r>
          </w:p>
        </w:tc>
        <w:tc>
          <w:tcPr>
            <w:tcW w:w="1360" w:type="dxa"/>
            <w:vAlign w:val="bottom"/>
          </w:tcPr>
          <w:p>
            <w:pPr>
              <w:jc w:val="right"/>
              <w:spacing w:after="0"/>
              <w:rPr>
                <w:sz w:val="20"/>
                <w:szCs w:val="20"/>
                <w:color w:val="auto"/>
              </w:rPr>
            </w:pPr>
            <w:r>
              <w:rPr>
                <w:rFonts w:ascii="Arial" w:cs="Arial" w:eastAsia="Arial" w:hAnsi="Arial"/>
                <w:sz w:val="16"/>
                <w:szCs w:val="16"/>
                <w:color w:val="auto"/>
              </w:rPr>
              <w:t>14,868</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color w:val="auto"/>
              </w:rPr>
              <w:t>Share-based compensation</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1,908</w:t>
            </w:r>
          </w:p>
        </w:tc>
        <w:tc>
          <w:tcPr>
            <w:tcW w:w="340" w:type="dxa"/>
            <w:vAlign w:val="bottom"/>
            <w:tcBorders>
              <w:bottom w:val="single" w:sz="8" w:color="E5FFFF"/>
            </w:tcBorders>
            <w:shd w:val="clear" w:color="auto" w:fill="E5FFFF"/>
          </w:tcPr>
          <w:p>
            <w:pPr>
              <w:spacing w:after="0"/>
              <w:rPr>
                <w:sz w:val="18"/>
                <w:szCs w:val="18"/>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378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0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auto"/>
              </w:rPr>
              <w:t>231,308</w:t>
            </w:r>
          </w:p>
        </w:tc>
        <w:tc>
          <w:tcPr>
            <w:tcW w:w="3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230,962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Movements in working capital</w:t>
            </w:r>
          </w:p>
        </w:tc>
        <w:tc>
          <w:tcPr>
            <w:tcW w:w="170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(12,956)</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2,424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1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provided by operating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218,352</w:t>
            </w:r>
          </w:p>
        </w:tc>
        <w:tc>
          <w:tcPr>
            <w:tcW w:w="34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233,386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81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36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Arial" w:cs="Arial" w:eastAsia="Arial" w:hAnsi="Arial"/>
                <w:sz w:val="16"/>
                <w:szCs w:val="16"/>
                <w:color w:val="auto"/>
              </w:rPr>
              <w:t>Proceeds from sale and leaseback, net of commissions</w:t>
            </w:r>
          </w:p>
        </w:tc>
        <w:tc>
          <w:tcPr>
            <w:tcW w:w="170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117,569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Payments for tangible fixed assets</w:t>
            </w:r>
          </w:p>
        </w:tc>
        <w:tc>
          <w:tcPr>
            <w:tcW w:w="170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(23,618)</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(19,443)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Arial" w:cs="Arial" w:eastAsia="Arial" w:hAnsi="Arial"/>
                <w:sz w:val="16"/>
                <w:szCs w:val="16"/>
                <w:color w:val="auto"/>
              </w:rPr>
              <w:t>Financial income received</w:t>
            </w:r>
          </w:p>
        </w:tc>
        <w:tc>
          <w:tcPr>
            <w:tcW w:w="1360" w:type="dxa"/>
            <w:vAlign w:val="bottom"/>
          </w:tcPr>
          <w:p>
            <w:pPr>
              <w:jc w:val="right"/>
              <w:spacing w:after="0"/>
              <w:rPr>
                <w:sz w:val="20"/>
                <w:szCs w:val="20"/>
                <w:color w:val="auto"/>
              </w:rPr>
            </w:pPr>
            <w:r>
              <w:rPr>
                <w:rFonts w:ascii="Arial" w:cs="Arial" w:eastAsia="Arial" w:hAnsi="Arial"/>
                <w:sz w:val="16"/>
                <w:szCs w:val="16"/>
                <w:color w:val="auto"/>
              </w:rPr>
              <w:t>326</w:t>
            </w:r>
          </w:p>
        </w:tc>
        <w:tc>
          <w:tcPr>
            <w:tcW w:w="3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Maturity of short-term investments</w:t>
            </w:r>
          </w:p>
        </w:tc>
        <w:tc>
          <w:tcPr>
            <w:tcW w:w="1700" w:type="dxa"/>
            <w:vAlign w:val="bottom"/>
            <w:gridSpan w:val="2"/>
            <w:shd w:val="clear" w:color="auto" w:fill="E5FFFF"/>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2,500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100" w:type="dxa"/>
            <w:vAlign w:val="bottom"/>
          </w:tcPr>
          <w:p>
            <w:pPr>
              <w:spacing w:after="0"/>
              <w:rPr>
                <w:sz w:val="20"/>
                <w:szCs w:val="20"/>
                <w:color w:val="auto"/>
              </w:rPr>
            </w:pPr>
            <w:r>
              <w:rPr>
                <w:rFonts w:ascii="Arial" w:cs="Arial" w:eastAsia="Arial" w:hAnsi="Arial"/>
                <w:sz w:val="16"/>
                <w:szCs w:val="16"/>
                <w:color w:val="auto"/>
              </w:rPr>
              <w:t>Purchase of short-term investments</w:t>
            </w:r>
          </w:p>
        </w:tc>
        <w:tc>
          <w:tcPr>
            <w:tcW w:w="1700" w:type="dxa"/>
            <w:vAlign w:val="bottom"/>
            <w:gridSpan w:val="2"/>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(2,500)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00" w:type="dxa"/>
            <w:vAlign w:val="bottom"/>
            <w:tcBorders>
              <w:top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Net cash (used in)/provided by investing activities</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(23,292</w:t>
            </w:r>
          </w:p>
        </w:tc>
        <w:tc>
          <w:tcPr>
            <w:tcW w:w="340" w:type="dxa"/>
            <w:vAlign w:val="bottom"/>
            <w:tcBorders>
              <w:top w:val="single" w:sz="8" w:color="E5FFFF"/>
            </w:tcBorders>
            <w:shd w:val="clear" w:color="auto" w:fill="E5FFFF"/>
          </w:tcPr>
          <w:p>
            <w:pPr>
              <w:jc w:val="right"/>
              <w:ind w:right="199"/>
              <w:spacing w:after="0"/>
              <w:rPr>
                <w:sz w:val="20"/>
                <w:szCs w:val="20"/>
                <w:color w:val="auto"/>
              </w:rPr>
            </w:pPr>
            <w:r>
              <w:rPr>
                <w:rFonts w:ascii="Arial" w:cs="Arial" w:eastAsia="Arial" w:hAnsi="Arial"/>
                <w:sz w:val="16"/>
                <w:szCs w:val="16"/>
                <w:b w:val="1"/>
                <w:bCs w:val="1"/>
                <w:color w:val="auto"/>
                <w:w w:val="74"/>
              </w:rPr>
              <w:t>)</w:t>
            </w: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98,169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1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Borrowings drawdowns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479,984</w:t>
            </w:r>
          </w:p>
        </w:tc>
        <w:tc>
          <w:tcPr>
            <w:tcW w:w="34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Borrowings repayments</w:t>
            </w:r>
          </w:p>
        </w:tc>
        <w:tc>
          <w:tcPr>
            <w:tcW w:w="1700" w:type="dxa"/>
            <w:vAlign w:val="bottom"/>
            <w:gridSpan w:val="2"/>
          </w:tcPr>
          <w:p>
            <w:pPr>
              <w:jc w:val="right"/>
              <w:ind w:right="199"/>
              <w:spacing w:after="0"/>
              <w:rPr>
                <w:sz w:val="20"/>
                <w:szCs w:val="20"/>
                <w:color w:val="auto"/>
              </w:rPr>
            </w:pPr>
            <w:r>
              <w:rPr>
                <w:rFonts w:ascii="Arial" w:cs="Arial" w:eastAsia="Arial" w:hAnsi="Arial"/>
                <w:sz w:val="16"/>
                <w:szCs w:val="16"/>
                <w:color w:val="auto"/>
              </w:rPr>
              <w:t>(540,701)</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(205,179)</w:t>
            </w:r>
          </w:p>
        </w:tc>
        <w:tc>
          <w:tcPr>
            <w:tcW w:w="0" w:type="dxa"/>
            <w:vAlign w:val="bottom"/>
          </w:tcPr>
          <w:p>
            <w:pPr>
              <w:spacing w:after="0"/>
              <w:rPr>
                <w:sz w:val="1"/>
                <w:szCs w:val="1"/>
                <w:color w:val="auto"/>
              </w:rPr>
            </w:pPr>
          </w:p>
        </w:tc>
      </w:tr>
      <w:tr>
        <w:trPr>
          <w:trHeight w:val="219"/>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Interest paid</w:t>
            </w:r>
          </w:p>
        </w:tc>
        <w:tc>
          <w:tcPr>
            <w:tcW w:w="170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(51,457)</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(42,239)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Payments of cash collateral for interest rate swaps</w:t>
            </w:r>
          </w:p>
        </w:tc>
        <w:tc>
          <w:tcPr>
            <w:tcW w:w="1700" w:type="dxa"/>
            <w:vAlign w:val="bottom"/>
            <w:gridSpan w:val="2"/>
          </w:tcPr>
          <w:p>
            <w:pPr>
              <w:jc w:val="right"/>
              <w:ind w:right="199"/>
              <w:spacing w:after="0"/>
              <w:rPr>
                <w:sz w:val="20"/>
                <w:szCs w:val="20"/>
                <w:color w:val="auto"/>
              </w:rPr>
            </w:pPr>
            <w:r>
              <w:rPr>
                <w:rFonts w:ascii="Arial" w:cs="Arial" w:eastAsia="Arial" w:hAnsi="Arial"/>
                <w:sz w:val="16"/>
                <w:szCs w:val="16"/>
                <w:color w:val="auto"/>
              </w:rPr>
              <w:t>(16,730)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Release of cash collateral for interest rate swaps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16,450</w:t>
            </w:r>
          </w:p>
        </w:tc>
        <w:tc>
          <w:tcPr>
            <w:tcW w:w="34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Payment of loan issuance costs</w:t>
            </w:r>
          </w:p>
        </w:tc>
        <w:tc>
          <w:tcPr>
            <w:tcW w:w="1700" w:type="dxa"/>
            <w:vAlign w:val="bottom"/>
            <w:gridSpan w:val="2"/>
          </w:tcPr>
          <w:p>
            <w:pPr>
              <w:jc w:val="right"/>
              <w:ind w:right="199"/>
              <w:spacing w:after="0"/>
              <w:rPr>
                <w:sz w:val="20"/>
                <w:szCs w:val="20"/>
                <w:color w:val="auto"/>
              </w:rPr>
            </w:pPr>
            <w:r>
              <w:rPr>
                <w:rFonts w:ascii="Arial" w:cs="Arial" w:eastAsia="Arial" w:hAnsi="Arial"/>
                <w:sz w:val="16"/>
                <w:szCs w:val="16"/>
                <w:color w:val="auto"/>
              </w:rPr>
              <w:t>(7,362)</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Proceeds from entering into interest rate swaps</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16,056</w:t>
            </w:r>
          </w:p>
        </w:tc>
        <w:tc>
          <w:tcPr>
            <w:tcW w:w="34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Payments for interest rate swaps termination</w:t>
            </w:r>
          </w:p>
        </w:tc>
        <w:tc>
          <w:tcPr>
            <w:tcW w:w="1700" w:type="dxa"/>
            <w:vAlign w:val="bottom"/>
            <w:gridSpan w:val="2"/>
          </w:tcPr>
          <w:p>
            <w:pPr>
              <w:jc w:val="right"/>
              <w:ind w:right="199"/>
              <w:spacing w:after="0"/>
              <w:rPr>
                <w:sz w:val="20"/>
                <w:szCs w:val="20"/>
                <w:color w:val="auto"/>
              </w:rPr>
            </w:pPr>
            <w:r>
              <w:rPr>
                <w:rFonts w:ascii="Arial" w:cs="Arial" w:eastAsia="Arial" w:hAnsi="Arial"/>
                <w:sz w:val="16"/>
                <w:szCs w:val="16"/>
                <w:color w:val="auto"/>
              </w:rPr>
              <w:t>(13,210)</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Repurchases of common and preference units</w:t>
            </w:r>
          </w:p>
        </w:tc>
        <w:tc>
          <w:tcPr>
            <w:tcW w:w="170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(996)</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(18,388)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Payment of offering costs</w:t>
            </w:r>
          </w:p>
        </w:tc>
        <w:tc>
          <w:tcPr>
            <w:tcW w:w="1700" w:type="dxa"/>
            <w:vAlign w:val="bottom"/>
            <w:gridSpan w:val="2"/>
          </w:tcPr>
          <w:p>
            <w:pPr>
              <w:jc w:val="right"/>
              <w:ind w:right="199"/>
              <w:spacing w:after="0"/>
              <w:rPr>
                <w:sz w:val="20"/>
                <w:szCs w:val="20"/>
                <w:color w:val="auto"/>
              </w:rPr>
            </w:pPr>
            <w:r>
              <w:rPr>
                <w:rFonts w:ascii="Arial" w:cs="Arial" w:eastAsia="Arial" w:hAnsi="Arial"/>
                <w:sz w:val="16"/>
                <w:szCs w:val="16"/>
                <w:color w:val="auto"/>
              </w:rPr>
              <w:t>(146)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(346)</w:t>
            </w:r>
          </w:p>
        </w:tc>
        <w:tc>
          <w:tcPr>
            <w:tcW w:w="0" w:type="dxa"/>
            <w:vAlign w:val="bottom"/>
          </w:tcPr>
          <w:p>
            <w:pPr>
              <w:spacing w:after="0"/>
              <w:rPr>
                <w:sz w:val="1"/>
                <w:szCs w:val="1"/>
                <w:color w:val="auto"/>
              </w:rPr>
            </w:pPr>
          </w:p>
        </w:tc>
      </w:tr>
      <w:tr>
        <w:trPr>
          <w:trHeight w:val="196"/>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w w:val="97"/>
              </w:rPr>
              <w:t>Proceeds from public offerings of common units and issuances of general partner units (net of underwriting discounts</w:t>
            </w:r>
          </w:p>
        </w:tc>
        <w:tc>
          <w:tcPr>
            <w:tcW w:w="1360" w:type="dxa"/>
            <w:vAlign w:val="bottom"/>
            <w:shd w:val="clear" w:color="auto" w:fill="E5FFFF"/>
          </w:tcPr>
          <w:p>
            <w:pPr>
              <w:spacing w:after="0"/>
              <w:rPr>
                <w:sz w:val="17"/>
                <w:szCs w:val="17"/>
                <w:color w:val="auto"/>
              </w:rPr>
            </w:pPr>
          </w:p>
        </w:tc>
        <w:tc>
          <w:tcPr>
            <w:tcW w:w="34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100" w:type="dxa"/>
            <w:vAlign w:val="bottom"/>
            <w:shd w:val="clear" w:color="auto" w:fill="E5FFFF"/>
          </w:tcPr>
          <w:p>
            <w:pPr>
              <w:ind w:left="160"/>
              <w:spacing w:after="0"/>
              <w:rPr>
                <w:sz w:val="20"/>
                <w:szCs w:val="20"/>
                <w:color w:val="auto"/>
              </w:rPr>
            </w:pPr>
            <w:r>
              <w:rPr>
                <w:rFonts w:ascii="Arial" w:cs="Arial" w:eastAsia="Arial" w:hAnsi="Arial"/>
                <w:sz w:val="16"/>
                <w:szCs w:val="16"/>
                <w:color w:val="auto"/>
              </w:rPr>
              <w:t>and commissions)</w:t>
            </w:r>
          </w:p>
        </w:tc>
        <w:tc>
          <w:tcPr>
            <w:tcW w:w="1700" w:type="dxa"/>
            <w:vAlign w:val="bottom"/>
            <w:gridSpan w:val="2"/>
            <w:shd w:val="clear" w:color="auto" w:fill="E5FFFF"/>
          </w:tcPr>
          <w:p>
            <w:pPr>
              <w:jc w:val="right"/>
              <w:ind w:right="279"/>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10,205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100" w:type="dxa"/>
            <w:vAlign w:val="bottom"/>
          </w:tcPr>
          <w:p>
            <w:pPr>
              <w:spacing w:after="0"/>
              <w:rPr>
                <w:sz w:val="20"/>
                <w:szCs w:val="20"/>
                <w:color w:val="auto"/>
              </w:rPr>
            </w:pPr>
            <w:r>
              <w:rPr>
                <w:rFonts w:ascii="Arial" w:cs="Arial" w:eastAsia="Arial" w:hAnsi="Arial"/>
                <w:sz w:val="16"/>
                <w:szCs w:val="16"/>
                <w:color w:val="auto"/>
              </w:rPr>
              <w:t>Distributions paid</w:t>
            </w:r>
          </w:p>
        </w:tc>
        <w:tc>
          <w:tcPr>
            <w:tcW w:w="1700" w:type="dxa"/>
            <w:vAlign w:val="bottom"/>
            <w:gridSpan w:val="2"/>
          </w:tcPr>
          <w:p>
            <w:pPr>
              <w:jc w:val="right"/>
              <w:ind w:right="199"/>
              <w:spacing w:after="0"/>
              <w:rPr>
                <w:sz w:val="20"/>
                <w:szCs w:val="20"/>
                <w:color w:val="auto"/>
              </w:rPr>
            </w:pPr>
            <w:r>
              <w:rPr>
                <w:rFonts w:ascii="Arial" w:cs="Arial" w:eastAsia="Arial" w:hAnsi="Arial"/>
                <w:sz w:val="16"/>
                <w:szCs w:val="16"/>
                <w:color w:val="auto"/>
              </w:rPr>
              <w:t>(69,556)</w:t>
            </w:r>
          </w:p>
        </w:tc>
        <w:tc>
          <w:tcPr>
            <w:tcW w:w="1380" w:type="dxa"/>
            <w:vAlign w:val="bottom"/>
            <w:gridSpan w:val="2"/>
          </w:tcPr>
          <w:p>
            <w:pPr>
              <w:jc w:val="right"/>
              <w:spacing w:after="0"/>
              <w:rPr>
                <w:sz w:val="20"/>
                <w:szCs w:val="20"/>
                <w:color w:val="auto"/>
              </w:rPr>
            </w:pPr>
            <w:r>
              <w:rPr>
                <w:rFonts w:ascii="Arial" w:cs="Arial" w:eastAsia="Arial" w:hAnsi="Arial"/>
                <w:sz w:val="16"/>
                <w:szCs w:val="16"/>
                <w:color w:val="auto"/>
              </w:rPr>
              <w:t>(31,877)</w:t>
            </w:r>
          </w:p>
        </w:tc>
        <w:tc>
          <w:tcPr>
            <w:tcW w:w="0" w:type="dxa"/>
            <w:vAlign w:val="bottom"/>
          </w:tcPr>
          <w:p>
            <w:pPr>
              <w:spacing w:after="0"/>
              <w:rPr>
                <w:sz w:val="1"/>
                <w:szCs w:val="1"/>
                <w:color w:val="auto"/>
              </w:rPr>
            </w:pPr>
          </w:p>
        </w:tc>
      </w:tr>
      <w:tr>
        <w:trPr>
          <w:trHeight w:val="219"/>
        </w:trPr>
        <w:tc>
          <w:tcPr>
            <w:tcW w:w="8100" w:type="dxa"/>
            <w:vAlign w:val="bottom"/>
            <w:shd w:val="clear" w:color="auto" w:fill="E5FFFF"/>
          </w:tcPr>
          <w:p>
            <w:pPr>
              <w:spacing w:after="0"/>
              <w:rPr>
                <w:sz w:val="20"/>
                <w:szCs w:val="20"/>
                <w:color w:val="auto"/>
              </w:rPr>
            </w:pPr>
            <w:r>
              <w:rPr>
                <w:rFonts w:ascii="Arial" w:cs="Arial" w:eastAsia="Arial" w:hAnsi="Arial"/>
                <w:sz w:val="16"/>
                <w:szCs w:val="16"/>
                <w:color w:val="auto"/>
              </w:rPr>
              <w:t>Payments for lease liabilities</w:t>
            </w:r>
          </w:p>
        </w:tc>
        <w:tc>
          <w:tcPr>
            <w:tcW w:w="1700" w:type="dxa"/>
            <w:vAlign w:val="bottom"/>
            <w:gridSpan w:val="2"/>
            <w:shd w:val="clear" w:color="auto" w:fill="E5FFFF"/>
          </w:tcPr>
          <w:p>
            <w:pPr>
              <w:jc w:val="right"/>
              <w:ind w:right="199"/>
              <w:spacing w:after="0"/>
              <w:rPr>
                <w:sz w:val="20"/>
                <w:szCs w:val="20"/>
                <w:color w:val="auto"/>
              </w:rPr>
            </w:pPr>
            <w:r>
              <w:rPr>
                <w:rFonts w:ascii="Arial" w:cs="Arial" w:eastAsia="Arial" w:hAnsi="Arial"/>
                <w:sz w:val="16"/>
                <w:szCs w:val="16"/>
                <w:color w:val="auto"/>
              </w:rPr>
              <w:t>(540)</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(2,217)</w:t>
            </w:r>
          </w:p>
        </w:tc>
        <w:tc>
          <w:tcPr>
            <w:tcW w:w="40" w:type="dxa"/>
            <w:vAlign w:val="bottom"/>
            <w:vMerge w:val="restart"/>
          </w:tcPr>
          <w:p>
            <w:pPr>
              <w:jc w:val="right"/>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96"/>
        </w:trPr>
        <w:tc>
          <w:tcPr>
            <w:tcW w:w="81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(188,208)</w:t>
            </w:r>
          </w:p>
        </w:tc>
        <w:tc>
          <w:tcPr>
            <w:tcW w:w="34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(289,761</w:t>
            </w:r>
          </w:p>
        </w:tc>
        <w:tc>
          <w:tcPr>
            <w:tcW w:w="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shd w:val="clear" w:color="auto" w:fill="E5FFFF"/>
          </w:tcPr>
          <w:p>
            <w:pPr>
              <w:spacing w:after="0"/>
              <w:rPr>
                <w:sz w:val="20"/>
                <w:szCs w:val="20"/>
                <w:color w:val="auto"/>
              </w:rPr>
            </w:pPr>
            <w:r>
              <w:rPr>
                <w:rFonts w:ascii="Arial" w:cs="Arial" w:eastAsia="Arial" w:hAnsi="Arial"/>
                <w:sz w:val="16"/>
                <w:szCs w:val="16"/>
                <w:b w:val="1"/>
                <w:bCs w:val="1"/>
                <w:color w:val="auto"/>
              </w:rPr>
              <w:t>Increase in cash and cash equivalents</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6,852</w:t>
            </w:r>
          </w:p>
        </w:tc>
        <w:tc>
          <w:tcPr>
            <w:tcW w:w="340" w:type="dxa"/>
            <w:vAlign w:val="bottom"/>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41,794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100" w:type="dxa"/>
            <w:vAlign w:val="bottom"/>
            <w:tcBorders>
              <w:bottom w:val="single" w:sz="8" w:color="E5FFFF"/>
            </w:tcBorders>
          </w:tcPr>
          <w:p>
            <w:pPr>
              <w:spacing w:after="0"/>
              <w:rPr>
                <w:sz w:val="20"/>
                <w:szCs w:val="20"/>
                <w:color w:val="auto"/>
              </w:rPr>
            </w:pPr>
            <w:r>
              <w:rPr>
                <w:rFonts w:ascii="Arial" w:cs="Arial" w:eastAsia="Arial" w:hAnsi="Arial"/>
                <w:sz w:val="16"/>
                <w:szCs w:val="16"/>
                <w:color w:val="auto"/>
              </w:rPr>
              <w:t>Cash and cash equivalents, beginning of the year</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96,884</w:t>
            </w:r>
          </w:p>
        </w:tc>
        <w:tc>
          <w:tcPr>
            <w:tcW w:w="340" w:type="dxa"/>
            <w:vAlign w:val="bottom"/>
            <w:tcBorders>
              <w:bottom w:val="single" w:sz="8" w:color="E5FFFF"/>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103,736</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8100" w:type="dxa"/>
            <w:vAlign w:val="bottom"/>
            <w:tcBorders>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Cash and cash equivalents, end of the year</w:t>
            </w:r>
          </w:p>
        </w:tc>
        <w:tc>
          <w:tcPr>
            <w:tcW w:w="136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103,736</w:t>
            </w:r>
          </w:p>
        </w:tc>
        <w:tc>
          <w:tcPr>
            <w:tcW w:w="340" w:type="dxa"/>
            <w:vAlign w:val="bottom"/>
            <w:tcBorders>
              <w:bottom w:val="single" w:sz="8" w:color="E5FFFF"/>
            </w:tcBorders>
            <w:shd w:val="clear" w:color="auto" w:fill="E5FFFF"/>
          </w:tcPr>
          <w:p>
            <w:pPr>
              <w:spacing w:after="0"/>
              <w:rPr>
                <w:sz w:val="18"/>
                <w:szCs w:val="18"/>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145,530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895" w:right="39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color w:val="auto"/>
        </w:rPr>
        <w:t>EXHIBIT II</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225" w:lineRule="exact"/>
        <w:rPr>
          <w:sz w:val="20"/>
          <w:szCs w:val="20"/>
          <w:color w:val="auto"/>
        </w:rPr>
      </w:pPr>
    </w:p>
    <w:p>
      <w:pPr>
        <w:spacing w:after="0" w:line="305" w:lineRule="auto"/>
        <w:rPr>
          <w:sz w:val="20"/>
          <w:szCs w:val="20"/>
          <w:color w:val="auto"/>
        </w:rPr>
      </w:pPr>
      <w:r>
        <w:rPr>
          <w:rFonts w:ascii="Arial" w:cs="Arial" w:eastAsia="Arial" w:hAnsi="Arial"/>
          <w:sz w:val="14"/>
          <w:szCs w:val="14"/>
          <w:color w:val="auto"/>
        </w:rPr>
        <w:t>EBITDA is defined as earnings before financial income and costs, gain/loss on derivatives, taxes, depreciation and amortization. Adjusted EBITDA is defined as EBITDA before impairment loss on vessels, loss on disposal of vessel and restructuring costs. Adjusted Profit represents earnings before (a) non-cash gain/loss on derivatives that includes unrealized gain/loss on derivatives held for trading, (b) write-off and accelerated amortization of unamortized loan fees, (c) impairment loss on vessels, (d) loss on disposal of vessel and (e) restructuring costs. Adjusted EPU, represents Adjusted Profit (as defined above), after deducting preference unit distributions and adding/deducting any difference between the carrying amount of preference units and the fair value of the consideration paid to settle them, divided by the weighted average number of units outstanding during the period. EBITDA, Adjusted EBITDA, Adjusted Profit and Adjusted EPU, which are non-GAAP financial measures, are used as supplemental financial measures by management and external users of financial statements, such as investors, to assess our financial and operating performance. The Partnership believes that these non-GAAP financial measures assist our management and investors by increasing the comparability of our performance from period to period. The Partnership believes that including EBITDA, Adjusted EBITDA, Adjusted Profit and Adjusted EPU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units. This increased comparability is achieved by excluding the potentially disparate effects between periods of, in the case of EBITDA and Adjusted EBITDA, financial costs, gain/loss on derivatives, taxes, depreciation and amortization; in the case of Adjusted EBITDA, impairment loss on vessels, loss on disposal of vessel and restructuring costs and, in the case of Adjusted Profit and Adjusted EPU, non-cash gain/loss on derivatives, write-off and accelerated amortization of unamortized loan fees, impairment loss on vessels, loss on disposal of vessel and restructuring costs, which items are affected by various and possibly changing financing methods, financial market conditions, general shipping market conditions, capital structure and historical cost basis and which items may significantly affect results of operations between periods. Restructuring costs are excluded from Adjusted EBITDA, Adjusted Profit and Adjusted EPU because restructuring costs represent charges reflecting specific actions taken by management to improve the Partnership’s future profitability and therefore are not considered representative of the underlying operations of the Partnership. Impairment loss is excluded from Adjusted EBITDA, Adjusted Profit and Adjusted EPU because impairment loss on vessels represents the excess of their carrying amount over the amount that is expected to be recovered from them in the future and therefore is not considered representative of the underlying operations of the Partnership. Loss on disposal of vessel is excluded from Adjusted EBITDA, Adjusted Profit and Adjusted EPU because loss on disposal of vessel represents the excess of its carrying amount over the amount that was recovered through sale and therefore is not considered representative of the underlying operations of the Partnership.</w:t>
      </w:r>
    </w:p>
    <w:p>
      <w:pPr>
        <w:spacing w:after="0" w:line="361"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EBITDA, Adjusted EBITDA, Adjusted Profit and Adjusted EPU have limitations as analytical tools and should not be considered as alternatives to, or as substitutes for, or superior to, profit, profit from operations, earnings per unit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often have to be replaced in the future and EBITDA and Adjusted EBITDA do not reflect any cash requirements for such replacements. EBITDA, Adjusted EBITDA, Adjusted Profit and Adjusted EPU are not adjusted for all non-cash income or expense items that are reflected in our statement of cash flows and other companies in our industry may calculate these measures differently to how we do, limiting their usefulness as comparative measures. EBITDA, Adjusted EBITDA, Adjusted Profit and Adjusted EPU exclude some, but not all, items that affect profit or loss and these measures may vary among other companies. Therefore, EBITDA, Adjusted EBITDA, Adjusted Profit and Adjusted EPU as presented herein may not be comparable to similarly titled measures of other companies. The following tables reconcile EBITDA, Adjusted EBITDA, Adjusted Profit and Adjusted EPU to Profit, the most directly comparable IFRS financial measure, for the periods presented.</w:t>
      </w:r>
    </w:p>
    <w:p>
      <w:pPr>
        <w:spacing w:after="0" w:line="169" w:lineRule="exact"/>
        <w:rPr>
          <w:sz w:val="20"/>
          <w:szCs w:val="20"/>
          <w:color w:val="auto"/>
        </w:rPr>
      </w:pPr>
    </w:p>
    <w:p>
      <w:pPr>
        <w:jc w:val="both"/>
        <w:ind w:right="20"/>
        <w:spacing w:after="0" w:line="278" w:lineRule="auto"/>
        <w:rPr>
          <w:sz w:val="20"/>
          <w:szCs w:val="20"/>
          <w:color w:val="auto"/>
        </w:rPr>
      </w:pPr>
      <w:r>
        <w:rPr>
          <w:rFonts w:ascii="Arial" w:cs="Arial" w:eastAsia="Arial" w:hAnsi="Arial"/>
          <w:sz w:val="16"/>
          <w:szCs w:val="16"/>
          <w:color w:val="auto"/>
        </w:rPr>
        <w:t>In evaluating EBITDA, Adjusted EBITDA, Adjusted Profit and Adjusted EPU you should be aware that in the future we may incur expenses that are the same as or similar to some of the adjustments in this presentation. Our presentation of EBITDA, Adjusted EBITDA, Adjusted Profit and Adjusted EPU should not be construed as an inference that our future results will be unaffected by the excluded items.</w:t>
      </w:r>
    </w:p>
    <w:p>
      <w:pPr>
        <w:sectPr>
          <w:pgSz w:w="11900" w:h="16838" w:orient="portrait"/>
          <w:cols w:equalWidth="0" w:num="1">
            <w:col w:w="11240"/>
          </w:cols>
          <w:pgMar w:left="320" w:top="895" w:right="339" w:bottom="1440" w:gutter="0" w:footer="0" w:header="0"/>
        </w:sectPr>
      </w:pPr>
    </w:p>
    <w:p>
      <w:pPr>
        <w:spacing w:after="0" w:line="16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Reconciliation of Profit/(loss) to EBITDA and Adjusted EBITDA:</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Profit/(loss) for the period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Depreciation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Financial income</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Loss/(gain) on derivatives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0"/>
        </w:trPr>
        <w:tc>
          <w:tcPr>
            <w:tcW w:w="2880" w:type="dxa"/>
            <w:vAlign w:val="bottom"/>
            <w:gridSpan w:val="4"/>
          </w:tcPr>
          <w:p>
            <w:pPr>
              <w:jc w:val="right"/>
              <w:ind w:right="540"/>
              <w:spacing w:after="0"/>
              <w:rPr>
                <w:sz w:val="20"/>
                <w:szCs w:val="20"/>
                <w:color w:val="auto"/>
              </w:rPr>
            </w:pPr>
            <w:r>
              <w:rPr>
                <w:rFonts w:ascii="Arial" w:cs="Arial" w:eastAsia="Arial" w:hAnsi="Arial"/>
                <w:sz w:val="16"/>
                <w:szCs w:val="16"/>
                <w:b w:val="1"/>
                <w:bCs w:val="1"/>
                <w:color w:val="auto"/>
              </w:rPr>
              <w:t>For the three months ended</w:t>
            </w:r>
          </w:p>
        </w:tc>
        <w:tc>
          <w:tcPr>
            <w:tcW w:w="2840" w:type="dxa"/>
            <w:vAlign w:val="bottom"/>
            <w:gridSpan w:val="4"/>
          </w:tcPr>
          <w:p>
            <w:pPr>
              <w:jc w:val="right"/>
              <w:ind w:right="760"/>
              <w:spacing w:after="0"/>
              <w:rPr>
                <w:sz w:val="20"/>
                <w:szCs w:val="20"/>
                <w:color w:val="auto"/>
              </w:rPr>
            </w:pPr>
            <w:r>
              <w:rPr>
                <w:rFonts w:ascii="Arial" w:cs="Arial" w:eastAsia="Arial" w:hAnsi="Arial"/>
                <w:sz w:val="16"/>
                <w:szCs w:val="16"/>
                <w:b w:val="1"/>
                <w:bCs w:val="1"/>
                <w:color w:val="auto"/>
              </w:rPr>
              <w:t>For the years ended</w:t>
            </w:r>
          </w:p>
        </w:tc>
      </w:tr>
      <w:tr>
        <w:trPr>
          <w:trHeight w:val="188"/>
        </w:trPr>
        <w:tc>
          <w:tcPr>
            <w:tcW w:w="14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December 31,</w:t>
            </w:r>
          </w:p>
        </w:tc>
        <w:tc>
          <w:tcPr>
            <w:tcW w:w="1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320"/>
              <w:spacing w:after="0"/>
              <w:rPr>
                <w:sz w:val="20"/>
                <w:szCs w:val="20"/>
                <w:color w:val="auto"/>
              </w:rPr>
            </w:pPr>
            <w:r>
              <w:rPr>
                <w:rFonts w:ascii="Arial" w:cs="Arial" w:eastAsia="Arial" w:hAnsi="Arial"/>
                <w:sz w:val="16"/>
                <w:szCs w:val="16"/>
                <w:b w:val="1"/>
                <w:bCs w:val="1"/>
                <w:color w:val="auto"/>
              </w:rPr>
              <w:t>December 31,</w:t>
            </w:r>
          </w:p>
        </w:tc>
        <w:tc>
          <w:tcPr>
            <w:tcW w:w="1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r>
      <w:tr>
        <w:trPr>
          <w:trHeight w:val="213"/>
        </w:trPr>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r>
      <w:tr>
        <w:trPr>
          <w:trHeight w:val="203"/>
        </w:trPr>
        <w:tc>
          <w:tcPr>
            <w:tcW w:w="1340" w:type="dxa"/>
            <w:vAlign w:val="bottom"/>
          </w:tcPr>
          <w:p>
            <w:pPr>
              <w:jc w:val="right"/>
              <w:spacing w:after="0"/>
              <w:rPr>
                <w:sz w:val="20"/>
                <w:szCs w:val="20"/>
                <w:color w:val="auto"/>
              </w:rPr>
            </w:pPr>
            <w:r>
              <w:rPr>
                <w:rFonts w:ascii="Arial" w:cs="Arial" w:eastAsia="Arial" w:hAnsi="Arial"/>
                <w:sz w:val="16"/>
                <w:szCs w:val="16"/>
                <w:color w:val="auto"/>
              </w:rPr>
              <w:t>22,611</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(70,784)</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56,859</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5,726</w:t>
            </w:r>
          </w:p>
        </w:tc>
        <w:tc>
          <w:tcPr>
            <w:tcW w:w="60" w:type="dxa"/>
            <w:vAlign w:val="bottom"/>
          </w:tcPr>
          <w:p>
            <w:pPr>
              <w:spacing w:after="0"/>
              <w:rPr>
                <w:sz w:val="17"/>
                <w:szCs w:val="17"/>
                <w:color w:val="auto"/>
              </w:rPr>
            </w:pPr>
          </w:p>
        </w:tc>
      </w:tr>
      <w:tr>
        <w:trPr>
          <w:trHeight w:val="206"/>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21,208</w:t>
            </w:r>
          </w:p>
        </w:tc>
        <w:tc>
          <w:tcPr>
            <w:tcW w:w="1340" w:type="dxa"/>
            <w:vAlign w:val="bottom"/>
          </w:tcPr>
          <w:p>
            <w:pPr>
              <w:jc w:val="right"/>
              <w:spacing w:after="0"/>
              <w:rPr>
                <w:sz w:val="20"/>
                <w:szCs w:val="20"/>
                <w:color w:val="auto"/>
              </w:rPr>
            </w:pPr>
            <w:r>
              <w:rPr>
                <w:rFonts w:ascii="Arial" w:cs="Arial" w:eastAsia="Arial" w:hAnsi="Arial"/>
                <w:sz w:val="16"/>
                <w:szCs w:val="16"/>
                <w:color w:val="auto"/>
              </w:rPr>
              <w:t>22,728</w:t>
            </w:r>
          </w:p>
        </w:tc>
        <w:tc>
          <w:tcPr>
            <w:tcW w:w="10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83,058</w:t>
            </w:r>
          </w:p>
        </w:tc>
        <w:tc>
          <w:tcPr>
            <w:tcW w:w="1340" w:type="dxa"/>
            <w:vAlign w:val="bottom"/>
          </w:tcPr>
          <w:p>
            <w:pPr>
              <w:jc w:val="right"/>
              <w:spacing w:after="0"/>
              <w:rPr>
                <w:sz w:val="20"/>
                <w:szCs w:val="20"/>
                <w:color w:val="auto"/>
              </w:rPr>
            </w:pPr>
            <w:r>
              <w:rPr>
                <w:rFonts w:ascii="Arial" w:cs="Arial" w:eastAsia="Arial" w:hAnsi="Arial"/>
                <w:sz w:val="16"/>
                <w:szCs w:val="16"/>
                <w:color w:val="auto"/>
              </w:rPr>
              <w:t>85,493</w:t>
            </w:r>
          </w:p>
        </w:tc>
        <w:tc>
          <w:tcPr>
            <w:tcW w:w="60" w:type="dxa"/>
            <w:vAlign w:val="bottom"/>
          </w:tcPr>
          <w:p>
            <w:pPr>
              <w:spacing w:after="0"/>
              <w:rPr>
                <w:sz w:val="17"/>
                <w:szCs w:val="17"/>
                <w:color w:val="auto"/>
              </w:rPr>
            </w:pPr>
          </w:p>
        </w:tc>
      </w:tr>
      <w:tr>
        <w:trPr>
          <w:trHeight w:val="212"/>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9,970</w:t>
            </w:r>
          </w:p>
        </w:tc>
        <w:tc>
          <w:tcPr>
            <w:tcW w:w="1340" w:type="dxa"/>
            <w:vAlign w:val="bottom"/>
          </w:tcPr>
          <w:p>
            <w:pPr>
              <w:jc w:val="right"/>
              <w:spacing w:after="0"/>
              <w:rPr>
                <w:sz w:val="20"/>
                <w:szCs w:val="20"/>
                <w:color w:val="auto"/>
              </w:rPr>
            </w:pPr>
            <w:r>
              <w:rPr>
                <w:rFonts w:ascii="Arial" w:cs="Arial" w:eastAsia="Arial" w:hAnsi="Arial"/>
                <w:sz w:val="16"/>
                <w:szCs w:val="16"/>
                <w:color w:val="auto"/>
              </w:rPr>
              <w:t>9,393</w:t>
            </w: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50,987</w:t>
            </w:r>
          </w:p>
        </w:tc>
        <w:tc>
          <w:tcPr>
            <w:tcW w:w="1340" w:type="dxa"/>
            <w:vAlign w:val="bottom"/>
          </w:tcPr>
          <w:p>
            <w:pPr>
              <w:jc w:val="right"/>
              <w:spacing w:after="0"/>
              <w:rPr>
                <w:sz w:val="20"/>
                <w:szCs w:val="20"/>
                <w:color w:val="auto"/>
              </w:rPr>
            </w:pPr>
            <w:r>
              <w:rPr>
                <w:rFonts w:ascii="Arial" w:cs="Arial" w:eastAsia="Arial" w:hAnsi="Arial"/>
                <w:sz w:val="16"/>
                <w:szCs w:val="16"/>
                <w:color w:val="auto"/>
              </w:rPr>
              <w:t>37,297</w:t>
            </w:r>
          </w:p>
        </w:tc>
        <w:tc>
          <w:tcPr>
            <w:tcW w:w="60" w:type="dxa"/>
            <w:vAlign w:val="bottom"/>
          </w:tcPr>
          <w:p>
            <w:pPr>
              <w:spacing w:after="0"/>
              <w:rPr>
                <w:sz w:val="18"/>
                <w:szCs w:val="18"/>
                <w:color w:val="auto"/>
              </w:rPr>
            </w:pPr>
          </w:p>
        </w:tc>
      </w:tr>
      <w:tr>
        <w:trPr>
          <w:trHeight w:val="206"/>
        </w:trPr>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(10)</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(11)</w:t>
            </w: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(295)</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(43)</w:t>
            </w:r>
          </w:p>
        </w:tc>
      </w:tr>
      <w:tr>
        <w:trPr>
          <w:trHeight w:val="216"/>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188</w:t>
            </w:r>
          </w:p>
        </w:tc>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(1,762)</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14,929</w:t>
            </w: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(2,496)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-672465</wp:posOffset>
            </wp:positionV>
            <wp:extent cx="70205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-398780</wp:posOffset>
            </wp:positionV>
            <wp:extent cx="70205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-132715</wp:posOffset>
            </wp:positionV>
            <wp:extent cx="70205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20560" cy="137160"/>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4680" w:space="720"/>
            <w:col w:w="5840"/>
          </w:cols>
          <w:pgMar w:left="320" w:top="895" w:right="339" w:bottom="1440" w:gutter="0" w:footer="0" w:header="0"/>
          <w:type w:val="continuous"/>
        </w:sectPr>
      </w:pPr>
    </w:p>
    <w:tbl>
      <w:tblPr>
        <w:tblLayout w:type="fixed"/>
        <w:tblInd w:w="0" w:type="dxa"/>
        <w:tblCellMar>
          <w:top w:w="0" w:type="dxa"/>
          <w:left w:w="0" w:type="dxa"/>
          <w:bottom w:w="0" w:type="dxa"/>
          <w:right w:w="0" w:type="dxa"/>
        </w:tblCellMar>
      </w:tblPr>
      <w:tr>
        <w:trPr>
          <w:trHeight w:val="202"/>
        </w:trPr>
        <w:tc>
          <w:tcPr>
            <w:tcW w:w="5400" w:type="dxa"/>
            <w:vAlign w:val="bottom"/>
            <w:tcBorders>
              <w:bottom w:val="single" w:sz="8" w:color="E5FFFF"/>
            </w:tcBorders>
          </w:tcPr>
          <w:p>
            <w:pPr>
              <w:spacing w:after="0"/>
              <w:rPr>
                <w:sz w:val="20"/>
                <w:szCs w:val="20"/>
                <w:color w:val="auto"/>
              </w:rPr>
            </w:pPr>
            <w:r>
              <w:rPr>
                <w:rFonts w:ascii="Arial" w:cs="Arial" w:eastAsia="Arial" w:hAnsi="Arial"/>
                <w:sz w:val="16"/>
                <w:szCs w:val="16"/>
                <w:b w:val="1"/>
                <w:bCs w:val="1"/>
                <w:color w:val="auto"/>
              </w:rPr>
              <w:t>EBITDA</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53,967</w:t>
            </w:r>
          </w:p>
        </w:tc>
        <w:tc>
          <w:tcPr>
            <w:tcW w:w="10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(40,436)</w:t>
            </w:r>
          </w:p>
        </w:tc>
        <w:tc>
          <w:tcPr>
            <w:tcW w:w="10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205,538</w:t>
            </w:r>
          </w:p>
        </w:tc>
        <w:tc>
          <w:tcPr>
            <w:tcW w:w="10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125,977</w:t>
            </w:r>
          </w:p>
        </w:tc>
      </w:tr>
      <w:tr>
        <w:trPr>
          <w:trHeight w:val="196"/>
        </w:trPr>
        <w:tc>
          <w:tcPr>
            <w:tcW w:w="5400" w:type="dxa"/>
            <w:vAlign w:val="bottom"/>
            <w:shd w:val="clear" w:color="auto" w:fill="E5FFFF"/>
          </w:tcPr>
          <w:p>
            <w:pPr>
              <w:spacing w:after="0"/>
              <w:rPr>
                <w:sz w:val="20"/>
                <w:szCs w:val="20"/>
                <w:color w:val="auto"/>
              </w:rPr>
            </w:pPr>
            <w:r>
              <w:rPr>
                <w:rFonts w:ascii="Arial" w:cs="Arial" w:eastAsia="Arial" w:hAnsi="Arial"/>
                <w:sz w:val="16"/>
                <w:szCs w:val="16"/>
                <w:color w:val="auto"/>
              </w:rPr>
              <w:t>Impairment loss on vessels</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5,082</w:t>
            </w: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103,977</w:t>
            </w: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23,923</w:t>
            </w:r>
          </w:p>
        </w:tc>
        <w:tc>
          <w:tcPr>
            <w:tcW w:w="10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103,977</w:t>
            </w: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Loss on disposal of vessel</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630</w:t>
            </w:r>
          </w:p>
        </w:tc>
      </w:tr>
      <w:tr>
        <w:trPr>
          <w:trHeight w:val="219"/>
        </w:trPr>
        <w:tc>
          <w:tcPr>
            <w:tcW w:w="5400" w:type="dxa"/>
            <w:vAlign w:val="bottom"/>
            <w:shd w:val="clear" w:color="auto" w:fill="E5FFFF"/>
          </w:tcPr>
          <w:p>
            <w:pPr>
              <w:spacing w:after="0"/>
              <w:rPr>
                <w:sz w:val="20"/>
                <w:szCs w:val="20"/>
                <w:color w:val="auto"/>
              </w:rPr>
            </w:pPr>
            <w:r>
              <w:rPr>
                <w:rFonts w:ascii="Arial" w:cs="Arial" w:eastAsia="Arial" w:hAnsi="Arial"/>
                <w:sz w:val="16"/>
                <w:szCs w:val="16"/>
                <w:color w:val="auto"/>
              </w:rPr>
              <w:t>Restructuring costs</w:t>
            </w: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5FFFF"/>
          </w:tcPr>
          <w:p>
            <w:pPr>
              <w:spacing w:after="0"/>
              <w:rPr>
                <w:sz w:val="19"/>
                <w:szCs w:val="19"/>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E5FFFF"/>
          </w:tcPr>
          <w:p>
            <w:pPr>
              <w:spacing w:after="0"/>
              <w:rPr>
                <w:sz w:val="19"/>
                <w:szCs w:val="19"/>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1,174</w:t>
            </w:r>
          </w:p>
        </w:tc>
        <w:tc>
          <w:tcPr>
            <w:tcW w:w="100" w:type="dxa"/>
            <w:vAlign w:val="bottom"/>
            <w:shd w:val="clear" w:color="auto" w:fill="E5FFFF"/>
          </w:tcPr>
          <w:p>
            <w:pPr>
              <w:spacing w:after="0"/>
              <w:rPr>
                <w:sz w:val="19"/>
                <w:szCs w:val="19"/>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Arial" w:cs="Arial" w:eastAsia="Arial" w:hAnsi="Arial"/>
                <w:sz w:val="16"/>
                <w:szCs w:val="16"/>
                <w:color w:val="auto"/>
              </w:rPr>
              <w:t>—</w:t>
            </w:r>
          </w:p>
        </w:tc>
      </w:tr>
      <w:tr>
        <w:trPr>
          <w:trHeight w:val="220"/>
        </w:trPr>
        <w:tc>
          <w:tcPr>
            <w:tcW w:w="5400" w:type="dxa"/>
            <w:vAlign w:val="bottom"/>
          </w:tcPr>
          <w:p>
            <w:pPr>
              <w:spacing w:after="0"/>
              <w:rPr>
                <w:sz w:val="20"/>
                <w:szCs w:val="20"/>
                <w:color w:val="auto"/>
              </w:rPr>
            </w:pPr>
            <w:r>
              <w:rPr>
                <w:rFonts w:ascii="Arial" w:cs="Arial" w:eastAsia="Arial" w:hAnsi="Arial"/>
                <w:sz w:val="16"/>
                <w:szCs w:val="16"/>
                <w:b w:val="1"/>
                <w:bCs w:val="1"/>
                <w:color w:val="auto"/>
              </w:rPr>
              <w:t>Adjusted EBITDA</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59,049</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64,171</w:t>
            </w:r>
          </w:p>
        </w:tc>
        <w:tc>
          <w:tcPr>
            <w:tcW w:w="1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230,635</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230,584</w:t>
            </w:r>
          </w:p>
        </w:tc>
      </w:tr>
      <w:tr>
        <w:trPr>
          <w:trHeight w:val="20"/>
        </w:trPr>
        <w:tc>
          <w:tcPr>
            <w:tcW w:w="54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10"/>
        </w:trPr>
        <w:tc>
          <w:tcPr>
            <w:tcW w:w="5400" w:type="dxa"/>
            <w:vAlign w:val="bottom"/>
          </w:tcPr>
          <w:p>
            <w:pPr>
              <w:spacing w:after="0"/>
              <w:rPr>
                <w:sz w:val="20"/>
                <w:szCs w:val="20"/>
                <w:color w:val="auto"/>
              </w:rPr>
            </w:pPr>
            <w:r>
              <w:rPr>
                <w:rFonts w:ascii="Arial" w:cs="Arial" w:eastAsia="Arial" w:hAnsi="Arial"/>
                <w:sz w:val="16"/>
                <w:szCs w:val="16"/>
                <w:b w:val="1"/>
                <w:bCs w:val="1"/>
                <w:color w:val="auto"/>
              </w:rPr>
              <w:t>Reconciliation of Profit/(loss) to Adjusted Profit:</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5"/>
        </w:trPr>
        <w:tc>
          <w:tcPr>
            <w:tcW w:w="5400" w:type="dxa"/>
            <w:vAlign w:val="bottom"/>
          </w:tcPr>
          <w:p>
            <w:pPr>
              <w:spacing w:after="0"/>
              <w:rPr>
                <w:sz w:val="20"/>
                <w:szCs w:val="20"/>
                <w:color w:val="auto"/>
              </w:rPr>
            </w:pPr>
            <w:r>
              <w:rPr>
                <w:rFonts w:ascii="Arial" w:cs="Arial" w:eastAsia="Arial" w:hAnsi="Arial"/>
                <w:sz w:val="16"/>
                <w:szCs w:val="16"/>
                <w:b w:val="1"/>
                <w:bCs w:val="1"/>
                <w:i w:val="1"/>
                <w:iCs w:val="1"/>
                <w:color w:val="auto"/>
              </w:rPr>
              <w:t>(Amounts expressed in thousands of U.S. Dollars)</w:t>
            </w: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400" w:type="dxa"/>
            <w:vAlign w:val="bottom"/>
          </w:tcPr>
          <w:p>
            <w:pPr>
              <w:spacing w:after="0"/>
              <w:rPr>
                <w:sz w:val="24"/>
                <w:szCs w:val="24"/>
                <w:color w:val="auto"/>
              </w:rPr>
            </w:pPr>
          </w:p>
        </w:tc>
        <w:tc>
          <w:tcPr>
            <w:tcW w:w="2960" w:type="dxa"/>
            <w:vAlign w:val="bottom"/>
            <w:gridSpan w:val="4"/>
          </w:tcPr>
          <w:p>
            <w:pPr>
              <w:jc w:val="right"/>
              <w:ind w:right="580"/>
              <w:spacing w:after="0"/>
              <w:rPr>
                <w:sz w:val="20"/>
                <w:szCs w:val="20"/>
                <w:color w:val="auto"/>
              </w:rPr>
            </w:pPr>
            <w:r>
              <w:rPr>
                <w:rFonts w:ascii="Arial" w:cs="Arial" w:eastAsia="Arial" w:hAnsi="Arial"/>
                <w:sz w:val="16"/>
                <w:szCs w:val="16"/>
                <w:b w:val="1"/>
                <w:bCs w:val="1"/>
                <w:color w:val="auto"/>
              </w:rPr>
              <w:t>For the three months ended</w:t>
            </w:r>
          </w:p>
        </w:tc>
        <w:tc>
          <w:tcPr>
            <w:tcW w:w="2840" w:type="dxa"/>
            <w:vAlign w:val="bottom"/>
            <w:gridSpan w:val="4"/>
          </w:tcPr>
          <w:p>
            <w:pPr>
              <w:jc w:val="right"/>
              <w:ind w:right="701"/>
              <w:spacing w:after="0"/>
              <w:rPr>
                <w:sz w:val="20"/>
                <w:szCs w:val="20"/>
                <w:color w:val="auto"/>
              </w:rPr>
            </w:pPr>
            <w:r>
              <w:rPr>
                <w:rFonts w:ascii="Arial" w:cs="Arial" w:eastAsia="Arial" w:hAnsi="Arial"/>
                <w:sz w:val="16"/>
                <w:szCs w:val="16"/>
                <w:b w:val="1"/>
                <w:bCs w:val="1"/>
                <w:color w:val="auto"/>
              </w:rPr>
              <w:t>For the years ended</w:t>
            </w:r>
          </w:p>
        </w:tc>
        <w:tc>
          <w:tcPr>
            <w:tcW w:w="0" w:type="dxa"/>
            <w:vAlign w:val="bottom"/>
          </w:tcPr>
          <w:p>
            <w:pPr>
              <w:spacing w:after="0"/>
              <w:rPr>
                <w:sz w:val="1"/>
                <w:szCs w:val="1"/>
                <w:color w:val="auto"/>
              </w:rPr>
            </w:pPr>
          </w:p>
        </w:tc>
      </w:tr>
      <w:tr>
        <w:trPr>
          <w:trHeight w:val="188"/>
        </w:trPr>
        <w:tc>
          <w:tcPr>
            <w:tcW w:w="5400" w:type="dxa"/>
            <w:vAlign w:val="bottom"/>
          </w:tcPr>
          <w:p>
            <w:pPr>
              <w:spacing w:after="0"/>
              <w:rPr>
                <w:sz w:val="16"/>
                <w:szCs w:val="16"/>
                <w:color w:val="auto"/>
              </w:rPr>
            </w:pPr>
          </w:p>
        </w:tc>
        <w:tc>
          <w:tcPr>
            <w:tcW w:w="1480" w:type="dxa"/>
            <w:vAlign w:val="bottom"/>
            <w:tcBorders>
              <w:top w:val="single" w:sz="8" w:color="auto"/>
            </w:tcBorders>
            <w:gridSpan w:val="2"/>
          </w:tcPr>
          <w:p>
            <w:pPr>
              <w:jc w:val="right"/>
              <w:ind w:right="340"/>
              <w:spacing w:after="0"/>
              <w:rPr>
                <w:sz w:val="20"/>
                <w:szCs w:val="20"/>
                <w:color w:val="auto"/>
              </w:rPr>
            </w:pPr>
            <w:r>
              <w:rPr>
                <w:rFonts w:ascii="Arial" w:cs="Arial" w:eastAsia="Arial" w:hAnsi="Arial"/>
                <w:sz w:val="16"/>
                <w:szCs w:val="16"/>
                <w:b w:val="1"/>
                <w:bCs w:val="1"/>
                <w:color w:val="auto"/>
              </w:rPr>
              <w:t>December 31,</w:t>
            </w:r>
          </w:p>
        </w:tc>
        <w:tc>
          <w:tcPr>
            <w:tcW w:w="1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140" w:type="dxa"/>
            <w:vAlign w:val="bottom"/>
          </w:tcPr>
          <w:p>
            <w:pPr>
              <w:spacing w:after="0"/>
              <w:rPr>
                <w:sz w:val="16"/>
                <w:szCs w:val="16"/>
                <w:color w:val="auto"/>
              </w:rPr>
            </w:pPr>
          </w:p>
        </w:tc>
        <w:tc>
          <w:tcPr>
            <w:tcW w:w="1440" w:type="dxa"/>
            <w:vAlign w:val="bottom"/>
            <w:tcBorders>
              <w:top w:val="single" w:sz="8" w:color="auto"/>
            </w:tcBorders>
            <w:gridSpan w:val="2"/>
          </w:tcPr>
          <w:p>
            <w:pPr>
              <w:ind w:left="160"/>
              <w:spacing w:after="0"/>
              <w:rPr>
                <w:sz w:val="20"/>
                <w:szCs w:val="20"/>
                <w:color w:val="auto"/>
              </w:rPr>
            </w:pPr>
            <w:r>
              <w:rPr>
                <w:rFonts w:ascii="Arial" w:cs="Arial" w:eastAsia="Arial" w:hAnsi="Arial"/>
                <w:sz w:val="16"/>
                <w:szCs w:val="16"/>
                <w:b w:val="1"/>
                <w:bCs w:val="1"/>
                <w:color w:val="auto"/>
              </w:rPr>
              <w:t>December 31,</w:t>
            </w:r>
          </w:p>
        </w:tc>
        <w:tc>
          <w:tcPr>
            <w:tcW w:w="13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December 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400" w:type="dxa"/>
            <w:vAlign w:val="bottom"/>
            <w:tcBorders>
              <w:bottom w:val="single" w:sz="8" w:color="E5FFFF"/>
            </w:tcBorders>
          </w:tcPr>
          <w:p>
            <w:pPr>
              <w:spacing w:after="0"/>
              <w:rPr>
                <w:sz w:val="18"/>
                <w:szCs w:val="18"/>
                <w:color w:val="auto"/>
              </w:rPr>
            </w:pPr>
          </w:p>
        </w:tc>
        <w:tc>
          <w:tcPr>
            <w:tcW w:w="13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c>
          <w:tcPr>
            <w:tcW w:w="140" w:type="dxa"/>
            <w:vAlign w:val="bottom"/>
            <w:tcBorders>
              <w:bottom w:val="single" w:sz="8" w:color="E5FFFF"/>
            </w:tcBorders>
          </w:tcPr>
          <w:p>
            <w:pPr>
              <w:spacing w:after="0"/>
              <w:rPr>
                <w:sz w:val="18"/>
                <w:szCs w:val="18"/>
                <w:color w:val="auto"/>
              </w:rPr>
            </w:pPr>
          </w:p>
        </w:tc>
        <w:tc>
          <w:tcPr>
            <w:tcW w:w="13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400" w:type="dxa"/>
            <w:vAlign w:val="bottom"/>
            <w:shd w:val="clear" w:color="auto" w:fill="E5FFFF"/>
          </w:tcPr>
          <w:p>
            <w:pPr>
              <w:spacing w:after="0"/>
              <w:rPr>
                <w:sz w:val="20"/>
                <w:szCs w:val="20"/>
                <w:color w:val="auto"/>
              </w:rPr>
            </w:pPr>
            <w:r>
              <w:rPr>
                <w:rFonts w:ascii="Arial" w:cs="Arial" w:eastAsia="Arial" w:hAnsi="Arial"/>
                <w:sz w:val="16"/>
                <w:szCs w:val="16"/>
                <w:color w:val="auto"/>
              </w:rPr>
              <w:t>Profit/(loss) for the period</w:t>
            </w:r>
          </w:p>
        </w:tc>
        <w:tc>
          <w:tcPr>
            <w:tcW w:w="1360" w:type="dxa"/>
            <w:vAlign w:val="bottom"/>
            <w:shd w:val="clear" w:color="auto" w:fill="E5FFFF"/>
          </w:tcPr>
          <w:p>
            <w:pPr>
              <w:jc w:val="right"/>
              <w:spacing w:after="0"/>
              <w:rPr>
                <w:sz w:val="20"/>
                <w:szCs w:val="20"/>
                <w:color w:val="auto"/>
              </w:rPr>
            </w:pPr>
            <w:r>
              <w:rPr>
                <w:rFonts w:ascii="Arial" w:cs="Arial" w:eastAsia="Arial" w:hAnsi="Arial"/>
                <w:sz w:val="16"/>
                <w:szCs w:val="16"/>
                <w:color w:val="auto"/>
              </w:rPr>
              <w:t>22,611</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(70,784)</w:t>
            </w:r>
          </w:p>
        </w:tc>
        <w:tc>
          <w:tcPr>
            <w:tcW w:w="140" w:type="dxa"/>
            <w:vAlign w:val="bottom"/>
            <w:shd w:val="clear" w:color="auto" w:fill="E5FFFF"/>
          </w:tcPr>
          <w:p>
            <w:pPr>
              <w:spacing w:after="0"/>
              <w:rPr>
                <w:sz w:val="17"/>
                <w:szCs w:val="17"/>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56,859</w:t>
            </w: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5,726</w:t>
            </w: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6"/>
                <w:szCs w:val="16"/>
                <w:color w:val="auto"/>
              </w:rPr>
              <w:t>Non-cash (gain)/loss on derivatives</w:t>
            </w:r>
          </w:p>
        </w:tc>
        <w:tc>
          <w:tcPr>
            <w:tcW w:w="1480" w:type="dxa"/>
            <w:vAlign w:val="bottom"/>
            <w:gridSpan w:val="2"/>
          </w:tcPr>
          <w:p>
            <w:pPr>
              <w:jc w:val="right"/>
              <w:ind w:right="60"/>
              <w:spacing w:after="0"/>
              <w:rPr>
                <w:sz w:val="20"/>
                <w:szCs w:val="20"/>
                <w:color w:val="auto"/>
              </w:rPr>
            </w:pPr>
            <w:r>
              <w:rPr>
                <w:rFonts w:ascii="Arial" w:cs="Arial" w:eastAsia="Arial" w:hAnsi="Arial"/>
                <w:sz w:val="16"/>
                <w:szCs w:val="16"/>
                <w:color w:val="auto"/>
              </w:rPr>
              <w:t>(1,767)</w:t>
            </w:r>
          </w:p>
        </w:tc>
        <w:tc>
          <w:tcPr>
            <w:tcW w:w="1480" w:type="dxa"/>
            <w:vAlign w:val="bottom"/>
            <w:gridSpan w:val="2"/>
          </w:tcPr>
          <w:p>
            <w:pPr>
              <w:jc w:val="right"/>
              <w:ind w:right="80"/>
              <w:spacing w:after="0"/>
              <w:rPr>
                <w:sz w:val="20"/>
                <w:szCs w:val="20"/>
                <w:color w:val="auto"/>
              </w:rPr>
            </w:pPr>
            <w:r>
              <w:rPr>
                <w:rFonts w:ascii="Arial" w:cs="Arial" w:eastAsia="Arial" w:hAnsi="Arial"/>
                <w:sz w:val="16"/>
                <w:szCs w:val="16"/>
                <w:color w:val="auto"/>
              </w:rPr>
              <w:t>(3,736)</w:t>
            </w:r>
          </w:p>
        </w:tc>
        <w:tc>
          <w:tcPr>
            <w:tcW w:w="1320" w:type="dxa"/>
            <w:vAlign w:val="bottom"/>
          </w:tcPr>
          <w:p>
            <w:pPr>
              <w:jc w:val="right"/>
              <w:spacing w:after="0"/>
              <w:rPr>
                <w:sz w:val="20"/>
                <w:szCs w:val="20"/>
                <w:color w:val="auto"/>
              </w:rPr>
            </w:pPr>
            <w:r>
              <w:rPr>
                <w:rFonts w:ascii="Arial" w:cs="Arial" w:eastAsia="Arial" w:hAnsi="Arial"/>
                <w:sz w:val="16"/>
                <w:szCs w:val="16"/>
                <w:color w:val="auto"/>
              </w:rPr>
              <w:t>8,568</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(11,092</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E5FFFF"/>
          </w:tcPr>
          <w:p>
            <w:pPr>
              <w:spacing w:after="0"/>
              <w:rPr>
                <w:sz w:val="20"/>
                <w:szCs w:val="20"/>
                <w:color w:val="auto"/>
              </w:rPr>
            </w:pPr>
            <w:r>
              <w:rPr>
                <w:rFonts w:ascii="Arial" w:cs="Arial" w:eastAsia="Arial" w:hAnsi="Arial"/>
                <w:sz w:val="16"/>
                <w:szCs w:val="16"/>
                <w:color w:val="auto"/>
              </w:rPr>
              <w:t>Write-off and accelerated amortization of unamortized loan fees</w:t>
            </w:r>
          </w:p>
        </w:tc>
        <w:tc>
          <w:tcPr>
            <w:tcW w:w="14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604</w:t>
            </w:r>
          </w:p>
        </w:tc>
        <w:tc>
          <w:tcPr>
            <w:tcW w:w="140" w:type="dxa"/>
            <w:vAlign w:val="bottom"/>
            <w:shd w:val="clear" w:color="auto" w:fill="E5FFFF"/>
          </w:tcPr>
          <w:p>
            <w:pPr>
              <w:spacing w:after="0"/>
              <w:rPr>
                <w:sz w:val="18"/>
                <w:szCs w:val="18"/>
                <w:color w:val="auto"/>
              </w:rPr>
            </w:pPr>
          </w:p>
        </w:tc>
        <w:tc>
          <w:tcPr>
            <w:tcW w:w="1320" w:type="dxa"/>
            <w:vAlign w:val="bottom"/>
            <w:shd w:val="clear" w:color="auto" w:fill="E5FFFF"/>
          </w:tcPr>
          <w:p>
            <w:pPr>
              <w:jc w:val="right"/>
              <w:spacing w:after="0"/>
              <w:rPr>
                <w:sz w:val="20"/>
                <w:szCs w:val="20"/>
                <w:color w:val="auto"/>
              </w:rPr>
            </w:pPr>
            <w:r>
              <w:rPr>
                <w:rFonts w:ascii="Arial" w:cs="Arial" w:eastAsia="Arial" w:hAnsi="Arial"/>
                <w:sz w:val="16"/>
                <w:szCs w:val="16"/>
                <w:color w:val="auto"/>
              </w:rPr>
              <w:t>1,918</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Impairment loss on vessels</w:t>
            </w: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5,082</w:t>
            </w:r>
          </w:p>
        </w:tc>
        <w:tc>
          <w:tcPr>
            <w:tcW w:w="1340" w:type="dxa"/>
            <w:vAlign w:val="bottom"/>
          </w:tcPr>
          <w:p>
            <w:pPr>
              <w:jc w:val="right"/>
              <w:spacing w:after="0"/>
              <w:rPr>
                <w:sz w:val="20"/>
                <w:szCs w:val="20"/>
                <w:color w:val="auto"/>
              </w:rPr>
            </w:pPr>
            <w:r>
              <w:rPr>
                <w:rFonts w:ascii="Arial" w:cs="Arial" w:eastAsia="Arial" w:hAnsi="Arial"/>
                <w:sz w:val="16"/>
                <w:szCs w:val="16"/>
                <w:color w:val="auto"/>
              </w:rPr>
              <w:t>103,977</w:t>
            </w: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23,923</w:t>
            </w:r>
          </w:p>
        </w:tc>
        <w:tc>
          <w:tcPr>
            <w:tcW w:w="1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103,977</w:t>
            </w:r>
          </w:p>
        </w:tc>
        <w:tc>
          <w:tcPr>
            <w:tcW w:w="0" w:type="dxa"/>
            <w:vAlign w:val="bottom"/>
          </w:tcPr>
          <w:p>
            <w:pPr>
              <w:spacing w:after="0"/>
              <w:rPr>
                <w:sz w:val="1"/>
                <w:szCs w:val="1"/>
                <w:color w:val="auto"/>
              </w:rPr>
            </w:pPr>
          </w:p>
        </w:tc>
      </w:tr>
      <w:tr>
        <w:trPr>
          <w:trHeight w:val="219"/>
        </w:trPr>
        <w:tc>
          <w:tcPr>
            <w:tcW w:w="5400" w:type="dxa"/>
            <w:vAlign w:val="bottom"/>
            <w:shd w:val="clear" w:color="auto" w:fill="E5FFFF"/>
          </w:tcPr>
          <w:p>
            <w:pPr>
              <w:spacing w:after="0"/>
              <w:rPr>
                <w:sz w:val="20"/>
                <w:szCs w:val="20"/>
                <w:color w:val="auto"/>
              </w:rPr>
            </w:pPr>
            <w:r>
              <w:rPr>
                <w:rFonts w:ascii="Arial" w:cs="Arial" w:eastAsia="Arial" w:hAnsi="Arial"/>
                <w:sz w:val="16"/>
                <w:szCs w:val="16"/>
                <w:color w:val="auto"/>
              </w:rPr>
              <w:t>Loss on disposal of vessel</w:t>
            </w:r>
          </w:p>
        </w:tc>
        <w:tc>
          <w:tcPr>
            <w:tcW w:w="1480" w:type="dxa"/>
            <w:vAlign w:val="bottom"/>
            <w:gridSpan w:val="2"/>
            <w:shd w:val="clear" w:color="auto" w:fill="E5FF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630</w:t>
            </w:r>
          </w:p>
        </w:tc>
        <w:tc>
          <w:tcPr>
            <w:tcW w:w="14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ind w:left="1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E5FFFF"/>
          </w:tcPr>
          <w:p>
            <w:pPr>
              <w:jc w:val="right"/>
              <w:spacing w:after="0"/>
              <w:rPr>
                <w:sz w:val="20"/>
                <w:szCs w:val="20"/>
                <w:color w:val="auto"/>
              </w:rPr>
            </w:pPr>
            <w:r>
              <w:rPr>
                <w:rFonts w:ascii="Arial" w:cs="Arial" w:eastAsia="Arial" w:hAnsi="Arial"/>
                <w:sz w:val="16"/>
                <w:szCs w:val="16"/>
                <w:color w:val="auto"/>
              </w:rPr>
              <w:t>630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00" w:type="dxa"/>
            <w:vAlign w:val="bottom"/>
          </w:tcPr>
          <w:p>
            <w:pPr>
              <w:spacing w:after="0"/>
              <w:rPr>
                <w:sz w:val="20"/>
                <w:szCs w:val="20"/>
                <w:color w:val="auto"/>
              </w:rPr>
            </w:pPr>
            <w:r>
              <w:rPr>
                <w:rFonts w:ascii="Arial" w:cs="Arial" w:eastAsia="Arial" w:hAnsi="Arial"/>
                <w:sz w:val="16"/>
                <w:szCs w:val="16"/>
                <w:color w:val="auto"/>
              </w:rPr>
              <w:t>Restructuring costs</w:t>
            </w: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1,174</w:t>
            </w:r>
          </w:p>
        </w:tc>
        <w:tc>
          <w:tcPr>
            <w:tcW w:w="1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5400" w:type="dxa"/>
            <w:vAlign w:val="bottom"/>
            <w:tcBorders>
              <w:top w:val="single" w:sz="8" w:color="E5FFFF"/>
              <w:bottom w:val="single" w:sz="8" w:color="E5FFFF"/>
            </w:tcBorders>
            <w:shd w:val="clear" w:color="auto" w:fill="E5FFFF"/>
          </w:tcPr>
          <w:p>
            <w:pPr>
              <w:spacing w:after="0"/>
              <w:rPr>
                <w:sz w:val="20"/>
                <w:szCs w:val="20"/>
                <w:color w:val="auto"/>
              </w:rPr>
            </w:pPr>
            <w:r>
              <w:rPr>
                <w:rFonts w:ascii="Arial" w:cs="Arial" w:eastAsia="Arial" w:hAnsi="Arial"/>
                <w:sz w:val="16"/>
                <w:szCs w:val="16"/>
                <w:b w:val="1"/>
                <w:bCs w:val="1"/>
                <w:color w:val="auto"/>
              </w:rPr>
              <w:t>Adjusted Profit</w:t>
            </w:r>
          </w:p>
        </w:tc>
        <w:tc>
          <w:tcPr>
            <w:tcW w:w="13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25,926</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30,691</w:t>
            </w:r>
          </w:p>
        </w:tc>
        <w:tc>
          <w:tcPr>
            <w:tcW w:w="140" w:type="dxa"/>
            <w:vAlign w:val="bottom"/>
            <w:tcBorders>
              <w:top w:val="single" w:sz="8" w:color="E5FFFF"/>
              <w:bottom w:val="single" w:sz="8" w:color="E5FFFF"/>
            </w:tcBorders>
            <w:shd w:val="clear" w:color="auto" w:fill="E5FFFF"/>
          </w:tcPr>
          <w:p>
            <w:pPr>
              <w:spacing w:after="0"/>
              <w:rPr>
                <w:sz w:val="19"/>
                <w:szCs w:val="19"/>
                <w:color w:val="auto"/>
              </w:rPr>
            </w:pPr>
          </w:p>
        </w:tc>
        <w:tc>
          <w:tcPr>
            <w:tcW w:w="13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92,442</w:t>
            </w:r>
          </w:p>
        </w:tc>
        <w:tc>
          <w:tcPr>
            <w:tcW w:w="120" w:type="dxa"/>
            <w:vAlign w:val="bottom"/>
            <w:tcBorders>
              <w:top w:val="single" w:sz="8" w:color="E5FFFF"/>
              <w:bottom w:val="single" w:sz="8" w:color="E5FFFF"/>
            </w:tcBorders>
            <w:shd w:val="clear" w:color="auto" w:fill="E5FFFF"/>
          </w:tcPr>
          <w:p>
            <w:pPr>
              <w:spacing w:after="0"/>
              <w:rPr>
                <w:sz w:val="19"/>
                <w:szCs w:val="19"/>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Arial" w:cs="Arial" w:eastAsia="Arial" w:hAnsi="Arial"/>
                <w:sz w:val="16"/>
                <w:szCs w:val="16"/>
                <w:b w:val="1"/>
                <w:bCs w:val="1"/>
                <w:color w:val="auto"/>
              </w:rPr>
              <w:t>99,845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Reconciliation of Profit/(loss) to EPU and Adjusted EPU:</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(Amounts expressed in thousands of U.S. Dollars, except unit and per unit amounts)</w:t>
      </w:r>
    </w:p>
    <w:p>
      <w:pPr>
        <w:sectPr>
          <w:pgSz w:w="11900" w:h="16838" w:orient="portrait"/>
          <w:cols w:equalWidth="0" w:num="1">
            <w:col w:w="11200"/>
          </w:cols>
          <w:pgMar w:left="320" w:top="895"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Profit/(loss) for the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Adjustment for:</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Accrued preference unit distributions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Differences on repurchase of preference units</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Partnership’s profit/(loss) attributable to:</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color w:val="auto"/>
        </w:rPr>
        <w:t>Common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units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Weighted average units outstanding (basic)</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Common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units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EPU (basic)</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Common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6"/>
          <w:szCs w:val="16"/>
          <w:color w:val="auto"/>
        </w:rPr>
        <w:t>Profit/(loss) for the period</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Adjustment for:</w:t>
      </w:r>
    </w:p>
    <w:p>
      <w:pPr>
        <w:spacing w:after="0" w:line="22" w:lineRule="exact"/>
        <w:rPr>
          <w:sz w:val="20"/>
          <w:szCs w:val="20"/>
          <w:color w:val="auto"/>
        </w:rPr>
      </w:pPr>
    </w:p>
    <w:p>
      <w:pPr>
        <w:ind w:right="1880"/>
        <w:spacing w:after="0" w:line="311" w:lineRule="auto"/>
        <w:rPr>
          <w:sz w:val="20"/>
          <w:szCs w:val="20"/>
          <w:color w:val="auto"/>
        </w:rPr>
      </w:pPr>
      <w:r>
        <w:rPr>
          <w:rFonts w:ascii="Arial" w:cs="Arial" w:eastAsia="Arial" w:hAnsi="Arial"/>
          <w:sz w:val="14"/>
          <w:szCs w:val="14"/>
          <w:color w:val="auto"/>
        </w:rPr>
        <w:t>Accrued preference unit distributions Differences on repurchase of preference units</w:t>
      </w:r>
    </w:p>
    <w:p>
      <w:pPr>
        <w:spacing w:after="0" w:line="1" w:lineRule="exact"/>
        <w:rPr>
          <w:sz w:val="20"/>
          <w:szCs w:val="20"/>
          <w:color w:val="auto"/>
        </w:rPr>
      </w:pPr>
    </w:p>
    <w:p>
      <w:pPr>
        <w:ind w:right="1360"/>
        <w:spacing w:after="0" w:line="279" w:lineRule="auto"/>
        <w:rPr>
          <w:sz w:val="20"/>
          <w:szCs w:val="20"/>
          <w:color w:val="auto"/>
        </w:rPr>
      </w:pPr>
      <w:r>
        <w:rPr>
          <w:rFonts w:ascii="Arial" w:cs="Arial" w:eastAsia="Arial" w:hAnsi="Arial"/>
          <w:sz w:val="16"/>
          <w:szCs w:val="16"/>
          <w:b w:val="1"/>
          <w:bCs w:val="1"/>
          <w:color w:val="auto"/>
        </w:rPr>
        <w:t xml:space="preserve">Partnership’s profit/(loss) used in EPU calculation </w:t>
      </w:r>
      <w:r>
        <w:rPr>
          <w:rFonts w:ascii="Arial" w:cs="Arial" w:eastAsia="Arial" w:hAnsi="Arial"/>
          <w:sz w:val="16"/>
          <w:szCs w:val="16"/>
          <w:color w:val="auto"/>
        </w:rPr>
        <w:t>Non-cash (gain)/loss on derivatives</w:t>
      </w:r>
    </w:p>
    <w:p>
      <w:pPr>
        <w:spacing w:after="0"/>
        <w:rPr>
          <w:sz w:val="20"/>
          <w:szCs w:val="20"/>
          <w:color w:val="auto"/>
        </w:rPr>
      </w:pPr>
      <w:r>
        <w:rPr>
          <w:rFonts w:ascii="Arial" w:cs="Arial" w:eastAsia="Arial" w:hAnsi="Arial"/>
          <w:sz w:val="16"/>
          <w:szCs w:val="16"/>
          <w:color w:val="auto"/>
        </w:rPr>
        <w:t>Write-off and accelerated amortization of unamortized loan fees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Impairment loss on vessels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Loss on disposal of vessel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Restructuring costs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Partnership’s profit used in EPU calculation attributable to:</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Common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units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Weighted average units outstanding (basic)</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Common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units</w:t>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Adjusted EPU (basic)</w:t>
      </w:r>
    </w:p>
    <w:p>
      <w:pPr>
        <w:spacing w:after="0" w:line="36" w:lineRule="exact"/>
        <w:rPr>
          <w:sz w:val="20"/>
          <w:szCs w:val="20"/>
          <w:color w:val="auto"/>
        </w:rPr>
      </w:pPr>
    </w:p>
    <w:p>
      <w:pPr>
        <w:spacing w:after="0"/>
        <w:rPr>
          <w:sz w:val="20"/>
          <w:szCs w:val="20"/>
          <w:color w:val="auto"/>
        </w:rPr>
      </w:pPr>
      <w:r>
        <w:rPr>
          <w:rFonts w:ascii="Arial" w:cs="Arial" w:eastAsia="Arial" w:hAnsi="Arial"/>
          <w:sz w:val="16"/>
          <w:szCs w:val="16"/>
          <w:color w:val="auto"/>
        </w:rPr>
        <w:t>Common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General partner units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88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For the three months ended</w:t>
            </w:r>
          </w:p>
        </w:tc>
        <w:tc>
          <w:tcPr>
            <w:tcW w:w="2840" w:type="dxa"/>
            <w:vAlign w:val="bottom"/>
            <w:gridSpan w:val="5"/>
          </w:tcPr>
          <w:p>
            <w:pPr>
              <w:jc w:val="right"/>
              <w:ind w:right="700"/>
              <w:spacing w:after="0"/>
              <w:rPr>
                <w:sz w:val="20"/>
                <w:szCs w:val="20"/>
                <w:color w:val="auto"/>
              </w:rPr>
            </w:pPr>
            <w:r>
              <w:rPr>
                <w:rFonts w:ascii="Arial" w:cs="Arial" w:eastAsia="Arial" w:hAnsi="Arial"/>
                <w:sz w:val="16"/>
                <w:szCs w:val="16"/>
                <w:b w:val="1"/>
                <w:bCs w:val="1"/>
                <w:color w:val="auto"/>
              </w:rPr>
              <w:t>For the years ended</w:t>
            </w:r>
          </w:p>
        </w:tc>
      </w:tr>
      <w:tr>
        <w:trPr>
          <w:trHeight w:val="189"/>
        </w:trPr>
        <w:tc>
          <w:tcPr>
            <w:tcW w:w="14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60" w:type="dxa"/>
            <w:vAlign w:val="bottom"/>
            <w:gridSpan w:val="2"/>
          </w:tcPr>
          <w:p>
            <w:pPr>
              <w:spacing w:after="0"/>
              <w:rPr>
                <w:sz w:val="16"/>
                <w:szCs w:val="16"/>
                <w:color w:val="auto"/>
              </w:rPr>
            </w:pPr>
          </w:p>
        </w:tc>
      </w:tr>
      <w:tr>
        <w:trPr>
          <w:trHeight w:val="213"/>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1340" w:type="dxa"/>
            <w:vAlign w:val="bottom"/>
          </w:tcPr>
          <w:p>
            <w:pPr>
              <w:jc w:val="right"/>
              <w:spacing w:after="0"/>
              <w:rPr>
                <w:sz w:val="20"/>
                <w:szCs w:val="20"/>
                <w:color w:val="auto"/>
              </w:rPr>
            </w:pPr>
            <w:r>
              <w:rPr>
                <w:rFonts w:ascii="Arial" w:cs="Arial" w:eastAsia="Arial" w:hAnsi="Arial"/>
                <w:sz w:val="16"/>
                <w:szCs w:val="16"/>
                <w:color w:val="auto"/>
              </w:rPr>
              <w:t>22,611</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(70,784)</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56,859</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5,726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09"/>
        </w:trPr>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(7,582)</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(7,201)</w:t>
            </w: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(30,328)</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(29,694)</w:t>
            </w:r>
          </w:p>
        </w:tc>
      </w:tr>
      <w:tr>
        <w:trPr>
          <w:trHeight w:val="216"/>
        </w:trPr>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(137)</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(2)</w:t>
            </w:r>
          </w:p>
        </w:tc>
      </w:tr>
      <w:tr>
        <w:trPr>
          <w:trHeight w:val="226"/>
        </w:trPr>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15,029</w:t>
            </w:r>
          </w:p>
        </w:tc>
        <w:tc>
          <w:tcPr>
            <w:tcW w:w="10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(78,122</w:t>
            </w:r>
          </w:p>
        </w:tc>
        <w:tc>
          <w:tcPr>
            <w:tcW w:w="100" w:type="dxa"/>
            <w:vAlign w:val="bottom"/>
          </w:tcPr>
          <w:p>
            <w:pPr>
              <w:jc w:val="right"/>
              <w:ind w:right="20"/>
              <w:spacing w:after="0"/>
              <w:rPr>
                <w:sz w:val="20"/>
                <w:szCs w:val="20"/>
                <w:color w:val="auto"/>
              </w:rPr>
            </w:pPr>
            <w:r>
              <w:rPr>
                <w:rFonts w:ascii="Arial" w:cs="Arial" w:eastAsia="Arial" w:hAnsi="Arial"/>
                <w:sz w:val="8"/>
                <w:szCs w:val="8"/>
                <w:b w:val="1"/>
                <w:bCs w:val="1"/>
                <w:color w:val="auto"/>
                <w:w w:val="73"/>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26,531</w:t>
            </w:r>
          </w:p>
        </w:tc>
        <w:tc>
          <w:tcPr>
            <w:tcW w:w="100" w:type="dxa"/>
            <w:vAlign w:val="bottom"/>
          </w:tcPr>
          <w:p>
            <w:pPr>
              <w:spacing w:after="0"/>
              <w:rPr>
                <w:sz w:val="19"/>
                <w:szCs w:val="19"/>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(23,970</w:t>
            </w:r>
          </w:p>
        </w:tc>
        <w:tc>
          <w:tcPr>
            <w:tcW w:w="40" w:type="dxa"/>
            <w:vAlign w:val="bottom"/>
          </w:tcPr>
          <w:p>
            <w:pPr>
              <w:jc w:val="right"/>
              <w:spacing w:after="0"/>
              <w:rPr>
                <w:sz w:val="20"/>
                <w:szCs w:val="20"/>
                <w:color w:val="auto"/>
              </w:rPr>
            </w:pPr>
            <w:r>
              <w:rPr>
                <w:rFonts w:ascii="Arial" w:cs="Arial" w:eastAsia="Arial" w:hAnsi="Arial"/>
                <w:sz w:val="8"/>
                <w:szCs w:val="8"/>
                <w:b w:val="1"/>
                <w:bCs w:val="1"/>
                <w:color w:val="auto"/>
                <w:w w:val="73"/>
              </w:rPr>
              <w:t>)</w:t>
            </w:r>
          </w:p>
        </w:tc>
      </w:tr>
      <w:tr>
        <w:trPr>
          <w:trHeight w:val="20"/>
        </w:trPr>
        <w:tc>
          <w:tcPr>
            <w:tcW w:w="14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r>
      <w:tr>
        <w:trPr>
          <w:trHeight w:val="176"/>
        </w:trPr>
        <w:tc>
          <w:tcPr>
            <w:tcW w:w="13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14,714</w:t>
            </w:r>
          </w:p>
        </w:tc>
        <w:tc>
          <w:tcPr>
            <w:tcW w:w="100" w:type="dxa"/>
            <w:vAlign w:val="bottom"/>
          </w:tcPr>
          <w:p>
            <w:pPr>
              <w:spacing w:after="0"/>
              <w:rPr>
                <w:sz w:val="15"/>
                <w:szCs w:val="15"/>
                <w:color w:val="auto"/>
              </w:rPr>
            </w:pPr>
          </w:p>
        </w:tc>
        <w:tc>
          <w:tcPr>
            <w:tcW w:w="13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(76,510)</w:t>
            </w:r>
          </w:p>
        </w:tc>
        <w:tc>
          <w:tcPr>
            <w:tcW w:w="100" w:type="dxa"/>
            <w:vAlign w:val="bottom"/>
          </w:tcPr>
          <w:p>
            <w:pPr>
              <w:spacing w:after="0"/>
              <w:rPr>
                <w:sz w:val="15"/>
                <w:szCs w:val="15"/>
                <w:color w:val="auto"/>
              </w:rPr>
            </w:pPr>
          </w:p>
        </w:tc>
        <w:tc>
          <w:tcPr>
            <w:tcW w:w="13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25,970</w:t>
            </w:r>
          </w:p>
        </w:tc>
        <w:tc>
          <w:tcPr>
            <w:tcW w:w="100" w:type="dxa"/>
            <w:vAlign w:val="bottom"/>
          </w:tcPr>
          <w:p>
            <w:pPr>
              <w:spacing w:after="0"/>
              <w:rPr>
                <w:sz w:val="15"/>
                <w:szCs w:val="15"/>
                <w:color w:val="auto"/>
              </w:rPr>
            </w:pPr>
          </w:p>
        </w:tc>
        <w:tc>
          <w:tcPr>
            <w:tcW w:w="1340" w:type="dxa"/>
            <w:vAlign w:val="bottom"/>
            <w:tcBorders>
              <w:top w:val="single" w:sz="8" w:color="auto"/>
            </w:tcBorders>
          </w:tcPr>
          <w:p>
            <w:pPr>
              <w:jc w:val="right"/>
              <w:spacing w:after="0" w:line="176" w:lineRule="exact"/>
              <w:rPr>
                <w:sz w:val="20"/>
                <w:szCs w:val="20"/>
                <w:color w:val="auto"/>
              </w:rPr>
            </w:pPr>
            <w:r>
              <w:rPr>
                <w:rFonts w:ascii="Arial" w:cs="Arial" w:eastAsia="Arial" w:hAnsi="Arial"/>
                <w:sz w:val="16"/>
                <w:szCs w:val="16"/>
                <w:color w:val="auto"/>
              </w:rPr>
              <w:t>(23,488)</w:t>
            </w:r>
          </w:p>
        </w:tc>
        <w:tc>
          <w:tcPr>
            <w:tcW w:w="60" w:type="dxa"/>
            <w:vAlign w:val="bottom"/>
            <w:gridSpan w:val="2"/>
          </w:tcPr>
          <w:p>
            <w:pPr>
              <w:spacing w:after="0"/>
              <w:rPr>
                <w:sz w:val="15"/>
                <w:szCs w:val="15"/>
                <w:color w:val="auto"/>
              </w:rPr>
            </w:pPr>
          </w:p>
        </w:tc>
      </w:tr>
      <w:tr>
        <w:trPr>
          <w:trHeight w:val="220"/>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315</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(1,612)</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561</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(482)</w:t>
            </w:r>
          </w:p>
        </w:tc>
      </w:tr>
      <w:tr>
        <w:trPr>
          <w:trHeight w:val="432"/>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47,517,824</w:t>
            </w:r>
          </w:p>
        </w:tc>
        <w:tc>
          <w:tcPr>
            <w:tcW w:w="1340" w:type="dxa"/>
            <w:vAlign w:val="bottom"/>
          </w:tcPr>
          <w:p>
            <w:pPr>
              <w:jc w:val="right"/>
              <w:spacing w:after="0"/>
              <w:rPr>
                <w:sz w:val="20"/>
                <w:szCs w:val="20"/>
                <w:color w:val="auto"/>
              </w:rPr>
            </w:pPr>
            <w:r>
              <w:rPr>
                <w:rFonts w:ascii="Arial" w:cs="Arial" w:eastAsia="Arial" w:hAnsi="Arial"/>
                <w:sz w:val="16"/>
                <w:szCs w:val="16"/>
                <w:color w:val="auto"/>
              </w:rPr>
              <w:t>51,137,201</w:t>
            </w:r>
          </w:p>
        </w:tc>
        <w:tc>
          <w:tcPr>
            <w:tcW w:w="10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47,042,494</w:t>
            </w:r>
          </w:p>
        </w:tc>
        <w:tc>
          <w:tcPr>
            <w:tcW w:w="1340" w:type="dxa"/>
            <w:vAlign w:val="bottom"/>
          </w:tcPr>
          <w:p>
            <w:pPr>
              <w:jc w:val="right"/>
              <w:spacing w:after="0"/>
              <w:rPr>
                <w:sz w:val="20"/>
                <w:szCs w:val="20"/>
                <w:color w:val="auto"/>
              </w:rPr>
            </w:pPr>
            <w:r>
              <w:rPr>
                <w:rFonts w:ascii="Arial" w:cs="Arial" w:eastAsia="Arial" w:hAnsi="Arial"/>
                <w:sz w:val="16"/>
                <w:szCs w:val="16"/>
                <w:color w:val="auto"/>
              </w:rPr>
              <w:t>49,501,674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1,021,336</w:t>
            </w:r>
          </w:p>
        </w:tc>
        <w:tc>
          <w:tcPr>
            <w:tcW w:w="1340" w:type="dxa"/>
            <w:vAlign w:val="bottom"/>
          </w:tcPr>
          <w:p>
            <w:pPr>
              <w:jc w:val="right"/>
              <w:spacing w:after="0"/>
              <w:rPr>
                <w:sz w:val="20"/>
                <w:szCs w:val="20"/>
                <w:color w:val="auto"/>
              </w:rPr>
            </w:pPr>
            <w:r>
              <w:rPr>
                <w:rFonts w:ascii="Arial" w:cs="Arial" w:eastAsia="Arial" w:hAnsi="Arial"/>
                <w:sz w:val="16"/>
                <w:szCs w:val="16"/>
                <w:color w:val="auto"/>
              </w:rPr>
              <w:t>1,077,494</w:t>
            </w: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1,021,336</w:t>
            </w:r>
          </w:p>
        </w:tc>
        <w:tc>
          <w:tcPr>
            <w:tcW w:w="1340" w:type="dxa"/>
            <w:vAlign w:val="bottom"/>
          </w:tcPr>
          <w:p>
            <w:pPr>
              <w:jc w:val="right"/>
              <w:spacing w:after="0"/>
              <w:rPr>
                <w:sz w:val="20"/>
                <w:szCs w:val="20"/>
                <w:color w:val="auto"/>
              </w:rPr>
            </w:pPr>
            <w:r>
              <w:rPr>
                <w:rFonts w:ascii="Arial" w:cs="Arial" w:eastAsia="Arial" w:hAnsi="Arial"/>
                <w:sz w:val="16"/>
                <w:szCs w:val="16"/>
                <w:color w:val="auto"/>
              </w:rPr>
              <w:t>1,049,800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0.31</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(1.50)</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0.55</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(0.47)</w:t>
            </w:r>
          </w:p>
        </w:tc>
      </w:tr>
      <w:tr>
        <w:trPr>
          <w:trHeight w:val="216"/>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0.31</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(1.50)</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0.55</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(0.46)</w:t>
            </w:r>
          </w:p>
        </w:tc>
      </w:tr>
      <w:tr>
        <w:trPr>
          <w:trHeight w:val="621"/>
        </w:trPr>
        <w:tc>
          <w:tcPr>
            <w:tcW w:w="2880" w:type="dxa"/>
            <w:vAlign w:val="bottom"/>
            <w:gridSpan w:val="4"/>
          </w:tcPr>
          <w:p>
            <w:pPr>
              <w:jc w:val="right"/>
              <w:ind w:right="500"/>
              <w:spacing w:after="0"/>
              <w:rPr>
                <w:sz w:val="20"/>
                <w:szCs w:val="20"/>
                <w:color w:val="auto"/>
              </w:rPr>
            </w:pPr>
            <w:r>
              <w:rPr>
                <w:rFonts w:ascii="Arial" w:cs="Arial" w:eastAsia="Arial" w:hAnsi="Arial"/>
                <w:sz w:val="16"/>
                <w:szCs w:val="16"/>
                <w:b w:val="1"/>
                <w:bCs w:val="1"/>
                <w:color w:val="auto"/>
              </w:rPr>
              <w:t>For the three months ended</w:t>
            </w:r>
          </w:p>
        </w:tc>
        <w:tc>
          <w:tcPr>
            <w:tcW w:w="2840" w:type="dxa"/>
            <w:vAlign w:val="bottom"/>
            <w:gridSpan w:val="5"/>
          </w:tcPr>
          <w:p>
            <w:pPr>
              <w:jc w:val="right"/>
              <w:ind w:right="720"/>
              <w:spacing w:after="0"/>
              <w:rPr>
                <w:sz w:val="20"/>
                <w:szCs w:val="20"/>
                <w:color w:val="auto"/>
              </w:rPr>
            </w:pPr>
            <w:r>
              <w:rPr>
                <w:rFonts w:ascii="Arial" w:cs="Arial" w:eastAsia="Arial" w:hAnsi="Arial"/>
                <w:sz w:val="16"/>
                <w:szCs w:val="16"/>
                <w:b w:val="1"/>
                <w:bCs w:val="1"/>
                <w:color w:val="auto"/>
              </w:rPr>
              <w:t>For the years ended</w:t>
            </w:r>
          </w:p>
        </w:tc>
      </w:tr>
      <w:tr>
        <w:trPr>
          <w:trHeight w:val="189"/>
        </w:trPr>
        <w:tc>
          <w:tcPr>
            <w:tcW w:w="14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00" w:type="dxa"/>
            <w:vAlign w:val="bottom"/>
          </w:tcPr>
          <w:p>
            <w:pPr>
              <w:spacing w:after="0"/>
              <w:rPr>
                <w:sz w:val="16"/>
                <w:szCs w:val="16"/>
                <w:color w:val="auto"/>
              </w:rPr>
            </w:pPr>
          </w:p>
        </w:tc>
        <w:tc>
          <w:tcPr>
            <w:tcW w:w="1440" w:type="dxa"/>
            <w:vAlign w:val="bottom"/>
            <w:tcBorders>
              <w:top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w w:val="90"/>
              </w:rPr>
              <w:t>December 31,</w:t>
            </w:r>
          </w:p>
        </w:tc>
        <w:tc>
          <w:tcPr>
            <w:tcW w:w="13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13"/>
        </w:trPr>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2020</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2020</w:t>
            </w:r>
          </w:p>
        </w:tc>
        <w:tc>
          <w:tcPr>
            <w:tcW w:w="100" w:type="dxa"/>
            <w:vAlign w:val="bottom"/>
          </w:tcPr>
          <w:p>
            <w:pPr>
              <w:spacing w:after="0"/>
              <w:rPr>
                <w:sz w:val="18"/>
                <w:szCs w:val="18"/>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3"/>
        </w:trPr>
        <w:tc>
          <w:tcPr>
            <w:tcW w:w="1340" w:type="dxa"/>
            <w:vAlign w:val="bottom"/>
          </w:tcPr>
          <w:p>
            <w:pPr>
              <w:jc w:val="right"/>
              <w:spacing w:after="0"/>
              <w:rPr>
                <w:sz w:val="20"/>
                <w:szCs w:val="20"/>
                <w:color w:val="auto"/>
              </w:rPr>
            </w:pPr>
            <w:r>
              <w:rPr>
                <w:rFonts w:ascii="Arial" w:cs="Arial" w:eastAsia="Arial" w:hAnsi="Arial"/>
                <w:sz w:val="16"/>
                <w:szCs w:val="16"/>
                <w:color w:val="auto"/>
              </w:rPr>
              <w:t>22,611</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(70,784)</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56,859</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5,726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09"/>
        </w:trPr>
        <w:tc>
          <w:tcPr>
            <w:tcW w:w="1440" w:type="dxa"/>
            <w:vAlign w:val="bottom"/>
            <w:gridSpan w:val="2"/>
          </w:tcPr>
          <w:p>
            <w:pPr>
              <w:jc w:val="right"/>
              <w:ind w:right="60"/>
              <w:spacing w:after="0"/>
              <w:rPr>
                <w:sz w:val="20"/>
                <w:szCs w:val="20"/>
                <w:color w:val="auto"/>
              </w:rPr>
            </w:pPr>
            <w:r>
              <w:rPr>
                <w:rFonts w:ascii="Arial" w:cs="Arial" w:eastAsia="Arial" w:hAnsi="Arial"/>
                <w:sz w:val="16"/>
                <w:szCs w:val="16"/>
                <w:color w:val="auto"/>
              </w:rPr>
              <w:t>(7,582)</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(7,201)</w:t>
            </w:r>
          </w:p>
        </w:tc>
        <w:tc>
          <w:tcPr>
            <w:tcW w:w="1440" w:type="dxa"/>
            <w:vAlign w:val="bottom"/>
            <w:gridSpan w:val="2"/>
          </w:tcPr>
          <w:p>
            <w:pPr>
              <w:jc w:val="right"/>
              <w:ind w:right="40"/>
              <w:spacing w:after="0"/>
              <w:rPr>
                <w:sz w:val="20"/>
                <w:szCs w:val="20"/>
                <w:color w:val="auto"/>
              </w:rPr>
            </w:pPr>
            <w:r>
              <w:rPr>
                <w:rFonts w:ascii="Arial" w:cs="Arial" w:eastAsia="Arial" w:hAnsi="Arial"/>
                <w:sz w:val="16"/>
                <w:szCs w:val="16"/>
                <w:color w:val="auto"/>
              </w:rPr>
              <w:t>(30,328)</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(29,694)</w:t>
            </w:r>
          </w:p>
        </w:tc>
      </w:tr>
      <w:tr>
        <w:trPr>
          <w:trHeight w:val="216"/>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gridSpan w:val="2"/>
          </w:tcPr>
          <w:p>
            <w:pPr>
              <w:jc w:val="right"/>
              <w:ind w:right="20"/>
              <w:spacing w:after="0"/>
              <w:rPr>
                <w:sz w:val="20"/>
                <w:szCs w:val="20"/>
                <w:color w:val="auto"/>
              </w:rPr>
            </w:pPr>
            <w:r>
              <w:rPr>
                <w:rFonts w:ascii="Arial" w:cs="Arial" w:eastAsia="Arial" w:hAnsi="Arial"/>
                <w:sz w:val="16"/>
                <w:szCs w:val="16"/>
                <w:color w:val="auto"/>
              </w:rPr>
              <w:t>(137)</w:t>
            </w: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400" w:type="dxa"/>
            <w:vAlign w:val="bottom"/>
            <w:gridSpan w:val="3"/>
          </w:tcPr>
          <w:p>
            <w:pPr>
              <w:jc w:val="right"/>
              <w:spacing w:after="0"/>
              <w:rPr>
                <w:sz w:val="20"/>
                <w:szCs w:val="20"/>
                <w:color w:val="auto"/>
              </w:rPr>
            </w:pPr>
            <w:r>
              <w:rPr>
                <w:rFonts w:ascii="Arial" w:cs="Arial" w:eastAsia="Arial" w:hAnsi="Arial"/>
                <w:sz w:val="16"/>
                <w:szCs w:val="16"/>
                <w:color w:val="auto"/>
              </w:rPr>
              <w:t>(2)</w:t>
            </w:r>
          </w:p>
        </w:tc>
      </w:tr>
      <w:tr>
        <w:trPr>
          <w:trHeight w:val="202"/>
        </w:trPr>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15,029</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(78,122)</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26,531</w:t>
            </w:r>
          </w:p>
        </w:tc>
        <w:tc>
          <w:tcPr>
            <w:tcW w:w="100" w:type="dxa"/>
            <w:vAlign w:val="bottom"/>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(23,970)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0"/>
        </w:trPr>
        <w:tc>
          <w:tcPr>
            <w:tcW w:w="1340" w:type="dxa"/>
            <w:vAlign w:val="bottom"/>
          </w:tcPr>
          <w:p>
            <w:pPr>
              <w:jc w:val="right"/>
              <w:spacing w:after="0"/>
              <w:rPr>
                <w:sz w:val="20"/>
                <w:szCs w:val="20"/>
                <w:color w:val="auto"/>
              </w:rPr>
            </w:pPr>
            <w:r>
              <w:rPr>
                <w:rFonts w:ascii="Arial" w:cs="Arial" w:eastAsia="Arial" w:hAnsi="Arial"/>
                <w:sz w:val="16"/>
                <w:szCs w:val="16"/>
                <w:color w:val="auto"/>
              </w:rPr>
              <w:t>(1,767)</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(3,736)</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8,568</w:t>
            </w:r>
          </w:p>
        </w:tc>
        <w:tc>
          <w:tcPr>
            <w:tcW w:w="10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(11,092)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6"/>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604</w:t>
            </w:r>
          </w:p>
        </w:tc>
        <w:tc>
          <w:tcPr>
            <w:tcW w:w="10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1,918</w:t>
            </w:r>
          </w:p>
        </w:tc>
        <w:tc>
          <w:tcPr>
            <w:tcW w:w="1340" w:type="dxa"/>
            <w:vAlign w:val="bottom"/>
          </w:tcPr>
          <w:p>
            <w:pPr>
              <w:jc w:val="right"/>
              <w:spacing w:after="0"/>
              <w:rPr>
                <w:sz w:val="20"/>
                <w:szCs w:val="20"/>
                <w:color w:val="auto"/>
              </w:rPr>
            </w:pPr>
            <w:r>
              <w:rPr>
                <w:rFonts w:ascii="Arial" w:cs="Arial" w:eastAsia="Arial" w:hAnsi="Arial"/>
                <w:sz w:val="16"/>
                <w:szCs w:val="16"/>
                <w:color w:val="auto"/>
              </w:rPr>
              <w:t>604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5,082</w:t>
            </w:r>
          </w:p>
        </w:tc>
        <w:tc>
          <w:tcPr>
            <w:tcW w:w="1340" w:type="dxa"/>
            <w:vAlign w:val="bottom"/>
          </w:tcPr>
          <w:p>
            <w:pPr>
              <w:jc w:val="right"/>
              <w:spacing w:after="0"/>
              <w:rPr>
                <w:sz w:val="20"/>
                <w:szCs w:val="20"/>
                <w:color w:val="auto"/>
              </w:rPr>
            </w:pPr>
            <w:r>
              <w:rPr>
                <w:rFonts w:ascii="Arial" w:cs="Arial" w:eastAsia="Arial" w:hAnsi="Arial"/>
                <w:sz w:val="16"/>
                <w:szCs w:val="16"/>
                <w:color w:val="auto"/>
              </w:rPr>
              <w:t>103,977</w:t>
            </w: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23,923</w:t>
            </w:r>
          </w:p>
        </w:tc>
        <w:tc>
          <w:tcPr>
            <w:tcW w:w="1340" w:type="dxa"/>
            <w:vAlign w:val="bottom"/>
          </w:tcPr>
          <w:p>
            <w:pPr>
              <w:jc w:val="right"/>
              <w:spacing w:after="0"/>
              <w:rPr>
                <w:sz w:val="20"/>
                <w:szCs w:val="20"/>
                <w:color w:val="auto"/>
              </w:rPr>
            </w:pPr>
            <w:r>
              <w:rPr>
                <w:rFonts w:ascii="Arial" w:cs="Arial" w:eastAsia="Arial" w:hAnsi="Arial"/>
                <w:sz w:val="16"/>
                <w:szCs w:val="16"/>
                <w:color w:val="auto"/>
              </w:rPr>
              <w:t>103,977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630</w:t>
            </w: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630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9"/>
        </w:trPr>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1,174</w:t>
            </w:r>
          </w:p>
        </w:tc>
        <w:tc>
          <w:tcPr>
            <w:tcW w:w="100" w:type="dxa"/>
            <w:vAlign w:val="bottom"/>
          </w:tcPr>
          <w:p>
            <w:pPr>
              <w:spacing w:after="0"/>
              <w:rPr>
                <w:sz w:val="19"/>
                <w:szCs w:val="19"/>
                <w:color w:val="auto"/>
              </w:rPr>
            </w:pPr>
          </w:p>
        </w:tc>
        <w:tc>
          <w:tcPr>
            <w:tcW w:w="1400" w:type="dxa"/>
            <w:vAlign w:val="bottom"/>
            <w:gridSpan w:val="3"/>
          </w:tcPr>
          <w:p>
            <w:pPr>
              <w:jc w:val="right"/>
              <w:ind w:right="20"/>
              <w:spacing w:after="0"/>
              <w:rPr>
                <w:sz w:val="20"/>
                <w:szCs w:val="20"/>
                <w:color w:val="auto"/>
              </w:rPr>
            </w:pPr>
            <w:r>
              <w:rPr>
                <w:rFonts w:ascii="Arial" w:cs="Arial" w:eastAsia="Arial" w:hAnsi="Arial"/>
                <w:sz w:val="16"/>
                <w:szCs w:val="16"/>
                <w:b w:val="1"/>
                <w:bCs w:val="1"/>
                <w:color w:val="auto"/>
              </w:rPr>
              <w:t>—</w:t>
            </w:r>
          </w:p>
        </w:tc>
      </w:tr>
      <w:tr>
        <w:trPr>
          <w:trHeight w:val="20"/>
        </w:trPr>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18,344</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23,353</w:t>
            </w:r>
          </w:p>
        </w:tc>
        <w:tc>
          <w:tcPr>
            <w:tcW w:w="100" w:type="dxa"/>
            <w:vAlign w:val="bottom"/>
          </w:tcPr>
          <w:p>
            <w:pPr>
              <w:spacing w:after="0"/>
              <w:rPr>
                <w:sz w:val="19"/>
                <w:szCs w:val="19"/>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62,114</w:t>
            </w:r>
          </w:p>
        </w:tc>
        <w:tc>
          <w:tcPr>
            <w:tcW w:w="1340" w:type="dxa"/>
            <w:vAlign w:val="bottom"/>
          </w:tcPr>
          <w:p>
            <w:pPr>
              <w:jc w:val="right"/>
              <w:spacing w:after="0"/>
              <w:rPr>
                <w:sz w:val="20"/>
                <w:szCs w:val="20"/>
                <w:color w:val="auto"/>
              </w:rPr>
            </w:pPr>
            <w:r>
              <w:rPr>
                <w:rFonts w:ascii="Arial" w:cs="Arial" w:eastAsia="Arial" w:hAnsi="Arial"/>
                <w:sz w:val="16"/>
                <w:szCs w:val="16"/>
                <w:b w:val="1"/>
                <w:bCs w:val="1"/>
                <w:color w:val="auto"/>
              </w:rPr>
              <w:t>70,149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0"/>
        </w:trPr>
        <w:tc>
          <w:tcPr>
            <w:tcW w:w="1340" w:type="dxa"/>
            <w:vAlign w:val="bottom"/>
          </w:tcPr>
          <w:p>
            <w:pPr>
              <w:jc w:val="right"/>
              <w:spacing w:after="0"/>
              <w:rPr>
                <w:sz w:val="20"/>
                <w:szCs w:val="20"/>
                <w:color w:val="auto"/>
              </w:rPr>
            </w:pPr>
            <w:r>
              <w:rPr>
                <w:rFonts w:ascii="Arial" w:cs="Arial" w:eastAsia="Arial" w:hAnsi="Arial"/>
                <w:sz w:val="16"/>
                <w:szCs w:val="16"/>
                <w:color w:val="auto"/>
              </w:rPr>
              <w:t>17,961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22,871</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60,793</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68,691</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383</w:t>
            </w:r>
          </w:p>
        </w:tc>
        <w:tc>
          <w:tcPr>
            <w:tcW w:w="1340" w:type="dxa"/>
            <w:vAlign w:val="bottom"/>
          </w:tcPr>
          <w:p>
            <w:pPr>
              <w:jc w:val="right"/>
              <w:spacing w:after="0"/>
              <w:rPr>
                <w:sz w:val="20"/>
                <w:szCs w:val="20"/>
                <w:color w:val="auto"/>
              </w:rPr>
            </w:pPr>
            <w:r>
              <w:rPr>
                <w:rFonts w:ascii="Arial" w:cs="Arial" w:eastAsia="Arial" w:hAnsi="Arial"/>
                <w:sz w:val="16"/>
                <w:szCs w:val="16"/>
                <w:color w:val="auto"/>
              </w:rPr>
              <w:t>482</w:t>
            </w:r>
          </w:p>
        </w:tc>
        <w:tc>
          <w:tcPr>
            <w:tcW w:w="100" w:type="dxa"/>
            <w:vAlign w:val="bottom"/>
          </w:tcPr>
          <w:p>
            <w:pPr>
              <w:spacing w:after="0"/>
              <w:rPr>
                <w:sz w:val="17"/>
                <w:szCs w:val="17"/>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1,321</w:t>
            </w:r>
          </w:p>
        </w:tc>
        <w:tc>
          <w:tcPr>
            <w:tcW w:w="1340" w:type="dxa"/>
            <w:vAlign w:val="bottom"/>
          </w:tcPr>
          <w:p>
            <w:pPr>
              <w:jc w:val="right"/>
              <w:spacing w:after="0"/>
              <w:rPr>
                <w:sz w:val="20"/>
                <w:szCs w:val="20"/>
                <w:color w:val="auto"/>
              </w:rPr>
            </w:pPr>
            <w:r>
              <w:rPr>
                <w:rFonts w:ascii="Arial" w:cs="Arial" w:eastAsia="Arial" w:hAnsi="Arial"/>
                <w:sz w:val="16"/>
                <w:szCs w:val="16"/>
                <w:color w:val="auto"/>
              </w:rPr>
              <w:t>1,458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32"/>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47,517,824</w:t>
            </w:r>
          </w:p>
        </w:tc>
        <w:tc>
          <w:tcPr>
            <w:tcW w:w="1340" w:type="dxa"/>
            <w:vAlign w:val="bottom"/>
          </w:tcPr>
          <w:p>
            <w:pPr>
              <w:jc w:val="right"/>
              <w:spacing w:after="0"/>
              <w:rPr>
                <w:sz w:val="20"/>
                <w:szCs w:val="20"/>
                <w:color w:val="auto"/>
              </w:rPr>
            </w:pPr>
            <w:r>
              <w:rPr>
                <w:rFonts w:ascii="Arial" w:cs="Arial" w:eastAsia="Arial" w:hAnsi="Arial"/>
                <w:sz w:val="16"/>
                <w:szCs w:val="16"/>
                <w:color w:val="auto"/>
              </w:rPr>
              <w:t>51,137,201</w:t>
            </w:r>
          </w:p>
        </w:tc>
        <w:tc>
          <w:tcPr>
            <w:tcW w:w="10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47,042,494</w:t>
            </w:r>
          </w:p>
        </w:tc>
        <w:tc>
          <w:tcPr>
            <w:tcW w:w="1340" w:type="dxa"/>
            <w:vAlign w:val="bottom"/>
          </w:tcPr>
          <w:p>
            <w:pPr>
              <w:jc w:val="right"/>
              <w:spacing w:after="0"/>
              <w:rPr>
                <w:sz w:val="20"/>
                <w:szCs w:val="20"/>
                <w:color w:val="auto"/>
              </w:rPr>
            </w:pPr>
            <w:r>
              <w:rPr>
                <w:rFonts w:ascii="Arial" w:cs="Arial" w:eastAsia="Arial" w:hAnsi="Arial"/>
                <w:sz w:val="16"/>
                <w:szCs w:val="16"/>
                <w:color w:val="auto"/>
              </w:rPr>
              <w:t>49,501,674</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1,021,336</w:t>
            </w:r>
          </w:p>
        </w:tc>
        <w:tc>
          <w:tcPr>
            <w:tcW w:w="1340" w:type="dxa"/>
            <w:vAlign w:val="bottom"/>
          </w:tcPr>
          <w:p>
            <w:pPr>
              <w:jc w:val="right"/>
              <w:spacing w:after="0"/>
              <w:rPr>
                <w:sz w:val="20"/>
                <w:szCs w:val="20"/>
                <w:color w:val="auto"/>
              </w:rPr>
            </w:pPr>
            <w:r>
              <w:rPr>
                <w:rFonts w:ascii="Arial" w:cs="Arial" w:eastAsia="Arial" w:hAnsi="Arial"/>
                <w:sz w:val="16"/>
                <w:szCs w:val="16"/>
                <w:color w:val="auto"/>
              </w:rPr>
              <w:t>1,077,494</w:t>
            </w: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1,021,336</w:t>
            </w:r>
          </w:p>
        </w:tc>
        <w:tc>
          <w:tcPr>
            <w:tcW w:w="1340" w:type="dxa"/>
            <w:vAlign w:val="bottom"/>
          </w:tcPr>
          <w:p>
            <w:pPr>
              <w:jc w:val="right"/>
              <w:spacing w:after="0"/>
              <w:rPr>
                <w:sz w:val="20"/>
                <w:szCs w:val="20"/>
                <w:color w:val="auto"/>
              </w:rPr>
            </w:pPr>
            <w:r>
              <w:rPr>
                <w:rFonts w:ascii="Arial" w:cs="Arial" w:eastAsia="Arial" w:hAnsi="Arial"/>
                <w:sz w:val="16"/>
                <w:szCs w:val="16"/>
                <w:color w:val="auto"/>
              </w:rPr>
              <w:t>1,049,800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2"/>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0.38</w:t>
            </w:r>
          </w:p>
        </w:tc>
        <w:tc>
          <w:tcPr>
            <w:tcW w:w="134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24"/>
                <w:szCs w:val="24"/>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1.29</w:t>
            </w:r>
          </w:p>
        </w:tc>
        <w:tc>
          <w:tcPr>
            <w:tcW w:w="1340" w:type="dxa"/>
            <w:vAlign w:val="bottom"/>
          </w:tcPr>
          <w:p>
            <w:pPr>
              <w:jc w:val="right"/>
              <w:spacing w:after="0"/>
              <w:rPr>
                <w:sz w:val="20"/>
                <w:szCs w:val="20"/>
                <w:color w:val="auto"/>
              </w:rPr>
            </w:pPr>
            <w:r>
              <w:rPr>
                <w:rFonts w:ascii="Arial" w:cs="Arial" w:eastAsia="Arial" w:hAnsi="Arial"/>
                <w:sz w:val="16"/>
                <w:szCs w:val="16"/>
                <w:color w:val="auto"/>
              </w:rPr>
              <w:t>1.39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16"/>
        </w:trPr>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0.37</w:t>
            </w:r>
          </w:p>
        </w:tc>
        <w:tc>
          <w:tcPr>
            <w:tcW w:w="1340" w:type="dxa"/>
            <w:vAlign w:val="bottom"/>
          </w:tcPr>
          <w:p>
            <w:pPr>
              <w:jc w:val="right"/>
              <w:spacing w:after="0"/>
              <w:rPr>
                <w:sz w:val="20"/>
                <w:szCs w:val="20"/>
                <w:color w:val="auto"/>
              </w:rPr>
            </w:pPr>
            <w:r>
              <w:rPr>
                <w:rFonts w:ascii="Arial" w:cs="Arial" w:eastAsia="Arial" w:hAnsi="Arial"/>
                <w:sz w:val="16"/>
                <w:szCs w:val="16"/>
                <w:color w:val="auto"/>
              </w:rPr>
              <w:t>0.45</w:t>
            </w:r>
          </w:p>
        </w:tc>
        <w:tc>
          <w:tcPr>
            <w:tcW w:w="10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6"/>
                <w:szCs w:val="16"/>
                <w:color w:val="auto"/>
              </w:rPr>
              <w:t>1.29</w:t>
            </w:r>
          </w:p>
        </w:tc>
        <w:tc>
          <w:tcPr>
            <w:tcW w:w="1340" w:type="dxa"/>
            <w:vAlign w:val="bottom"/>
          </w:tcPr>
          <w:p>
            <w:pPr>
              <w:jc w:val="right"/>
              <w:spacing w:after="0"/>
              <w:rPr>
                <w:sz w:val="20"/>
                <w:szCs w:val="20"/>
                <w:color w:val="auto"/>
              </w:rPr>
            </w:pPr>
            <w:r>
              <w:rPr>
                <w:rFonts w:ascii="Arial" w:cs="Arial" w:eastAsia="Arial" w:hAnsi="Arial"/>
                <w:sz w:val="16"/>
                <w:szCs w:val="16"/>
                <w:color w:val="auto"/>
              </w:rPr>
              <w:t>1.39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-5095875</wp:posOffset>
            </wp:positionV>
            <wp:extent cx="70205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-4821555</wp:posOffset>
            </wp:positionV>
            <wp:extent cx="7020560"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0560" cy="1289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-4556125</wp:posOffset>
            </wp:positionV>
            <wp:extent cx="702056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20560" cy="1631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-4247515</wp:posOffset>
            </wp:positionV>
            <wp:extent cx="70205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-3973195</wp:posOffset>
            </wp:positionV>
            <wp:extent cx="70205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-3698875</wp:posOffset>
            </wp:positionV>
            <wp:extent cx="70205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-3424555</wp:posOffset>
            </wp:positionV>
            <wp:extent cx="70205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-2626995</wp:posOffset>
            </wp:positionV>
            <wp:extent cx="70205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-2352675</wp:posOffset>
            </wp:positionV>
            <wp:extent cx="702056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20560" cy="12890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-2087245</wp:posOffset>
            </wp:positionV>
            <wp:extent cx="70205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-1812925</wp:posOffset>
            </wp:positionV>
            <wp:extent cx="702056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-1538605</wp:posOffset>
            </wp:positionV>
            <wp:extent cx="702056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-1264285</wp:posOffset>
            </wp:positionV>
            <wp:extent cx="7020560" cy="162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20560" cy="1625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-955675</wp:posOffset>
            </wp:positionV>
            <wp:extent cx="702056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-681355</wp:posOffset>
            </wp:positionV>
            <wp:extent cx="702056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-407035</wp:posOffset>
            </wp:positionV>
            <wp:extent cx="702056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2056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-132715</wp:posOffset>
            </wp:positionV>
            <wp:extent cx="702056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2056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40" w:space="560"/>
            <w:col w:w="5800"/>
          </w:cols>
          <w:pgMar w:left="320" w:top="895" w:right="379" w:bottom="1440" w:gutter="0" w:footer="0" w:header="0"/>
          <w:type w:val="continuous"/>
        </w:sectPr>
      </w:pP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00"/>
      </w:cols>
      <w:pgMar w:left="320" w:top="895"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2022-01-27T05:48:01Z</dcterms:created>
  <dcterms:modified xsi:type="dcterms:W3CDTF">2022-01-27T05:48:01Z</dcterms:modified>
</cp:coreProperties>
</file>