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6"/>
                <w:szCs w:val="16"/>
                <w:color w:val="auto"/>
              </w:rPr>
              <w:t>October</w:t>
            </w:r>
            <w:r>
              <w:rPr>
                <w:rFonts w:ascii="Arial" w:cs="Arial" w:eastAsia="Arial" w:hAnsi="Arial"/>
                <w:sz w:val="18"/>
                <w:szCs w:val="18"/>
                <w:color w:val="auto"/>
              </w:rPr>
              <w:t xml:space="preserve"> 2019</w:t>
            </w:r>
          </w:p>
        </w:tc>
        <w:tc>
          <w:tcPr>
            <w:tcW w:w="2280" w:type="dxa"/>
            <w:vAlign w:val="bottom"/>
          </w:tcPr>
          <w:p>
            <w:pPr>
              <w:spacing w:after="0"/>
              <w:rPr>
                <w:sz w:val="20"/>
                <w:szCs w:val="20"/>
                <w:color w:val="auto"/>
              </w:rPr>
            </w:pP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2280" w:type="dxa"/>
            <w:vAlign w:val="bottom"/>
          </w:tcPr>
          <w:p>
            <w:pPr>
              <w:spacing w:after="0"/>
              <w:rPr>
                <w:sz w:val="24"/>
                <w:szCs w:val="24"/>
                <w:color w:val="auto"/>
              </w:rPr>
            </w:pPr>
          </w:p>
        </w:tc>
      </w:tr>
      <w:tr>
        <w:trPr>
          <w:trHeight w:val="418"/>
        </w:trPr>
        <w:tc>
          <w:tcPr>
            <w:tcW w:w="9180" w:type="dxa"/>
            <w:vAlign w:val="bottom"/>
          </w:tcPr>
          <w:p>
            <w:pPr>
              <w:jc w:val="center"/>
              <w:ind w:left="2150"/>
              <w:spacing w:after="0"/>
              <w:rPr>
                <w:sz w:val="20"/>
                <w:szCs w:val="20"/>
                <w:color w:val="auto"/>
              </w:rPr>
            </w:pPr>
            <w:r>
              <w:rPr>
                <w:rFonts w:ascii="Arial" w:cs="Arial" w:eastAsia="Arial" w:hAnsi="Arial"/>
                <w:sz w:val="18"/>
                <w:szCs w:val="18"/>
                <w:b w:val="1"/>
                <w:bCs w:val="1"/>
                <w:color w:val="auto"/>
                <w:w w:val="91"/>
              </w:rPr>
              <w:t>GasLog Partners LP</w:t>
            </w:r>
          </w:p>
        </w:tc>
        <w:tc>
          <w:tcPr>
            <w:tcW w:w="2280" w:type="dxa"/>
            <w:vAlign w:val="bottom"/>
          </w:tcPr>
          <w:p>
            <w:pPr>
              <w:spacing w:after="0"/>
              <w:rPr>
                <w:sz w:val="24"/>
                <w:szCs w:val="24"/>
                <w:color w:val="auto"/>
              </w:rPr>
            </w:pPr>
          </w:p>
        </w:tc>
      </w:tr>
      <w:tr>
        <w:trPr>
          <w:trHeight w:val="230"/>
        </w:trPr>
        <w:tc>
          <w:tcPr>
            <w:tcW w:w="9180" w:type="dxa"/>
            <w:vAlign w:val="bottom"/>
          </w:tcPr>
          <w:p>
            <w:pPr>
              <w:jc w:val="center"/>
              <w:ind w:left="2170"/>
              <w:spacing w:after="0"/>
              <w:rPr>
                <w:sz w:val="20"/>
                <w:szCs w:val="20"/>
                <w:color w:val="auto"/>
              </w:rPr>
            </w:pPr>
            <w:r>
              <w:rPr>
                <w:rFonts w:ascii="Arial" w:cs="Arial" w:eastAsia="Arial" w:hAnsi="Arial"/>
                <w:sz w:val="18"/>
                <w:szCs w:val="18"/>
                <w:color w:val="auto"/>
                <w:w w:val="91"/>
              </w:rPr>
              <w:t>(Translation of registrant’s name into English)</w:t>
            </w:r>
          </w:p>
        </w:tc>
        <w:tc>
          <w:tcPr>
            <w:tcW w:w="2280" w:type="dxa"/>
            <w:vAlign w:val="bottom"/>
          </w:tcPr>
          <w:p>
            <w:pPr>
              <w:spacing w:after="0"/>
              <w:rPr>
                <w:sz w:val="20"/>
                <w:szCs w:val="20"/>
                <w:color w:val="auto"/>
              </w:rPr>
            </w:pPr>
          </w:p>
        </w:tc>
      </w:tr>
      <w:tr>
        <w:trPr>
          <w:trHeight w:val="418"/>
        </w:trPr>
        <w:tc>
          <w:tcPr>
            <w:tcW w:w="9180" w:type="dxa"/>
            <w:vAlign w:val="bottom"/>
          </w:tcPr>
          <w:p>
            <w:pPr>
              <w:jc w:val="center"/>
              <w:ind w:left="2170"/>
              <w:spacing w:after="0"/>
              <w:rPr>
                <w:sz w:val="20"/>
                <w:szCs w:val="20"/>
                <w:color w:val="auto"/>
              </w:rPr>
            </w:pPr>
            <w:r>
              <w:rPr>
                <w:rFonts w:ascii="Arial" w:cs="Arial" w:eastAsia="Arial" w:hAnsi="Arial"/>
                <w:sz w:val="18"/>
                <w:szCs w:val="18"/>
                <w:color w:val="auto"/>
                <w:w w:val="92"/>
              </w:rPr>
              <w:t>c/o GasLog Monaco S.A.M.</w:t>
            </w:r>
          </w:p>
        </w:tc>
        <w:tc>
          <w:tcPr>
            <w:tcW w:w="2280" w:type="dxa"/>
            <w:vAlign w:val="bottom"/>
          </w:tcPr>
          <w:p>
            <w:pPr>
              <w:spacing w:after="0"/>
              <w:rPr>
                <w:sz w:val="24"/>
                <w:szCs w:val="24"/>
                <w:color w:val="auto"/>
              </w:rPr>
            </w:pPr>
          </w:p>
        </w:tc>
      </w:tr>
      <w:tr>
        <w:trPr>
          <w:trHeight w:val="216"/>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89"/>
              </w:rPr>
              <w:t>Gildo Pastor Center</w:t>
            </w:r>
          </w:p>
        </w:tc>
        <w:tc>
          <w:tcPr>
            <w:tcW w:w="2280" w:type="dxa"/>
            <w:vAlign w:val="bottom"/>
          </w:tcPr>
          <w:p>
            <w:pPr>
              <w:spacing w:after="0"/>
              <w:rPr>
                <w:sz w:val="18"/>
                <w:szCs w:val="18"/>
                <w:color w:val="auto"/>
              </w:rPr>
            </w:pPr>
          </w:p>
        </w:tc>
      </w:tr>
      <w:tr>
        <w:trPr>
          <w:trHeight w:val="216"/>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89"/>
              </w:rPr>
              <w:t>7 Rue du Gabian</w:t>
            </w:r>
          </w:p>
        </w:tc>
        <w:tc>
          <w:tcPr>
            <w:tcW w:w="2280" w:type="dxa"/>
            <w:vAlign w:val="bottom"/>
          </w:tcPr>
          <w:p>
            <w:pPr>
              <w:spacing w:after="0"/>
              <w:rPr>
                <w:sz w:val="18"/>
                <w:szCs w:val="18"/>
                <w:color w:val="auto"/>
              </w:rPr>
            </w:pPr>
          </w:p>
        </w:tc>
      </w:tr>
      <w:tr>
        <w:trPr>
          <w:trHeight w:val="216"/>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92"/>
              </w:rPr>
              <w:t>MC 98000, Monaco</w:t>
            </w:r>
          </w:p>
        </w:tc>
        <w:tc>
          <w:tcPr>
            <w:tcW w:w="2280" w:type="dxa"/>
            <w:vAlign w:val="bottom"/>
          </w:tcPr>
          <w:p>
            <w:pPr>
              <w:spacing w:after="0"/>
              <w:rPr>
                <w:sz w:val="18"/>
                <w:szCs w:val="18"/>
                <w:color w:val="auto"/>
              </w:rPr>
            </w:pPr>
          </w:p>
        </w:tc>
      </w:tr>
      <w:tr>
        <w:trPr>
          <w:trHeight w:val="230"/>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92"/>
              </w:rPr>
              <w:t>(Address of principal executive office)</w:t>
            </w:r>
          </w:p>
        </w:tc>
        <w:tc>
          <w:tcPr>
            <w:tcW w:w="2280" w:type="dxa"/>
            <w:vAlign w:val="bottom"/>
          </w:tcPr>
          <w:p>
            <w:pPr>
              <w:spacing w:after="0"/>
              <w:rPr>
                <w:sz w:val="20"/>
                <w:szCs w:val="20"/>
                <w:color w:val="auto"/>
              </w:rPr>
            </w:pP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w w:val="99"/>
              </w:rPr>
              <w:t>Indicate by check mark whether the registrant files or will file annual reports under cover of Form 20-F or Form 40-F.</w:t>
            </w:r>
          </w:p>
        </w:tc>
        <w:tc>
          <w:tcPr>
            <w:tcW w:w="2280" w:type="dxa"/>
            <w:vAlign w:val="bottom"/>
          </w:tcPr>
          <w:p>
            <w:pPr>
              <w:spacing w:after="0"/>
              <w:rPr>
                <w:sz w:val="24"/>
                <w:szCs w:val="24"/>
                <w:color w:val="auto"/>
              </w:rPr>
            </w:pPr>
          </w:p>
        </w:tc>
      </w:tr>
      <w:tr>
        <w:trPr>
          <w:trHeight w:val="452"/>
        </w:trPr>
        <w:tc>
          <w:tcPr>
            <w:tcW w:w="918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2280" w:type="dxa"/>
            <w:vAlign w:val="bottom"/>
          </w:tcPr>
          <w:p>
            <w:pPr>
              <w:spacing w:after="0"/>
              <w:rPr>
                <w:sz w:val="24"/>
                <w:szCs w:val="24"/>
                <w:color w:val="auto"/>
              </w:rPr>
            </w:pPr>
          </w:p>
        </w:tc>
      </w:tr>
      <w:tr>
        <w:trPr>
          <w:trHeight w:val="412"/>
        </w:trPr>
        <w:tc>
          <w:tcPr>
            <w:tcW w:w="918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101(b)(1):</w:t>
            </w:r>
          </w:p>
        </w:tc>
        <w:tc>
          <w:tcPr>
            <w:tcW w:w="2280" w:type="dxa"/>
            <w:vAlign w:val="bottom"/>
          </w:tcPr>
          <w:p>
            <w:pPr>
              <w:ind w:left="220"/>
              <w:spacing w:after="0"/>
              <w:rPr>
                <w:sz w:val="20"/>
                <w:szCs w:val="20"/>
                <w:color w:val="auto"/>
              </w:rPr>
            </w:pPr>
            <w:r>
              <w:rPr>
                <w:rFonts w:ascii="Arial" w:cs="Arial" w:eastAsia="Arial" w:hAnsi="Arial"/>
                <w:sz w:val="18"/>
                <w:szCs w:val="18"/>
                <w:color w:val="auto"/>
              </w:rPr>
              <w:t>o</w:t>
            </w: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101(b)(7):</w:t>
            </w:r>
          </w:p>
        </w:tc>
        <w:tc>
          <w:tcPr>
            <w:tcW w:w="2280" w:type="dxa"/>
            <w:vAlign w:val="bottom"/>
          </w:tcPr>
          <w:p>
            <w:pPr>
              <w:ind w:left="220"/>
              <w:spacing w:after="0"/>
              <w:rPr>
                <w:sz w:val="20"/>
                <w:szCs w:val="20"/>
                <w:color w:val="auto"/>
              </w:rPr>
            </w:pPr>
            <w:r>
              <w:rPr>
                <w:rFonts w:ascii="Arial" w:cs="Arial" w:eastAsia="Arial" w:hAnsi="Arial"/>
                <w:sz w:val="18"/>
                <w:szCs w:val="18"/>
                <w:color w:val="auto"/>
              </w:rPr>
              <w:t>o</w:t>
            </w:r>
          </w:p>
        </w:tc>
      </w:tr>
      <w:tr>
        <w:trPr>
          <w:trHeight w:val="348"/>
        </w:trPr>
        <w:tc>
          <w:tcPr>
            <w:tcW w:w="91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right="20" w:firstLine="376"/>
        <w:spacing w:after="0" w:line="293" w:lineRule="auto"/>
        <w:rPr>
          <w:sz w:val="20"/>
          <w:szCs w:val="20"/>
          <w:color w:val="auto"/>
        </w:rPr>
      </w:pPr>
      <w:r>
        <w:rPr>
          <w:rFonts w:ascii="Arial" w:cs="Arial" w:eastAsia="Arial" w:hAnsi="Arial"/>
          <w:sz w:val="16"/>
          <w:szCs w:val="16"/>
          <w:color w:val="auto"/>
        </w:rPr>
        <w:t>The press release issued by GasLog Partners LP on October 30, 2019 relating to its results for the three-month period ended September 30, 2019 and the related financial report are attached hereto as Exhibits 99.1 and 99.2, respectively.</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INCORPORATION BY REFERENCE</w:t>
      </w:r>
    </w:p>
    <w:p>
      <w:pPr>
        <w:spacing w:after="0" w:line="235" w:lineRule="exact"/>
        <w:rPr>
          <w:sz w:val="20"/>
          <w:szCs w:val="20"/>
          <w:color w:val="auto"/>
        </w:rPr>
      </w:pPr>
    </w:p>
    <w:p>
      <w:pPr>
        <w:ind w:firstLine="376"/>
        <w:spacing w:after="0" w:line="297" w:lineRule="auto"/>
        <w:rPr>
          <w:sz w:val="20"/>
          <w:szCs w:val="20"/>
          <w:color w:val="auto"/>
        </w:rPr>
      </w:pPr>
      <w:r>
        <w:rPr>
          <w:rFonts w:ascii="Arial" w:cs="Arial" w:eastAsia="Arial" w:hAnsi="Arial"/>
          <w:sz w:val="15"/>
          <w:szCs w:val="15"/>
          <w:color w:val="auto"/>
        </w:rPr>
        <w:t>Exhibit 99.2, including Appendix A thereto, to this Report on Form 6-K shall be incorporated by reference into our registration statement on Form F-3 (File No. 333-220736), filed with the Securities and Exchange Commission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6080" w:type="dxa"/>
            <w:vAlign w:val="bottom"/>
          </w:tcPr>
          <w:p>
            <w:pPr>
              <w:ind w:left="4380"/>
              <w:spacing w:after="0"/>
              <w:rPr>
                <w:sz w:val="20"/>
                <w:szCs w:val="20"/>
                <w:color w:val="auto"/>
              </w:rPr>
            </w:pPr>
            <w:r>
              <w:rPr>
                <w:rFonts w:ascii="Arial" w:cs="Arial" w:eastAsia="Arial" w:hAnsi="Arial"/>
                <w:sz w:val="16"/>
                <w:szCs w:val="16"/>
                <w:color w:val="auto"/>
              </w:rPr>
              <w:t>EXHIBIT LIST</w:t>
            </w:r>
          </w:p>
        </w:tc>
      </w:tr>
      <w:tr>
        <w:trPr>
          <w:trHeight w:val="419"/>
        </w:trPr>
        <w:tc>
          <w:tcPr>
            <w:tcW w:w="820" w:type="dxa"/>
            <w:vAlign w:val="bottom"/>
          </w:tcPr>
          <w:p>
            <w:pPr>
              <w:spacing w:after="0"/>
              <w:rPr>
                <w:sz w:val="20"/>
                <w:szCs w:val="20"/>
                <w:color w:val="auto"/>
              </w:rPr>
            </w:pPr>
            <w:r>
              <w:rPr>
                <w:rFonts w:ascii="Arial" w:cs="Arial" w:eastAsia="Arial" w:hAnsi="Arial"/>
                <w:sz w:val="16"/>
                <w:szCs w:val="16"/>
                <w:color w:val="auto"/>
              </w:rPr>
              <w:t>Exhibit</w:t>
            </w:r>
          </w:p>
        </w:tc>
        <w:tc>
          <w:tcPr>
            <w:tcW w:w="6080" w:type="dxa"/>
            <w:vAlign w:val="bottom"/>
          </w:tcPr>
          <w:p>
            <w:pPr>
              <w:ind w:left="340"/>
              <w:spacing w:after="0"/>
              <w:rPr>
                <w:sz w:val="20"/>
                <w:szCs w:val="20"/>
                <w:color w:val="auto"/>
              </w:rPr>
            </w:pPr>
            <w:r>
              <w:rPr>
                <w:rFonts w:ascii="Arial" w:cs="Arial" w:eastAsia="Arial" w:hAnsi="Arial"/>
                <w:sz w:val="16"/>
                <w:szCs w:val="16"/>
                <w:color w:val="auto"/>
              </w:rPr>
              <w:t>Description</w:t>
            </w:r>
          </w:p>
        </w:tc>
      </w:tr>
      <w:tr>
        <w:trPr>
          <w:trHeight w:val="419"/>
        </w:trPr>
        <w:tc>
          <w:tcPr>
            <w:tcW w:w="820" w:type="dxa"/>
            <w:vAlign w:val="bottom"/>
          </w:tcPr>
          <w:p>
            <w:pPr>
              <w:spacing w:after="0"/>
              <w:rPr>
                <w:sz w:val="20"/>
                <w:szCs w:val="20"/>
                <w:color w:val="auto"/>
              </w:rPr>
            </w:pPr>
            <w:r>
              <w:rPr>
                <w:rFonts w:ascii="Arial" w:cs="Arial" w:eastAsia="Arial" w:hAnsi="Arial"/>
                <w:sz w:val="16"/>
                <w:szCs w:val="16"/>
                <w:color w:val="auto"/>
              </w:rPr>
              <w:t>99.1</w:t>
            </w:r>
          </w:p>
        </w:tc>
        <w:tc>
          <w:tcPr>
            <w:tcW w:w="6080" w:type="dxa"/>
            <w:vAlign w:val="bottom"/>
          </w:tcPr>
          <w:p>
            <w:pPr>
              <w:ind w:left="340"/>
              <w:spacing w:after="0"/>
              <w:rPr>
                <w:sz w:val="20"/>
                <w:szCs w:val="20"/>
                <w:color w:val="auto"/>
              </w:rPr>
            </w:pPr>
            <w:r>
              <w:rPr>
                <w:rFonts w:ascii="Arial" w:cs="Arial" w:eastAsia="Arial" w:hAnsi="Arial"/>
                <w:sz w:val="16"/>
                <w:szCs w:val="16"/>
                <w:color w:val="auto"/>
              </w:rPr>
              <w:t>Press Release dated October 30, 2019</w:t>
            </w:r>
          </w:p>
        </w:tc>
      </w:tr>
      <w:tr>
        <w:trPr>
          <w:trHeight w:val="419"/>
        </w:trPr>
        <w:tc>
          <w:tcPr>
            <w:tcW w:w="820" w:type="dxa"/>
            <w:vAlign w:val="bottom"/>
          </w:tcPr>
          <w:p>
            <w:pPr>
              <w:spacing w:after="0"/>
              <w:rPr>
                <w:sz w:val="20"/>
                <w:szCs w:val="20"/>
                <w:color w:val="auto"/>
              </w:rPr>
            </w:pPr>
            <w:r>
              <w:rPr>
                <w:rFonts w:ascii="Arial" w:cs="Arial" w:eastAsia="Arial" w:hAnsi="Arial"/>
                <w:sz w:val="16"/>
                <w:szCs w:val="16"/>
                <w:color w:val="auto"/>
              </w:rPr>
              <w:t>99.2</w:t>
            </w:r>
          </w:p>
        </w:tc>
        <w:tc>
          <w:tcPr>
            <w:tcW w:w="6080" w:type="dxa"/>
            <w:vAlign w:val="bottom"/>
          </w:tcPr>
          <w:p>
            <w:pPr>
              <w:ind w:left="340"/>
              <w:spacing w:after="0"/>
              <w:rPr>
                <w:sz w:val="20"/>
                <w:szCs w:val="20"/>
                <w:color w:val="auto"/>
              </w:rPr>
            </w:pPr>
            <w:r>
              <w:rPr>
                <w:rFonts w:ascii="Arial" w:cs="Arial" w:eastAsia="Arial" w:hAnsi="Arial"/>
                <w:sz w:val="16"/>
                <w:szCs w:val="16"/>
                <w:color w:val="auto"/>
              </w:rPr>
              <w:t>Financial Report for the Three and Nine Months Ended September 30, 2019</w:t>
            </w:r>
          </w:p>
        </w:tc>
      </w:tr>
      <w:tr>
        <w:trPr>
          <w:trHeight w:val="419"/>
        </w:trPr>
        <w:tc>
          <w:tcPr>
            <w:tcW w:w="820" w:type="dxa"/>
            <w:vAlign w:val="bottom"/>
          </w:tcPr>
          <w:p>
            <w:pPr>
              <w:spacing w:after="0"/>
              <w:rPr>
                <w:sz w:val="24"/>
                <w:szCs w:val="24"/>
                <w:color w:val="auto"/>
              </w:rPr>
            </w:pPr>
          </w:p>
        </w:tc>
        <w:tc>
          <w:tcPr>
            <w:tcW w:w="6080" w:type="dxa"/>
            <w:vAlign w:val="bottom"/>
          </w:tcPr>
          <w:p>
            <w:pPr>
              <w:ind w:left="340"/>
              <w:spacing w:after="0"/>
              <w:rPr>
                <w:sz w:val="20"/>
                <w:szCs w:val="20"/>
                <w:color w:val="auto"/>
              </w:rPr>
            </w:pPr>
            <w:r>
              <w:rPr>
                <w:rFonts w:ascii="Arial" w:cs="Arial" w:eastAsia="Arial" w:hAnsi="Arial"/>
                <w:sz w:val="16"/>
                <w:szCs w:val="16"/>
                <w:color w:val="auto"/>
                <w:w w:val="92"/>
              </w:rPr>
              <w:t>Management’s Discussion and Analysis of Financial Condition and Results of Operation</w:t>
            </w:r>
          </w:p>
        </w:tc>
      </w:tr>
    </w:tbl>
    <w:p>
      <w:pPr>
        <w:spacing w:after="0" w:line="21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Unaudited Condensed Consolidated Financial Statements</w:t>
      </w:r>
    </w:p>
    <w:p>
      <w:pPr>
        <w:spacing w:after="0" w:line="235" w:lineRule="exact"/>
        <w:rPr>
          <w:sz w:val="20"/>
          <w:szCs w:val="20"/>
          <w:color w:val="auto"/>
        </w:rPr>
      </w:pPr>
    </w:p>
    <w:p>
      <w:pPr>
        <w:ind w:left="5660" w:right="3460" w:hanging="4512"/>
        <w:spacing w:after="0" w:line="534" w:lineRule="auto"/>
        <w:rPr>
          <w:sz w:val="20"/>
          <w:szCs w:val="20"/>
          <w:color w:val="auto"/>
        </w:rPr>
      </w:pPr>
      <w:r>
        <w:rPr>
          <w:rFonts w:ascii="Arial" w:cs="Arial" w:eastAsia="Arial" w:hAnsi="Arial"/>
          <w:sz w:val="16"/>
          <w:szCs w:val="16"/>
          <w:color w:val="auto"/>
        </w:rPr>
        <w:t xml:space="preserve">Appendix A: Supplemental Non-GAAP Partnership Performance Information and Reconciliation Tables </w:t>
      </w: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color w:val="auto"/>
        </w:rPr>
        <w:t>SIGNATURES</w:t>
      </w:r>
    </w:p>
    <w:p>
      <w:pPr>
        <w:spacing w:after="0" w:line="235" w:lineRule="exact"/>
        <w:rPr>
          <w:sz w:val="20"/>
          <w:szCs w:val="20"/>
          <w:color w:val="auto"/>
        </w:rPr>
      </w:pPr>
    </w:p>
    <w:p>
      <w:pPr>
        <w:ind w:right="260" w:firstLine="37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October 30, 2019</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GASLOG PARTNERS LP</w:t>
      </w:r>
    </w:p>
    <w:p>
      <w:pPr>
        <w:spacing w:after="0" w:line="221" w:lineRule="exact"/>
        <w:rPr>
          <w:sz w:val="20"/>
          <w:szCs w:val="20"/>
          <w:color w:val="auto"/>
        </w:rPr>
      </w:pPr>
    </w:p>
    <w:tbl>
      <w:tblPr>
        <w:tblLayout w:type="fixed"/>
        <w:tblInd w:w="6100" w:type="dxa"/>
        <w:tblCellMar>
          <w:top w:w="0" w:type="dxa"/>
          <w:left w:w="0" w:type="dxa"/>
          <w:bottom w:w="0" w:type="dxa"/>
          <w:right w:w="0" w:type="dxa"/>
        </w:tblCellMar>
      </w:tblPr>
      <w:tr>
        <w:trPr>
          <w:trHeight w:val="209"/>
        </w:trPr>
        <w:tc>
          <w:tcPr>
            <w:tcW w:w="480" w:type="dxa"/>
            <w:vAlign w:val="bottom"/>
          </w:tcPr>
          <w:p>
            <w:pPr>
              <w:spacing w:after="0"/>
              <w:rPr>
                <w:sz w:val="20"/>
                <w:szCs w:val="20"/>
                <w:color w:val="auto"/>
              </w:rPr>
            </w:pPr>
            <w:r>
              <w:rPr>
                <w:rFonts w:ascii="Arial" w:cs="Arial" w:eastAsia="Arial" w:hAnsi="Arial"/>
                <w:sz w:val="16"/>
                <w:szCs w:val="16"/>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Andrew Orekar</w:t>
            </w:r>
          </w:p>
        </w:tc>
      </w:tr>
      <w:tr>
        <w:trPr>
          <w:trHeight w:val="189"/>
        </w:trPr>
        <w:tc>
          <w:tcPr>
            <w:tcW w:w="48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Arial" w:cs="Arial" w:eastAsia="Arial" w:hAnsi="Arial"/>
                <w:sz w:val="16"/>
                <w:szCs w:val="16"/>
                <w:color w:val="auto"/>
              </w:rPr>
              <w:t>Name:</w:t>
            </w:r>
          </w:p>
        </w:tc>
        <w:tc>
          <w:tcPr>
            <w:tcW w:w="4280" w:type="dxa"/>
            <w:vAlign w:val="bottom"/>
          </w:tcPr>
          <w:p>
            <w:pPr>
              <w:ind w:left="100"/>
              <w:spacing w:after="0"/>
              <w:rPr>
                <w:sz w:val="20"/>
                <w:szCs w:val="20"/>
                <w:color w:val="auto"/>
              </w:rPr>
            </w:pPr>
            <w:r>
              <w:rPr>
                <w:rFonts w:ascii="Arial" w:cs="Arial" w:eastAsia="Arial" w:hAnsi="Arial"/>
                <w:sz w:val="16"/>
                <w:szCs w:val="16"/>
                <w:color w:val="auto"/>
              </w:rPr>
              <w:t>Andrew Orekar</w:t>
            </w:r>
          </w:p>
        </w:tc>
      </w:tr>
      <w:tr>
        <w:trPr>
          <w:trHeight w:val="206"/>
        </w:trPr>
        <w:tc>
          <w:tcPr>
            <w:tcW w:w="48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4280" w:type="dxa"/>
            <w:vAlign w:val="bottom"/>
          </w:tcPr>
          <w:p>
            <w:pPr>
              <w:ind w:left="100"/>
              <w:spacing w:after="0"/>
              <w:rPr>
                <w:sz w:val="20"/>
                <w:szCs w:val="20"/>
                <w:color w:val="auto"/>
              </w:rPr>
            </w:pPr>
            <w:r>
              <w:rPr>
                <w:rFonts w:ascii="Arial" w:cs="Arial" w:eastAsia="Arial" w:hAnsi="Arial"/>
                <w:sz w:val="16"/>
                <w:szCs w:val="16"/>
                <w:color w:val="auto"/>
              </w:rPr>
              <w:t>Chief Executive Officer</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Partners LP Reports Financial Results for the Three-Month Period Ended September 30, 2019 and Declares Cash Distribution</w:t>
      </w:r>
    </w:p>
    <w:p>
      <w:pPr>
        <w:spacing w:after="0" w:line="23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Monaco, October 30, 2019, GasLog Partners LP (“GasLog Partners” or the “Partnership”) (NYSE: GLOP), </w:t>
      </w:r>
      <w:r>
        <w:rPr>
          <w:rFonts w:ascii="Arial" w:cs="Arial" w:eastAsia="Arial" w:hAnsi="Arial"/>
          <w:sz w:val="16"/>
          <w:szCs w:val="16"/>
          <w:color w:val="auto"/>
        </w:rPr>
        <w:t>an international owner and operator of liquefied natural gas</w:t>
      </w:r>
      <w:r>
        <w:rPr>
          <w:rFonts w:ascii="Arial" w:cs="Arial" w:eastAsia="Arial" w:hAnsi="Arial"/>
          <w:sz w:val="16"/>
          <w:szCs w:val="16"/>
          <w:b w:val="1"/>
          <w:bCs w:val="1"/>
          <w:color w:val="auto"/>
        </w:rPr>
        <w:t xml:space="preserve"> </w:t>
      </w:r>
      <w:r>
        <w:rPr>
          <w:rFonts w:ascii="Arial" w:cs="Arial" w:eastAsia="Arial" w:hAnsi="Arial"/>
          <w:sz w:val="16"/>
          <w:szCs w:val="16"/>
          <w:color w:val="auto"/>
        </w:rPr>
        <w:t>(“LNG”) carriers, today reported its financial results for the three-month period ended September 30, 2019.</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w:t>
      </w:r>
    </w:p>
    <w:p>
      <w:pPr>
        <w:spacing w:after="0" w:line="252" w:lineRule="exact"/>
        <w:rPr>
          <w:sz w:val="20"/>
          <w:szCs w:val="20"/>
          <w:color w:val="auto"/>
        </w:rPr>
      </w:pPr>
    </w:p>
    <w:p>
      <w:pPr>
        <w:ind w:left="340" w:right="40" w:hanging="332"/>
        <w:spacing w:after="0" w:line="230"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6"/>
          <w:szCs w:val="16"/>
          <w:color w:val="auto"/>
        </w:rPr>
        <w:t>Quarterly IFRS (as defined below) Reported Results and Partnership Performance Results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for Revenues, Profit, Adjusted Profit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$96.5 million, $29.4 million, $31.9 million and $71.8 million, respectively.</w:t>
      </w:r>
    </w:p>
    <w:p>
      <w:pPr>
        <w:spacing w:after="0" w:line="10" w:lineRule="exact"/>
        <w:rPr>
          <w:rFonts w:ascii="Arial" w:cs="Arial" w:eastAsia="Arial" w:hAnsi="Arial"/>
          <w:sz w:val="18"/>
          <w:szCs w:val="18"/>
          <w:color w:val="auto"/>
        </w:rPr>
      </w:pPr>
    </w:p>
    <w:p>
      <w:pPr>
        <w:ind w:left="340" w:right="160" w:hanging="332"/>
        <w:spacing w:after="0" w:line="230"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6"/>
          <w:szCs w:val="16"/>
          <w:color w:val="auto"/>
        </w:rPr>
        <w:t>Highest-ever quarterly Partnership Performance Results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for Revenues, Adjusted Profit</w:t>
      </w:r>
      <w:r>
        <w:rPr>
          <w:rFonts w:ascii="Arial" w:cs="Arial" w:eastAsia="Arial" w:hAnsi="Arial"/>
          <w:sz w:val="21"/>
          <w:szCs w:val="21"/>
          <w:color w:val="auto"/>
          <w:vertAlign w:val="superscript"/>
        </w:rPr>
        <w:t>(1)</w:t>
      </w:r>
      <w:r>
        <w:rPr>
          <w:rFonts w:ascii="Arial" w:cs="Arial" w:eastAsia="Arial" w:hAnsi="Arial"/>
          <w:sz w:val="16"/>
          <w:szCs w:val="16"/>
          <w:color w:val="auto"/>
        </w:rPr>
        <w:t>,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Distributable cash flow of $96.5 million, $31.9 million, $71.8 million and $34.3 million, respectively.</w:t>
      </w:r>
    </w:p>
    <w:p>
      <w:pPr>
        <w:spacing w:after="0" w:line="10" w:lineRule="exact"/>
        <w:rPr>
          <w:rFonts w:ascii="Arial" w:cs="Arial" w:eastAsia="Arial" w:hAnsi="Arial"/>
          <w:sz w:val="18"/>
          <w:szCs w:val="18"/>
          <w:color w:val="auto"/>
        </w:rPr>
      </w:pPr>
    </w:p>
    <w:p>
      <w:pPr>
        <w:ind w:left="340" w:right="80" w:hanging="332"/>
        <w:spacing w:after="0" w:line="251"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6"/>
          <w:szCs w:val="16"/>
          <w:color w:val="auto"/>
        </w:rPr>
        <w:t>Repurchased 508,908 of the Partnership’s common units under its unit repurchase programme of up to $25.0 million, authorized in January 2019, for $10.1 million during the third quarter of 2019 and a total amount of $20.0 million since inception.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5"/>
          <w:szCs w:val="15"/>
          <w:color w:val="auto"/>
        </w:rPr>
        <w:t>Cash distribution of $0.55 per common unit for the third quarter of 2019, unchanged from the second quarter of 2019 and 3.8% higher than the third quarter of 2018.</w:t>
      </w:r>
    </w:p>
    <w:p>
      <w:pPr>
        <w:spacing w:after="0" w:line="20" w:lineRule="exact"/>
        <w:rPr>
          <w:rFonts w:ascii="Arial" w:cs="Arial" w:eastAsia="Arial" w:hAnsi="Arial"/>
          <w:sz w:val="17"/>
          <w:szCs w:val="17"/>
          <w:color w:val="auto"/>
        </w:rPr>
      </w:pPr>
    </w:p>
    <w:p>
      <w:pPr>
        <w:ind w:left="300" w:hanging="292"/>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5"/>
          <w:szCs w:val="15"/>
          <w:color w:val="auto"/>
        </w:rPr>
        <w:t>Distribution coverage ratio</w:t>
      </w:r>
      <w:r>
        <w:rPr>
          <w:rFonts w:ascii="Arial" w:cs="Arial" w:eastAsia="Arial" w:hAnsi="Arial"/>
          <w:sz w:val="20"/>
          <w:szCs w:val="20"/>
          <w:color w:val="auto"/>
          <w:vertAlign w:val="superscript"/>
        </w:rPr>
        <w:t>(3)</w:t>
      </w:r>
      <w:r>
        <w:rPr>
          <w:rFonts w:ascii="Arial" w:cs="Arial" w:eastAsia="Arial" w:hAnsi="Arial"/>
          <w:sz w:val="15"/>
          <w:szCs w:val="15"/>
          <w:color w:val="auto"/>
        </w:rPr>
        <w:t xml:space="preserve"> of 1.30x, or adjusted distribution coverage ratio</w:t>
      </w:r>
      <w:r>
        <w:rPr>
          <w:rFonts w:ascii="Arial" w:cs="Arial" w:eastAsia="Arial" w:hAnsi="Arial"/>
          <w:sz w:val="20"/>
          <w:szCs w:val="20"/>
          <w:color w:val="auto"/>
          <w:vertAlign w:val="superscript"/>
        </w:rPr>
        <w:t>(4)</w:t>
      </w:r>
      <w:r>
        <w:rPr>
          <w:rFonts w:ascii="Arial" w:cs="Arial" w:eastAsia="Arial" w:hAnsi="Arial"/>
          <w:sz w:val="15"/>
          <w:szCs w:val="15"/>
          <w:color w:val="auto"/>
        </w:rPr>
        <w:t xml:space="preserve"> of 1.33x to reflect the impact on revenues of the scheduled dry-docking of the </w:t>
      </w:r>
      <w:r>
        <w:rPr>
          <w:rFonts w:ascii="Arial" w:cs="Arial" w:eastAsia="Arial" w:hAnsi="Arial"/>
          <w:sz w:val="15"/>
          <w:szCs w:val="15"/>
          <w:i w:val="1"/>
          <w:iCs w:val="1"/>
          <w:color w:val="auto"/>
        </w:rPr>
        <w:t>Solaris</w:t>
      </w:r>
      <w:r>
        <w:rPr>
          <w:rFonts w:ascii="Arial" w:cs="Arial" w:eastAsia="Arial" w:hAnsi="Arial"/>
          <w:sz w:val="15"/>
          <w:szCs w:val="15"/>
          <w:color w:val="auto"/>
        </w:rPr>
        <w:t>.</w:t>
      </w:r>
    </w:p>
    <w:p>
      <w:pPr>
        <w:spacing w:after="0" w:line="180" w:lineRule="exact"/>
        <w:rPr>
          <w:sz w:val="20"/>
          <w:szCs w:val="20"/>
          <w:color w:val="auto"/>
        </w:rPr>
      </w:pPr>
    </w:p>
    <w:p>
      <w:pPr>
        <w:ind w:left="340" w:right="120" w:hanging="332"/>
        <w:spacing w:after="0" w:line="187" w:lineRule="auto"/>
        <w:tabs>
          <w:tab w:leader="none" w:pos="328" w:val="left"/>
        </w:tabs>
        <w:numPr>
          <w:ilvl w:val="0"/>
          <w:numId w:val="2"/>
        </w:numPr>
        <w:rPr>
          <w:rFonts w:ascii="Arial" w:cs="Arial" w:eastAsia="Arial" w:hAnsi="Arial"/>
          <w:sz w:val="23"/>
          <w:szCs w:val="23"/>
          <w:color w:val="auto"/>
          <w:vertAlign w:val="superscript"/>
        </w:rPr>
      </w:pPr>
      <w:r>
        <w:rPr>
          <w:rFonts w:ascii="Arial" w:cs="Arial" w:eastAsia="Arial" w:hAnsi="Arial"/>
          <w:sz w:val="14"/>
          <w:szCs w:val="14"/>
          <w:color w:val="auto"/>
        </w:rPr>
        <w:t>Adjusted Profit and EBITDA are non-GAAP financial measures and should not be used in isolation or as a substitute for GasLog Partners’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III at the end of this press release.</w:t>
      </w:r>
    </w:p>
    <w:p>
      <w:pPr>
        <w:ind w:left="340" w:right="60" w:hanging="332"/>
        <w:spacing w:after="0" w:line="182" w:lineRule="auto"/>
        <w:tabs>
          <w:tab w:leader="none" w:pos="328" w:val="left"/>
        </w:tabs>
        <w:numPr>
          <w:ilvl w:val="0"/>
          <w:numId w:val="2"/>
        </w:numPr>
        <w:rPr>
          <w:rFonts w:ascii="Arial" w:cs="Arial" w:eastAsia="Arial" w:hAnsi="Arial"/>
          <w:sz w:val="23"/>
          <w:szCs w:val="23"/>
          <w:color w:val="auto"/>
          <w:vertAlign w:val="superscript"/>
        </w:rPr>
      </w:pPr>
      <w:r>
        <w:rPr>
          <w:rFonts w:ascii="Arial" w:cs="Arial" w:eastAsia="Arial" w:hAnsi="Arial"/>
          <w:sz w:val="14"/>
          <w:szCs w:val="14"/>
          <w:color w:val="auto"/>
        </w:rPr>
        <w:t>Partnership Performance Results represent the results attributable to GasLog Partners which are non-GAAP financial measures and should not be used in isolation or as a substitute for GasLog Partners’ financial results presented in accordance with IFRS. For the definitions and reconciliations of these measures to the most directly comparable financial measures calculated and presented in accordance with IFRS, please refer to Exhibit II at the end of this press release.</w:t>
      </w:r>
    </w:p>
    <w:p>
      <w:pPr>
        <w:ind w:left="340" w:right="120" w:hanging="332"/>
        <w:spacing w:after="0" w:line="182" w:lineRule="auto"/>
        <w:tabs>
          <w:tab w:leader="none" w:pos="328" w:val="left"/>
        </w:tabs>
        <w:numPr>
          <w:ilvl w:val="0"/>
          <w:numId w:val="2"/>
        </w:numPr>
        <w:rPr>
          <w:rFonts w:ascii="Arial" w:cs="Arial" w:eastAsia="Arial" w:hAnsi="Arial"/>
          <w:sz w:val="23"/>
          <w:szCs w:val="23"/>
          <w:color w:val="auto"/>
          <w:vertAlign w:val="superscript"/>
        </w:rPr>
      </w:pPr>
      <w:r>
        <w:rPr>
          <w:rFonts w:ascii="Arial" w:cs="Arial" w:eastAsia="Arial" w:hAnsi="Arial"/>
          <w:sz w:val="14"/>
          <w:szCs w:val="14"/>
          <w:color w:val="auto"/>
        </w:rPr>
        <w:t>Distribution coverage ratio represents the ratio of Distributable cash flow to the cash distribution declared. Distributable cash flow is a non-GAAP financial measure and should not be used in isolation or as a substitute for GasLog Partners’ financial results presented in accordance with IFRS. For the definition and reconciliation of Distributable cash flow to the most directly comparable financial measure calculated and presented in accordance with IFRS, please refer to Exhibit III at the end of this press release.</w:t>
      </w:r>
    </w:p>
    <w:p>
      <w:pPr>
        <w:ind w:left="340" w:right="60" w:hanging="332"/>
        <w:spacing w:after="0" w:line="214" w:lineRule="auto"/>
        <w:tabs>
          <w:tab w:leader="none" w:pos="328" w:val="left"/>
        </w:tabs>
        <w:numPr>
          <w:ilvl w:val="0"/>
          <w:numId w:val="2"/>
        </w:numPr>
        <w:rPr>
          <w:rFonts w:ascii="Arial" w:cs="Arial" w:eastAsia="Arial" w:hAnsi="Arial"/>
          <w:sz w:val="21"/>
          <w:szCs w:val="21"/>
          <w:color w:val="auto"/>
          <w:vertAlign w:val="superscript"/>
        </w:rPr>
      </w:pPr>
      <w:r>
        <w:rPr>
          <w:rFonts w:ascii="Arial" w:cs="Arial" w:eastAsia="Arial" w:hAnsi="Arial"/>
          <w:sz w:val="13"/>
          <w:szCs w:val="13"/>
          <w:color w:val="auto"/>
        </w:rPr>
        <w:t xml:space="preserve">Adjusted distribution coverage ratio represents the ratio of Adjusted distributable cash flow to the cash distribution declared. Adjusted distributable cash flow is defined as Distributable cash flow after adjusting for the $0.8 million negative impact on revenues of the scheduled dry-docking of the </w:t>
      </w:r>
      <w:r>
        <w:rPr>
          <w:rFonts w:ascii="Arial" w:cs="Arial" w:eastAsia="Arial" w:hAnsi="Arial"/>
          <w:sz w:val="13"/>
          <w:szCs w:val="13"/>
          <w:i w:val="1"/>
          <w:iCs w:val="1"/>
          <w:color w:val="auto"/>
        </w:rPr>
        <w:t>Solaris</w:t>
      </w:r>
      <w:r>
        <w:rPr>
          <w:rFonts w:ascii="Arial" w:cs="Arial" w:eastAsia="Arial" w:hAnsi="Arial"/>
          <w:sz w:val="13"/>
          <w:szCs w:val="13"/>
          <w:color w:val="auto"/>
        </w:rPr>
        <w:t>. Distributable cash flow is a non-GAAP financial measure and should not be used in isolation or as a substitute for GasLog Partners’ financial results presented in accordance with IFRS. For the definition and reconciliation of Distributable cash flow to the most directly comparable financial measure calculated and presented in accordance with IFRS, please refer to Exhibit III at the end of this press release.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CEO Statement</w:t>
      </w:r>
    </w:p>
    <w:p>
      <w:pPr>
        <w:spacing w:after="0" w:line="239" w:lineRule="exact"/>
        <w:rPr>
          <w:sz w:val="20"/>
          <w:szCs w:val="20"/>
          <w:color w:val="auto"/>
        </w:rPr>
      </w:pPr>
    </w:p>
    <w:p>
      <w:pPr>
        <w:ind w:right="520"/>
        <w:spacing w:after="0" w:line="324" w:lineRule="auto"/>
        <w:rPr>
          <w:sz w:val="20"/>
          <w:szCs w:val="20"/>
          <w:color w:val="auto"/>
        </w:rPr>
      </w:pPr>
      <w:r>
        <w:rPr>
          <w:rFonts w:ascii="Arial" w:cs="Arial" w:eastAsia="Arial" w:hAnsi="Arial"/>
          <w:sz w:val="14"/>
          <w:szCs w:val="14"/>
          <w:color w:val="auto"/>
        </w:rPr>
        <w:t xml:space="preserve">Mr. Andrew Orekar, Chief Executive Officer, commented: “I am pleased to announce a strong quarterly financial and operational performance by GasLog Partners, as demonstrated by our highest-ever quarterly Partnership Performance Results for Revenues, Adjusted Profit, EBITDA and Distributable cash flow, and the continued outstanding performance of our fleet in terms of safety and availability. The </w:t>
      </w:r>
      <w:r>
        <w:rPr>
          <w:rFonts w:ascii="Arial" w:cs="Arial" w:eastAsia="Arial" w:hAnsi="Arial"/>
          <w:sz w:val="14"/>
          <w:szCs w:val="14"/>
          <w:i w:val="1"/>
          <w:iCs w:val="1"/>
          <w:color w:val="auto"/>
        </w:rPr>
        <w:t>GasLog Shanghai</w:t>
      </w:r>
      <w:r>
        <w:rPr>
          <w:rFonts w:ascii="Arial" w:cs="Arial" w:eastAsia="Arial" w:hAnsi="Arial"/>
          <w:sz w:val="14"/>
          <w:szCs w:val="14"/>
          <w:color w:val="auto"/>
        </w:rPr>
        <w:t>, operating under a multi-year market-linked contract with a subsidiary of Gunvor Group Ltd. (“Gunvor”), delivered strong results, compared to vessels operating in the spot market, as a result of the 100% utilization guaranteed by the charter.</w:t>
      </w:r>
    </w:p>
    <w:p>
      <w:pPr>
        <w:spacing w:after="0" w:line="157"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 xml:space="preserve">Our third quarter reflected a full quarter’s contribution from several strategic actions the Partnership has executed in the year to date, including the acquisition of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Glasgow</w:t>
      </w:r>
      <w:r>
        <w:rPr>
          <w:rFonts w:ascii="Arial" w:cs="Arial" w:eastAsia="Arial" w:hAnsi="Arial"/>
          <w:sz w:val="15"/>
          <w:szCs w:val="15"/>
          <w:color w:val="auto"/>
        </w:rPr>
        <w:t>, the elimination of GasLog Ltd.’s (“GasLog”) incentive distribution rights (“IDRs”), the new three-and-a-half-year charter with Gunvor for the</w:t>
      </w:r>
      <w:r>
        <w:rPr>
          <w:rFonts w:ascii="Arial" w:cs="Arial" w:eastAsia="Arial" w:hAnsi="Arial"/>
          <w:sz w:val="15"/>
          <w:szCs w:val="15"/>
          <w:i w:val="1"/>
          <w:iCs w:val="1"/>
          <w:color w:val="auto"/>
        </w:rPr>
        <w:t xml:space="preserve"> GasLog Shanghai </w:t>
      </w:r>
      <w:r>
        <w:rPr>
          <w:rFonts w:ascii="Arial" w:cs="Arial" w:eastAsia="Arial" w:hAnsi="Arial"/>
          <w:sz w:val="15"/>
          <w:szCs w:val="15"/>
          <w:color w:val="auto"/>
        </w:rPr>
        <w:t>and,</w:t>
      </w:r>
      <w:r>
        <w:rPr>
          <w:rFonts w:ascii="Arial" w:cs="Arial" w:eastAsia="Arial" w:hAnsi="Arial"/>
          <w:sz w:val="15"/>
          <w:szCs w:val="15"/>
          <w:i w:val="1"/>
          <w:iCs w:val="1"/>
          <w:color w:val="auto"/>
        </w:rPr>
        <w:t xml:space="preserve"> </w:t>
      </w:r>
      <w:r>
        <w:rPr>
          <w:rFonts w:ascii="Arial" w:cs="Arial" w:eastAsia="Arial" w:hAnsi="Arial"/>
          <w:sz w:val="15"/>
          <w:szCs w:val="15"/>
          <w:color w:val="auto"/>
        </w:rPr>
        <w:t>lastly, the repurchase of approximately 2% of our outstanding common units since authorizing our unit repurchase programme in January. I am also particularly pleased to report that, in September, the crew of one of our vessels (</w:t>
      </w:r>
      <w:r>
        <w:rPr>
          <w:rFonts w:ascii="Arial" w:cs="Arial" w:eastAsia="Arial" w:hAnsi="Arial"/>
          <w:sz w:val="15"/>
          <w:szCs w:val="15"/>
          <w:i w:val="1"/>
          <w:iCs w:val="1"/>
          <w:color w:val="auto"/>
        </w:rPr>
        <w:t>Methane Alison Victoria</w:t>
      </w:r>
      <w:r>
        <w:rPr>
          <w:rFonts w:ascii="Arial" w:cs="Arial" w:eastAsia="Arial" w:hAnsi="Arial"/>
          <w:sz w:val="15"/>
          <w:szCs w:val="15"/>
          <w:color w:val="auto"/>
        </w:rPr>
        <w:t>) was selected as “Crew of the Year” among all commercial shipping lines at the IHS Markit Safety at Sea 2019 Awards ceremony in recognition of our commitment to safety and operational excellence.</w:t>
      </w:r>
    </w:p>
    <w:p>
      <w:pPr>
        <w:spacing w:after="0" w:line="176" w:lineRule="exact"/>
        <w:rPr>
          <w:sz w:val="20"/>
          <w:szCs w:val="20"/>
          <w:color w:val="auto"/>
        </w:rPr>
      </w:pPr>
    </w:p>
    <w:p>
      <w:pPr>
        <w:ind w:right="100"/>
        <w:spacing w:after="0" w:line="329" w:lineRule="auto"/>
        <w:rPr>
          <w:sz w:val="20"/>
          <w:szCs w:val="20"/>
          <w:color w:val="auto"/>
        </w:rPr>
      </w:pPr>
      <w:r>
        <w:rPr>
          <w:rFonts w:ascii="Arial" w:cs="Arial" w:eastAsia="Arial" w:hAnsi="Arial"/>
          <w:sz w:val="15"/>
          <w:szCs w:val="15"/>
          <w:color w:val="auto"/>
        </w:rPr>
        <w:t>On the back of this performance, we are reiterating our distribution growth guidance of 2% to 4% for 2019, which considers our positive outlook for LNG shipping while also accounting for our one scheduled dry-docking and one steam turbine propulsion (“Steam”) vessel whose charter is scheduled to end in the fourth quarter of 2019.”</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 xml:space="preserve">Methane Jane Elizabeth </w:t>
      </w:r>
      <w:r>
        <w:rPr>
          <w:rFonts w:ascii="Arial" w:cs="Arial" w:eastAsia="Arial" w:hAnsi="Arial"/>
          <w:sz w:val="16"/>
          <w:szCs w:val="16"/>
          <w:b w:val="1"/>
          <w:bCs w:val="1"/>
          <w:u w:val="single" w:color="auto"/>
          <w:color w:val="auto"/>
        </w:rPr>
        <w:t>Nomination for New Charter</w:t>
      </w:r>
    </w:p>
    <w:p>
      <w:pPr>
        <w:spacing w:after="0" w:line="239" w:lineRule="exact"/>
        <w:rPr>
          <w:sz w:val="20"/>
          <w:szCs w:val="20"/>
          <w:color w:val="auto"/>
        </w:rPr>
      </w:pPr>
    </w:p>
    <w:p>
      <w:pPr>
        <w:ind w:right="280"/>
        <w:spacing w:after="0" w:line="273" w:lineRule="auto"/>
        <w:rPr>
          <w:sz w:val="20"/>
          <w:szCs w:val="20"/>
          <w:color w:val="auto"/>
        </w:rPr>
      </w:pPr>
      <w:r>
        <w:rPr>
          <w:rFonts w:ascii="Arial" w:cs="Arial" w:eastAsia="Arial" w:hAnsi="Arial"/>
          <w:sz w:val="16"/>
          <w:szCs w:val="16"/>
          <w:color w:val="auto"/>
        </w:rPr>
        <w:t xml:space="preserve">On March 22, 2018, GasLog Partners entered into a one-year time charter agreement with Trafigura Maritime Logistics PTE Ltd. (“Trafigura”) for a 145,000 cubic meter (“cbm”) Steam vessel (either the 2006-built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or the 2007-built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as nominated by the Partnership). The Partnership elected to nominate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to be employed under this time charter which is expected to commence in November 2019. The charterer has options to extend the charter for up to an additional four years at an escalating rate.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Unit Repurchase Programme</w:t>
      </w:r>
    </w:p>
    <w:p>
      <w:pPr>
        <w:spacing w:after="0" w:line="23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On January 29, 2019, the board of directors of GasLog Partners authorized a unit repurchase programme of up to $25.0 million covering the period from January 31, 2019 to December 31, 2021. Under the terms of the repurchase programme, GasLog Partners may repurchase common units from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ind w:right="40"/>
        <w:spacing w:after="0" w:line="273" w:lineRule="auto"/>
        <w:rPr>
          <w:sz w:val="20"/>
          <w:szCs w:val="20"/>
          <w:color w:val="auto"/>
        </w:rPr>
      </w:pPr>
      <w:r>
        <w:rPr>
          <w:rFonts w:ascii="Arial" w:cs="Arial" w:eastAsia="Arial" w:hAnsi="Arial"/>
          <w:sz w:val="16"/>
          <w:szCs w:val="16"/>
          <w:color w:val="auto"/>
        </w:rPr>
        <w:t>time to time, at its discretion, on the open market or in privately negotiated transactions. In the three months ended September 30, 2019, GasLog Partners repurchased and cancelled 508,908 of the Partnership’s common units at a weighted average price of $19.84 per common unit for a total amount of $10.1 million, including commissions. Since the authorization of the unit repurchase programme and through October 30, 2019, GasLog Partners has repurchased and cancelled a total of 985,259 units at a weighted average price of $20.31 per common unit for a total amount of $20.0 million, including commissions.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ATM Common Equity Offering Programme (“ATM Programme”)</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On May 16, 2017, GasLog Partners commenced an ATM Programme under which the Partnership may, from time to time, raise equity through the issuance and sale of new common units having an aggregate offering price of up to $100.0 million in accordance with the terms of an equity distribution agreement entered into on the same date. Citigroup Global Markets Inc., Merrill Lynch, Pierce, Fenner &amp; Smith Incorporated, Credit Suisse Securities (USA) LLC and Morgan Stanley &amp; Co. LLC agreed to act as sales agents. On November 3, 2017, the size of the ATM Programme was increased to $144.0 million and UBS Securities LLC was included as a sales agent. On February 26, 2019, the size of the ATM Programme was further increased from $144.0 million to $250.0 million.</w:t>
      </w:r>
    </w:p>
    <w:p>
      <w:pPr>
        <w:spacing w:after="0" w:line="190"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No issuances of common units were made under the ATM Programme in the first nine months of 2019. Since the commencement of the ATM Programme through October 30, 2019, GasLog Partners has issued and received payment for a total of 5,291,304 common units, with cumulative gross proceeds of $123.4 million at a weighted average price of $23.33 per unit and net proceeds of $121.2 million. In connection with the issuance of common units under the ATM Programme during this period, the Partnership also issued 107,987 general partner units to its general partner. The net proceeds from the issuance of the general partner units were $2.5 million.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gridSpan w:val="2"/>
          </w:tcPr>
          <w:p>
            <w:pPr>
              <w:spacing w:after="0"/>
              <w:rPr>
                <w:sz w:val="20"/>
                <w:szCs w:val="20"/>
                <w:color w:val="auto"/>
              </w:rPr>
            </w:pPr>
            <w:r>
              <w:rPr>
                <w:rFonts w:ascii="Arial" w:cs="Arial" w:eastAsia="Arial" w:hAnsi="Arial"/>
                <w:sz w:val="16"/>
                <w:szCs w:val="16"/>
                <w:b w:val="1"/>
                <w:bCs w:val="1"/>
                <w:color w:val="auto"/>
              </w:rPr>
              <w:t>Financial Summary</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66"/>
        </w:trPr>
        <w:tc>
          <w:tcPr>
            <w:tcW w:w="138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6"/>
                <w:szCs w:val="16"/>
                <w:b w:val="1"/>
                <w:bCs w:val="1"/>
                <w:color w:val="auto"/>
                <w:w w:val="91"/>
              </w:rPr>
              <w:t>IFRS Common Control Reported Results</w:t>
            </w:r>
            <w:r>
              <w:rPr>
                <w:rFonts w:ascii="Arial" w:cs="Arial" w:eastAsia="Arial" w:hAnsi="Arial"/>
                <w:sz w:val="21"/>
                <w:szCs w:val="21"/>
                <w:b w:val="1"/>
                <w:bCs w:val="1"/>
                <w:color w:val="auto"/>
                <w:w w:val="91"/>
                <w:vertAlign w:val="superscript"/>
              </w:rPr>
              <w:t>(1)</w:t>
            </w: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13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8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89"/>
              </w:rPr>
              <w:t>For the three months ended</w:t>
            </w:r>
          </w:p>
        </w:tc>
        <w:tc>
          <w:tcPr>
            <w:tcW w:w="260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 Change from</w:t>
            </w:r>
          </w:p>
        </w:tc>
        <w:tc>
          <w:tcPr>
            <w:tcW w:w="20" w:type="dxa"/>
            <w:vAlign w:val="bottom"/>
          </w:tcPr>
          <w:p>
            <w:pPr>
              <w:spacing w:after="0"/>
              <w:rPr>
                <w:sz w:val="17"/>
                <w:szCs w:val="17"/>
                <w:color w:val="auto"/>
              </w:rPr>
            </w:pPr>
          </w:p>
        </w:tc>
      </w:tr>
      <w:tr>
        <w:trPr>
          <w:trHeight w:val="188"/>
        </w:trPr>
        <w:tc>
          <w:tcPr>
            <w:tcW w:w="3760" w:type="dxa"/>
            <w:vAlign w:val="bottom"/>
            <w:gridSpan w:val="2"/>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w:t>
            </w:r>
          </w:p>
        </w:tc>
        <w:tc>
          <w:tcPr>
            <w:tcW w:w="136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7"/>
              </w:rPr>
              <w:t>June 30,</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w w:val="98"/>
              </w:rPr>
              <w:t>September 30,</w:t>
            </w:r>
          </w:p>
        </w:tc>
        <w:tc>
          <w:tcPr>
            <w:tcW w:w="12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16"/>
                <w:szCs w:val="16"/>
                <w:color w:val="auto"/>
              </w:rPr>
            </w:pPr>
          </w:p>
        </w:tc>
      </w:tr>
      <w:tr>
        <w:trPr>
          <w:trHeight w:val="213"/>
        </w:trPr>
        <w:tc>
          <w:tcPr>
            <w:tcW w:w="376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b w:val="1"/>
                <w:bCs w:val="1"/>
                <w:i w:val="1"/>
                <w:iCs w:val="1"/>
                <w:color w:val="auto"/>
              </w:rPr>
              <w:t>dollars</w:t>
            </w:r>
            <w:r>
              <w:rPr>
                <w:rFonts w:ascii="Arial" w:cs="Arial" w:eastAsia="Arial" w:hAnsi="Arial"/>
                <w:sz w:val="16"/>
                <w:szCs w:val="16"/>
                <w:color w:val="auto"/>
              </w:rPr>
              <w:t>)</w:t>
            </w: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E5FF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r>
      <w:tr>
        <w:trPr>
          <w:trHeight w:val="213"/>
        </w:trPr>
        <w:tc>
          <w:tcPr>
            <w:tcW w:w="37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97,205</w:t>
            </w:r>
          </w:p>
        </w:tc>
        <w:tc>
          <w:tcPr>
            <w:tcW w:w="160" w:type="dxa"/>
            <w:vAlign w:val="bottom"/>
            <w:shd w:val="clear" w:color="auto" w:fill="E5FFFF"/>
          </w:tcPr>
          <w:p>
            <w:pPr>
              <w:spacing w:after="0"/>
              <w:rPr>
                <w:sz w:val="18"/>
                <w:szCs w:val="18"/>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91,805</w:t>
            </w:r>
          </w:p>
        </w:tc>
        <w:tc>
          <w:tcPr>
            <w:tcW w:w="16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96,485</w:t>
            </w:r>
          </w:p>
        </w:tc>
        <w:tc>
          <w:tcPr>
            <w:tcW w:w="13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r>
      <w:tr>
        <w:trPr>
          <w:trHeight w:val="227"/>
        </w:trPr>
        <w:tc>
          <w:tcPr>
            <w:tcW w:w="3760" w:type="dxa"/>
            <w:vAlign w:val="bottom"/>
            <w:gridSpan w:val="2"/>
          </w:tcPr>
          <w:p>
            <w:pPr>
              <w:spacing w:after="0"/>
              <w:rPr>
                <w:sz w:val="20"/>
                <w:szCs w:val="20"/>
                <w:color w:val="auto"/>
              </w:rPr>
            </w:pPr>
            <w:r>
              <w:rPr>
                <w:rFonts w:ascii="Arial" w:cs="Arial" w:eastAsia="Arial" w:hAnsi="Arial"/>
                <w:sz w:val="16"/>
                <w:szCs w:val="16"/>
                <w:color w:val="auto"/>
              </w:rPr>
              <w:t>Profit</w:t>
            </w:r>
          </w:p>
        </w:tc>
        <w:tc>
          <w:tcPr>
            <w:tcW w:w="1200" w:type="dxa"/>
            <w:vAlign w:val="bottom"/>
          </w:tcPr>
          <w:p>
            <w:pPr>
              <w:jc w:val="right"/>
              <w:spacing w:after="0"/>
              <w:rPr>
                <w:sz w:val="20"/>
                <w:szCs w:val="20"/>
                <w:color w:val="auto"/>
              </w:rPr>
            </w:pPr>
            <w:r>
              <w:rPr>
                <w:rFonts w:ascii="Arial" w:cs="Arial" w:eastAsia="Arial" w:hAnsi="Arial"/>
                <w:sz w:val="16"/>
                <w:szCs w:val="16"/>
                <w:color w:val="auto"/>
              </w:rPr>
              <w:t>33,028</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19,143</w:t>
            </w:r>
          </w:p>
        </w:tc>
        <w:tc>
          <w:tcPr>
            <w:tcW w:w="1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29,434</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54%</w:t>
            </w:r>
          </w:p>
        </w:tc>
      </w:tr>
      <w:tr>
        <w:trPr>
          <w:trHeight w:val="233"/>
        </w:trPr>
        <w:tc>
          <w:tcPr>
            <w:tcW w:w="3760" w:type="dxa"/>
            <w:vAlign w:val="bottom"/>
            <w:gridSpan w:val="2"/>
            <w:shd w:val="clear" w:color="auto" w:fill="E5FFFF"/>
          </w:tcPr>
          <w:p>
            <w:pPr>
              <w:spacing w:after="0" w:line="233" w:lineRule="exact"/>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(2)</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31,375</w:t>
            </w:r>
          </w:p>
        </w:tc>
        <w:tc>
          <w:tcPr>
            <w:tcW w:w="160" w:type="dxa"/>
            <w:vAlign w:val="bottom"/>
            <w:shd w:val="clear" w:color="auto" w:fill="E5FFFF"/>
          </w:tcPr>
          <w:p>
            <w:pPr>
              <w:spacing w:after="0"/>
              <w:rPr>
                <w:sz w:val="20"/>
                <w:szCs w:val="20"/>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27,789</w:t>
            </w:r>
          </w:p>
        </w:tc>
        <w:tc>
          <w:tcPr>
            <w:tcW w:w="160" w:type="dxa"/>
            <w:vAlign w:val="bottom"/>
            <w:shd w:val="clear" w:color="auto" w:fill="E5FFFF"/>
          </w:tcPr>
          <w:p>
            <w:pPr>
              <w:spacing w:after="0"/>
              <w:rPr>
                <w:sz w:val="20"/>
                <w:szCs w:val="20"/>
                <w:color w:val="auto"/>
              </w:rPr>
            </w:pPr>
          </w:p>
        </w:tc>
        <w:tc>
          <w:tcPr>
            <w:tcW w:w="136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31,879</w:t>
            </w:r>
          </w:p>
        </w:tc>
        <w:tc>
          <w:tcPr>
            <w:tcW w:w="13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2%</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20"/>
                <w:szCs w:val="20"/>
                <w:color w:val="auto"/>
              </w:rPr>
            </w:pPr>
          </w:p>
        </w:tc>
      </w:tr>
      <w:tr>
        <w:trPr>
          <w:trHeight w:val="298"/>
        </w:trPr>
        <w:tc>
          <w:tcPr>
            <w:tcW w:w="3760" w:type="dxa"/>
            <w:vAlign w:val="bottom"/>
            <w:gridSpan w:val="2"/>
          </w:tcPr>
          <w:p>
            <w:pPr>
              <w:spacing w:after="0"/>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(2)</w:t>
            </w:r>
          </w:p>
        </w:tc>
        <w:tc>
          <w:tcPr>
            <w:tcW w:w="1200" w:type="dxa"/>
            <w:vAlign w:val="bottom"/>
          </w:tcPr>
          <w:p>
            <w:pPr>
              <w:jc w:val="right"/>
              <w:spacing w:after="0"/>
              <w:rPr>
                <w:sz w:val="20"/>
                <w:szCs w:val="20"/>
                <w:color w:val="auto"/>
              </w:rPr>
            </w:pPr>
            <w:r>
              <w:rPr>
                <w:rFonts w:ascii="Arial" w:cs="Arial" w:eastAsia="Arial" w:hAnsi="Arial"/>
                <w:sz w:val="16"/>
                <w:szCs w:val="16"/>
                <w:color w:val="auto"/>
              </w:rPr>
              <w:t>70,956</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67,503</w:t>
            </w:r>
          </w:p>
        </w:tc>
        <w:tc>
          <w:tcPr>
            <w:tcW w:w="16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71,779</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r>
    </w:tbl>
    <w:p>
      <w:pPr>
        <w:spacing w:after="0" w:line="129" w:lineRule="exact"/>
        <w:rPr>
          <w:sz w:val="20"/>
          <w:szCs w:val="20"/>
          <w:color w:val="auto"/>
        </w:rPr>
      </w:pPr>
    </w:p>
    <w:p>
      <w:pPr>
        <w:ind w:left="660" w:right="160" w:hanging="328"/>
        <w:spacing w:after="0" w:line="201" w:lineRule="auto"/>
        <w:tabs>
          <w:tab w:leader="none" w:pos="648"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“IFRS Common Control Reported Results” represent the results of GasLog Partners in accordance with IFRS. Such results include amounts related to vessels currently owned by the Partnership for the periods prior to their respective transfer to GasLog Partners from GasLog, as the transfers of such vessels were accounted for as reorganizations of entities under common control for IFRS accounting purposes. The unaudited condensed consolidated financial statements of the Partnership accompanying this press release are prepared under IFRS on this basis.</w:t>
      </w:r>
    </w:p>
    <w:p>
      <w:pPr>
        <w:spacing w:after="0" w:line="184" w:lineRule="exact"/>
        <w:rPr>
          <w:rFonts w:ascii="Arial" w:cs="Arial" w:eastAsia="Arial" w:hAnsi="Arial"/>
          <w:sz w:val="23"/>
          <w:szCs w:val="23"/>
          <w:color w:val="auto"/>
          <w:vertAlign w:val="superscript"/>
        </w:rPr>
      </w:pPr>
    </w:p>
    <w:p>
      <w:pPr>
        <w:ind w:left="660" w:right="100" w:hanging="328"/>
        <w:spacing w:after="0" w:line="186" w:lineRule="auto"/>
        <w:tabs>
          <w:tab w:leader="none" w:pos="648"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Adjusted Profit and EBITDA are non-GAAP financial measures. For the definitions and reconciliations of these measures to the most directly comparable financial measure presented in accordance with IFRS, please refer to Exhibit III at the end of this press release.</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There were 1,365 revenue operating days for the quarter ended September 30, 2019 as compared to 1,340 revenue operating days for the quarter ended June 30, 2019 and 1,335 revenue operating days for the quarter ended September 30, 2018.</w:t>
      </w:r>
    </w:p>
    <w:p>
      <w:pPr>
        <w:spacing w:after="0" w:line="172"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The decrease in profit in the third quarter of 2019 as compared to the same period in 2018 is mainly attributable to a $4.5 million decrease in gain on derivatives (a loss of $2.4 million in the third quarter of 2019 compared to a gain of $2.1 million in the same period in 2018), partially offset by a decrease in financial costs of $0.9 million mainly due to decreased London Interbank Offered Rate (“LIBOR”) rates.</w:t>
      </w:r>
    </w:p>
    <w:p>
      <w:pPr>
        <w:spacing w:after="0" w:line="184" w:lineRule="exact"/>
        <w:rPr>
          <w:sz w:val="20"/>
          <w:szCs w:val="20"/>
          <w:color w:val="auto"/>
        </w:rPr>
      </w:pPr>
    </w:p>
    <w:p>
      <w:pPr>
        <w:ind w:right="180"/>
        <w:spacing w:after="0" w:line="329" w:lineRule="auto"/>
        <w:rPr>
          <w:sz w:val="20"/>
          <w:szCs w:val="20"/>
          <w:color w:val="auto"/>
        </w:rPr>
      </w:pPr>
      <w:r>
        <w:rPr>
          <w:rFonts w:ascii="Arial" w:cs="Arial" w:eastAsia="Arial" w:hAnsi="Arial"/>
          <w:sz w:val="15"/>
          <w:szCs w:val="15"/>
          <w:color w:val="auto"/>
        </w:rPr>
        <w:t xml:space="preserve">The increase in profit in the third quarter of 2019 as compared to the second quarter of 2019 is mainly attributable to a $5.9 million decrease in loss on derivatives and a $4.7 million increase in revenues, mainly attributable to the increased revenues of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since commencing its charter to Gunvor in June 2019.</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0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gridSpan w:val="6"/>
          </w:tcPr>
          <w:p>
            <w:pPr>
              <w:ind w:left="780"/>
              <w:spacing w:after="0"/>
              <w:rPr>
                <w:sz w:val="20"/>
                <w:szCs w:val="20"/>
                <w:color w:val="auto"/>
              </w:rPr>
            </w:pPr>
            <w:r>
              <w:rPr>
                <w:rFonts w:ascii="Arial" w:cs="Arial" w:eastAsia="Arial" w:hAnsi="Arial"/>
                <w:sz w:val="16"/>
                <w:szCs w:val="16"/>
                <w:b w:val="1"/>
                <w:bCs w:val="1"/>
                <w:color w:val="auto"/>
              </w:rPr>
              <w:t>Partnership Performance Results</w:t>
            </w:r>
            <w:r>
              <w:rPr>
                <w:rFonts w:ascii="Arial" w:cs="Arial" w:eastAsia="Arial" w:hAnsi="Arial"/>
                <w:sz w:val="21"/>
                <w:szCs w:val="21"/>
                <w:b w:val="1"/>
                <w:bCs w:val="1"/>
                <w:color w:val="auto"/>
                <w:vertAlign w:val="superscript"/>
              </w:rPr>
              <w:t>(1)</w:t>
            </w:r>
          </w:p>
        </w:tc>
        <w:tc>
          <w:tcPr>
            <w:tcW w:w="12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04"/>
        </w:trPr>
        <w:tc>
          <w:tcPr>
            <w:tcW w:w="3700" w:type="dxa"/>
            <w:vAlign w:val="bottom"/>
          </w:tcPr>
          <w:p>
            <w:pPr>
              <w:spacing w:after="0"/>
              <w:rPr>
                <w:sz w:val="17"/>
                <w:szCs w:val="17"/>
                <w:color w:val="auto"/>
              </w:rPr>
            </w:pPr>
          </w:p>
        </w:tc>
        <w:tc>
          <w:tcPr>
            <w:tcW w:w="412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90"/>
              </w:rPr>
              <w:t>For the three months ended</w:t>
            </w:r>
          </w:p>
        </w:tc>
        <w:tc>
          <w:tcPr>
            <w:tcW w:w="264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auto"/>
              </w:rPr>
              <w:t>% Change from</w:t>
            </w:r>
          </w:p>
        </w:tc>
        <w:tc>
          <w:tcPr>
            <w:tcW w:w="60" w:type="dxa"/>
            <w:vAlign w:val="bottom"/>
          </w:tcPr>
          <w:p>
            <w:pPr>
              <w:spacing w:after="0"/>
              <w:rPr>
                <w:sz w:val="17"/>
                <w:szCs w:val="17"/>
                <w:color w:val="auto"/>
              </w:rPr>
            </w:pPr>
          </w:p>
        </w:tc>
      </w:tr>
      <w:tr>
        <w:trPr>
          <w:trHeight w:val="188"/>
        </w:trPr>
        <w:tc>
          <w:tcPr>
            <w:tcW w:w="370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w:t>
            </w:r>
          </w:p>
        </w:tc>
        <w:tc>
          <w:tcPr>
            <w:tcW w:w="138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9"/>
              </w:rPr>
              <w:t>September 30,</w:t>
            </w:r>
          </w:p>
        </w:tc>
        <w:tc>
          <w:tcPr>
            <w:tcW w:w="138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0"/>
              </w:rPr>
              <w:t>June 30,</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8"/>
              </w:rPr>
              <w:t>September 30,</w:t>
            </w:r>
          </w:p>
        </w:tc>
        <w:tc>
          <w:tcPr>
            <w:tcW w:w="140" w:type="dxa"/>
            <w:vAlign w:val="bottom"/>
          </w:tcPr>
          <w:p>
            <w:pPr>
              <w:spacing w:after="0"/>
              <w:rPr>
                <w:sz w:val="16"/>
                <w:szCs w:val="16"/>
                <w:color w:val="auto"/>
              </w:rPr>
            </w:pPr>
          </w:p>
        </w:tc>
        <w:tc>
          <w:tcPr>
            <w:tcW w:w="140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12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16"/>
                <w:szCs w:val="16"/>
                <w:color w:val="auto"/>
              </w:rPr>
            </w:pPr>
          </w:p>
        </w:tc>
      </w:tr>
      <w:tr>
        <w:trPr>
          <w:trHeight w:val="213"/>
        </w:trPr>
        <w:tc>
          <w:tcPr>
            <w:tcW w:w="37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dollars</w:t>
            </w:r>
            <w:r>
              <w:rPr>
                <w:rFonts w:ascii="Arial" w:cs="Arial" w:eastAsia="Arial" w:hAnsi="Arial"/>
                <w:sz w:val="16"/>
                <w:szCs w:val="16"/>
                <w:color w:val="auto"/>
              </w:rPr>
              <w:t>)</w:t>
            </w: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8"/>
                <w:szCs w:val="18"/>
                <w:color w:val="auto"/>
              </w:rPr>
            </w:pPr>
          </w:p>
        </w:tc>
      </w:tr>
      <w:tr>
        <w:trPr>
          <w:trHeight w:val="213"/>
        </w:trPr>
        <w:tc>
          <w:tcPr>
            <w:tcW w:w="370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3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81,887</w:t>
            </w:r>
          </w:p>
        </w:tc>
        <w:tc>
          <w:tcPr>
            <w:tcW w:w="1220" w:type="dxa"/>
            <w:vAlign w:val="bottom"/>
            <w:shd w:val="clear" w:color="auto" w:fill="E5FFFF"/>
          </w:tcPr>
          <w:p>
            <w:pPr>
              <w:ind w:left="780"/>
              <w:spacing w:after="0"/>
              <w:rPr>
                <w:sz w:val="20"/>
                <w:szCs w:val="20"/>
                <w:color w:val="auto"/>
              </w:rPr>
            </w:pPr>
            <w:r>
              <w:rPr>
                <w:rFonts w:ascii="Arial" w:cs="Arial" w:eastAsia="Arial" w:hAnsi="Arial"/>
                <w:sz w:val="16"/>
                <w:szCs w:val="16"/>
                <w:color w:val="auto"/>
                <w:w w:val="85"/>
              </w:rPr>
              <w:t>91,805</w:t>
            </w:r>
          </w:p>
        </w:tc>
        <w:tc>
          <w:tcPr>
            <w:tcW w:w="160" w:type="dxa"/>
            <w:vAlign w:val="bottom"/>
            <w:shd w:val="clear" w:color="auto" w:fill="E5FFFF"/>
          </w:tcPr>
          <w:p>
            <w:pPr>
              <w:spacing w:after="0"/>
              <w:rPr>
                <w:sz w:val="18"/>
                <w:szCs w:val="18"/>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96,485</w:t>
            </w:r>
          </w:p>
        </w:tc>
        <w:tc>
          <w:tcPr>
            <w:tcW w:w="140" w:type="dxa"/>
            <w:vAlign w:val="bottom"/>
            <w:shd w:val="clear" w:color="auto" w:fill="E5FFFF"/>
          </w:tcPr>
          <w:p>
            <w:pPr>
              <w:spacing w:after="0"/>
              <w:rPr>
                <w:sz w:val="18"/>
                <w:szCs w:val="18"/>
                <w:color w:val="auto"/>
              </w:rPr>
            </w:pPr>
          </w:p>
        </w:tc>
        <w:tc>
          <w:tcPr>
            <w:tcW w:w="14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18%</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8"/>
                <w:szCs w:val="18"/>
                <w:color w:val="auto"/>
              </w:rPr>
            </w:pPr>
          </w:p>
        </w:tc>
      </w:tr>
      <w:tr>
        <w:trPr>
          <w:trHeight w:val="227"/>
        </w:trPr>
        <w:tc>
          <w:tcPr>
            <w:tcW w:w="3700" w:type="dxa"/>
            <w:vAlign w:val="bottom"/>
          </w:tcPr>
          <w:p>
            <w:pPr>
              <w:spacing w:after="0"/>
              <w:rPr>
                <w:sz w:val="20"/>
                <w:szCs w:val="20"/>
                <w:color w:val="auto"/>
              </w:rPr>
            </w:pPr>
            <w:r>
              <w:rPr>
                <w:rFonts w:ascii="Arial" w:cs="Arial" w:eastAsia="Arial" w:hAnsi="Arial"/>
                <w:sz w:val="16"/>
                <w:szCs w:val="16"/>
                <w:color w:val="auto"/>
              </w:rPr>
              <w:t>Profit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27,270</w:t>
            </w:r>
          </w:p>
        </w:tc>
        <w:tc>
          <w:tcPr>
            <w:tcW w:w="1220" w:type="dxa"/>
            <w:vAlign w:val="bottom"/>
          </w:tcPr>
          <w:p>
            <w:pPr>
              <w:ind w:left="780"/>
              <w:spacing w:after="0"/>
              <w:rPr>
                <w:sz w:val="20"/>
                <w:szCs w:val="20"/>
                <w:color w:val="auto"/>
              </w:rPr>
            </w:pPr>
            <w:r>
              <w:rPr>
                <w:rFonts w:ascii="Arial" w:cs="Arial" w:eastAsia="Arial" w:hAnsi="Arial"/>
                <w:sz w:val="16"/>
                <w:szCs w:val="16"/>
                <w:color w:val="auto"/>
                <w:w w:val="85"/>
              </w:rPr>
              <w:t>19,143</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29,434</w:t>
            </w:r>
          </w:p>
        </w:tc>
        <w:tc>
          <w:tcPr>
            <w:tcW w:w="1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8%</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54%</w:t>
            </w:r>
          </w:p>
        </w:tc>
      </w:tr>
      <w:tr>
        <w:trPr>
          <w:trHeight w:val="233"/>
        </w:trPr>
        <w:tc>
          <w:tcPr>
            <w:tcW w:w="3700" w:type="dxa"/>
            <w:vAlign w:val="bottom"/>
            <w:shd w:val="clear" w:color="auto" w:fill="E5FFFF"/>
          </w:tcPr>
          <w:p>
            <w:pPr>
              <w:spacing w:after="0" w:line="233" w:lineRule="exact"/>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(2)</w:t>
            </w:r>
          </w:p>
        </w:tc>
        <w:tc>
          <w:tcPr>
            <w:tcW w:w="13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25,617</w:t>
            </w:r>
          </w:p>
        </w:tc>
        <w:tc>
          <w:tcPr>
            <w:tcW w:w="1220" w:type="dxa"/>
            <w:vAlign w:val="bottom"/>
            <w:shd w:val="clear" w:color="auto" w:fill="E5FFFF"/>
          </w:tcPr>
          <w:p>
            <w:pPr>
              <w:ind w:left="780"/>
              <w:spacing w:after="0"/>
              <w:rPr>
                <w:sz w:val="20"/>
                <w:szCs w:val="20"/>
                <w:color w:val="auto"/>
              </w:rPr>
            </w:pPr>
            <w:r>
              <w:rPr>
                <w:rFonts w:ascii="Arial" w:cs="Arial" w:eastAsia="Arial" w:hAnsi="Arial"/>
                <w:sz w:val="16"/>
                <w:szCs w:val="16"/>
                <w:color w:val="auto"/>
                <w:w w:val="85"/>
              </w:rPr>
              <w:t>27,789</w:t>
            </w:r>
          </w:p>
        </w:tc>
        <w:tc>
          <w:tcPr>
            <w:tcW w:w="160" w:type="dxa"/>
            <w:vAlign w:val="bottom"/>
            <w:shd w:val="clear" w:color="auto" w:fill="E5FFFF"/>
          </w:tcPr>
          <w:p>
            <w:pPr>
              <w:spacing w:after="0"/>
              <w:rPr>
                <w:sz w:val="20"/>
                <w:szCs w:val="20"/>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31,879</w:t>
            </w:r>
          </w:p>
        </w:tc>
        <w:tc>
          <w:tcPr>
            <w:tcW w:w="140" w:type="dxa"/>
            <w:vAlign w:val="bottom"/>
            <w:shd w:val="clear" w:color="auto" w:fill="E5FFFF"/>
          </w:tcPr>
          <w:p>
            <w:pPr>
              <w:spacing w:after="0"/>
              <w:rPr>
                <w:sz w:val="20"/>
                <w:szCs w:val="20"/>
                <w:color w:val="auto"/>
              </w:rPr>
            </w:pPr>
          </w:p>
        </w:tc>
        <w:tc>
          <w:tcPr>
            <w:tcW w:w="14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24%</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20"/>
                <w:szCs w:val="20"/>
                <w:color w:val="auto"/>
              </w:rPr>
            </w:pPr>
          </w:p>
        </w:tc>
      </w:tr>
      <w:tr>
        <w:trPr>
          <w:trHeight w:val="230"/>
        </w:trPr>
        <w:tc>
          <w:tcPr>
            <w:tcW w:w="3700" w:type="dxa"/>
            <w:vAlign w:val="bottom"/>
          </w:tcPr>
          <w:p>
            <w:pPr>
              <w:spacing w:after="0" w:line="230" w:lineRule="exact"/>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(2)</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58,850</w:t>
            </w:r>
          </w:p>
        </w:tc>
        <w:tc>
          <w:tcPr>
            <w:tcW w:w="1220" w:type="dxa"/>
            <w:vAlign w:val="bottom"/>
          </w:tcPr>
          <w:p>
            <w:pPr>
              <w:ind w:left="780"/>
              <w:spacing w:after="0"/>
              <w:rPr>
                <w:sz w:val="20"/>
                <w:szCs w:val="20"/>
                <w:color w:val="auto"/>
              </w:rPr>
            </w:pPr>
            <w:r>
              <w:rPr>
                <w:rFonts w:ascii="Arial" w:cs="Arial" w:eastAsia="Arial" w:hAnsi="Arial"/>
                <w:sz w:val="16"/>
                <w:szCs w:val="16"/>
                <w:color w:val="auto"/>
                <w:w w:val="85"/>
              </w:rPr>
              <w:t>67,503</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71,779</w:t>
            </w:r>
          </w:p>
        </w:tc>
        <w:tc>
          <w:tcPr>
            <w:tcW w:w="1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22%</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r>
      <w:tr>
        <w:trPr>
          <w:trHeight w:val="230"/>
        </w:trPr>
        <w:tc>
          <w:tcPr>
            <w:tcW w:w="3700" w:type="dxa"/>
            <w:vAlign w:val="bottom"/>
            <w:shd w:val="clear" w:color="auto" w:fill="E5FFFF"/>
          </w:tcPr>
          <w:p>
            <w:pPr>
              <w:spacing w:after="0" w:line="230" w:lineRule="exact"/>
              <w:rPr>
                <w:sz w:val="20"/>
                <w:szCs w:val="20"/>
                <w:color w:val="auto"/>
              </w:rPr>
            </w:pPr>
            <w:r>
              <w:rPr>
                <w:rFonts w:ascii="Arial" w:cs="Arial" w:eastAsia="Arial" w:hAnsi="Arial"/>
                <w:sz w:val="16"/>
                <w:szCs w:val="16"/>
                <w:color w:val="auto"/>
              </w:rPr>
              <w:t>Distributable cash flow</w:t>
            </w:r>
            <w:r>
              <w:rPr>
                <w:rFonts w:ascii="Arial" w:cs="Arial" w:eastAsia="Arial" w:hAnsi="Arial"/>
                <w:sz w:val="21"/>
                <w:szCs w:val="21"/>
                <w:color w:val="auto"/>
                <w:vertAlign w:val="superscript"/>
              </w:rPr>
              <w:t>(2)</w:t>
            </w:r>
          </w:p>
        </w:tc>
        <w:tc>
          <w:tcPr>
            <w:tcW w:w="13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27,167</w:t>
            </w:r>
          </w:p>
        </w:tc>
        <w:tc>
          <w:tcPr>
            <w:tcW w:w="1220" w:type="dxa"/>
            <w:vAlign w:val="bottom"/>
            <w:shd w:val="clear" w:color="auto" w:fill="E5FFFF"/>
          </w:tcPr>
          <w:p>
            <w:pPr>
              <w:ind w:left="780"/>
              <w:spacing w:after="0"/>
              <w:rPr>
                <w:sz w:val="20"/>
                <w:szCs w:val="20"/>
                <w:color w:val="auto"/>
              </w:rPr>
            </w:pPr>
            <w:r>
              <w:rPr>
                <w:rFonts w:ascii="Arial" w:cs="Arial" w:eastAsia="Arial" w:hAnsi="Arial"/>
                <w:sz w:val="16"/>
                <w:szCs w:val="16"/>
                <w:color w:val="auto"/>
                <w:w w:val="85"/>
              </w:rPr>
              <w:t>29,399</w:t>
            </w:r>
          </w:p>
        </w:tc>
        <w:tc>
          <w:tcPr>
            <w:tcW w:w="160" w:type="dxa"/>
            <w:vAlign w:val="bottom"/>
            <w:shd w:val="clear" w:color="auto" w:fill="E5FFFF"/>
          </w:tcPr>
          <w:p>
            <w:pPr>
              <w:spacing w:after="0"/>
              <w:rPr>
                <w:sz w:val="19"/>
                <w:szCs w:val="19"/>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34,320</w:t>
            </w:r>
          </w:p>
        </w:tc>
        <w:tc>
          <w:tcPr>
            <w:tcW w:w="140" w:type="dxa"/>
            <w:vAlign w:val="bottom"/>
            <w:shd w:val="clear" w:color="auto" w:fill="E5FFFF"/>
          </w:tcPr>
          <w:p>
            <w:pPr>
              <w:spacing w:after="0"/>
              <w:rPr>
                <w:sz w:val="19"/>
                <w:szCs w:val="19"/>
                <w:color w:val="auto"/>
              </w:rPr>
            </w:pPr>
          </w:p>
        </w:tc>
        <w:tc>
          <w:tcPr>
            <w:tcW w:w="14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26%</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9"/>
                <w:szCs w:val="19"/>
                <w:color w:val="auto"/>
              </w:rPr>
            </w:pPr>
          </w:p>
        </w:tc>
      </w:tr>
      <w:tr>
        <w:trPr>
          <w:trHeight w:val="224"/>
        </w:trPr>
        <w:tc>
          <w:tcPr>
            <w:tcW w:w="3700" w:type="dxa"/>
            <w:vAlign w:val="bottom"/>
          </w:tcPr>
          <w:p>
            <w:pPr>
              <w:spacing w:after="0"/>
              <w:rPr>
                <w:sz w:val="20"/>
                <w:szCs w:val="20"/>
                <w:color w:val="auto"/>
              </w:rPr>
            </w:pPr>
            <w:r>
              <w:rPr>
                <w:rFonts w:ascii="Arial" w:cs="Arial" w:eastAsia="Arial" w:hAnsi="Arial"/>
                <w:sz w:val="16"/>
                <w:szCs w:val="16"/>
                <w:color w:val="auto"/>
              </w:rPr>
              <w:t>Cash distributions declared</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25,716</w:t>
            </w:r>
          </w:p>
        </w:tc>
        <w:tc>
          <w:tcPr>
            <w:tcW w:w="1220" w:type="dxa"/>
            <w:vAlign w:val="bottom"/>
          </w:tcPr>
          <w:p>
            <w:pPr>
              <w:ind w:left="780"/>
              <w:spacing w:after="0"/>
              <w:rPr>
                <w:sz w:val="20"/>
                <w:szCs w:val="20"/>
                <w:color w:val="auto"/>
              </w:rPr>
            </w:pPr>
            <w:r>
              <w:rPr>
                <w:rFonts w:ascii="Arial" w:cs="Arial" w:eastAsia="Arial" w:hAnsi="Arial"/>
                <w:sz w:val="16"/>
                <w:szCs w:val="16"/>
                <w:color w:val="auto"/>
                <w:w w:val="85"/>
              </w:rPr>
              <w:t>26,640</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26,437</w:t>
            </w:r>
          </w:p>
        </w:tc>
        <w:tc>
          <w:tcPr>
            <w:tcW w:w="1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w:t>
            </w:r>
          </w:p>
        </w:tc>
      </w:tr>
    </w:tbl>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5" w:name="page6"/>
    <w:bookmarkEnd w:id="5"/>
    <w:p>
      <w:pPr>
        <w:ind w:left="660" w:right="40" w:hanging="328"/>
        <w:spacing w:after="0" w:line="228" w:lineRule="auto"/>
        <w:tabs>
          <w:tab w:leader="none" w:pos="648" w:val="left"/>
        </w:tabs>
        <w:numPr>
          <w:ilvl w:val="0"/>
          <w:numId w:val="4"/>
        </w:numPr>
        <w:rPr>
          <w:rFonts w:ascii="Arial" w:cs="Arial" w:eastAsia="Arial" w:hAnsi="Arial"/>
          <w:sz w:val="21"/>
          <w:szCs w:val="21"/>
          <w:color w:val="auto"/>
          <w:vertAlign w:val="superscript"/>
        </w:rPr>
      </w:pPr>
      <w:r>
        <w:rPr>
          <w:rFonts w:ascii="Arial" w:cs="Arial" w:eastAsia="Arial" w:hAnsi="Arial"/>
          <w:sz w:val="13"/>
          <w:szCs w:val="13"/>
          <w:color w:val="auto"/>
        </w:rPr>
        <w:t>“Partnership Performance Results” represent the results attributable to GasLog Partners. Such results are non-GAAP measures and exclude amounts related to vessels currently owned by the Partnership for the periods prior to their respective transfers to GasLog Partners from GasLog, as the Partnership is not entitled to the cash or results generated in the periods prior to such transfers. Such results are included in the GasLog Partners’ results in accordance with IFRS because the transfers of the vessel owning entities by GasLog to the Partnership represent reorganizations of entities under common control and the Partnership reflects such transfers retroactively under IFRS. GasLog Partners believes that these non-GAAP financial measures provide meaningful supplemental information to both management and investors regarding the financial and operating performance of the Partnership necessary to understand the underlying basis for the calculations of the quarterly distribution and earnings per unit, which similarly exclude the results of vessels prior to their transfers to the Partnership. These non-GAAP financial measures should not be viewed in isolation or as substitutes to the equivalent GAAP measures presented in accordance with IFRS, but should be used in conjunction with the most directly comparable IFRS Common Control Reported Results. For the definitions and reconciliations of these measurements to the most directly comparable financial measures presented in accordance with IFRS, please refer to Exhibit II at the end of this press release.</w:t>
      </w:r>
    </w:p>
    <w:p>
      <w:pPr>
        <w:spacing w:after="0" w:line="187" w:lineRule="exact"/>
        <w:rPr>
          <w:rFonts w:ascii="Arial" w:cs="Arial" w:eastAsia="Arial" w:hAnsi="Arial"/>
          <w:sz w:val="21"/>
          <w:szCs w:val="21"/>
          <w:color w:val="auto"/>
          <w:vertAlign w:val="superscript"/>
        </w:rPr>
      </w:pPr>
    </w:p>
    <w:p>
      <w:pPr>
        <w:ind w:left="660" w:right="180" w:hanging="328"/>
        <w:spacing w:after="0" w:line="196"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Adjusted Profit, EBITDA and Distributable cash flow are non-GAAP financial measures and should not be used in isolation or as a substitute for GasLog Partners’ financial results presented in accordance with IFRS. For the definitions and reconciliations of these measures to the most directly comparable financial measures calculated and presented in accordance with IFRS, please refer to Exhibit III at the end of this press release.</w:t>
      </w:r>
    </w:p>
    <w:p>
      <w:pPr>
        <w:spacing w:after="0" w:line="192" w:lineRule="exact"/>
        <w:rPr>
          <w:sz w:val="20"/>
          <w:szCs w:val="20"/>
          <w:color w:val="auto"/>
        </w:rPr>
      </w:pPr>
    </w:p>
    <w:p>
      <w:pPr>
        <w:jc w:val="both"/>
        <w:ind w:right="120"/>
        <w:spacing w:after="0" w:line="335" w:lineRule="auto"/>
        <w:rPr>
          <w:sz w:val="20"/>
          <w:szCs w:val="20"/>
          <w:color w:val="auto"/>
        </w:rPr>
      </w:pPr>
      <w:r>
        <w:rPr>
          <w:rFonts w:ascii="Arial" w:cs="Arial" w:eastAsia="Arial" w:hAnsi="Arial"/>
          <w:sz w:val="14"/>
          <w:szCs w:val="14"/>
          <w:color w:val="auto"/>
        </w:rPr>
        <w:t xml:space="preserve">With respect to the Partnership Performance Results, there were 1,365 revenue operating days for the quarter ended September 30, 2019 compared to 1,340 revenue operating days for the quarter ended June 30, 2019 and 1,151 revenue operating days for the quarter ended September 30, 2018. The increase in revenue operating days compared to the same period in 2018 is mainly attributable to the drop-downs of the </w:t>
      </w:r>
      <w:r>
        <w:rPr>
          <w:rFonts w:ascii="Arial" w:cs="Arial" w:eastAsia="Arial" w:hAnsi="Arial"/>
          <w:sz w:val="14"/>
          <w:szCs w:val="14"/>
          <w:i w:val="1"/>
          <w:iCs w:val="1"/>
          <w:color w:val="auto"/>
        </w:rPr>
        <w:t>Methane Becki Anne</w:t>
      </w:r>
      <w:r>
        <w:rPr>
          <w:rFonts w:ascii="Arial" w:cs="Arial" w:eastAsia="Arial" w:hAnsi="Arial"/>
          <w:sz w:val="14"/>
          <w:szCs w:val="14"/>
          <w:color w:val="auto"/>
        </w:rPr>
        <w:t xml:space="preserve"> on November 14, 2018 and the </w:t>
      </w:r>
      <w:r>
        <w:rPr>
          <w:rFonts w:ascii="Arial" w:cs="Arial" w:eastAsia="Arial" w:hAnsi="Arial"/>
          <w:sz w:val="14"/>
          <w:szCs w:val="14"/>
          <w:i w:val="1"/>
          <w:iCs w:val="1"/>
          <w:color w:val="auto"/>
        </w:rPr>
        <w:t>GasLog Glasgow</w:t>
      </w:r>
      <w:r>
        <w:rPr>
          <w:rFonts w:ascii="Arial" w:cs="Arial" w:eastAsia="Arial" w:hAnsi="Arial"/>
          <w:sz w:val="14"/>
          <w:szCs w:val="14"/>
          <w:color w:val="auto"/>
        </w:rPr>
        <w:t xml:space="preserve"> on April 1, 2019.</w:t>
      </w:r>
    </w:p>
    <w:p>
      <w:pPr>
        <w:spacing w:after="0" w:line="15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The increase in profit in the third quarter of 2019 as compared to the same period in 2018 was mainly driven by the profits of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Glasgow</w:t>
      </w:r>
      <w:r>
        <w:rPr>
          <w:rFonts w:ascii="Arial" w:cs="Arial" w:eastAsia="Arial" w:hAnsi="Arial"/>
          <w:sz w:val="16"/>
          <w:szCs w:val="16"/>
          <w:color w:val="auto"/>
        </w:rPr>
        <w:t>, acquired by the Partnership on November 14, 2018 and April 1, 2019, respectively, partially offset by a $4.5 million decrease in gain on derivatives attributable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(a loss of $2.4 million in the third quarter of 2019 compared to a gain of $2.1 million in the same period in 2018).</w:t>
      </w:r>
    </w:p>
    <w:p>
      <w:pPr>
        <w:spacing w:after="0" w:line="184"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 xml:space="preserve">The increase in profit in the third quarter of 2019 as compared to the second quarter of 2019 is mainly attributable to a $5.9 million decrease in loss on derivatives attributable to the Partnership and a $4.7 million increase in revenues, mainly attributable to the increased revenues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since the commencement of its charter to Gunvor in June 2019.</w:t>
      </w:r>
    </w:p>
    <w:p>
      <w:pPr>
        <w:spacing w:after="0" w:line="184" w:lineRule="exact"/>
        <w:rPr>
          <w:sz w:val="20"/>
          <w:szCs w:val="20"/>
          <w:color w:val="auto"/>
        </w:rPr>
      </w:pPr>
    </w:p>
    <w:p>
      <w:pPr>
        <w:ind w:right="660"/>
        <w:spacing w:after="0" w:line="293" w:lineRule="auto"/>
        <w:rPr>
          <w:sz w:val="20"/>
          <w:szCs w:val="20"/>
          <w:color w:val="auto"/>
        </w:rPr>
      </w:pPr>
      <w:r>
        <w:rPr>
          <w:rFonts w:ascii="Arial" w:cs="Arial" w:eastAsia="Arial" w:hAnsi="Arial"/>
          <w:sz w:val="16"/>
          <w:szCs w:val="16"/>
          <w:color w:val="auto"/>
        </w:rPr>
        <w:t>The decrease in total cash distributions declared in the third quarter of 2019 as compared to the second quarter of 2019 is attributable to the decrease in the number of outstanding common units due to the repurchases of common units by GasLog Partners during the third quarter of 2019.</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Preference Unit Distributions</w:t>
      </w:r>
    </w:p>
    <w:p>
      <w:pPr>
        <w:spacing w:after="0" w:line="252"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On July 24, 2019, the board of directors of GasLog Partners approved and declared a distribution on the 8.625% Series A Cumulative Redeemable Perpetual Fixed to Floating Rate Preference Units (the “Series A Preference Units”) of $0.5390625 per preference unit, a distribution on the 8.200% Series B Cumulative Redeemable Perpetual Fixed to Floating Rate Preference Units (the “Series B Preference Units”) of $0.5125 per preference unit and a distribution on the 8.500% Series C Cumulative Redeemable Perpetual Fixed to Floating Rate Preference Units (the “Series C Preference Units”) of $0.53125 per preference unit. The cash distributions were paid on September 16, 2019 to all unitholders of record as of September 9, 2019.</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Common Unit Distribution</w:t>
      </w:r>
    </w:p>
    <w:p>
      <w:pPr>
        <w:spacing w:after="0" w:line="239" w:lineRule="exact"/>
        <w:rPr>
          <w:sz w:val="20"/>
          <w:szCs w:val="20"/>
          <w:color w:val="auto"/>
        </w:rPr>
      </w:pPr>
    </w:p>
    <w:p>
      <w:pPr>
        <w:ind w:right="780"/>
        <w:spacing w:after="0" w:line="293" w:lineRule="auto"/>
        <w:rPr>
          <w:sz w:val="20"/>
          <w:szCs w:val="20"/>
          <w:color w:val="auto"/>
        </w:rPr>
      </w:pPr>
      <w:r>
        <w:rPr>
          <w:rFonts w:ascii="Arial" w:cs="Arial" w:eastAsia="Arial" w:hAnsi="Arial"/>
          <w:sz w:val="16"/>
          <w:szCs w:val="16"/>
          <w:color w:val="auto"/>
        </w:rPr>
        <w:t>On October 29, 2019, the board of directors of GasLog Partners approved and declared a quarterly cash distribution of $0.55 per common unit for the quarter ended September 30, 2019. The cash distribution is payable on November 13, 2019 to all unitholders of record as of November 8, 2019.</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Liquidity and Financing</w:t>
      </w:r>
    </w:p>
    <w:p>
      <w:pPr>
        <w:spacing w:after="0" w:line="239" w:lineRule="exact"/>
        <w:rPr>
          <w:sz w:val="20"/>
          <w:szCs w:val="20"/>
          <w:color w:val="auto"/>
        </w:rPr>
      </w:pPr>
    </w:p>
    <w:p>
      <w:pPr>
        <w:jc w:val="both"/>
        <w:ind w:right="60"/>
        <w:spacing w:after="0" w:line="278" w:lineRule="auto"/>
        <w:rPr>
          <w:sz w:val="20"/>
          <w:szCs w:val="20"/>
          <w:color w:val="auto"/>
        </w:rPr>
      </w:pPr>
      <w:r>
        <w:rPr>
          <w:rFonts w:ascii="Arial" w:cs="Arial" w:eastAsia="Arial" w:hAnsi="Arial"/>
          <w:sz w:val="16"/>
          <w:szCs w:val="16"/>
          <w:color w:val="auto"/>
        </w:rPr>
        <w:t>As of September 30, 2019, we had $65.8 million of cash and cash equivalents, of which $11.4 million was held in current accounts and $54.4 million was held in time deposits with an original duration of less than three months. An additional amount of $9.0 million of time deposits with an original duration greater than three months was classified as short-term investments.</w:t>
      </w:r>
    </w:p>
    <w:p>
      <w:pPr>
        <w:spacing w:after="0" w:line="184"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In the three months ended September 30, 2019, GasLog Partners repurchased and cancelled 508,908 common units at a weighted average price of $19.84 under its unit repurchase programme authorized in January 2019, for a total amount of $10.1 million, including commissions. Since the authorization of the unit repurchase programme and through October 30, 2019, GasLog Partners has repurchased and cancelled a total of 985,259 units at a weighted average price of $20.31 per common unit for a total amount of $20.0 million, including commissions. As of October 30, 2019, the unutilized portion of the unit repurchase programme was $5.0 million.</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2019, we had an aggregate of $1,370.9 million of borrowings outstanding under our credit facilities, of which $110.3 million is repayable within one year.</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In addition, as of September 30, 2019, we had unused availability under our revolving credit facilities of $58.0 million.</w:t>
      </w:r>
    </w:p>
    <w:p>
      <w:pPr>
        <w:spacing w:after="0" w:line="23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Partnership has entered into six interest rate swap agreements with GasLog at a notional value of $625.0 million in aggregate, maturing between 2020 and 2024. As a result of its hedging agreements, the Partnership has hedged 44.9% of its floating interest rate exposure on its outstanding debt as of September 30, 2019, at a weighted average interest rate of approximately 2.1% (excluding margin).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right="40"/>
        <w:spacing w:after="0" w:line="293" w:lineRule="auto"/>
        <w:rPr>
          <w:sz w:val="20"/>
          <w:szCs w:val="20"/>
          <w:color w:val="auto"/>
        </w:rPr>
      </w:pPr>
      <w:r>
        <w:rPr>
          <w:rFonts w:ascii="Arial" w:cs="Arial" w:eastAsia="Arial" w:hAnsi="Arial"/>
          <w:sz w:val="16"/>
          <w:szCs w:val="16"/>
          <w:color w:val="auto"/>
        </w:rPr>
        <w:t>Furthermore, the Partnership has in place nine forward foreign exchange contracts with GasLog with a notional value of €13.5 million and staggered maturities until June 2020 to mitigate its foreign exchange transaction exposure in its operating expenses.</w:t>
      </w:r>
    </w:p>
    <w:p>
      <w:pPr>
        <w:spacing w:after="0" w:line="172" w:lineRule="exact"/>
        <w:rPr>
          <w:sz w:val="20"/>
          <w:szCs w:val="20"/>
          <w:color w:val="auto"/>
        </w:rPr>
      </w:pPr>
    </w:p>
    <w:p>
      <w:pPr>
        <w:ind w:right="180"/>
        <w:spacing w:after="0" w:line="305" w:lineRule="auto"/>
        <w:rPr>
          <w:sz w:val="20"/>
          <w:szCs w:val="20"/>
          <w:color w:val="auto"/>
        </w:rPr>
      </w:pPr>
      <w:r>
        <w:rPr>
          <w:rFonts w:ascii="Arial" w:cs="Arial" w:eastAsia="Arial" w:hAnsi="Arial"/>
          <w:sz w:val="15"/>
          <w:szCs w:val="15"/>
          <w:color w:val="auto"/>
        </w:rPr>
        <w:t>As of September 30, 2019, our current assets totaled $87.8 million and current liabilities totaled $148.4 million, resulting in a negative working capital position of $60.6 million. Taking into account generally expected market conditions, we anticipate that cash flow generated from operations will be sufficient to fund our operations, including our working capital requirements, and to make the required principal and interest payments on our indebtedness during the next 12 months.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LNG Market Update and Outlook</w:t>
      </w:r>
    </w:p>
    <w:p>
      <w:pPr>
        <w:spacing w:after="0" w:line="239"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According to Wood Mackenzie, global LNG supply totaled 90 million tonnes (“mt”) in the third quarter of 2019, a 2% increase from the second quarter and 11% growth year-on-year. During the third quarter, growth from new United States (“U.S.”) projects (Cameron, Corpus Christi Train 2 and Freeport) and the ramp-up of the Prelude project in Australia offset continued underperformance from plants in Indonesia and Malaysia and maintenance activities at PNG LNG, Sakhalin-2, Peru LNG and Sabine Pass. Compared to the third quarter, supply is expected to grow by 6%, to 95 mt, in the fourth quarter of 2019, principally reflecting a full quarter of production from the U.S. projects mentioned above, as well as initial production from the Elba Island facility. For 2019, Wood Mackenzie estimates annual LNG supply at 364 mt, which represents 12% growth over 2018. Supply is expected to grow by a further 7% in 2020 with the addition of further trains at the Cameron, Freeport and Yamal LNG (Russia) projects.</w:t>
      </w:r>
    </w:p>
    <w:p>
      <w:pPr>
        <w:spacing w:after="0" w:line="177"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During the third quarter, the Calcasieu Pass project (10 million tonnes per annum, or “mtpa”) in the U.S. and Arctic LNG-2 reached a Final Investment Decision (“FID”). Arctic LNG-2, at 19.8 mtpa of nameplate capacity, is the single largest project sanction in the history of the LNG industry. Combined with projects approved earlier in the year, 2019 has set a record for LNG FIDs, totaling 63 mtpa year-to-date and surpassing the 2005 record of 46 mtpa. In addition, the 2.1 mtpa Woodfibre LNG project in Canada is expected to reach FID by the end of 2019, while ExxonMobil recently awarded engineering contracts for the 15.2 mtpa Rovuma LNG project ahead of an expected FID in 2020. In total, Wood Mackenzie expects 115 mtpa of new capacity to commence production between 2020 and 2024.</w:t>
      </w:r>
    </w:p>
    <w:p>
      <w:pPr>
        <w:spacing w:after="0" w:line="176"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Global LNG demand was 87 mt in the third quarter of 2019, compared with 78 mt in the third quarter of 2018, an increase of 10%, according to Poten. European imports accounted for much of the growth, rising 8 mt year-over-year (or approximately 100%), while demand from Northeast Asia (Japan, China, South Korea and Taiwan) was approximately flat. For the twelve months ending September 30, 2019, LNG demand was 351 mt, compared with 308 mt for the twelve months ending September 30, 2018, an increase of 14%. Demand from Europe was particularly strong, growing by 36 mt (or 105%) while China’s demand growth was also noteworthy, rising 11 mt or 22%.</w:t>
      </w:r>
    </w:p>
    <w:p>
      <w:pPr>
        <w:spacing w:after="0" w:line="173"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auto"/>
        </w:rPr>
        <w:t>The global gas market remains well-supplied, given the combination of ample inventories following higher-than-average temperatures in the 2018/19 winter and LNG supply growth so far this year. This has resulted in further inventory builds, notably in Europe where storage is currently at 98% of capacity, according to Gas Infrastructure Europe, and sustained pressure on gas pricing, with European and U.K. gas prices recently touching their lowest levels since 2009. Similarly, Asian LNG prices are currently c.40% below 2018 levels. However, the combination of low gas prices and rising carbon prices have improved the competitiveness of gas as a fuel for power generation compared to coal, particularly in Europe. During the third quarter of 2019, gas-fired power generation in Europe increased 31% year-on-year, accounting for 21% of total power generation compared to 16% a year earlier, according to Bloomberg. Notably, Spain’s gas demand for power in September was up 128% year-on-year, as gas accounted for 27% of the power mix, with coal at just 2%, according to Spain’s national grid operator Enagás. A similar trend in the Netherlands has prompted German utility company RWE AG to re-commission a 1.1 gigawatt (“GW”) gas-fired power plant by 2020.</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A deteriorating macroeconomic outlook, particularly in China, could present a near-term headwind for LNG demand by reducing natural gas consumption growth. However, the long-term fundamentals for gas and LNG demand growth remain very attractive, underpinned by continued energy demand growth and the significantly better emissions profile of gas versus coal. The most recent example of this was a proposal by the South Korean government to address air pollution by significantly reducing coal-fired power generation from December 2019 to March 2020. In addition, Wood Mackenzie recently forecast that Europe’s gas import dependency and call on LNG imports will continue to grow, due to falling domestic production in many countries and declining pipeline flows from North Africa and Central Asia, as well as potential limits on Russia’s share of European gas imports.</w:t>
      </w:r>
    </w:p>
    <w:p>
      <w:pPr>
        <w:spacing w:after="0" w:line="190" w:lineRule="exact"/>
        <w:rPr>
          <w:sz w:val="20"/>
          <w:szCs w:val="20"/>
          <w:color w:val="auto"/>
        </w:rPr>
      </w:pPr>
    </w:p>
    <w:p>
      <w:pPr>
        <w:ind w:right="120"/>
        <w:spacing w:after="0" w:line="289" w:lineRule="auto"/>
        <w:rPr>
          <w:sz w:val="20"/>
          <w:szCs w:val="20"/>
          <w:color w:val="auto"/>
        </w:rPr>
      </w:pPr>
      <w:r>
        <w:rPr>
          <w:rFonts w:ascii="Arial" w:cs="Arial" w:eastAsia="Arial" w:hAnsi="Arial"/>
          <w:sz w:val="15"/>
          <w:szCs w:val="15"/>
          <w:color w:val="auto"/>
        </w:rPr>
        <w:t>Headline spot rates for TFDE LNG carriers (“LNGCs”), as reported by Clarksons, averaged approximately $64,000 per day in the third quarter of 2019, a 31% increase over the second quarter of 2019 but below the $82,000 per day in the third quarter of 2018. Low gas pricing during the quarter kept the arbitrage window between the Atlantic and Pacific basins closed, resulting in reduced demand for spot fixtures and lower average voyage distances. According to Poten, there were 75 spot (single voyage and multi-month) fixtures in the third quarter of 2019, compared to 84 and 81 in the second quarter of 2019 and the third quarter of 2018, respectively. However, longer-term (over 181 days according to Poten) fixture activity remained healthy in the third quarter, totaling 24 fixtures compared to 19 and 12 fixtures in the second quarter of 2019 and the third quarter of 2018, respectively. Furthermore, according to Poten data, there have been at least 178 spot fixtures (defined as up to six months in duration) for Steam vessels since the beginning of 2017, implying continuing demand for Steam vessels in the short-term charter market.</w:t>
      </w:r>
    </w:p>
    <w:p>
      <w:pPr>
        <w:spacing w:after="0" w:line="180" w:lineRule="exact"/>
        <w:rPr>
          <w:sz w:val="20"/>
          <w:szCs w:val="20"/>
          <w:color w:val="auto"/>
        </w:rPr>
      </w:pPr>
    </w:p>
    <w:p>
      <w:pPr>
        <w:ind w:right="100"/>
        <w:spacing w:after="0" w:line="318" w:lineRule="auto"/>
        <w:rPr>
          <w:sz w:val="20"/>
          <w:szCs w:val="20"/>
          <w:color w:val="auto"/>
        </w:rPr>
      </w:pPr>
      <w:r>
        <w:rPr>
          <w:rFonts w:ascii="Arial" w:cs="Arial" w:eastAsia="Arial" w:hAnsi="Arial"/>
          <w:sz w:val="14"/>
          <w:szCs w:val="14"/>
          <w:color w:val="auto"/>
        </w:rPr>
        <w:t>Clarksons currently assesses headline spot rates for TFDE and Steam LNG carriers at $140,000 per day and $100,000 per day, respectively. These figures represent significant increases of 128% and 138%, respectively, since mid-September, with prompt vessel availability falling as new supply projects such as Cameron and Freeport ramp up and as the market anticipates a seasonal increase in LNG commodity and vessel demand ahead of the Northern Hemisphere winter. As a result, prompt vessel availability, as reported by Poten, has declined in recent weeks to fewer than three vessels across all basins, the lowest levels since December 2018. With high gas inventories in Europe and Asia, charterers are either slow-steaming vessels and/or utilizing LNG carriers as floating storage until regasification capacity and winter demand and price signals emerge.</w:t>
      </w:r>
    </w:p>
    <w:p>
      <w:pPr>
        <w:spacing w:after="0" w:line="162"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Poten currently estimates the one-year time charter rate for TFDE and Steam LNG carriers at $84,000 per day and $50,000 per day respectively, although the current term charter market for on-the-water ships, and Steams in particular, has limited liquidity for charters greater than one year. We continue to anticipate that the ongoing LNG shipping market tightening should persist through at least early 2021, which may result in further term charter opportunities for on-the-water vessels as their existing charters expire.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As of October 28, 2019, the LNG fleet and orderbook (excluding floating storage and regasification units (“FSRUs”)) and vessels with capacity below</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7" w:name="page8"/>
    <w:bookmarkEnd w:id="7"/>
    <w:p>
      <w:pPr>
        <w:ind w:right="100"/>
        <w:spacing w:after="0" w:line="278" w:lineRule="auto"/>
        <w:rPr>
          <w:sz w:val="20"/>
          <w:szCs w:val="20"/>
          <w:color w:val="auto"/>
        </w:rPr>
      </w:pPr>
      <w:r>
        <w:rPr>
          <w:rFonts w:ascii="Arial" w:cs="Arial" w:eastAsia="Arial" w:hAnsi="Arial"/>
          <w:sz w:val="16"/>
          <w:szCs w:val="16"/>
          <w:color w:val="auto"/>
        </w:rPr>
        <w:t>100,000 cbm) stood at 507 and 110 vessels, respectively, as estimated by Poten, with the orderbook representing 22% of the on-the-water fleet, unchanged from the beginning of 2019. Out of the LNGCs in the current orderbook, 68, or 62%, are chartered on multi-year contracts. There have been 37 vessels ordered thus far in 2019, including 13 during the third quarter, compared to a total of 63 in 2018, suggesting that the pace of newbuild ordering continues to moderate.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239"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GasLog Partners will host a conference call to discuss its results for the third quarter of 2019 at 8:30 a.m. EDT (12:30 p.m. GMT) on Wednesday, October 30, 2019. Andrew Orekar, Chief Executive Officer, and Alastair Maxwell, Chief Financial Officer, will review the Partnership’s operational and financial performance for the period. Management’s presentation will be followed by a Q&amp;A session.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dial-in numbers for the conference call are as follows: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+1 855 253 8928 (USA)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+44 20 3107 0289 (United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+33 1 70 80 71 53 (France)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+852 5819 4851 (Hong Kong)</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Conference ID: 7884757</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 live webcast of the conference call will also be available on the Investor Relations page of the Partnership’s website at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http://www.gaslogmlp.com/investor-relations</w:t>
      </w:r>
      <w:r>
        <w:rPr>
          <w:rFonts w:ascii="Arial" w:cs="Arial" w:eastAsia="Arial" w:hAnsi="Arial"/>
          <w:sz w:val="16"/>
          <w:szCs w:val="16"/>
          <w:color w:val="000000"/>
        </w:rPr>
        <w:t>.</w:t>
      </w:r>
    </w:p>
    <w:p>
      <w:pPr>
        <w:spacing w:after="0" w:line="231" w:lineRule="exact"/>
        <w:rPr>
          <w:sz w:val="20"/>
          <w:szCs w:val="20"/>
          <w:color w:val="auto"/>
        </w:rPr>
      </w:pPr>
    </w:p>
    <w:p>
      <w:pPr>
        <w:ind w:right="1300"/>
        <w:spacing w:after="0" w:line="293" w:lineRule="auto"/>
        <w:rPr>
          <w:sz w:val="20"/>
          <w:szCs w:val="20"/>
          <w:color w:val="auto"/>
        </w:rPr>
      </w:pPr>
      <w:r>
        <w:rPr>
          <w:rFonts w:ascii="Arial" w:cs="Arial" w:eastAsia="Arial" w:hAnsi="Arial"/>
          <w:sz w:val="16"/>
          <w:szCs w:val="16"/>
          <w:color w:val="auto"/>
        </w:rPr>
        <w:t xml:space="preserve">For those unable to participate in the conference call, a replay of the webcast will be available on the Investor Relations page of the Partnership’s website at </w:t>
      </w:r>
      <w:r>
        <w:rPr>
          <w:rFonts w:ascii="Arial" w:cs="Arial" w:eastAsia="Arial" w:hAnsi="Arial"/>
          <w:sz w:val="16"/>
          <w:szCs w:val="16"/>
          <w:u w:val="single" w:color="auto"/>
          <w:color w:val="0000FF"/>
        </w:rPr>
        <w:t>http://www.gaslogmlp.com/investor-relations</w:t>
      </w:r>
      <w:r>
        <w:rPr>
          <w:rFonts w:ascii="Arial" w:cs="Arial" w:eastAsia="Arial" w:hAnsi="Arial"/>
          <w:sz w:val="16"/>
          <w:szCs w:val="16"/>
          <w:color w:val="000000"/>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 Partners</w:t>
      </w:r>
    </w:p>
    <w:p>
      <w:pPr>
        <w:spacing w:after="0" w:line="239"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 xml:space="preserve">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Gildo Pastor Center, 7 Rue du Gabian, MC 98000, Monaco. Visit GasLog Partners’ website at </w:t>
      </w:r>
      <w:r>
        <w:rPr>
          <w:rFonts w:ascii="Arial" w:cs="Arial" w:eastAsia="Arial" w:hAnsi="Arial"/>
          <w:sz w:val="16"/>
          <w:szCs w:val="16"/>
          <w:u w:val="single" w:color="auto"/>
          <w:color w:val="0000FF"/>
        </w:rPr>
        <w:t>http://www.gaslogmlp.com</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39"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48" w:lineRule="exact"/>
        <w:rPr>
          <w:sz w:val="20"/>
          <w:szCs w:val="20"/>
          <w:color w:val="auto"/>
        </w:rPr>
      </w:pPr>
    </w:p>
    <w:p>
      <w:pPr>
        <w:ind w:left="660" w:right="140" w:hanging="328"/>
        <w:spacing w:after="0" w:line="251"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fluctuations in charter hire rates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our ability to secure new multi-year charters at economically attractive rates;</w:t>
      </w:r>
    </w:p>
    <w:p>
      <w:pPr>
        <w:spacing w:after="0" w:line="9" w:lineRule="exact"/>
        <w:rPr>
          <w:rFonts w:ascii="Arial" w:cs="Arial" w:eastAsia="Arial" w:hAnsi="Arial"/>
          <w:sz w:val="18"/>
          <w:szCs w:val="18"/>
          <w:color w:val="auto"/>
        </w:rPr>
      </w:pPr>
    </w:p>
    <w:p>
      <w:pPr>
        <w:ind w:left="660" w:right="220" w:hanging="328"/>
        <w:spacing w:after="0" w:line="266" w:lineRule="auto"/>
        <w:tabs>
          <w:tab w:leader="none" w:pos="624" w:val="left"/>
        </w:tabs>
        <w:numPr>
          <w:ilvl w:val="0"/>
          <w:numId w:val="5"/>
        </w:numPr>
        <w:rPr>
          <w:rFonts w:ascii="Arial" w:cs="Arial" w:eastAsia="Arial" w:hAnsi="Arial"/>
          <w:sz w:val="17"/>
          <w:szCs w:val="17"/>
          <w:color w:val="auto"/>
        </w:rPr>
      </w:pPr>
      <w:r>
        <w:rPr>
          <w:rFonts w:ascii="Arial" w:cs="Arial" w:eastAsia="Arial" w:hAnsi="Arial"/>
          <w:sz w:val="15"/>
          <w:szCs w:val="15"/>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10" w:lineRule="exact"/>
        <w:rPr>
          <w:rFonts w:ascii="Arial" w:cs="Arial" w:eastAsia="Arial" w:hAnsi="Arial"/>
          <w:sz w:val="17"/>
          <w:szCs w:val="17"/>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fluctuations in prices for crude oil, petroleum products and natural gas;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fluctuations in exchange rates, especially the U.S. dollar and Euro;</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our ability to expand our portfolio by acquiring vessels through our drop-down pipeline with GasLog or by acquiring other assets from third parties;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the ability of GasLog to maintain long-term relationships with major energy companies and major LNG producers, marketers and consumers;</w:t>
      </w:r>
    </w:p>
    <w:p>
      <w:pPr>
        <w:spacing w:after="0" w:line="9" w:lineRule="exact"/>
        <w:rPr>
          <w:rFonts w:ascii="Arial" w:cs="Arial" w:eastAsia="Arial" w:hAnsi="Arial"/>
          <w:sz w:val="18"/>
          <w:szCs w:val="18"/>
          <w:color w:val="auto"/>
        </w:rPr>
      </w:pPr>
    </w:p>
    <w:p>
      <w:pPr>
        <w:ind w:left="660" w:right="340" w:hanging="328"/>
        <w:spacing w:after="0" w:line="251"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changes in the ownership of our charterers;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8" w:name="page9"/>
    <w:bookmarkEnd w:id="8"/>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6"/>
          <w:szCs w:val="16"/>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6"/>
          <w:szCs w:val="16"/>
          <w:color w:val="auto"/>
        </w:rPr>
        <w:t>our future operating performance, financial condition, liquidity and cash available for distributions;</w:t>
      </w:r>
    </w:p>
    <w:p>
      <w:pPr>
        <w:spacing w:after="0" w:line="9" w:lineRule="exact"/>
        <w:rPr>
          <w:rFonts w:ascii="Arial" w:cs="Arial" w:eastAsia="Arial" w:hAnsi="Arial"/>
          <w:sz w:val="18"/>
          <w:szCs w:val="18"/>
          <w:color w:val="auto"/>
        </w:rPr>
      </w:pPr>
    </w:p>
    <w:p>
      <w:pPr>
        <w:ind w:left="660" w:right="140" w:hanging="328"/>
        <w:spacing w:after="0" w:line="251"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6"/>
          <w:szCs w:val="16"/>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w:t>
      </w:r>
    </w:p>
    <w:p>
      <w:pPr>
        <w:spacing w:after="0" w:line="20" w:lineRule="exact"/>
        <w:rPr>
          <w:rFonts w:ascii="Arial" w:cs="Arial" w:eastAsia="Arial" w:hAnsi="Arial"/>
          <w:sz w:val="17"/>
          <w:szCs w:val="17"/>
          <w:color w:val="auto"/>
        </w:rPr>
      </w:pPr>
    </w:p>
    <w:p>
      <w:pPr>
        <w:ind w:left="660" w:hanging="328"/>
        <w:spacing w:after="0" w:line="251"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6"/>
          <w:szCs w:val="16"/>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6"/>
          <w:szCs w:val="16"/>
          <w:color w:val="auto"/>
        </w:rPr>
        <w:t>potential liability from future litigation;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5"/>
          <w:szCs w:val="15"/>
          <w:color w:val="auto"/>
        </w:rPr>
        <w:t xml:space="preserve">other risks and uncertainties described in the Partnership’s Annual Report on Form 20-F filed with the SEC on February 26, 2019,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23"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spacing w:after="0" w:line="329" w:lineRule="auto"/>
        <w:rPr>
          <w:sz w:val="20"/>
          <w:szCs w:val="20"/>
          <w:color w:val="auto"/>
        </w:rPr>
      </w:pPr>
      <w:r>
        <w:rPr>
          <w:rFonts w:ascii="Arial" w:cs="Arial" w:eastAsia="Arial" w:hAnsi="Arial"/>
          <w:sz w:val="15"/>
          <w:szCs w:val="15"/>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Alastair Maxwell</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+44-203-388-3100</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Phil Corbett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+44-203-388-3116</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Joseph Nelson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Deputy 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+1-212-223-0643</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ir@gaslogmlp.com</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59" w:right="29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EXHIBIT I – Unaudited Interim Financial Information: IFRS Common Control Reported Results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of December 31, 2018 and September 30,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176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w:t>
            </w:r>
          </w:p>
        </w:tc>
        <w:tc>
          <w:tcPr>
            <w:tcW w:w="1480" w:type="dxa"/>
            <w:vAlign w:val="bottom"/>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8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14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assets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850</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5,116</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Vessels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2,509,283</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2,440,314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Right-of-use assets</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2,515,249</w:t>
            </w:r>
          </w:p>
        </w:tc>
        <w:tc>
          <w:tcPr>
            <w:tcW w:w="28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2,441,647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6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17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13,811</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6,310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Inventories</w:t>
            </w:r>
          </w:p>
        </w:tc>
        <w:tc>
          <w:tcPr>
            <w:tcW w:w="1480" w:type="dxa"/>
            <w:vAlign w:val="bottom"/>
          </w:tcPr>
          <w:p>
            <w:pPr>
              <w:jc w:val="right"/>
              <w:spacing w:after="0"/>
              <w:rPr>
                <w:sz w:val="20"/>
                <w:szCs w:val="20"/>
                <w:color w:val="auto"/>
              </w:rPr>
            </w:pPr>
            <w:r>
              <w:rPr>
                <w:rFonts w:ascii="Arial" w:cs="Arial" w:eastAsia="Arial" w:hAnsi="Arial"/>
                <w:sz w:val="16"/>
                <w:szCs w:val="16"/>
                <w:color w:val="auto"/>
              </w:rPr>
              <w:t>3,379</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Due from related parties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14,540</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1480" w:type="dxa"/>
            <w:vAlign w:val="bottom"/>
          </w:tcPr>
          <w:p>
            <w:pPr>
              <w:jc w:val="right"/>
              <w:spacing w:after="0"/>
              <w:rPr>
                <w:sz w:val="20"/>
                <w:szCs w:val="20"/>
                <w:color w:val="auto"/>
              </w:rPr>
            </w:pPr>
            <w:r>
              <w:rPr>
                <w:rFonts w:ascii="Arial" w:cs="Arial" w:eastAsia="Arial" w:hAnsi="Arial"/>
                <w:sz w:val="16"/>
                <w:szCs w:val="16"/>
                <w:color w:val="auto"/>
              </w:rPr>
              <w:t>1,245</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4,615</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Short-term investments</w:t>
            </w:r>
          </w:p>
        </w:tc>
        <w:tc>
          <w:tcPr>
            <w:tcW w:w="1480" w:type="dxa"/>
            <w:vAlign w:val="bottom"/>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133,370</w:t>
            </w:r>
          </w:p>
        </w:tc>
        <w:tc>
          <w:tcPr>
            <w:tcW w:w="280" w:type="dxa"/>
            <w:vAlign w:val="bottom"/>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65,823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180,960</w:t>
            </w:r>
          </w:p>
        </w:tc>
        <w:tc>
          <w:tcPr>
            <w:tcW w:w="280" w:type="dxa"/>
            <w:vAlign w:val="bottom"/>
            <w:tcBorders>
              <w:bottom w:val="single" w:sz="8" w:color="E5FF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87,832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2,696,209</w:t>
            </w:r>
          </w:p>
        </w:tc>
        <w:tc>
          <w:tcPr>
            <w:tcW w:w="280" w:type="dxa"/>
            <w:vAlign w:val="bottom"/>
            <w:tcBorders>
              <w:bottom w:val="single" w:sz="8" w:color="E5FFFF"/>
            </w:tcBorders>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2,529,479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spacing w:after="0"/>
              <w:rPr>
                <w:sz w:val="20"/>
                <w:szCs w:val="20"/>
                <w:color w:val="auto"/>
              </w:rPr>
            </w:pPr>
            <w:r>
              <w:rPr>
                <w:rFonts w:ascii="Arial" w:cs="Arial" w:eastAsia="Arial" w:hAnsi="Arial"/>
                <w:sz w:val="16"/>
                <w:szCs w:val="16"/>
                <w:b w:val="1"/>
                <w:bCs w:val="1"/>
                <w:color w:val="auto"/>
              </w:rPr>
              <w:t>Partners’ equity and liabilities</w:t>
            </w: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6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Partners’ equity</w:t>
            </w:r>
          </w:p>
        </w:tc>
        <w:tc>
          <w:tcPr>
            <w:tcW w:w="14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Owners’ capital</w:t>
            </w:r>
          </w:p>
        </w:tc>
        <w:tc>
          <w:tcPr>
            <w:tcW w:w="1480" w:type="dxa"/>
            <w:vAlign w:val="bottom"/>
          </w:tcPr>
          <w:p>
            <w:pPr>
              <w:jc w:val="right"/>
              <w:spacing w:after="0"/>
              <w:rPr>
                <w:sz w:val="20"/>
                <w:szCs w:val="20"/>
                <w:color w:val="auto"/>
              </w:rPr>
            </w:pPr>
            <w:r>
              <w:rPr>
                <w:rFonts w:ascii="Arial" w:cs="Arial" w:eastAsia="Arial" w:hAnsi="Arial"/>
                <w:sz w:val="16"/>
                <w:szCs w:val="16"/>
                <w:color w:val="auto"/>
              </w:rPr>
              <w:t>73,134</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w w:val="96"/>
              </w:rPr>
              <w:t>Common unitholders (45,448,993 units issued and outstanding as of December 31, 2018 and 47,046,495 units issued</w:t>
            </w:r>
          </w:p>
        </w:tc>
        <w:tc>
          <w:tcPr>
            <w:tcW w:w="14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4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60" w:type="dxa"/>
            <w:vAlign w:val="bottom"/>
            <w:shd w:val="clear" w:color="auto" w:fill="E5FFFF"/>
          </w:tcPr>
          <w:p>
            <w:pPr>
              <w:ind w:left="140"/>
              <w:spacing w:after="0"/>
              <w:rPr>
                <w:sz w:val="20"/>
                <w:szCs w:val="20"/>
                <w:color w:val="auto"/>
              </w:rPr>
            </w:pPr>
            <w:r>
              <w:rPr>
                <w:rFonts w:ascii="Arial" w:cs="Arial" w:eastAsia="Arial" w:hAnsi="Arial"/>
                <w:sz w:val="16"/>
                <w:szCs w:val="16"/>
                <w:color w:val="auto"/>
              </w:rPr>
              <w:t>and outstanding as of September 30, 2019)</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812,863</w:t>
            </w:r>
          </w:p>
        </w:tc>
        <w:tc>
          <w:tcPr>
            <w:tcW w:w="280" w:type="dxa"/>
            <w:vAlign w:val="bottom"/>
            <w:shd w:val="clear" w:color="auto" w:fill="E5FFFF"/>
          </w:tcPr>
          <w:p>
            <w:pPr>
              <w:spacing w:after="0"/>
              <w:rPr>
                <w:sz w:val="18"/>
                <w:szCs w:val="18"/>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746,823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Class B unitholders (nil units issued and outstanding as of December 31, 2018 and 2,490,000 units issued and</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60" w:type="dxa"/>
            <w:vAlign w:val="bottom"/>
          </w:tcPr>
          <w:p>
            <w:pPr>
              <w:ind w:left="140"/>
              <w:spacing w:after="0"/>
              <w:rPr>
                <w:sz w:val="20"/>
                <w:szCs w:val="20"/>
                <w:color w:val="auto"/>
              </w:rPr>
            </w:pPr>
            <w:r>
              <w:rPr>
                <w:rFonts w:ascii="Arial" w:cs="Arial" w:eastAsia="Arial" w:hAnsi="Arial"/>
                <w:sz w:val="16"/>
                <w:szCs w:val="16"/>
                <w:color w:val="auto"/>
              </w:rPr>
              <w:t>outstanding as of September 30, 2019)</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(927,532 units issued and outstanding as of December 31, 2018 and 1,021,336 units issued and</w:t>
            </w:r>
          </w:p>
        </w:tc>
        <w:tc>
          <w:tcPr>
            <w:tcW w:w="14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60" w:type="dxa"/>
            <w:vAlign w:val="bottom"/>
            <w:shd w:val="clear" w:color="auto" w:fill="E5FFFF"/>
          </w:tcPr>
          <w:p>
            <w:pPr>
              <w:ind w:left="140"/>
              <w:spacing w:after="0"/>
              <w:rPr>
                <w:sz w:val="20"/>
                <w:szCs w:val="20"/>
                <w:color w:val="auto"/>
              </w:rPr>
            </w:pPr>
            <w:r>
              <w:rPr>
                <w:rFonts w:ascii="Arial" w:cs="Arial" w:eastAsia="Arial" w:hAnsi="Arial"/>
                <w:sz w:val="16"/>
                <w:szCs w:val="16"/>
                <w:color w:val="auto"/>
              </w:rPr>
              <w:t>outstanding as of September 30, 2019)</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13,289</w:t>
            </w:r>
          </w:p>
        </w:tc>
        <w:tc>
          <w:tcPr>
            <w:tcW w:w="280" w:type="dxa"/>
            <w:vAlign w:val="bottom"/>
            <w:shd w:val="clear" w:color="auto" w:fill="E5FFFF"/>
          </w:tcPr>
          <w:p>
            <w:pPr>
              <w:spacing w:after="0"/>
              <w:rPr>
                <w:sz w:val="18"/>
                <w:szCs w:val="18"/>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14,255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Incentive distribution rights (“IDR”)</w:t>
            </w:r>
          </w:p>
        </w:tc>
        <w:tc>
          <w:tcPr>
            <w:tcW w:w="1480" w:type="dxa"/>
            <w:vAlign w:val="bottom"/>
          </w:tcPr>
          <w:p>
            <w:pPr>
              <w:jc w:val="right"/>
              <w:spacing w:after="0"/>
              <w:rPr>
                <w:sz w:val="20"/>
                <w:szCs w:val="20"/>
                <w:color w:val="auto"/>
              </w:rPr>
            </w:pPr>
            <w:r>
              <w:rPr>
                <w:rFonts w:ascii="Arial" w:cs="Arial" w:eastAsia="Arial" w:hAnsi="Arial"/>
                <w:sz w:val="16"/>
                <w:szCs w:val="16"/>
                <w:color w:val="auto"/>
              </w:rPr>
              <w:t>5,176</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w w:val="99"/>
              </w:rPr>
              <w:t>Preference unitholders (5,750,000 Series A Preference Units, 4,600,000 Series B Preference Units and 4,000,000</w:t>
            </w:r>
          </w:p>
        </w:tc>
        <w:tc>
          <w:tcPr>
            <w:tcW w:w="14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4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60" w:type="dxa"/>
            <w:vAlign w:val="bottom"/>
            <w:shd w:val="clear" w:color="auto" w:fill="E5FFFF"/>
          </w:tcPr>
          <w:p>
            <w:pPr>
              <w:ind w:left="140"/>
              <w:spacing w:after="0"/>
              <w:rPr>
                <w:sz w:val="20"/>
                <w:szCs w:val="20"/>
                <w:color w:val="auto"/>
              </w:rPr>
            </w:pPr>
            <w:r>
              <w:rPr>
                <w:rFonts w:ascii="Arial" w:cs="Arial" w:eastAsia="Arial" w:hAnsi="Arial"/>
                <w:sz w:val="16"/>
                <w:szCs w:val="16"/>
                <w:color w:val="auto"/>
              </w:rPr>
              <w:t>Series C Preference Units issued and outstanding as of December 31, 2018 and September 30, 2019)</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348,331</w:t>
            </w:r>
          </w:p>
        </w:tc>
        <w:tc>
          <w:tcPr>
            <w:tcW w:w="280" w:type="dxa"/>
            <w:vAlign w:val="bottom"/>
            <w:shd w:val="clear" w:color="auto" w:fill="E5FFFF"/>
          </w:tcPr>
          <w:p>
            <w:pPr>
              <w:spacing w:after="0"/>
              <w:rPr>
                <w:sz w:val="18"/>
                <w:szCs w:val="18"/>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347,889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partners’ equity</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1,252,793</w:t>
            </w:r>
          </w:p>
        </w:tc>
        <w:tc>
          <w:tcPr>
            <w:tcW w:w="280" w:type="dxa"/>
            <w:vAlign w:val="bottom"/>
            <w:tcBorders>
              <w:bottom w:val="single" w:sz="8" w:color="E5FF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1,108,967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148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48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Trade accounts payable</w:t>
            </w:r>
          </w:p>
        </w:tc>
        <w:tc>
          <w:tcPr>
            <w:tcW w:w="1480" w:type="dxa"/>
            <w:vAlign w:val="bottom"/>
          </w:tcPr>
          <w:p>
            <w:pPr>
              <w:jc w:val="right"/>
              <w:spacing w:after="0"/>
              <w:rPr>
                <w:sz w:val="20"/>
                <w:szCs w:val="20"/>
                <w:color w:val="auto"/>
              </w:rPr>
            </w:pPr>
            <w:r>
              <w:rPr>
                <w:rFonts w:ascii="Arial" w:cs="Arial" w:eastAsia="Arial" w:hAnsi="Arial"/>
                <w:sz w:val="16"/>
                <w:szCs w:val="16"/>
                <w:color w:val="auto"/>
              </w:rPr>
              <w:t>7,626</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12,281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Due to related parties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2,623</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1480" w:type="dxa"/>
            <w:vAlign w:val="bottom"/>
          </w:tcPr>
          <w:p>
            <w:pPr>
              <w:jc w:val="right"/>
              <w:spacing w:after="0"/>
              <w:rPr>
                <w:sz w:val="20"/>
                <w:szCs w:val="20"/>
                <w:color w:val="auto"/>
              </w:rPr>
            </w:pPr>
            <w:r>
              <w:rPr>
                <w:rFonts w:ascii="Arial" w:cs="Arial" w:eastAsia="Arial" w:hAnsi="Arial"/>
                <w:sz w:val="16"/>
                <w:szCs w:val="16"/>
                <w:color w:val="auto"/>
              </w:rPr>
              <w:t>1,253</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Other payables and accruals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60,671</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20,705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Borrowings—current portion</w:t>
            </w:r>
          </w:p>
        </w:tc>
        <w:tc>
          <w:tcPr>
            <w:tcW w:w="1480" w:type="dxa"/>
            <w:vAlign w:val="bottom"/>
          </w:tcPr>
          <w:p>
            <w:pPr>
              <w:jc w:val="right"/>
              <w:spacing w:after="0"/>
              <w:rPr>
                <w:sz w:val="20"/>
                <w:szCs w:val="20"/>
                <w:color w:val="auto"/>
              </w:rPr>
            </w:pPr>
            <w:r>
              <w:rPr>
                <w:rFonts w:ascii="Arial" w:cs="Arial" w:eastAsia="Arial" w:hAnsi="Arial"/>
                <w:sz w:val="16"/>
                <w:szCs w:val="16"/>
                <w:color w:val="auto"/>
              </w:rPr>
              <w:t>440,389</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110,250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Lease liabilities—current portion</w:t>
            </w:r>
          </w:p>
        </w:tc>
        <w:tc>
          <w:tcPr>
            <w:tcW w:w="17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512,562</w:t>
            </w:r>
          </w:p>
        </w:tc>
        <w:tc>
          <w:tcPr>
            <w:tcW w:w="280" w:type="dxa"/>
            <w:vAlign w:val="bottom"/>
            <w:tcBorders>
              <w:bottom w:val="single" w:sz="8" w:color="E5FF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148,399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148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48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1480" w:type="dxa"/>
            <w:vAlign w:val="bottom"/>
          </w:tcPr>
          <w:p>
            <w:pPr>
              <w:jc w:val="right"/>
              <w:spacing w:after="0"/>
              <w:rPr>
                <w:sz w:val="20"/>
                <w:szCs w:val="20"/>
                <w:color w:val="auto"/>
              </w:rPr>
            </w:pPr>
            <w:r>
              <w:rPr>
                <w:rFonts w:ascii="Arial" w:cs="Arial" w:eastAsia="Arial" w:hAnsi="Arial"/>
                <w:sz w:val="16"/>
                <w:szCs w:val="16"/>
                <w:color w:val="auto"/>
              </w:rPr>
              <w:t>3,543</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9,697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Borrowings—non-current portion</w:t>
            </w:r>
          </w:p>
        </w:tc>
        <w:tc>
          <w:tcPr>
            <w:tcW w:w="17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925,411</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1,260,612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Lease liabilities—non-current portion</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liabilities</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1,900</w:t>
            </w:r>
          </w:p>
        </w:tc>
        <w:tc>
          <w:tcPr>
            <w:tcW w:w="280" w:type="dxa"/>
            <w:vAlign w:val="bottom"/>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930,854</w:t>
            </w:r>
          </w:p>
        </w:tc>
        <w:tc>
          <w:tcPr>
            <w:tcW w:w="280" w:type="dxa"/>
            <w:vAlign w:val="bottom"/>
            <w:tcBorders>
              <w:bottom w:val="single" w:sz="8" w:color="E5FF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1,272,113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2,696,209</w:t>
            </w:r>
          </w:p>
        </w:tc>
        <w:tc>
          <w:tcPr>
            <w:tcW w:w="280" w:type="dxa"/>
            <w:vAlign w:val="bottom"/>
            <w:tcBorders>
              <w:bottom w:val="single" w:sz="8" w:color="E5FFFF"/>
            </w:tcBorders>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2,529,479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2"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nine months ended September 30, 2018 and September 30,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380" w:type="dxa"/>
            <w:vAlign w:val="bottom"/>
            <w:gridSpan w:val="4"/>
          </w:tcPr>
          <w:p>
            <w:pPr>
              <w:jc w:val="right"/>
              <w:ind w:right="840"/>
              <w:spacing w:after="0"/>
              <w:rPr>
                <w:sz w:val="20"/>
                <w:szCs w:val="20"/>
                <w:color w:val="auto"/>
              </w:rPr>
            </w:pPr>
            <w:r>
              <w:rPr>
                <w:rFonts w:ascii="Arial" w:cs="Arial" w:eastAsia="Arial" w:hAnsi="Arial"/>
                <w:sz w:val="16"/>
                <w:szCs w:val="16"/>
                <w:b w:val="1"/>
                <w:bCs w:val="1"/>
                <w:color w:val="auto"/>
              </w:rPr>
              <w:t>For the three months ended</w:t>
            </w:r>
          </w:p>
        </w:tc>
        <w:tc>
          <w:tcPr>
            <w:tcW w:w="32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17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17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E5FFFF"/>
            </w:tcBorders>
          </w:tcPr>
          <w:p>
            <w:pPr>
              <w:spacing w:after="0"/>
              <w:rPr>
                <w:sz w:val="18"/>
                <w:szCs w:val="18"/>
                <w:color w:val="auto"/>
              </w:rPr>
            </w:pPr>
          </w:p>
        </w:tc>
        <w:tc>
          <w:tcPr>
            <w:tcW w:w="15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E5FFFF"/>
            </w:tcBorders>
          </w:tcPr>
          <w:p>
            <w:pPr>
              <w:spacing w:after="0"/>
              <w:rPr>
                <w:sz w:val="18"/>
                <w:szCs w:val="18"/>
                <w:color w:val="auto"/>
              </w:rPr>
            </w:pPr>
          </w:p>
        </w:tc>
        <w:tc>
          <w:tcPr>
            <w:tcW w:w="15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97,205</w:t>
            </w:r>
          </w:p>
        </w:tc>
        <w:tc>
          <w:tcPr>
            <w:tcW w:w="22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96,485</w:t>
            </w:r>
          </w:p>
        </w:tc>
        <w:tc>
          <w:tcPr>
            <w:tcW w:w="22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288,626</w:t>
            </w:r>
          </w:p>
        </w:tc>
        <w:tc>
          <w:tcPr>
            <w:tcW w:w="20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282,175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Net pool allocation</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780</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423</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6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(3,550)</w:t>
            </w:r>
          </w:p>
        </w:tc>
        <w:tc>
          <w:tcPr>
            <w:tcW w:w="17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(1,673)</w:t>
            </w:r>
          </w:p>
        </w:tc>
        <w:tc>
          <w:tcPr>
            <w:tcW w:w="17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(6,609)</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(5,547)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(18,597)</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(18,116)</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(56,930)</w:t>
            </w:r>
          </w:p>
        </w:tc>
        <w:tc>
          <w:tcPr>
            <w:tcW w:w="1500" w:type="dxa"/>
            <w:vAlign w:val="bottom"/>
          </w:tcPr>
          <w:p>
            <w:pPr>
              <w:jc w:val="right"/>
              <w:spacing w:after="0"/>
              <w:rPr>
                <w:sz w:val="20"/>
                <w:szCs w:val="20"/>
                <w:color w:val="auto"/>
              </w:rPr>
            </w:pPr>
            <w:r>
              <w:rPr>
                <w:rFonts w:ascii="Arial" w:cs="Arial" w:eastAsia="Arial" w:hAnsi="Arial"/>
                <w:sz w:val="16"/>
                <w:szCs w:val="16"/>
                <w:color w:val="auto"/>
              </w:rPr>
              <w:t>(55,295)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6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(22,133)</w:t>
            </w:r>
          </w:p>
        </w:tc>
        <w:tc>
          <w:tcPr>
            <w:tcW w:w="17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(22,819)</w:t>
            </w:r>
          </w:p>
        </w:tc>
        <w:tc>
          <w:tcPr>
            <w:tcW w:w="17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(65,458)</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(66,826)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(4,882</w:t>
            </w:r>
            <w:r>
              <w:rPr>
                <w:rFonts w:ascii="Arial" w:cs="Arial" w:eastAsia="Arial" w:hAnsi="Arial"/>
                <w:sz w:val="16"/>
                <w:szCs w:val="16"/>
                <w:b w:val="1"/>
                <w:bCs w:val="1"/>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(4,917</w:t>
            </w:r>
            <w:r>
              <w:rPr>
                <w:rFonts w:ascii="Arial" w:cs="Arial" w:eastAsia="Arial" w:hAnsi="Arial"/>
                <w:sz w:val="16"/>
                <w:szCs w:val="16"/>
                <w:b w:val="1"/>
                <w:bCs w:val="1"/>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(14,668</w:t>
            </w:r>
            <w:r>
              <w:rPr>
                <w:rFonts w:ascii="Arial" w:cs="Arial" w:eastAsia="Arial" w:hAnsi="Arial"/>
                <w:sz w:val="16"/>
                <w:szCs w:val="16"/>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(14,352)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48,823</w:t>
            </w:r>
          </w:p>
        </w:tc>
        <w:tc>
          <w:tcPr>
            <w:tcW w:w="2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48,960</w:t>
            </w:r>
          </w:p>
        </w:tc>
        <w:tc>
          <w:tcPr>
            <w:tcW w:w="22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145,384</w:t>
            </w:r>
          </w:p>
        </w:tc>
        <w:tc>
          <w:tcPr>
            <w:tcW w:w="20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141,213</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Financial costs</w:t>
            </w:r>
          </w:p>
        </w:tc>
        <w:tc>
          <w:tcPr>
            <w:tcW w:w="1460" w:type="dxa"/>
            <w:vAlign w:val="bottom"/>
          </w:tcPr>
          <w:p>
            <w:pPr>
              <w:jc w:val="right"/>
              <w:spacing w:after="0"/>
              <w:rPr>
                <w:sz w:val="20"/>
                <w:szCs w:val="20"/>
                <w:color w:val="auto"/>
              </w:rPr>
            </w:pPr>
            <w:r>
              <w:rPr>
                <w:rFonts w:ascii="Arial" w:cs="Arial" w:eastAsia="Arial" w:hAnsi="Arial"/>
                <w:sz w:val="16"/>
                <w:szCs w:val="16"/>
                <w:color w:val="auto"/>
              </w:rPr>
              <w:t>(18,470)</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(17,534)</w:t>
            </w: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(54,113)</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(55,650</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6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593</w:t>
            </w:r>
          </w:p>
        </w:tc>
        <w:tc>
          <w:tcPr>
            <w:tcW w:w="17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393</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1,718</w:t>
            </w:r>
          </w:p>
        </w:tc>
        <w:tc>
          <w:tcPr>
            <w:tcW w:w="20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Gain/(loss) on derivatives</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2,082</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(2,385)</w:t>
            </w:r>
          </w:p>
        </w:tc>
        <w:tc>
          <w:tcPr>
            <w:tcW w:w="1500" w:type="dxa"/>
            <w:vAlign w:val="bottom"/>
          </w:tcPr>
          <w:p>
            <w:pPr>
              <w:jc w:val="right"/>
              <w:spacing w:after="0"/>
              <w:rPr>
                <w:sz w:val="20"/>
                <w:szCs w:val="20"/>
                <w:color w:val="auto"/>
              </w:rPr>
            </w:pPr>
            <w:r>
              <w:rPr>
                <w:rFonts w:ascii="Arial" w:cs="Arial" w:eastAsia="Arial" w:hAnsi="Arial"/>
                <w:sz w:val="16"/>
                <w:szCs w:val="16"/>
                <w:color w:val="auto"/>
              </w:rPr>
              <w:t>9,997</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(15,528)</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(15,795)</w:t>
            </w:r>
          </w:p>
        </w:tc>
        <w:tc>
          <w:tcPr>
            <w:tcW w:w="2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(19,526)</w:t>
            </w:r>
          </w:p>
        </w:tc>
        <w:tc>
          <w:tcPr>
            <w:tcW w:w="22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(42,398)</w:t>
            </w:r>
          </w:p>
        </w:tc>
        <w:tc>
          <w:tcPr>
            <w:tcW w:w="20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(69,620</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for the period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33,028</w:t>
            </w:r>
          </w:p>
        </w:tc>
        <w:tc>
          <w:tcPr>
            <w:tcW w:w="220" w:type="dxa"/>
            <w:vAlign w:val="bottom"/>
            <w:tcBorders>
              <w:bottom w:val="single" w:sz="8" w:color="E5FF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29,434</w:t>
            </w:r>
          </w:p>
        </w:tc>
        <w:tc>
          <w:tcPr>
            <w:tcW w:w="220" w:type="dxa"/>
            <w:vAlign w:val="bottom"/>
            <w:tcBorders>
              <w:bottom w:val="single" w:sz="8" w:color="E5FF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102,986</w:t>
            </w:r>
          </w:p>
        </w:tc>
        <w:tc>
          <w:tcPr>
            <w:tcW w:w="200" w:type="dxa"/>
            <w:vAlign w:val="bottom"/>
            <w:tcBorders>
              <w:bottom w:val="single" w:sz="8" w:color="E5FF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71,593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shd w:val="clear" w:color="auto" w:fill="E5FFFF"/>
          </w:tcPr>
          <w:p>
            <w:pPr>
              <w:spacing w:after="0" w:line="156" w:lineRule="exact"/>
              <w:rPr>
                <w:sz w:val="20"/>
                <w:szCs w:val="20"/>
                <w:color w:val="auto"/>
              </w:rPr>
            </w:pPr>
            <w:r>
              <w:rPr>
                <w:rFonts w:ascii="Arial" w:cs="Arial" w:eastAsia="Arial" w:hAnsi="Arial"/>
                <w:sz w:val="16"/>
                <w:szCs w:val="16"/>
                <w:color w:val="auto"/>
              </w:rPr>
              <w:t>Less:</w:t>
            </w:r>
          </w:p>
        </w:tc>
        <w:tc>
          <w:tcPr>
            <w:tcW w:w="146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48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500" w:type="dxa"/>
            <w:vAlign w:val="bottom"/>
            <w:shd w:val="clear" w:color="auto" w:fill="E5FFFF"/>
          </w:tcPr>
          <w:p>
            <w:pPr>
              <w:spacing w:after="0"/>
              <w:rPr>
                <w:sz w:val="13"/>
                <w:szCs w:val="13"/>
                <w:color w:val="auto"/>
              </w:rPr>
            </w:pPr>
          </w:p>
        </w:tc>
        <w:tc>
          <w:tcPr>
            <w:tcW w:w="200" w:type="dxa"/>
            <w:vAlign w:val="bottom"/>
            <w:shd w:val="clear" w:color="auto" w:fill="E5FFFF"/>
          </w:tcPr>
          <w:p>
            <w:pPr>
              <w:spacing w:after="0"/>
              <w:rPr>
                <w:sz w:val="13"/>
                <w:szCs w:val="13"/>
                <w:color w:val="auto"/>
              </w:rPr>
            </w:pPr>
          </w:p>
        </w:tc>
        <w:tc>
          <w:tcPr>
            <w:tcW w:w="1500" w:type="dxa"/>
            <w:vAlign w:val="bottom"/>
            <w:shd w:val="clear" w:color="auto" w:fill="E5FF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Profit attributable to GasLog’s operations</w:t>
            </w: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(5,758)</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(20,813)</w:t>
            </w:r>
          </w:p>
        </w:tc>
        <w:tc>
          <w:tcPr>
            <w:tcW w:w="1500" w:type="dxa"/>
            <w:vAlign w:val="bottom"/>
          </w:tcPr>
          <w:p>
            <w:pPr>
              <w:jc w:val="right"/>
              <w:spacing w:after="0"/>
              <w:rPr>
                <w:sz w:val="20"/>
                <w:szCs w:val="20"/>
                <w:color w:val="auto"/>
              </w:rPr>
            </w:pPr>
            <w:r>
              <w:rPr>
                <w:rFonts w:ascii="Arial" w:cs="Arial" w:eastAsia="Arial" w:hAnsi="Arial"/>
                <w:sz w:val="16"/>
                <w:szCs w:val="16"/>
                <w:color w:val="auto"/>
              </w:rPr>
              <w:t>(2,650)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attributable to Partnership’s operations</w:t>
            </w: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27,270</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29,434</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82,173</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68,943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spacing w:after="0"/>
              <w:rPr>
                <w:sz w:val="20"/>
                <w:szCs w:val="20"/>
                <w:color w:val="auto"/>
              </w:rPr>
            </w:pPr>
            <w:r>
              <w:rPr>
                <w:rFonts w:ascii="Arial" w:cs="Arial" w:eastAsia="Arial" w:hAnsi="Arial"/>
                <w:sz w:val="16"/>
                <w:szCs w:val="16"/>
                <w:b w:val="1"/>
                <w:bCs w:val="1"/>
                <w:color w:val="auto"/>
              </w:rPr>
              <w:t>Partnership’s profit attributable to:</w:t>
            </w: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Common units</w:t>
            </w:r>
          </w:p>
        </w:tc>
        <w:tc>
          <w:tcPr>
            <w:tcW w:w="16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21,127</w:t>
            </w:r>
          </w:p>
        </w:tc>
        <w:tc>
          <w:tcPr>
            <w:tcW w:w="17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21,388</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62,279</w:t>
            </w:r>
          </w:p>
        </w:tc>
        <w:tc>
          <w:tcPr>
            <w:tcW w:w="20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45,246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General partner units</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436</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464</w:t>
            </w:r>
          </w:p>
        </w:tc>
        <w:tc>
          <w:tcPr>
            <w:tcW w:w="1500" w:type="dxa"/>
            <w:vAlign w:val="bottom"/>
          </w:tcPr>
          <w:p>
            <w:pPr>
              <w:jc w:val="right"/>
              <w:spacing w:after="0"/>
              <w:rPr>
                <w:sz w:val="20"/>
                <w:szCs w:val="20"/>
                <w:color w:val="auto"/>
              </w:rPr>
            </w:pPr>
            <w:r>
              <w:rPr>
                <w:rFonts w:ascii="Arial" w:cs="Arial" w:eastAsia="Arial" w:hAnsi="Arial"/>
                <w:sz w:val="16"/>
                <w:szCs w:val="16"/>
                <w:color w:val="auto"/>
              </w:rPr>
              <w:t>1,324</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Incentive distribution rights</w:t>
            </w:r>
          </w:p>
        </w:tc>
        <w:tc>
          <w:tcPr>
            <w:tcW w:w="16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250</w:t>
            </w:r>
          </w:p>
        </w:tc>
        <w:tc>
          <w:tcPr>
            <w:tcW w:w="17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2,618</w:t>
            </w:r>
          </w:p>
        </w:tc>
        <w:tc>
          <w:tcPr>
            <w:tcW w:w="20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Preference units</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5,457</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7,582</w:t>
            </w:r>
          </w:p>
        </w:tc>
        <w:tc>
          <w:tcPr>
            <w:tcW w:w="1500" w:type="dxa"/>
            <w:vAlign w:val="bottom"/>
          </w:tcPr>
          <w:p>
            <w:pPr>
              <w:jc w:val="right"/>
              <w:spacing w:after="0"/>
              <w:rPr>
                <w:sz w:val="20"/>
                <w:szCs w:val="20"/>
                <w:color w:val="auto"/>
              </w:rPr>
            </w:pPr>
            <w:r>
              <w:rPr>
                <w:rFonts w:ascii="Arial" w:cs="Arial" w:eastAsia="Arial" w:hAnsi="Arial"/>
                <w:sz w:val="16"/>
                <w:szCs w:val="16"/>
                <w:color w:val="auto"/>
              </w:rPr>
              <w:t>15,952</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22,746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720" w:type="dxa"/>
            <w:vAlign w:val="bottom"/>
            <w:shd w:val="clear" w:color="auto" w:fill="E5FFFF"/>
          </w:tcPr>
          <w:p>
            <w:pPr>
              <w:spacing w:after="0"/>
              <w:rPr>
                <w:sz w:val="17"/>
                <w:szCs w:val="17"/>
                <w:color w:val="auto"/>
              </w:rPr>
            </w:pPr>
          </w:p>
        </w:tc>
        <w:tc>
          <w:tcPr>
            <w:tcW w:w="14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b w:val="1"/>
                <w:bCs w:val="1"/>
                <w:color w:val="auto"/>
              </w:rPr>
              <w:t>Earnings per unit for the period (basic and diluted):</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Common unit (basic)</w:t>
            </w:r>
          </w:p>
        </w:tc>
        <w:tc>
          <w:tcPr>
            <w:tcW w:w="16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0.49</w:t>
            </w:r>
          </w:p>
        </w:tc>
        <w:tc>
          <w:tcPr>
            <w:tcW w:w="17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0.45</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1.48</w:t>
            </w:r>
          </w:p>
        </w:tc>
        <w:tc>
          <w:tcPr>
            <w:tcW w:w="20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Common unit (diluted)</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0.49</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0.43</w:t>
            </w:r>
          </w:p>
        </w:tc>
        <w:tc>
          <w:tcPr>
            <w:tcW w:w="1500" w:type="dxa"/>
            <w:vAlign w:val="bottom"/>
          </w:tcPr>
          <w:p>
            <w:pPr>
              <w:jc w:val="right"/>
              <w:spacing w:after="0"/>
              <w:rPr>
                <w:sz w:val="20"/>
                <w:szCs w:val="20"/>
                <w:color w:val="auto"/>
              </w:rPr>
            </w:pPr>
            <w:r>
              <w:rPr>
                <w:rFonts w:ascii="Arial" w:cs="Arial" w:eastAsia="Arial" w:hAnsi="Arial"/>
                <w:sz w:val="16"/>
                <w:szCs w:val="16"/>
                <w:color w:val="auto"/>
              </w:rPr>
              <w:t>1.48</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w:t>
            </w:r>
          </w:p>
        </w:tc>
        <w:tc>
          <w:tcPr>
            <w:tcW w:w="16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0.50</w:t>
            </w:r>
          </w:p>
        </w:tc>
        <w:tc>
          <w:tcPr>
            <w:tcW w:w="17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0.45</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1.54</w:t>
            </w:r>
          </w:p>
        </w:tc>
        <w:tc>
          <w:tcPr>
            <w:tcW w:w="20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nine months ended September 30, 2018 and September 30,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328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176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4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48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Profit for the period</w:t>
            </w:r>
          </w:p>
        </w:tc>
        <w:tc>
          <w:tcPr>
            <w:tcW w:w="1480" w:type="dxa"/>
            <w:vAlign w:val="bottom"/>
          </w:tcPr>
          <w:p>
            <w:pPr>
              <w:jc w:val="right"/>
              <w:spacing w:after="0"/>
              <w:rPr>
                <w:sz w:val="20"/>
                <w:szCs w:val="20"/>
                <w:color w:val="auto"/>
              </w:rPr>
            </w:pPr>
            <w:r>
              <w:rPr>
                <w:rFonts w:ascii="Arial" w:cs="Arial" w:eastAsia="Arial" w:hAnsi="Arial"/>
                <w:sz w:val="16"/>
                <w:szCs w:val="16"/>
                <w:color w:val="auto"/>
              </w:rPr>
              <w:t>102,986</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71,593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14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Depreciation</w:t>
            </w:r>
          </w:p>
        </w:tc>
        <w:tc>
          <w:tcPr>
            <w:tcW w:w="1480" w:type="dxa"/>
            <w:vAlign w:val="bottom"/>
          </w:tcPr>
          <w:p>
            <w:pPr>
              <w:jc w:val="right"/>
              <w:spacing w:after="0"/>
              <w:rPr>
                <w:sz w:val="20"/>
                <w:szCs w:val="20"/>
                <w:color w:val="auto"/>
              </w:rPr>
            </w:pPr>
            <w:r>
              <w:rPr>
                <w:rFonts w:ascii="Arial" w:cs="Arial" w:eastAsia="Arial" w:hAnsi="Arial"/>
                <w:sz w:val="16"/>
                <w:szCs w:val="16"/>
                <w:color w:val="auto"/>
              </w:rPr>
              <w:t>65,458</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66,826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76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54,113</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55,650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Financial income</w:t>
            </w:r>
          </w:p>
        </w:tc>
        <w:tc>
          <w:tcPr>
            <w:tcW w:w="1760" w:type="dxa"/>
            <w:vAlign w:val="bottom"/>
            <w:gridSpan w:val="2"/>
          </w:tcPr>
          <w:p>
            <w:pPr>
              <w:jc w:val="right"/>
              <w:ind w:right="139"/>
              <w:spacing w:after="0"/>
              <w:rPr>
                <w:sz w:val="20"/>
                <w:szCs w:val="20"/>
                <w:color w:val="auto"/>
              </w:rPr>
            </w:pPr>
            <w:r>
              <w:rPr>
                <w:rFonts w:ascii="Arial" w:cs="Arial" w:eastAsia="Arial" w:hAnsi="Arial"/>
                <w:sz w:val="16"/>
                <w:szCs w:val="16"/>
                <w:color w:val="auto"/>
              </w:rPr>
              <w:t>(1,718)</w:t>
            </w:r>
          </w:p>
        </w:tc>
        <w:tc>
          <w:tcPr>
            <w:tcW w:w="1480" w:type="dxa"/>
            <w:vAlign w:val="bottom"/>
          </w:tcPr>
          <w:p>
            <w:pPr>
              <w:jc w:val="right"/>
              <w:spacing w:after="0"/>
              <w:rPr>
                <w:sz w:val="20"/>
                <w:szCs w:val="20"/>
                <w:color w:val="auto"/>
              </w:rPr>
            </w:pPr>
            <w:r>
              <w:rPr>
                <w:rFonts w:ascii="Arial" w:cs="Arial" w:eastAsia="Arial" w:hAnsi="Arial"/>
                <w:sz w:val="16"/>
                <w:szCs w:val="16"/>
                <w:color w:val="auto"/>
              </w:rPr>
              <w:t>(1,558)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Unrealized (gain)/loss on derivatives held for trading</w:t>
            </w:r>
          </w:p>
        </w:tc>
        <w:tc>
          <w:tcPr>
            <w:tcW w:w="176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(9,024)</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16,698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480" w:type="dxa"/>
            <w:vAlign w:val="bottom"/>
          </w:tcPr>
          <w:p>
            <w:pPr>
              <w:jc w:val="right"/>
              <w:spacing w:after="0"/>
              <w:rPr>
                <w:sz w:val="20"/>
                <w:szCs w:val="20"/>
                <w:color w:val="auto"/>
              </w:rPr>
            </w:pPr>
            <w:r>
              <w:rPr>
                <w:rFonts w:ascii="Arial" w:cs="Arial" w:eastAsia="Arial" w:hAnsi="Arial"/>
                <w:sz w:val="16"/>
                <w:szCs w:val="16"/>
                <w:color w:val="auto"/>
              </w:rPr>
              <w:t>766</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Realized foreign exchange losses</w:t>
            </w:r>
          </w:p>
        </w:tc>
        <w:tc>
          <w:tcPr>
            <w:tcW w:w="176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top w:val="single" w:sz="8" w:color="E5FFFF"/>
              <w:bottom w:val="single" w:sz="8" w:color="E5FF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212,581</w:t>
            </w:r>
          </w:p>
        </w:tc>
        <w:tc>
          <w:tcPr>
            <w:tcW w:w="280" w:type="dxa"/>
            <w:vAlign w:val="bottom"/>
            <w:tcBorders>
              <w:top w:val="single" w:sz="8" w:color="E5FFFF"/>
              <w:bottom w:val="single" w:sz="8" w:color="E5FF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210,510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06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Movements in working capital</w:t>
            </w:r>
          </w:p>
        </w:tc>
        <w:tc>
          <w:tcPr>
            <w:tcW w:w="1760" w:type="dxa"/>
            <w:vAlign w:val="bottom"/>
            <w:gridSpan w:val="2"/>
          </w:tcPr>
          <w:p>
            <w:pPr>
              <w:jc w:val="right"/>
              <w:ind w:right="139"/>
              <w:spacing w:after="0"/>
              <w:rPr>
                <w:sz w:val="20"/>
                <w:szCs w:val="20"/>
                <w:color w:val="auto"/>
              </w:rPr>
            </w:pPr>
            <w:r>
              <w:rPr>
                <w:rFonts w:ascii="Arial" w:cs="Arial" w:eastAsia="Arial" w:hAnsi="Arial"/>
                <w:sz w:val="16"/>
                <w:szCs w:val="16"/>
                <w:color w:val="auto"/>
              </w:rPr>
              <w:t>(21,564)</w:t>
            </w:r>
          </w:p>
        </w:tc>
        <w:tc>
          <w:tcPr>
            <w:tcW w:w="1480" w:type="dxa"/>
            <w:vAlign w:val="bottom"/>
          </w:tcPr>
          <w:p>
            <w:pPr>
              <w:jc w:val="right"/>
              <w:spacing w:after="0"/>
              <w:rPr>
                <w:sz w:val="20"/>
                <w:szCs w:val="20"/>
                <w:color w:val="auto"/>
              </w:rPr>
            </w:pPr>
            <w:r>
              <w:rPr>
                <w:rFonts w:ascii="Arial" w:cs="Arial" w:eastAsia="Arial" w:hAnsi="Arial"/>
                <w:sz w:val="16"/>
                <w:szCs w:val="16"/>
                <w:color w:val="auto"/>
              </w:rPr>
              <w:t>(7,425)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provided by operations</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191,017</w:t>
            </w:r>
          </w:p>
        </w:tc>
        <w:tc>
          <w:tcPr>
            <w:tcW w:w="28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203,085</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8080" w:type="dxa"/>
            <w:vAlign w:val="bottom"/>
            <w:gridSpan w:val="2"/>
          </w:tcPr>
          <w:p>
            <w:pPr>
              <w:spacing w:after="0"/>
              <w:rPr>
                <w:sz w:val="20"/>
                <w:szCs w:val="20"/>
                <w:color w:val="auto"/>
              </w:rPr>
            </w:pPr>
            <w:r>
              <w:rPr>
                <w:rFonts w:ascii="Arial" w:cs="Arial" w:eastAsia="Arial" w:hAnsi="Arial"/>
                <w:sz w:val="16"/>
                <w:szCs w:val="16"/>
                <w:color w:val="auto"/>
              </w:rPr>
              <w:t>Interest paid</w:t>
            </w:r>
          </w:p>
        </w:tc>
        <w:tc>
          <w:tcPr>
            <w:tcW w:w="1480" w:type="dxa"/>
            <w:vAlign w:val="bottom"/>
          </w:tcPr>
          <w:p>
            <w:pPr>
              <w:jc w:val="right"/>
              <w:spacing w:after="0"/>
              <w:rPr>
                <w:sz w:val="20"/>
                <w:szCs w:val="20"/>
                <w:color w:val="auto"/>
              </w:rPr>
            </w:pPr>
            <w:r>
              <w:rPr>
                <w:rFonts w:ascii="Arial" w:cs="Arial" w:eastAsia="Arial" w:hAnsi="Arial"/>
                <w:sz w:val="16"/>
                <w:szCs w:val="16"/>
                <w:color w:val="auto"/>
              </w:rPr>
              <w:t>(48,909</w:t>
            </w:r>
          </w:p>
        </w:tc>
        <w:tc>
          <w:tcPr>
            <w:tcW w:w="280" w:type="dxa"/>
            <w:vAlign w:val="bottom"/>
          </w:tcPr>
          <w:p>
            <w:pPr>
              <w:jc w:val="right"/>
              <w:ind w:right="139"/>
              <w:spacing w:after="0"/>
              <w:rPr>
                <w:sz w:val="20"/>
                <w:szCs w:val="20"/>
                <w:color w:val="auto"/>
              </w:rPr>
            </w:pPr>
            <w:r>
              <w:rPr>
                <w:rFonts w:ascii="Arial" w:cs="Arial" w:eastAsia="Arial" w:hAnsi="Arial"/>
                <w:sz w:val="16"/>
                <w:szCs w:val="16"/>
                <w:color w:val="auto"/>
                <w:w w:val="74"/>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(54,197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142,108</w:t>
            </w:r>
          </w:p>
        </w:tc>
        <w:tc>
          <w:tcPr>
            <w:tcW w:w="28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148,888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6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Payments for vessels’ additions</w:t>
            </w:r>
          </w:p>
        </w:tc>
        <w:tc>
          <w:tcPr>
            <w:tcW w:w="176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(17,725)</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(8,637)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Return of capital expenditures</w:t>
            </w:r>
          </w:p>
        </w:tc>
        <w:tc>
          <w:tcPr>
            <w:tcW w:w="176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7,465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 received</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1,518</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Maturity of short-term investments</w:t>
            </w:r>
          </w:p>
        </w:tc>
        <w:tc>
          <w:tcPr>
            <w:tcW w:w="1480" w:type="dxa"/>
            <w:vAlign w:val="bottom"/>
          </w:tcPr>
          <w:p>
            <w:pPr>
              <w:jc w:val="right"/>
              <w:spacing w:after="0"/>
              <w:rPr>
                <w:sz w:val="20"/>
                <w:szCs w:val="20"/>
                <w:color w:val="auto"/>
              </w:rPr>
            </w:pPr>
            <w:r>
              <w:rPr>
                <w:rFonts w:ascii="Arial" w:cs="Arial" w:eastAsia="Arial" w:hAnsi="Arial"/>
                <w:sz w:val="16"/>
                <w:szCs w:val="16"/>
                <w:color w:val="auto"/>
              </w:rPr>
              <w:t>18,000</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Purchase of short-term investments</w:t>
            </w:r>
          </w:p>
        </w:tc>
        <w:tc>
          <w:tcPr>
            <w:tcW w:w="176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(28,000)</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in)/provided by investing activities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(26,207</w:t>
            </w:r>
          </w:p>
        </w:tc>
        <w:tc>
          <w:tcPr>
            <w:tcW w:w="280" w:type="dxa"/>
            <w:vAlign w:val="bottom"/>
            <w:tcBorders>
              <w:bottom w:val="single" w:sz="8" w:color="E5FFFF"/>
            </w:tcBorders>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48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480" w:type="dxa"/>
            <w:vAlign w:val="bottom"/>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Borrowings drawdowns</w:t>
            </w:r>
          </w:p>
        </w:tc>
        <w:tc>
          <w:tcPr>
            <w:tcW w:w="176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435,000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Borrowings repayments</w:t>
            </w:r>
          </w:p>
        </w:tc>
        <w:tc>
          <w:tcPr>
            <w:tcW w:w="176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(160,017)</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(430,085)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Payment of loan issuance costs</w:t>
            </w:r>
          </w:p>
        </w:tc>
        <w:tc>
          <w:tcPr>
            <w:tcW w:w="1760" w:type="dxa"/>
            <w:vAlign w:val="bottom"/>
            <w:gridSpan w:val="2"/>
          </w:tcPr>
          <w:p>
            <w:pPr>
              <w:jc w:val="right"/>
              <w:ind w:right="139"/>
              <w:spacing w:after="0"/>
              <w:rPr>
                <w:sz w:val="20"/>
                <w:szCs w:val="20"/>
                <w:color w:val="auto"/>
              </w:rPr>
            </w:pPr>
            <w:r>
              <w:rPr>
                <w:rFonts w:ascii="Arial" w:cs="Arial" w:eastAsia="Arial" w:hAnsi="Arial"/>
                <w:sz w:val="16"/>
                <w:szCs w:val="16"/>
                <w:color w:val="auto"/>
              </w:rPr>
              <w:t>(79)</w:t>
            </w:r>
          </w:p>
        </w:tc>
        <w:tc>
          <w:tcPr>
            <w:tcW w:w="1480" w:type="dxa"/>
            <w:vAlign w:val="bottom"/>
          </w:tcPr>
          <w:p>
            <w:pPr>
              <w:jc w:val="right"/>
              <w:spacing w:after="0"/>
              <w:rPr>
                <w:sz w:val="20"/>
                <w:szCs w:val="20"/>
                <w:color w:val="auto"/>
              </w:rPr>
            </w:pPr>
            <w:r>
              <w:rPr>
                <w:rFonts w:ascii="Arial" w:cs="Arial" w:eastAsia="Arial" w:hAnsi="Arial"/>
                <w:sz w:val="16"/>
                <w:szCs w:val="16"/>
                <w:color w:val="auto"/>
              </w:rPr>
              <w:t>(5,185)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w w:val="95"/>
              </w:rPr>
              <w:t>Proceeds from public offerings and issuances of common units and general partner units (net of underwriting discounts</w:t>
            </w:r>
          </w:p>
        </w:tc>
        <w:tc>
          <w:tcPr>
            <w:tcW w:w="14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48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60" w:type="dxa"/>
            <w:vAlign w:val="bottom"/>
            <w:shd w:val="clear" w:color="auto" w:fill="E5FFFF"/>
          </w:tcPr>
          <w:p>
            <w:pPr>
              <w:ind w:left="140"/>
              <w:spacing w:after="0"/>
              <w:rPr>
                <w:sz w:val="20"/>
                <w:szCs w:val="20"/>
                <w:color w:val="auto"/>
              </w:rPr>
            </w:pPr>
            <w:r>
              <w:rPr>
                <w:rFonts w:ascii="Arial" w:cs="Arial" w:eastAsia="Arial" w:hAnsi="Arial"/>
                <w:sz w:val="16"/>
                <w:szCs w:val="16"/>
                <w:color w:val="auto"/>
              </w:rPr>
              <w:t>and commissions)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56,381</w:t>
            </w:r>
          </w:p>
        </w:tc>
        <w:tc>
          <w:tcPr>
            <w:tcW w:w="280" w:type="dxa"/>
            <w:vAlign w:val="bottom"/>
            <w:shd w:val="clear" w:color="auto" w:fill="E5FFFF"/>
          </w:tcPr>
          <w:p>
            <w:pPr>
              <w:spacing w:after="0"/>
              <w:rPr>
                <w:sz w:val="18"/>
                <w:szCs w:val="18"/>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Proceeds from public offering of preference units (net of underwriting discounts and commissions)</w:t>
            </w:r>
          </w:p>
        </w:tc>
        <w:tc>
          <w:tcPr>
            <w:tcW w:w="1480" w:type="dxa"/>
            <w:vAlign w:val="bottom"/>
          </w:tcPr>
          <w:p>
            <w:pPr>
              <w:jc w:val="right"/>
              <w:spacing w:after="0"/>
              <w:rPr>
                <w:sz w:val="20"/>
                <w:szCs w:val="20"/>
                <w:color w:val="auto"/>
              </w:rPr>
            </w:pPr>
            <w:r>
              <w:rPr>
                <w:rFonts w:ascii="Arial" w:cs="Arial" w:eastAsia="Arial" w:hAnsi="Arial"/>
                <w:sz w:val="16"/>
                <w:szCs w:val="16"/>
                <w:color w:val="auto"/>
              </w:rPr>
              <w:t>111,544</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Repurchases of common units</w:t>
            </w:r>
          </w:p>
        </w:tc>
        <w:tc>
          <w:tcPr>
            <w:tcW w:w="176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(20,030)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Payment of offering costs</w:t>
            </w:r>
          </w:p>
        </w:tc>
        <w:tc>
          <w:tcPr>
            <w:tcW w:w="1760" w:type="dxa"/>
            <w:vAlign w:val="bottom"/>
            <w:gridSpan w:val="2"/>
          </w:tcPr>
          <w:p>
            <w:pPr>
              <w:jc w:val="right"/>
              <w:ind w:right="139"/>
              <w:spacing w:after="0"/>
              <w:rPr>
                <w:sz w:val="20"/>
                <w:szCs w:val="20"/>
                <w:color w:val="auto"/>
              </w:rPr>
            </w:pPr>
            <w:r>
              <w:rPr>
                <w:rFonts w:ascii="Arial" w:cs="Arial" w:eastAsia="Arial" w:hAnsi="Arial"/>
                <w:sz w:val="16"/>
                <w:szCs w:val="16"/>
                <w:color w:val="auto"/>
              </w:rPr>
              <w:t>(929)</w:t>
            </w:r>
          </w:p>
        </w:tc>
        <w:tc>
          <w:tcPr>
            <w:tcW w:w="1480" w:type="dxa"/>
            <w:vAlign w:val="bottom"/>
          </w:tcPr>
          <w:p>
            <w:pPr>
              <w:jc w:val="right"/>
              <w:spacing w:after="0"/>
              <w:rPr>
                <w:sz w:val="20"/>
                <w:szCs w:val="20"/>
                <w:color w:val="auto"/>
              </w:rPr>
            </w:pPr>
            <w:r>
              <w:rPr>
                <w:rFonts w:ascii="Arial" w:cs="Arial" w:eastAsia="Arial" w:hAnsi="Arial"/>
                <w:sz w:val="16"/>
                <w:szCs w:val="16"/>
                <w:color w:val="auto"/>
              </w:rPr>
              <w:t>(1,584)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Cash distribution to GasLog in exchange for contribution of net assets</w:t>
            </w:r>
          </w:p>
        </w:tc>
        <w:tc>
          <w:tcPr>
            <w:tcW w:w="176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(19,086)</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(93,646)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Distributions paid</w:t>
            </w:r>
          </w:p>
        </w:tc>
        <w:tc>
          <w:tcPr>
            <w:tcW w:w="1760" w:type="dxa"/>
            <w:vAlign w:val="bottom"/>
            <w:gridSpan w:val="2"/>
          </w:tcPr>
          <w:p>
            <w:pPr>
              <w:jc w:val="right"/>
              <w:ind w:right="139"/>
              <w:spacing w:after="0"/>
              <w:rPr>
                <w:sz w:val="20"/>
                <w:szCs w:val="20"/>
                <w:color w:val="auto"/>
              </w:rPr>
            </w:pPr>
            <w:r>
              <w:rPr>
                <w:rFonts w:ascii="Arial" w:cs="Arial" w:eastAsia="Arial" w:hAnsi="Arial"/>
                <w:sz w:val="16"/>
                <w:szCs w:val="16"/>
                <w:color w:val="auto"/>
              </w:rPr>
              <w:t>(86,922)</w:t>
            </w:r>
          </w:p>
        </w:tc>
        <w:tc>
          <w:tcPr>
            <w:tcW w:w="1480" w:type="dxa"/>
            <w:vAlign w:val="bottom"/>
          </w:tcPr>
          <w:p>
            <w:pPr>
              <w:jc w:val="right"/>
              <w:spacing w:after="0"/>
              <w:rPr>
                <w:sz w:val="20"/>
                <w:szCs w:val="20"/>
                <w:color w:val="auto"/>
              </w:rPr>
            </w:pPr>
            <w:r>
              <w:rPr>
                <w:rFonts w:ascii="Arial" w:cs="Arial" w:eastAsia="Arial" w:hAnsi="Arial"/>
                <w:sz w:val="16"/>
                <w:szCs w:val="16"/>
                <w:color w:val="auto"/>
              </w:rPr>
              <w:t>(103,934)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color w:val="auto"/>
              </w:rPr>
              <w:t>Payments for lease liabilities</w:t>
            </w:r>
          </w:p>
        </w:tc>
        <w:tc>
          <w:tcPr>
            <w:tcW w:w="176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(403)</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(99,108)</w:t>
            </w:r>
          </w:p>
        </w:tc>
        <w:tc>
          <w:tcPr>
            <w:tcW w:w="280" w:type="dxa"/>
            <w:vAlign w:val="bottom"/>
            <w:tcBorders>
              <w:bottom w:val="single" w:sz="8" w:color="E5FF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(217,871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Increase/(Decrease) in cash and cash equivalents</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16,793</w:t>
            </w:r>
          </w:p>
        </w:tc>
        <w:tc>
          <w:tcPr>
            <w:tcW w:w="280" w:type="dxa"/>
            <w:vAlign w:val="bottom"/>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(67,547</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8080" w:type="dxa"/>
            <w:vAlign w:val="bottom"/>
            <w:gridSpan w:val="2"/>
          </w:tcPr>
          <w:p>
            <w:pPr>
              <w:spacing w:after="0"/>
              <w:rPr>
                <w:sz w:val="20"/>
                <w:szCs w:val="20"/>
                <w:color w:val="auto"/>
              </w:rPr>
            </w:pPr>
            <w:r>
              <w:rPr>
                <w:rFonts w:ascii="Arial" w:cs="Arial" w:eastAsia="Arial" w:hAnsi="Arial"/>
                <w:sz w:val="16"/>
                <w:szCs w:val="16"/>
                <w:color w:val="auto"/>
              </w:rPr>
              <w:t>Cash and cash equivalents, beginning of the period</w:t>
            </w:r>
          </w:p>
        </w:tc>
        <w:tc>
          <w:tcPr>
            <w:tcW w:w="1480" w:type="dxa"/>
            <w:vAlign w:val="bottom"/>
          </w:tcPr>
          <w:p>
            <w:pPr>
              <w:jc w:val="right"/>
              <w:spacing w:after="0"/>
              <w:rPr>
                <w:sz w:val="20"/>
                <w:szCs w:val="20"/>
                <w:color w:val="auto"/>
              </w:rPr>
            </w:pPr>
            <w:r>
              <w:rPr>
                <w:rFonts w:ascii="Arial" w:cs="Arial" w:eastAsia="Arial" w:hAnsi="Arial"/>
                <w:sz w:val="16"/>
                <w:szCs w:val="16"/>
                <w:color w:val="auto"/>
              </w:rPr>
              <w:t>153,675</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133,370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170,468</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65,823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IFRS Common Control Reported Results in our Financial Statements to Partnership Performance Results:</w:t>
      </w:r>
    </w:p>
    <w:p>
      <w:pPr>
        <w:spacing w:after="0" w:line="239"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 xml:space="preserve">Our Partnership Performance Results presented below are non-GAAP measures and exclude amounts related to GAS-fourteen Ltd. (the owner of the </w:t>
      </w:r>
      <w:r>
        <w:rPr>
          <w:rFonts w:ascii="Arial" w:cs="Arial" w:eastAsia="Arial" w:hAnsi="Arial"/>
          <w:sz w:val="15"/>
          <w:szCs w:val="15"/>
          <w:i w:val="1"/>
          <w:iCs w:val="1"/>
          <w:color w:val="auto"/>
        </w:rPr>
        <w:t>GasLog Gibraltar</w:t>
      </w:r>
      <w:r>
        <w:rPr>
          <w:rFonts w:ascii="Arial" w:cs="Arial" w:eastAsia="Arial" w:hAnsi="Arial"/>
          <w:sz w:val="15"/>
          <w:szCs w:val="15"/>
          <w:color w:val="auto"/>
        </w:rPr>
        <w:t xml:space="preserve">), GAS-twenty seven Ltd. (the owner of the </w:t>
      </w:r>
      <w:r>
        <w:rPr>
          <w:rFonts w:ascii="Arial" w:cs="Arial" w:eastAsia="Arial" w:hAnsi="Arial"/>
          <w:sz w:val="15"/>
          <w:szCs w:val="15"/>
          <w:i w:val="1"/>
          <w:iCs w:val="1"/>
          <w:color w:val="auto"/>
        </w:rPr>
        <w:t>Methane Becki Anne</w:t>
      </w:r>
      <w:r>
        <w:rPr>
          <w:rFonts w:ascii="Arial" w:cs="Arial" w:eastAsia="Arial" w:hAnsi="Arial"/>
          <w:sz w:val="15"/>
          <w:szCs w:val="15"/>
          <w:color w:val="auto"/>
        </w:rPr>
        <w:t xml:space="preserve">) and GAS-twelve Ltd. (the owner of the </w:t>
      </w:r>
      <w:r>
        <w:rPr>
          <w:rFonts w:ascii="Arial" w:cs="Arial" w:eastAsia="Arial" w:hAnsi="Arial"/>
          <w:sz w:val="15"/>
          <w:szCs w:val="15"/>
          <w:i w:val="1"/>
          <w:iCs w:val="1"/>
          <w:color w:val="auto"/>
        </w:rPr>
        <w:t>GasLog Glasgow</w:t>
      </w:r>
      <w:r>
        <w:rPr>
          <w:rFonts w:ascii="Arial" w:cs="Arial" w:eastAsia="Arial" w:hAnsi="Arial"/>
          <w:sz w:val="15"/>
          <w:szCs w:val="15"/>
          <w:color w:val="auto"/>
        </w:rPr>
        <w:t>), for the periods prior to their transfers to the Partnership on April 26, 2018, November 14, 2018 and April 1, 2019, respectively. While such amounts are reflected in the Partnership’s unaudited condensed consolidated financial statements because the transfers to the Partnership were accounted for as reorganizations of entities under common control under IFRS, GAS-fourteen Ltd., GAS-twenty seven Ltd. and GAS-twelve Ltd. were not owned by the Partnership prior to their respective transfers to the Partnership on April 26, 2018, November 14, 2018 and April 1, 2019, respectively, and accordingly the Partnership was not entitled to the cash or results generated in the periods prior to such transfers.</w:t>
      </w:r>
    </w:p>
    <w:p>
      <w:pPr>
        <w:spacing w:after="0" w:line="177" w:lineRule="exact"/>
        <w:rPr>
          <w:sz w:val="20"/>
          <w:szCs w:val="20"/>
          <w:color w:val="auto"/>
        </w:rPr>
      </w:pPr>
    </w:p>
    <w:p>
      <w:pPr>
        <w:ind w:right="160" w:firstLine="41"/>
        <w:spacing w:after="0" w:line="278" w:lineRule="auto"/>
        <w:rPr>
          <w:sz w:val="20"/>
          <w:szCs w:val="20"/>
          <w:color w:val="auto"/>
        </w:rPr>
      </w:pPr>
      <w:r>
        <w:rPr>
          <w:rFonts w:ascii="Arial" w:cs="Arial" w:eastAsia="Arial" w:hAnsi="Arial"/>
          <w:sz w:val="16"/>
          <w:szCs w:val="16"/>
          <w:color w:val="auto"/>
        </w:rPr>
        <w:t>Our IFRS Common Control Reported Results presented below include the accounts of the Partnership and its subsidiaries. Transfers of vessel owning subsidiaries from GasLog are accounted for as reorganizations of entities under common control and the Partnership’s consolidated financial statements are restated to reflect such subsidiaries from the date of their incorporation by GasLog as they were under the common control of GasLog.</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GasLog Partners believes that these non-GAAP financial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acquired vessels prior to their transfers to the Partnership. These non-GAAP financial measures should not be viewed in isolation or as substitutes for the equivalent GAAP measures presented in accordance with IFRS, but should be used in conjunction with the most directly comparable IFRS Common Control Reported Results.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5280" w:type="dxa"/>
            <w:vAlign w:val="bottom"/>
            <w:gridSpan w:val="6"/>
          </w:tcPr>
          <w:p>
            <w:pPr>
              <w:jc w:val="center"/>
              <w:ind w:right="19"/>
              <w:spacing w:after="0"/>
              <w:rPr>
                <w:sz w:val="20"/>
                <w:szCs w:val="20"/>
                <w:color w:val="auto"/>
              </w:rPr>
            </w:pPr>
            <w:r>
              <w:rPr>
                <w:rFonts w:ascii="Arial" w:cs="Arial" w:eastAsia="Arial" w:hAnsi="Arial"/>
                <w:sz w:val="16"/>
                <w:szCs w:val="16"/>
                <w:b w:val="1"/>
                <w:bCs w:val="1"/>
                <w:color w:val="auto"/>
                <w:w w:val="90"/>
              </w:rPr>
              <w:t>For the three months ended September 30, 2018</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82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86"/>
              </w:rPr>
              <w:t>Results</w:t>
            </w:r>
          </w:p>
        </w:tc>
        <w:tc>
          <w:tcPr>
            <w:tcW w:w="182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w w:val="92"/>
              </w:rPr>
              <w:t>Partnership</w:t>
            </w:r>
          </w:p>
        </w:tc>
        <w:tc>
          <w:tcPr>
            <w:tcW w:w="164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6"/>
              </w:rPr>
              <w:t>IFRS Common</w:t>
            </w:r>
          </w:p>
        </w:tc>
        <w:tc>
          <w:tcPr>
            <w:tcW w:w="0" w:type="dxa"/>
            <w:vAlign w:val="bottom"/>
          </w:tcPr>
          <w:p>
            <w:pPr>
              <w:spacing w:after="0"/>
              <w:rPr>
                <w:sz w:val="1"/>
                <w:szCs w:val="1"/>
                <w:color w:val="auto"/>
              </w:rPr>
            </w:pPr>
          </w:p>
        </w:tc>
      </w:tr>
      <w:tr>
        <w:trPr>
          <w:trHeight w:val="203"/>
        </w:trPr>
        <w:tc>
          <w:tcPr>
            <w:tcW w:w="528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82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3"/>
              </w:rPr>
              <w:t>attributable to</w:t>
            </w:r>
          </w:p>
        </w:tc>
        <w:tc>
          <w:tcPr>
            <w:tcW w:w="182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w w:val="91"/>
              </w:rPr>
              <w:t>Performance</w:t>
            </w:r>
          </w:p>
        </w:tc>
        <w:tc>
          <w:tcPr>
            <w:tcW w:w="164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4"/>
              </w:rPr>
              <w:t>Control</w:t>
            </w:r>
          </w:p>
        </w:tc>
        <w:tc>
          <w:tcPr>
            <w:tcW w:w="0" w:type="dxa"/>
            <w:vAlign w:val="bottom"/>
          </w:tcPr>
          <w:p>
            <w:pPr>
              <w:spacing w:after="0"/>
              <w:rPr>
                <w:sz w:val="1"/>
                <w:szCs w:val="1"/>
                <w:color w:val="auto"/>
              </w:rPr>
            </w:pPr>
          </w:p>
        </w:tc>
      </w:tr>
      <w:tr>
        <w:trPr>
          <w:trHeight w:val="102"/>
        </w:trPr>
        <w:tc>
          <w:tcPr>
            <w:tcW w:w="5280" w:type="dxa"/>
            <w:vAlign w:val="bottom"/>
            <w:vMerge w:val="continue"/>
          </w:tcPr>
          <w:p>
            <w:pPr>
              <w:spacing w:after="0"/>
              <w:rPr>
                <w:sz w:val="8"/>
                <w:szCs w:val="8"/>
                <w:color w:val="auto"/>
              </w:rPr>
            </w:pPr>
          </w:p>
        </w:tc>
        <w:tc>
          <w:tcPr>
            <w:tcW w:w="1820" w:type="dxa"/>
            <w:vAlign w:val="bottom"/>
            <w:gridSpan w:val="2"/>
            <w:vMerge w:val="restart"/>
          </w:tcPr>
          <w:p>
            <w:pPr>
              <w:jc w:val="center"/>
              <w:ind w:right="159"/>
              <w:spacing w:after="0"/>
              <w:rPr>
                <w:sz w:val="20"/>
                <w:szCs w:val="20"/>
                <w:color w:val="auto"/>
              </w:rPr>
            </w:pPr>
            <w:r>
              <w:rPr>
                <w:rFonts w:ascii="Arial" w:cs="Arial" w:eastAsia="Arial" w:hAnsi="Arial"/>
                <w:sz w:val="16"/>
                <w:szCs w:val="16"/>
                <w:b w:val="1"/>
                <w:bCs w:val="1"/>
                <w:color w:val="auto"/>
                <w:w w:val="90"/>
              </w:rPr>
              <w:t>GasLog</w:t>
            </w:r>
          </w:p>
        </w:tc>
        <w:tc>
          <w:tcPr>
            <w:tcW w:w="1820" w:type="dxa"/>
            <w:vAlign w:val="bottom"/>
            <w:gridSpan w:val="2"/>
            <w:vMerge w:val="restart"/>
          </w:tcPr>
          <w:p>
            <w:pPr>
              <w:jc w:val="center"/>
              <w:ind w:right="199"/>
              <w:spacing w:after="0"/>
              <w:rPr>
                <w:sz w:val="20"/>
                <w:szCs w:val="20"/>
                <w:color w:val="auto"/>
              </w:rPr>
            </w:pPr>
            <w:r>
              <w:rPr>
                <w:rFonts w:ascii="Arial" w:cs="Arial" w:eastAsia="Arial" w:hAnsi="Arial"/>
                <w:sz w:val="16"/>
                <w:szCs w:val="16"/>
                <w:b w:val="1"/>
                <w:bCs w:val="1"/>
                <w:color w:val="auto"/>
                <w:w w:val="86"/>
              </w:rPr>
              <w:t>Results</w:t>
            </w:r>
          </w:p>
        </w:tc>
        <w:tc>
          <w:tcPr>
            <w:tcW w:w="1640" w:type="dxa"/>
            <w:vAlign w:val="bottom"/>
            <w:gridSpan w:val="2"/>
            <w:vMerge w:val="restart"/>
          </w:tcPr>
          <w:p>
            <w:pPr>
              <w:jc w:val="center"/>
              <w:ind w:right="19"/>
              <w:spacing w:after="0"/>
              <w:rPr>
                <w:sz w:val="20"/>
                <w:szCs w:val="20"/>
                <w:color w:val="auto"/>
              </w:rPr>
            </w:pPr>
            <w:r>
              <w:rPr>
                <w:rFonts w:ascii="Arial" w:cs="Arial" w:eastAsia="Arial" w:hAnsi="Arial"/>
                <w:sz w:val="16"/>
                <w:szCs w:val="16"/>
                <w:b w:val="1"/>
                <w:bCs w:val="1"/>
                <w:color w:val="auto"/>
                <w:w w:val="89"/>
              </w:rPr>
              <w:t>Reported Results</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52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15,318</w:t>
            </w:r>
          </w:p>
        </w:tc>
        <w:tc>
          <w:tcPr>
            <w:tcW w:w="24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81,887</w:t>
            </w:r>
          </w:p>
        </w:tc>
        <w:tc>
          <w:tcPr>
            <w:tcW w:w="2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97,205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Net pool allocation</w:t>
            </w:r>
          </w:p>
        </w:tc>
        <w:tc>
          <w:tcPr>
            <w:tcW w:w="182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179"/>
              <w:spacing w:after="0"/>
              <w:rPr>
                <w:sz w:val="20"/>
                <w:szCs w:val="20"/>
                <w:color w:val="auto"/>
              </w:rPr>
            </w:pPr>
            <w:r>
              <w:rPr>
                <w:rFonts w:ascii="Arial" w:cs="Arial" w:eastAsia="Arial" w:hAnsi="Arial"/>
                <w:sz w:val="16"/>
                <w:szCs w:val="16"/>
                <w:color w:val="auto"/>
              </w:rPr>
              <w:t>780</w:t>
            </w:r>
          </w:p>
        </w:tc>
        <w:tc>
          <w:tcPr>
            <w:tcW w:w="1600" w:type="dxa"/>
            <w:vAlign w:val="bottom"/>
          </w:tcPr>
          <w:p>
            <w:pPr>
              <w:jc w:val="right"/>
              <w:spacing w:after="0"/>
              <w:rPr>
                <w:sz w:val="20"/>
                <w:szCs w:val="20"/>
                <w:color w:val="auto"/>
              </w:rPr>
            </w:pPr>
            <w:r>
              <w:rPr>
                <w:rFonts w:ascii="Arial" w:cs="Arial" w:eastAsia="Arial" w:hAnsi="Arial"/>
                <w:sz w:val="16"/>
                <w:szCs w:val="16"/>
                <w:color w:val="auto"/>
              </w:rPr>
              <w:t>780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82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(191)</w:t>
            </w:r>
          </w:p>
        </w:tc>
        <w:tc>
          <w:tcPr>
            <w:tcW w:w="18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(3,359)</w:t>
            </w:r>
          </w:p>
        </w:tc>
        <w:tc>
          <w:tcPr>
            <w:tcW w:w="16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(3,550)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820" w:type="dxa"/>
            <w:vAlign w:val="bottom"/>
            <w:gridSpan w:val="2"/>
          </w:tcPr>
          <w:p>
            <w:pPr>
              <w:jc w:val="right"/>
              <w:ind w:right="99"/>
              <w:spacing w:after="0"/>
              <w:rPr>
                <w:sz w:val="20"/>
                <w:szCs w:val="20"/>
                <w:color w:val="auto"/>
              </w:rPr>
            </w:pPr>
            <w:r>
              <w:rPr>
                <w:rFonts w:ascii="Arial" w:cs="Arial" w:eastAsia="Arial" w:hAnsi="Arial"/>
                <w:sz w:val="16"/>
                <w:szCs w:val="16"/>
                <w:color w:val="auto"/>
              </w:rPr>
              <w:t>(2,832)</w:t>
            </w:r>
          </w:p>
        </w:tc>
        <w:tc>
          <w:tcPr>
            <w:tcW w:w="1820" w:type="dxa"/>
            <w:vAlign w:val="bottom"/>
            <w:gridSpan w:val="2"/>
          </w:tcPr>
          <w:p>
            <w:pPr>
              <w:jc w:val="right"/>
              <w:ind w:right="139"/>
              <w:spacing w:after="0"/>
              <w:rPr>
                <w:sz w:val="20"/>
                <w:szCs w:val="20"/>
                <w:color w:val="auto"/>
              </w:rPr>
            </w:pPr>
            <w:r>
              <w:rPr>
                <w:rFonts w:ascii="Arial" w:cs="Arial" w:eastAsia="Arial" w:hAnsi="Arial"/>
                <w:sz w:val="16"/>
                <w:szCs w:val="16"/>
                <w:color w:val="auto"/>
              </w:rPr>
              <w:t>(15,765)</w:t>
            </w:r>
          </w:p>
        </w:tc>
        <w:tc>
          <w:tcPr>
            <w:tcW w:w="1600" w:type="dxa"/>
            <w:vAlign w:val="bottom"/>
          </w:tcPr>
          <w:p>
            <w:pPr>
              <w:jc w:val="right"/>
              <w:spacing w:after="0"/>
              <w:rPr>
                <w:sz w:val="20"/>
                <w:szCs w:val="20"/>
                <w:color w:val="auto"/>
              </w:rPr>
            </w:pPr>
            <w:r>
              <w:rPr>
                <w:rFonts w:ascii="Arial" w:cs="Arial" w:eastAsia="Arial" w:hAnsi="Arial"/>
                <w:sz w:val="16"/>
                <w:szCs w:val="16"/>
                <w:color w:val="auto"/>
              </w:rPr>
              <w:t>(18,597)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82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(3,423)</w:t>
            </w:r>
          </w:p>
        </w:tc>
        <w:tc>
          <w:tcPr>
            <w:tcW w:w="18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(18,710)</w:t>
            </w:r>
          </w:p>
        </w:tc>
        <w:tc>
          <w:tcPr>
            <w:tcW w:w="16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(22,133)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820" w:type="dxa"/>
            <w:vAlign w:val="bottom"/>
            <w:gridSpan w:val="2"/>
          </w:tcPr>
          <w:p>
            <w:pPr>
              <w:jc w:val="right"/>
              <w:ind w:right="99"/>
              <w:spacing w:after="0"/>
              <w:rPr>
                <w:sz w:val="20"/>
                <w:szCs w:val="20"/>
                <w:color w:val="auto"/>
              </w:rPr>
            </w:pPr>
            <w:r>
              <w:rPr>
                <w:rFonts w:ascii="Arial" w:cs="Arial" w:eastAsia="Arial" w:hAnsi="Arial"/>
                <w:sz w:val="16"/>
                <w:szCs w:val="16"/>
                <w:color w:val="auto"/>
              </w:rPr>
              <w:t>(189)</w:t>
            </w:r>
          </w:p>
        </w:tc>
        <w:tc>
          <w:tcPr>
            <w:tcW w:w="1820" w:type="dxa"/>
            <w:vAlign w:val="bottom"/>
            <w:gridSpan w:val="2"/>
          </w:tcPr>
          <w:p>
            <w:pPr>
              <w:jc w:val="right"/>
              <w:ind w:right="139"/>
              <w:spacing w:after="0"/>
              <w:rPr>
                <w:sz w:val="20"/>
                <w:szCs w:val="20"/>
                <w:color w:val="auto"/>
              </w:rPr>
            </w:pPr>
            <w:r>
              <w:rPr>
                <w:rFonts w:ascii="Arial" w:cs="Arial" w:eastAsia="Arial" w:hAnsi="Arial"/>
                <w:sz w:val="16"/>
                <w:szCs w:val="16"/>
                <w:color w:val="auto"/>
              </w:rPr>
              <w:t>(4,693)</w:t>
            </w:r>
          </w:p>
        </w:tc>
        <w:tc>
          <w:tcPr>
            <w:tcW w:w="1600" w:type="dxa"/>
            <w:vAlign w:val="bottom"/>
          </w:tcPr>
          <w:p>
            <w:pPr>
              <w:jc w:val="right"/>
              <w:spacing w:after="0"/>
              <w:rPr>
                <w:sz w:val="20"/>
                <w:szCs w:val="20"/>
                <w:color w:val="auto"/>
              </w:rPr>
            </w:pPr>
            <w:r>
              <w:rPr>
                <w:rFonts w:ascii="Arial" w:cs="Arial" w:eastAsia="Arial" w:hAnsi="Arial"/>
                <w:sz w:val="16"/>
                <w:szCs w:val="16"/>
                <w:color w:val="auto"/>
              </w:rPr>
              <w:t>(4,882)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8,683</w:t>
            </w:r>
          </w:p>
        </w:tc>
        <w:tc>
          <w:tcPr>
            <w:tcW w:w="24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40,140</w:t>
            </w:r>
          </w:p>
        </w:tc>
        <w:tc>
          <w:tcPr>
            <w:tcW w:w="2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48,823</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6"/>
                <w:szCs w:val="16"/>
                <w:color w:val="auto"/>
              </w:rPr>
              <w:t>Financial costs</w:t>
            </w:r>
          </w:p>
        </w:tc>
        <w:tc>
          <w:tcPr>
            <w:tcW w:w="1580" w:type="dxa"/>
            <w:vAlign w:val="bottom"/>
          </w:tcPr>
          <w:p>
            <w:pPr>
              <w:jc w:val="right"/>
              <w:spacing w:after="0"/>
              <w:rPr>
                <w:sz w:val="20"/>
                <w:szCs w:val="20"/>
                <w:color w:val="auto"/>
              </w:rPr>
            </w:pPr>
            <w:r>
              <w:rPr>
                <w:rFonts w:ascii="Arial" w:cs="Arial" w:eastAsia="Arial" w:hAnsi="Arial"/>
                <w:sz w:val="16"/>
                <w:szCs w:val="16"/>
                <w:color w:val="auto"/>
              </w:rPr>
              <w:t>(2,937</w:t>
            </w:r>
          </w:p>
        </w:tc>
        <w:tc>
          <w:tcPr>
            <w:tcW w:w="240" w:type="dxa"/>
            <w:vAlign w:val="bottom"/>
          </w:tcPr>
          <w:p>
            <w:pPr>
              <w:jc w:val="right"/>
              <w:ind w:right="99"/>
              <w:spacing w:after="0"/>
              <w:rPr>
                <w:sz w:val="20"/>
                <w:szCs w:val="20"/>
                <w:color w:val="auto"/>
              </w:rPr>
            </w:pPr>
            <w:r>
              <w:rPr>
                <w:rFonts w:ascii="Arial" w:cs="Arial" w:eastAsia="Arial" w:hAnsi="Arial"/>
                <w:sz w:val="16"/>
                <w:szCs w:val="16"/>
                <w:color w:val="auto"/>
                <w:w w:val="74"/>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(15,533</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(18,470</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580" w:type="dxa"/>
            <w:vAlign w:val="bottom"/>
            <w:shd w:val="clear" w:color="auto" w:fill="E5FFFF"/>
          </w:tcPr>
          <w:p>
            <w:pPr>
              <w:ind w:left="1420"/>
              <w:spacing w:after="0"/>
              <w:rPr>
                <w:sz w:val="20"/>
                <w:szCs w:val="20"/>
                <w:color w:val="auto"/>
              </w:rPr>
            </w:pPr>
            <w:r>
              <w:rPr>
                <w:rFonts w:ascii="Arial" w:cs="Arial" w:eastAsia="Arial" w:hAnsi="Arial"/>
                <w:sz w:val="16"/>
                <w:szCs w:val="16"/>
                <w:color w:val="auto"/>
                <w:w w:val="78"/>
              </w:rPr>
              <w:t>12</w:t>
            </w:r>
          </w:p>
        </w:tc>
        <w:tc>
          <w:tcPr>
            <w:tcW w:w="240" w:type="dxa"/>
            <w:vAlign w:val="bottom"/>
            <w:shd w:val="clear" w:color="auto" w:fill="E5FFFF"/>
          </w:tcPr>
          <w:p>
            <w:pPr>
              <w:spacing w:after="0"/>
              <w:rPr>
                <w:sz w:val="17"/>
                <w:szCs w:val="17"/>
                <w:color w:val="auto"/>
              </w:rPr>
            </w:pPr>
          </w:p>
        </w:tc>
        <w:tc>
          <w:tcPr>
            <w:tcW w:w="182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581</w:t>
            </w:r>
          </w:p>
        </w:tc>
        <w:tc>
          <w:tcPr>
            <w:tcW w:w="16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593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Gain on derivatives</w:t>
            </w:r>
          </w:p>
        </w:tc>
        <w:tc>
          <w:tcPr>
            <w:tcW w:w="182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179"/>
              <w:spacing w:after="0"/>
              <w:rPr>
                <w:sz w:val="20"/>
                <w:szCs w:val="20"/>
                <w:color w:val="auto"/>
              </w:rPr>
            </w:pPr>
            <w:r>
              <w:rPr>
                <w:rFonts w:ascii="Arial" w:cs="Arial" w:eastAsia="Arial" w:hAnsi="Arial"/>
                <w:sz w:val="16"/>
                <w:szCs w:val="16"/>
                <w:color w:val="auto"/>
              </w:rPr>
              <w:t>2,082</w:t>
            </w:r>
          </w:p>
        </w:tc>
        <w:tc>
          <w:tcPr>
            <w:tcW w:w="1600" w:type="dxa"/>
            <w:vAlign w:val="bottom"/>
          </w:tcPr>
          <w:p>
            <w:pPr>
              <w:jc w:val="right"/>
              <w:spacing w:after="0"/>
              <w:rPr>
                <w:sz w:val="20"/>
                <w:szCs w:val="20"/>
                <w:color w:val="auto"/>
              </w:rPr>
            </w:pPr>
            <w:r>
              <w:rPr>
                <w:rFonts w:ascii="Arial" w:cs="Arial" w:eastAsia="Arial" w:hAnsi="Arial"/>
                <w:sz w:val="16"/>
                <w:szCs w:val="16"/>
                <w:color w:val="auto"/>
              </w:rPr>
              <w:t>2,082</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52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(2,925</w:t>
            </w:r>
          </w:p>
        </w:tc>
        <w:tc>
          <w:tcPr>
            <w:tcW w:w="240" w:type="dxa"/>
            <w:vAlign w:val="bottom"/>
            <w:tcBorders>
              <w:top w:val="single" w:sz="8" w:color="E5FFFF"/>
            </w:tcBorders>
            <w:shd w:val="clear" w:color="auto" w:fill="E5FFFF"/>
          </w:tcPr>
          <w:p>
            <w:pPr>
              <w:jc w:val="right"/>
              <w:ind w:right="99"/>
              <w:spacing w:after="0"/>
              <w:rPr>
                <w:sz w:val="20"/>
                <w:szCs w:val="20"/>
                <w:color w:val="auto"/>
              </w:rPr>
            </w:pPr>
            <w:r>
              <w:rPr>
                <w:rFonts w:ascii="Arial" w:cs="Arial" w:eastAsia="Arial" w:hAnsi="Arial"/>
                <w:sz w:val="16"/>
                <w:szCs w:val="16"/>
                <w:b w:val="1"/>
                <w:bCs w:val="1"/>
                <w:color w:val="auto"/>
                <w:w w:val="74"/>
              </w:rPr>
              <w:t>)</w:t>
            </w: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(12,870</w:t>
            </w:r>
          </w:p>
        </w:tc>
        <w:tc>
          <w:tcPr>
            <w:tcW w:w="220" w:type="dxa"/>
            <w:vAlign w:val="bottom"/>
            <w:tcBorders>
              <w:top w:val="single" w:sz="8" w:color="E5FFFF"/>
            </w:tcBorders>
            <w:shd w:val="clear" w:color="auto" w:fill="E5FFFF"/>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60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(15,795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5,758</w:t>
            </w:r>
          </w:p>
        </w:tc>
        <w:tc>
          <w:tcPr>
            <w:tcW w:w="24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27,270</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33,028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280" w:type="dxa"/>
            <w:vAlign w:val="bottom"/>
          </w:tcPr>
          <w:p>
            <w:pPr>
              <w:spacing w:after="0"/>
              <w:rPr>
                <w:sz w:val="24"/>
                <w:szCs w:val="24"/>
                <w:color w:val="auto"/>
              </w:rPr>
            </w:pPr>
          </w:p>
        </w:tc>
        <w:tc>
          <w:tcPr>
            <w:tcW w:w="5280" w:type="dxa"/>
            <w:vAlign w:val="bottom"/>
            <w:gridSpan w:val="6"/>
          </w:tcPr>
          <w:p>
            <w:pPr>
              <w:jc w:val="center"/>
              <w:ind w:right="19"/>
              <w:spacing w:after="0"/>
              <w:rPr>
                <w:sz w:val="20"/>
                <w:szCs w:val="20"/>
                <w:color w:val="auto"/>
              </w:rPr>
            </w:pPr>
            <w:r>
              <w:rPr>
                <w:rFonts w:ascii="Arial" w:cs="Arial" w:eastAsia="Arial" w:hAnsi="Arial"/>
                <w:sz w:val="16"/>
                <w:szCs w:val="16"/>
                <w:b w:val="1"/>
                <w:bCs w:val="1"/>
                <w:color w:val="auto"/>
                <w:w w:val="90"/>
              </w:rPr>
              <w:t>For the three months ended June 30, 2019</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82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86"/>
              </w:rPr>
              <w:t>Results</w:t>
            </w:r>
          </w:p>
        </w:tc>
        <w:tc>
          <w:tcPr>
            <w:tcW w:w="182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w w:val="92"/>
              </w:rPr>
              <w:t>Partnership</w:t>
            </w:r>
          </w:p>
        </w:tc>
        <w:tc>
          <w:tcPr>
            <w:tcW w:w="164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6"/>
              </w:rPr>
              <w:t>IFRS Common</w:t>
            </w:r>
          </w:p>
        </w:tc>
        <w:tc>
          <w:tcPr>
            <w:tcW w:w="0" w:type="dxa"/>
            <w:vAlign w:val="bottom"/>
          </w:tcPr>
          <w:p>
            <w:pPr>
              <w:spacing w:after="0"/>
              <w:rPr>
                <w:sz w:val="1"/>
                <w:szCs w:val="1"/>
                <w:color w:val="auto"/>
              </w:rPr>
            </w:pPr>
          </w:p>
        </w:tc>
      </w:tr>
      <w:tr>
        <w:trPr>
          <w:trHeight w:val="203"/>
        </w:trPr>
        <w:tc>
          <w:tcPr>
            <w:tcW w:w="528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82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3"/>
              </w:rPr>
              <w:t>attributable to</w:t>
            </w:r>
          </w:p>
        </w:tc>
        <w:tc>
          <w:tcPr>
            <w:tcW w:w="182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w w:val="91"/>
              </w:rPr>
              <w:t>Performance</w:t>
            </w:r>
          </w:p>
        </w:tc>
        <w:tc>
          <w:tcPr>
            <w:tcW w:w="164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4"/>
              </w:rPr>
              <w:t>Control</w:t>
            </w:r>
          </w:p>
        </w:tc>
        <w:tc>
          <w:tcPr>
            <w:tcW w:w="0" w:type="dxa"/>
            <w:vAlign w:val="bottom"/>
          </w:tcPr>
          <w:p>
            <w:pPr>
              <w:spacing w:after="0"/>
              <w:rPr>
                <w:sz w:val="1"/>
                <w:szCs w:val="1"/>
                <w:color w:val="auto"/>
              </w:rPr>
            </w:pPr>
          </w:p>
        </w:tc>
      </w:tr>
      <w:tr>
        <w:trPr>
          <w:trHeight w:val="102"/>
        </w:trPr>
        <w:tc>
          <w:tcPr>
            <w:tcW w:w="5280" w:type="dxa"/>
            <w:vAlign w:val="bottom"/>
            <w:vMerge w:val="continue"/>
          </w:tcPr>
          <w:p>
            <w:pPr>
              <w:spacing w:after="0"/>
              <w:rPr>
                <w:sz w:val="8"/>
                <w:szCs w:val="8"/>
                <w:color w:val="auto"/>
              </w:rPr>
            </w:pPr>
          </w:p>
        </w:tc>
        <w:tc>
          <w:tcPr>
            <w:tcW w:w="1820" w:type="dxa"/>
            <w:vAlign w:val="bottom"/>
            <w:gridSpan w:val="2"/>
            <w:vMerge w:val="restart"/>
          </w:tcPr>
          <w:p>
            <w:pPr>
              <w:jc w:val="center"/>
              <w:ind w:right="159"/>
              <w:spacing w:after="0"/>
              <w:rPr>
                <w:sz w:val="20"/>
                <w:szCs w:val="20"/>
                <w:color w:val="auto"/>
              </w:rPr>
            </w:pPr>
            <w:r>
              <w:rPr>
                <w:rFonts w:ascii="Arial" w:cs="Arial" w:eastAsia="Arial" w:hAnsi="Arial"/>
                <w:sz w:val="16"/>
                <w:szCs w:val="16"/>
                <w:b w:val="1"/>
                <w:bCs w:val="1"/>
                <w:color w:val="auto"/>
                <w:w w:val="90"/>
              </w:rPr>
              <w:t>GasLog</w:t>
            </w:r>
          </w:p>
        </w:tc>
        <w:tc>
          <w:tcPr>
            <w:tcW w:w="1820" w:type="dxa"/>
            <w:vAlign w:val="bottom"/>
            <w:gridSpan w:val="2"/>
            <w:vMerge w:val="restart"/>
          </w:tcPr>
          <w:p>
            <w:pPr>
              <w:jc w:val="center"/>
              <w:ind w:right="199"/>
              <w:spacing w:after="0"/>
              <w:rPr>
                <w:sz w:val="20"/>
                <w:szCs w:val="20"/>
                <w:color w:val="auto"/>
              </w:rPr>
            </w:pPr>
            <w:r>
              <w:rPr>
                <w:rFonts w:ascii="Arial" w:cs="Arial" w:eastAsia="Arial" w:hAnsi="Arial"/>
                <w:sz w:val="16"/>
                <w:szCs w:val="16"/>
                <w:b w:val="1"/>
                <w:bCs w:val="1"/>
                <w:color w:val="auto"/>
                <w:w w:val="86"/>
              </w:rPr>
              <w:t>Results</w:t>
            </w:r>
          </w:p>
        </w:tc>
        <w:tc>
          <w:tcPr>
            <w:tcW w:w="1640" w:type="dxa"/>
            <w:vAlign w:val="bottom"/>
            <w:gridSpan w:val="2"/>
            <w:vMerge w:val="restart"/>
          </w:tcPr>
          <w:p>
            <w:pPr>
              <w:jc w:val="center"/>
              <w:ind w:right="19"/>
              <w:spacing w:after="0"/>
              <w:rPr>
                <w:sz w:val="20"/>
                <w:szCs w:val="20"/>
                <w:color w:val="auto"/>
              </w:rPr>
            </w:pPr>
            <w:r>
              <w:rPr>
                <w:rFonts w:ascii="Arial" w:cs="Arial" w:eastAsia="Arial" w:hAnsi="Arial"/>
                <w:sz w:val="16"/>
                <w:szCs w:val="16"/>
                <w:b w:val="1"/>
                <w:bCs w:val="1"/>
                <w:color w:val="auto"/>
                <w:w w:val="89"/>
              </w:rPr>
              <w:t>Reported Results</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52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580" w:type="dxa"/>
            <w:vAlign w:val="bottom"/>
            <w:tcBorders>
              <w:top w:val="single" w:sz="8" w:color="auto"/>
            </w:tcBorders>
            <w:shd w:val="clear" w:color="auto" w:fill="E5FFFF"/>
          </w:tcPr>
          <w:p>
            <w:pPr>
              <w:ind w:left="1420"/>
              <w:spacing w:after="0"/>
              <w:rPr>
                <w:sz w:val="20"/>
                <w:szCs w:val="20"/>
                <w:color w:val="auto"/>
              </w:rPr>
            </w:pPr>
            <w:r>
              <w:rPr>
                <w:rFonts w:ascii="Arial" w:cs="Arial" w:eastAsia="Arial" w:hAnsi="Arial"/>
                <w:sz w:val="16"/>
                <w:szCs w:val="16"/>
                <w:color w:val="auto"/>
                <w:w w:val="87"/>
              </w:rPr>
              <w:t>—</w:t>
            </w:r>
          </w:p>
        </w:tc>
        <w:tc>
          <w:tcPr>
            <w:tcW w:w="24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91,805</w:t>
            </w:r>
          </w:p>
        </w:tc>
        <w:tc>
          <w:tcPr>
            <w:tcW w:w="2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91,805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Net pool allocation</w:t>
            </w:r>
          </w:p>
        </w:tc>
        <w:tc>
          <w:tcPr>
            <w:tcW w:w="182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179"/>
              <w:spacing w:after="0"/>
              <w:rPr>
                <w:sz w:val="20"/>
                <w:szCs w:val="20"/>
                <w:color w:val="auto"/>
              </w:rPr>
            </w:pPr>
            <w:r>
              <w:rPr>
                <w:rFonts w:ascii="Arial" w:cs="Arial" w:eastAsia="Arial" w:hAnsi="Arial"/>
                <w:sz w:val="16"/>
                <w:szCs w:val="16"/>
                <w:color w:val="auto"/>
              </w:rPr>
              <w:t>1,024</w:t>
            </w:r>
          </w:p>
        </w:tc>
        <w:tc>
          <w:tcPr>
            <w:tcW w:w="1600" w:type="dxa"/>
            <w:vAlign w:val="bottom"/>
          </w:tcPr>
          <w:p>
            <w:pPr>
              <w:jc w:val="right"/>
              <w:spacing w:after="0"/>
              <w:rPr>
                <w:sz w:val="20"/>
                <w:szCs w:val="20"/>
                <w:color w:val="auto"/>
              </w:rPr>
            </w:pPr>
            <w:r>
              <w:rPr>
                <w:rFonts w:ascii="Arial" w:cs="Arial" w:eastAsia="Arial" w:hAnsi="Arial"/>
                <w:sz w:val="16"/>
                <w:szCs w:val="16"/>
                <w:color w:val="auto"/>
              </w:rPr>
              <w:t>1,024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820" w:type="dxa"/>
            <w:vAlign w:val="bottom"/>
            <w:gridSpan w:val="2"/>
            <w:shd w:val="clear" w:color="auto" w:fill="E5FFFF"/>
          </w:tcPr>
          <w:p>
            <w:pPr>
              <w:ind w:left="142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(2,037)</w:t>
            </w:r>
          </w:p>
        </w:tc>
        <w:tc>
          <w:tcPr>
            <w:tcW w:w="16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(2,037)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82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139"/>
              <w:spacing w:after="0"/>
              <w:rPr>
                <w:sz w:val="20"/>
                <w:szCs w:val="20"/>
                <w:color w:val="auto"/>
              </w:rPr>
            </w:pPr>
            <w:r>
              <w:rPr>
                <w:rFonts w:ascii="Arial" w:cs="Arial" w:eastAsia="Arial" w:hAnsi="Arial"/>
                <w:sz w:val="16"/>
                <w:szCs w:val="16"/>
                <w:color w:val="auto"/>
              </w:rPr>
              <w:t>(18,548)</w:t>
            </w:r>
          </w:p>
        </w:tc>
        <w:tc>
          <w:tcPr>
            <w:tcW w:w="1600" w:type="dxa"/>
            <w:vAlign w:val="bottom"/>
          </w:tcPr>
          <w:p>
            <w:pPr>
              <w:jc w:val="right"/>
              <w:spacing w:after="0"/>
              <w:rPr>
                <w:sz w:val="20"/>
                <w:szCs w:val="20"/>
                <w:color w:val="auto"/>
              </w:rPr>
            </w:pPr>
            <w:r>
              <w:rPr>
                <w:rFonts w:ascii="Arial" w:cs="Arial" w:eastAsia="Arial" w:hAnsi="Arial"/>
                <w:sz w:val="16"/>
                <w:szCs w:val="16"/>
                <w:color w:val="auto"/>
              </w:rPr>
              <w:t>(18,548)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820" w:type="dxa"/>
            <w:vAlign w:val="bottom"/>
            <w:gridSpan w:val="2"/>
            <w:shd w:val="clear" w:color="auto" w:fill="E5FFFF"/>
          </w:tcPr>
          <w:p>
            <w:pPr>
              <w:ind w:left="142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(22,137)</w:t>
            </w:r>
          </w:p>
        </w:tc>
        <w:tc>
          <w:tcPr>
            <w:tcW w:w="16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(22,137)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82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139"/>
              <w:spacing w:after="0"/>
              <w:rPr>
                <w:sz w:val="20"/>
                <w:szCs w:val="20"/>
                <w:color w:val="auto"/>
              </w:rPr>
            </w:pPr>
            <w:r>
              <w:rPr>
                <w:rFonts w:ascii="Arial" w:cs="Arial" w:eastAsia="Arial" w:hAnsi="Arial"/>
                <w:sz w:val="16"/>
                <w:szCs w:val="16"/>
                <w:color w:val="auto"/>
              </w:rPr>
              <w:t>(4,741)</w:t>
            </w:r>
          </w:p>
        </w:tc>
        <w:tc>
          <w:tcPr>
            <w:tcW w:w="1600" w:type="dxa"/>
            <w:vAlign w:val="bottom"/>
          </w:tcPr>
          <w:p>
            <w:pPr>
              <w:jc w:val="right"/>
              <w:spacing w:after="0"/>
              <w:rPr>
                <w:sz w:val="20"/>
                <w:szCs w:val="20"/>
                <w:color w:val="auto"/>
              </w:rPr>
            </w:pPr>
            <w:r>
              <w:rPr>
                <w:rFonts w:ascii="Arial" w:cs="Arial" w:eastAsia="Arial" w:hAnsi="Arial"/>
                <w:sz w:val="16"/>
                <w:szCs w:val="16"/>
                <w:color w:val="auto"/>
              </w:rPr>
              <w:t>(4,741)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580" w:type="dxa"/>
            <w:vAlign w:val="bottom"/>
            <w:tcBorders>
              <w:top w:val="single" w:sz="8" w:color="auto"/>
              <w:bottom w:val="single" w:sz="8" w:color="auto"/>
            </w:tcBorders>
            <w:shd w:val="clear" w:color="auto" w:fill="E5FFFF"/>
          </w:tcPr>
          <w:p>
            <w:pPr>
              <w:ind w:left="1420"/>
              <w:spacing w:after="0"/>
              <w:rPr>
                <w:sz w:val="20"/>
                <w:szCs w:val="20"/>
                <w:color w:val="auto"/>
              </w:rPr>
            </w:pPr>
            <w:r>
              <w:rPr>
                <w:rFonts w:ascii="Arial" w:cs="Arial" w:eastAsia="Arial" w:hAnsi="Arial"/>
                <w:sz w:val="16"/>
                <w:szCs w:val="16"/>
                <w:color w:val="auto"/>
                <w:w w:val="87"/>
              </w:rPr>
              <w:t>—</w:t>
            </w:r>
          </w:p>
        </w:tc>
        <w:tc>
          <w:tcPr>
            <w:tcW w:w="24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45,366</w:t>
            </w:r>
          </w:p>
        </w:tc>
        <w:tc>
          <w:tcPr>
            <w:tcW w:w="2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45,366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6"/>
                <w:szCs w:val="16"/>
                <w:color w:val="auto"/>
              </w:rPr>
              <w:t>Financial costs</w:t>
            </w:r>
          </w:p>
        </w:tc>
        <w:tc>
          <w:tcPr>
            <w:tcW w:w="1580" w:type="dxa"/>
            <w:vAlign w:val="bottom"/>
          </w:tcPr>
          <w:p>
            <w:pPr>
              <w:ind w:left="142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(18,484)</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(18,484)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820" w:type="dxa"/>
            <w:vAlign w:val="bottom"/>
            <w:gridSpan w:val="2"/>
            <w:shd w:val="clear" w:color="auto" w:fill="E5FFFF"/>
          </w:tcPr>
          <w:p>
            <w:pPr>
              <w:ind w:left="142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527</w:t>
            </w:r>
          </w:p>
        </w:tc>
        <w:tc>
          <w:tcPr>
            <w:tcW w:w="16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527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Loss on derivatives</w:t>
            </w:r>
          </w:p>
        </w:tc>
        <w:tc>
          <w:tcPr>
            <w:tcW w:w="182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139"/>
              <w:spacing w:after="0"/>
              <w:rPr>
                <w:sz w:val="20"/>
                <w:szCs w:val="20"/>
                <w:color w:val="auto"/>
              </w:rPr>
            </w:pPr>
            <w:r>
              <w:rPr>
                <w:rFonts w:ascii="Arial" w:cs="Arial" w:eastAsia="Arial" w:hAnsi="Arial"/>
                <w:sz w:val="16"/>
                <w:szCs w:val="16"/>
                <w:color w:val="auto"/>
              </w:rPr>
              <w:t>(8,266)</w:t>
            </w:r>
          </w:p>
        </w:tc>
        <w:tc>
          <w:tcPr>
            <w:tcW w:w="1600" w:type="dxa"/>
            <w:vAlign w:val="bottom"/>
          </w:tcPr>
          <w:p>
            <w:pPr>
              <w:jc w:val="right"/>
              <w:spacing w:after="0"/>
              <w:rPr>
                <w:sz w:val="20"/>
                <w:szCs w:val="20"/>
                <w:color w:val="auto"/>
              </w:rPr>
            </w:pPr>
            <w:r>
              <w:rPr>
                <w:rFonts w:ascii="Arial" w:cs="Arial" w:eastAsia="Arial" w:hAnsi="Arial"/>
                <w:sz w:val="16"/>
                <w:szCs w:val="16"/>
                <w:color w:val="auto"/>
              </w:rPr>
              <w:t>(8,266)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580" w:type="dxa"/>
            <w:vAlign w:val="bottom"/>
            <w:tcBorders>
              <w:top w:val="single" w:sz="8" w:color="auto"/>
              <w:bottom w:val="single" w:sz="8" w:color="auto"/>
            </w:tcBorders>
            <w:shd w:val="clear" w:color="auto" w:fill="E5FFFF"/>
          </w:tcPr>
          <w:p>
            <w:pPr>
              <w:ind w:left="1420"/>
              <w:spacing w:after="0"/>
              <w:rPr>
                <w:sz w:val="20"/>
                <w:szCs w:val="20"/>
                <w:color w:val="auto"/>
              </w:rPr>
            </w:pPr>
            <w:r>
              <w:rPr>
                <w:rFonts w:ascii="Arial" w:cs="Arial" w:eastAsia="Arial" w:hAnsi="Arial"/>
                <w:sz w:val="16"/>
                <w:szCs w:val="16"/>
                <w:color w:val="auto"/>
                <w:w w:val="87"/>
              </w:rPr>
              <w:t>—</w:t>
            </w:r>
          </w:p>
        </w:tc>
        <w:tc>
          <w:tcPr>
            <w:tcW w:w="24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(26,223)</w:t>
            </w:r>
          </w:p>
        </w:tc>
        <w:tc>
          <w:tcPr>
            <w:tcW w:w="2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(26,223)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158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19,143</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5280" w:type="dxa"/>
            <w:vAlign w:val="bottom"/>
            <w:gridSpan w:val="7"/>
          </w:tcPr>
          <w:p>
            <w:pPr>
              <w:jc w:val="center"/>
              <w:ind w:right="60"/>
              <w:spacing w:after="0"/>
              <w:rPr>
                <w:sz w:val="20"/>
                <w:szCs w:val="20"/>
                <w:color w:val="auto"/>
              </w:rPr>
            </w:pPr>
            <w:r>
              <w:rPr>
                <w:rFonts w:ascii="Arial" w:cs="Arial" w:eastAsia="Arial" w:hAnsi="Arial"/>
                <w:sz w:val="16"/>
                <w:szCs w:val="16"/>
                <w:b w:val="1"/>
                <w:bCs w:val="1"/>
                <w:color w:val="auto"/>
                <w:w w:val="90"/>
              </w:rPr>
              <w:t>For the three months ended September 30, 2019</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360" w:type="dxa"/>
            <w:vAlign w:val="bottom"/>
          </w:tcPr>
          <w:p>
            <w:pPr>
              <w:jc w:val="center"/>
              <w:ind w:left="139"/>
              <w:spacing w:after="0"/>
              <w:rPr>
                <w:sz w:val="20"/>
                <w:szCs w:val="20"/>
                <w:color w:val="auto"/>
              </w:rPr>
            </w:pPr>
            <w:r>
              <w:rPr>
                <w:rFonts w:ascii="Arial" w:cs="Arial" w:eastAsia="Arial" w:hAnsi="Arial"/>
                <w:sz w:val="16"/>
                <w:szCs w:val="16"/>
                <w:b w:val="1"/>
                <w:bCs w:val="1"/>
                <w:color w:val="auto"/>
                <w:w w:val="86"/>
              </w:rPr>
              <w:t>Results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w w:val="92"/>
              </w:rPr>
              <w:t>Partnership</w:t>
            </w:r>
          </w:p>
        </w:tc>
        <w:tc>
          <w:tcPr>
            <w:tcW w:w="16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6"/>
              </w:rPr>
              <w:t>IFRS Common</w:t>
            </w:r>
          </w:p>
        </w:tc>
        <w:tc>
          <w:tcPr>
            <w:tcW w:w="0" w:type="dxa"/>
            <w:vAlign w:val="bottom"/>
          </w:tcPr>
          <w:p>
            <w:pPr>
              <w:spacing w:after="0"/>
              <w:rPr>
                <w:sz w:val="1"/>
                <w:szCs w:val="1"/>
                <w:color w:val="auto"/>
              </w:rPr>
            </w:pPr>
          </w:p>
        </w:tc>
      </w:tr>
      <w:tr>
        <w:trPr>
          <w:trHeight w:val="203"/>
        </w:trPr>
        <w:tc>
          <w:tcPr>
            <w:tcW w:w="528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360" w:type="dxa"/>
            <w:vAlign w:val="bottom"/>
          </w:tcPr>
          <w:p>
            <w:pPr>
              <w:jc w:val="center"/>
              <w:ind w:left="159"/>
              <w:spacing w:after="0"/>
              <w:rPr>
                <w:sz w:val="20"/>
                <w:szCs w:val="20"/>
                <w:color w:val="auto"/>
              </w:rPr>
            </w:pPr>
            <w:r>
              <w:rPr>
                <w:rFonts w:ascii="Arial" w:cs="Arial" w:eastAsia="Arial" w:hAnsi="Arial"/>
                <w:sz w:val="16"/>
                <w:szCs w:val="16"/>
                <w:b w:val="1"/>
                <w:bCs w:val="1"/>
                <w:color w:val="auto"/>
                <w:w w:val="93"/>
              </w:rPr>
              <w:t>attributable to</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w w:val="91"/>
              </w:rPr>
              <w:t>Performance</w:t>
            </w:r>
          </w:p>
        </w:tc>
        <w:tc>
          <w:tcPr>
            <w:tcW w:w="16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4"/>
              </w:rPr>
              <w:t>Control</w:t>
            </w:r>
          </w:p>
        </w:tc>
        <w:tc>
          <w:tcPr>
            <w:tcW w:w="0" w:type="dxa"/>
            <w:vAlign w:val="bottom"/>
          </w:tcPr>
          <w:p>
            <w:pPr>
              <w:spacing w:after="0"/>
              <w:rPr>
                <w:sz w:val="1"/>
                <w:szCs w:val="1"/>
                <w:color w:val="auto"/>
              </w:rPr>
            </w:pPr>
          </w:p>
        </w:tc>
      </w:tr>
      <w:tr>
        <w:trPr>
          <w:trHeight w:val="102"/>
        </w:trPr>
        <w:tc>
          <w:tcPr>
            <w:tcW w:w="5280" w:type="dxa"/>
            <w:vAlign w:val="bottom"/>
            <w:vMerge w:val="continue"/>
          </w:tcPr>
          <w:p>
            <w:pPr>
              <w:spacing w:after="0"/>
              <w:rPr>
                <w:sz w:val="8"/>
                <w:szCs w:val="8"/>
                <w:color w:val="auto"/>
              </w:rPr>
            </w:pPr>
          </w:p>
        </w:tc>
        <w:tc>
          <w:tcPr>
            <w:tcW w:w="1360" w:type="dxa"/>
            <w:vAlign w:val="bottom"/>
            <w:vMerge w:val="restart"/>
          </w:tcPr>
          <w:p>
            <w:pPr>
              <w:jc w:val="center"/>
              <w:ind w:left="139"/>
              <w:spacing w:after="0"/>
              <w:rPr>
                <w:sz w:val="20"/>
                <w:szCs w:val="20"/>
                <w:color w:val="auto"/>
              </w:rPr>
            </w:pPr>
            <w:r>
              <w:rPr>
                <w:rFonts w:ascii="Arial" w:cs="Arial" w:eastAsia="Arial" w:hAnsi="Arial"/>
                <w:sz w:val="16"/>
                <w:szCs w:val="16"/>
                <w:b w:val="1"/>
                <w:bCs w:val="1"/>
                <w:color w:val="auto"/>
                <w:w w:val="90"/>
              </w:rPr>
              <w:t>GasLog</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20" w:type="dxa"/>
            <w:vAlign w:val="bottom"/>
            <w:gridSpan w:val="2"/>
            <w:vMerge w:val="restart"/>
          </w:tcPr>
          <w:p>
            <w:pPr>
              <w:jc w:val="center"/>
              <w:ind w:right="199"/>
              <w:spacing w:after="0"/>
              <w:rPr>
                <w:sz w:val="20"/>
                <w:szCs w:val="20"/>
                <w:color w:val="auto"/>
              </w:rPr>
            </w:pPr>
            <w:r>
              <w:rPr>
                <w:rFonts w:ascii="Arial" w:cs="Arial" w:eastAsia="Arial" w:hAnsi="Arial"/>
                <w:sz w:val="16"/>
                <w:szCs w:val="16"/>
                <w:b w:val="1"/>
                <w:bCs w:val="1"/>
                <w:color w:val="auto"/>
                <w:w w:val="86"/>
              </w:rPr>
              <w:t>Results</w:t>
            </w:r>
          </w:p>
        </w:tc>
        <w:tc>
          <w:tcPr>
            <w:tcW w:w="164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89"/>
              </w:rPr>
              <w:t>Reported Results</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52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36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ind w:left="60"/>
              <w:spacing w:after="0"/>
              <w:rPr>
                <w:sz w:val="20"/>
                <w:szCs w:val="20"/>
                <w:color w:val="auto"/>
              </w:rPr>
            </w:pPr>
            <w:r>
              <w:rPr>
                <w:rFonts w:ascii="Arial" w:cs="Arial" w:eastAsia="Arial" w:hAnsi="Arial"/>
                <w:sz w:val="16"/>
                <w:szCs w:val="16"/>
                <w:color w:val="auto"/>
                <w:w w:val="87"/>
              </w:rPr>
              <w:t>—</w:t>
            </w:r>
          </w:p>
        </w:tc>
        <w:tc>
          <w:tcPr>
            <w:tcW w:w="24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96,485</w:t>
            </w:r>
          </w:p>
        </w:tc>
        <w:tc>
          <w:tcPr>
            <w:tcW w:w="22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96,485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Net pool allocation</w:t>
            </w:r>
          </w:p>
        </w:tc>
        <w:tc>
          <w:tcPr>
            <w:tcW w:w="136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360" w:type="dxa"/>
            <w:vAlign w:val="bottom"/>
            <w:shd w:val="clear" w:color="auto" w:fill="E5FFFF"/>
          </w:tcPr>
          <w:p>
            <w:pPr>
              <w:spacing w:after="0"/>
              <w:rPr>
                <w:sz w:val="17"/>
                <w:szCs w:val="17"/>
                <w:color w:val="auto"/>
              </w:rPr>
            </w:pPr>
          </w:p>
        </w:tc>
        <w:tc>
          <w:tcPr>
            <w:tcW w:w="460" w:type="dxa"/>
            <w:vAlign w:val="bottom"/>
            <w:gridSpan w:val="2"/>
            <w:shd w:val="clear" w:color="auto" w:fill="E5FFFF"/>
          </w:tcPr>
          <w:p>
            <w:pPr>
              <w:ind w:left="6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(1,673)</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36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139"/>
              <w:spacing w:after="0"/>
              <w:rPr>
                <w:sz w:val="20"/>
                <w:szCs w:val="20"/>
                <w:color w:val="auto"/>
              </w:rPr>
            </w:pPr>
            <w:r>
              <w:rPr>
                <w:rFonts w:ascii="Arial" w:cs="Arial" w:eastAsia="Arial" w:hAnsi="Arial"/>
                <w:sz w:val="16"/>
                <w:szCs w:val="16"/>
                <w:color w:val="auto"/>
              </w:rPr>
              <w:t>(18,116)</w:t>
            </w:r>
          </w:p>
        </w:tc>
        <w:tc>
          <w:tcPr>
            <w:tcW w:w="1580" w:type="dxa"/>
            <w:vAlign w:val="bottom"/>
          </w:tcPr>
          <w:p>
            <w:pPr>
              <w:jc w:val="right"/>
              <w:spacing w:after="0"/>
              <w:rPr>
                <w:sz w:val="20"/>
                <w:szCs w:val="20"/>
                <w:color w:val="auto"/>
              </w:rPr>
            </w:pPr>
            <w:r>
              <w:rPr>
                <w:rFonts w:ascii="Arial" w:cs="Arial" w:eastAsia="Arial" w:hAnsi="Arial"/>
                <w:sz w:val="16"/>
                <w:szCs w:val="16"/>
                <w:color w:val="auto"/>
              </w:rPr>
              <w:t>(18,116)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360" w:type="dxa"/>
            <w:vAlign w:val="bottom"/>
            <w:shd w:val="clear" w:color="auto" w:fill="E5FFFF"/>
          </w:tcPr>
          <w:p>
            <w:pPr>
              <w:spacing w:after="0"/>
              <w:rPr>
                <w:sz w:val="17"/>
                <w:szCs w:val="17"/>
                <w:color w:val="auto"/>
              </w:rPr>
            </w:pPr>
          </w:p>
        </w:tc>
        <w:tc>
          <w:tcPr>
            <w:tcW w:w="460" w:type="dxa"/>
            <w:vAlign w:val="bottom"/>
            <w:gridSpan w:val="2"/>
            <w:shd w:val="clear" w:color="auto" w:fill="E5FFFF"/>
          </w:tcPr>
          <w:p>
            <w:pPr>
              <w:ind w:left="6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(22,819)</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(22,819)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36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139"/>
              <w:spacing w:after="0"/>
              <w:rPr>
                <w:sz w:val="20"/>
                <w:szCs w:val="20"/>
                <w:color w:val="auto"/>
              </w:rPr>
            </w:pPr>
            <w:r>
              <w:rPr>
                <w:rFonts w:ascii="Arial" w:cs="Arial" w:eastAsia="Arial" w:hAnsi="Arial"/>
                <w:sz w:val="16"/>
                <w:szCs w:val="16"/>
                <w:color w:val="auto"/>
              </w:rPr>
              <w:t>(4,917)</w:t>
            </w:r>
          </w:p>
        </w:tc>
        <w:tc>
          <w:tcPr>
            <w:tcW w:w="1580" w:type="dxa"/>
            <w:vAlign w:val="bottom"/>
          </w:tcPr>
          <w:p>
            <w:pPr>
              <w:jc w:val="right"/>
              <w:spacing w:after="0"/>
              <w:rPr>
                <w:sz w:val="20"/>
                <w:szCs w:val="20"/>
                <w:color w:val="auto"/>
              </w:rPr>
            </w:pPr>
            <w:r>
              <w:rPr>
                <w:rFonts w:ascii="Arial" w:cs="Arial" w:eastAsia="Arial" w:hAnsi="Arial"/>
                <w:sz w:val="16"/>
                <w:szCs w:val="16"/>
                <w:color w:val="auto"/>
              </w:rPr>
              <w:t>(4,917)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360" w:type="dxa"/>
            <w:vAlign w:val="bottom"/>
            <w:tcBorders>
              <w:top w:val="single" w:sz="8" w:color="auto"/>
              <w:bottom w:val="single" w:sz="8" w:color="auto"/>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ind w:left="60"/>
              <w:spacing w:after="0"/>
              <w:rPr>
                <w:sz w:val="20"/>
                <w:szCs w:val="20"/>
                <w:color w:val="auto"/>
              </w:rPr>
            </w:pPr>
            <w:r>
              <w:rPr>
                <w:rFonts w:ascii="Arial" w:cs="Arial" w:eastAsia="Arial" w:hAnsi="Arial"/>
                <w:sz w:val="16"/>
                <w:szCs w:val="16"/>
                <w:color w:val="auto"/>
                <w:w w:val="87"/>
              </w:rPr>
              <w:t>—</w:t>
            </w:r>
          </w:p>
        </w:tc>
        <w:tc>
          <w:tcPr>
            <w:tcW w:w="24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48,960</w:t>
            </w:r>
          </w:p>
        </w:tc>
        <w:tc>
          <w:tcPr>
            <w:tcW w:w="22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48,960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6"/>
                <w:szCs w:val="16"/>
                <w:color w:val="auto"/>
              </w:rPr>
              <w:t>Financial costs</w:t>
            </w:r>
          </w:p>
        </w:tc>
        <w:tc>
          <w:tcPr>
            <w:tcW w:w="136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(17,534</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(17,534)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360" w:type="dxa"/>
            <w:vAlign w:val="bottom"/>
            <w:shd w:val="clear" w:color="auto" w:fill="E5FFFF"/>
          </w:tcPr>
          <w:p>
            <w:pPr>
              <w:spacing w:after="0"/>
              <w:rPr>
                <w:sz w:val="17"/>
                <w:szCs w:val="17"/>
                <w:color w:val="auto"/>
              </w:rPr>
            </w:pPr>
          </w:p>
        </w:tc>
        <w:tc>
          <w:tcPr>
            <w:tcW w:w="460" w:type="dxa"/>
            <w:vAlign w:val="bottom"/>
            <w:gridSpan w:val="2"/>
            <w:shd w:val="clear" w:color="auto" w:fill="E5FFFF"/>
          </w:tcPr>
          <w:p>
            <w:pPr>
              <w:ind w:left="6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393</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Loss on derivatives</w:t>
            </w:r>
          </w:p>
        </w:tc>
        <w:tc>
          <w:tcPr>
            <w:tcW w:w="136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139"/>
              <w:spacing w:after="0"/>
              <w:rPr>
                <w:sz w:val="20"/>
                <w:szCs w:val="20"/>
                <w:color w:val="auto"/>
              </w:rPr>
            </w:pPr>
            <w:r>
              <w:rPr>
                <w:rFonts w:ascii="Arial" w:cs="Arial" w:eastAsia="Arial" w:hAnsi="Arial"/>
                <w:sz w:val="16"/>
                <w:szCs w:val="16"/>
                <w:color w:val="auto"/>
              </w:rPr>
              <w:t>(2,385)</w:t>
            </w:r>
          </w:p>
        </w:tc>
        <w:tc>
          <w:tcPr>
            <w:tcW w:w="1580" w:type="dxa"/>
            <w:vAlign w:val="bottom"/>
          </w:tcPr>
          <w:p>
            <w:pPr>
              <w:jc w:val="right"/>
              <w:spacing w:after="0"/>
              <w:rPr>
                <w:sz w:val="20"/>
                <w:szCs w:val="20"/>
                <w:color w:val="auto"/>
              </w:rPr>
            </w:pPr>
            <w:r>
              <w:rPr>
                <w:rFonts w:ascii="Arial" w:cs="Arial" w:eastAsia="Arial" w:hAnsi="Arial"/>
                <w:sz w:val="16"/>
                <w:szCs w:val="16"/>
                <w:color w:val="auto"/>
              </w:rPr>
              <w:t>(2,385)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360" w:type="dxa"/>
            <w:vAlign w:val="bottom"/>
            <w:tcBorders>
              <w:top w:val="single" w:sz="8" w:color="auto"/>
              <w:bottom w:val="single" w:sz="8" w:color="auto"/>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ind w:left="60"/>
              <w:spacing w:after="0"/>
              <w:rPr>
                <w:sz w:val="20"/>
                <w:szCs w:val="20"/>
                <w:color w:val="auto"/>
              </w:rPr>
            </w:pPr>
            <w:r>
              <w:rPr>
                <w:rFonts w:ascii="Arial" w:cs="Arial" w:eastAsia="Arial" w:hAnsi="Arial"/>
                <w:sz w:val="16"/>
                <w:szCs w:val="16"/>
                <w:color w:val="auto"/>
                <w:w w:val="87"/>
              </w:rPr>
              <w:t>—</w:t>
            </w:r>
          </w:p>
        </w:tc>
        <w:tc>
          <w:tcPr>
            <w:tcW w:w="24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(19,526</w:t>
            </w:r>
          </w:p>
        </w:tc>
        <w:tc>
          <w:tcPr>
            <w:tcW w:w="220" w:type="dxa"/>
            <w:vAlign w:val="bottom"/>
            <w:tcBorders>
              <w:top w:val="single" w:sz="8" w:color="E5FFFF"/>
            </w:tcBorders>
            <w:shd w:val="clear" w:color="auto" w:fill="E5FFFF"/>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(19,526)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1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29,434</w:t>
            </w:r>
          </w:p>
        </w:tc>
        <w:tc>
          <w:tcPr>
            <w:tcW w:w="22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60"/>
          </w:cols>
          <w:pgMar w:left="240" w:top="342" w:right="109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EXHIBIT III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EBITDA is defined as earnings before interest income and expense, gain/loss on derivatives, taxes, depreciation and amortization. Adjusted Profit represents earnings before</w:t>
      </w:r>
    </w:p>
    <w:p>
      <w:pPr>
        <w:spacing w:after="0" w:line="45" w:lineRule="exact"/>
        <w:rPr>
          <w:sz w:val="20"/>
          <w:szCs w:val="20"/>
          <w:color w:val="auto"/>
        </w:rPr>
      </w:pPr>
    </w:p>
    <w:p>
      <w:pPr>
        <w:ind w:firstLine="8"/>
        <w:spacing w:after="0" w:line="286" w:lineRule="auto"/>
        <w:tabs>
          <w:tab w:leader="none" w:pos="220" w:val="left"/>
        </w:tabs>
        <w:numPr>
          <w:ilvl w:val="0"/>
          <w:numId w:val="7"/>
        </w:numPr>
        <w:rPr>
          <w:rFonts w:ascii="Arial" w:cs="Arial" w:eastAsia="Arial" w:hAnsi="Arial"/>
          <w:sz w:val="15"/>
          <w:szCs w:val="15"/>
          <w:color w:val="auto"/>
        </w:rPr>
      </w:pPr>
      <w:r>
        <w:rPr>
          <w:rFonts w:ascii="Arial" w:cs="Arial" w:eastAsia="Arial" w:hAnsi="Arial"/>
          <w:sz w:val="15"/>
          <w:szCs w:val="15"/>
          <w:color w:val="auto"/>
        </w:rPr>
        <w:t>non-cash gain/loss on derivatives that includes unrealized gain/loss on derivatives held for trading and (b) write-off and accelerated amortization of unamortized loan fees. EBITDA and Adjusted Profit,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and Adjusted Profit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financial costs, gain/loss on derivatives, taxes, depreciation and amortization; and, in the case of Adjusted Profit, non-cash gain/loss on derivatives and write-off and accelerated amortization of unamortized loan fees, which items are affected by various and possibly changing financing methods, financial market conditions, capital structure and historical cost basis and which items may significantly affect results of operations between periods.</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EBITDA and Adjusted Profit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to how we do, limiting its usefulness as a comparative measure. EBITDA excludes some, but not all, items that affect profit or loss and these measures may vary among other companies. Therefore, EBITDA as presented herein may not be comparable to similarly titled measures of other companies. The following table reconciles EBITDA to profit, the most directly comparable IFRS financial measure, for the periods presented.</w:t>
      </w:r>
    </w:p>
    <w:p>
      <w:pPr>
        <w:spacing w:after="0" w:line="18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EBITDA and Adjusted Profit are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reconciliations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20"/>
                <w:szCs w:val="20"/>
                <w:color w:val="auto"/>
              </w:rPr>
            </w:pPr>
            <w:r>
              <w:rPr>
                <w:rFonts w:ascii="Arial" w:cs="Arial" w:eastAsia="Arial" w:hAnsi="Arial"/>
                <w:sz w:val="16"/>
                <w:szCs w:val="16"/>
                <w:b w:val="1"/>
                <w:bCs w:val="1"/>
                <w:color w:val="auto"/>
              </w:rPr>
              <w:t>Reconciliation of Profit to EBITDA:</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9"/>
        </w:trPr>
        <w:tc>
          <w:tcPr>
            <w:tcW w:w="458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4580" w:type="dxa"/>
            <w:vAlign w:val="bottom"/>
          </w:tcPr>
          <w:p>
            <w:pPr>
              <w:spacing w:after="0"/>
              <w:rPr>
                <w:sz w:val="24"/>
                <w:szCs w:val="24"/>
                <w:color w:val="auto"/>
              </w:rPr>
            </w:pPr>
          </w:p>
        </w:tc>
        <w:tc>
          <w:tcPr>
            <w:tcW w:w="4540" w:type="dxa"/>
            <w:vAlign w:val="bottom"/>
            <w:gridSpan w:val="6"/>
          </w:tcPr>
          <w:p>
            <w:pPr>
              <w:jc w:val="center"/>
              <w:ind w:left="1559"/>
              <w:spacing w:after="0"/>
              <w:rPr>
                <w:sz w:val="20"/>
                <w:szCs w:val="20"/>
                <w:color w:val="auto"/>
              </w:rPr>
            </w:pPr>
            <w:r>
              <w:rPr>
                <w:rFonts w:ascii="Arial" w:cs="Arial" w:eastAsia="Arial" w:hAnsi="Arial"/>
                <w:sz w:val="16"/>
                <w:szCs w:val="16"/>
                <w:b w:val="1"/>
                <w:bCs w:val="1"/>
                <w:color w:val="auto"/>
                <w:w w:val="92"/>
              </w:rPr>
              <w:t>IFRS Common Control Reported Results</w:t>
            </w: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5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0"/>
              </w:rPr>
              <w:t>For the three months ended</w:t>
            </w: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3"/>
        </w:trPr>
        <w:tc>
          <w:tcPr>
            <w:tcW w:w="4580" w:type="dxa"/>
            <w:vAlign w:val="bottom"/>
          </w:tcPr>
          <w:p>
            <w:pPr>
              <w:spacing w:after="0"/>
              <w:rPr>
                <w:sz w:val="20"/>
                <w:szCs w:val="20"/>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September 30, 2018</w:t>
            </w:r>
          </w:p>
        </w:tc>
        <w:tc>
          <w:tcPr>
            <w:tcW w:w="80" w:type="dxa"/>
            <w:vAlign w:val="bottom"/>
          </w:tcPr>
          <w:p>
            <w:pPr>
              <w:spacing w:after="0"/>
              <w:rPr>
                <w:sz w:val="20"/>
                <w:szCs w:val="20"/>
                <w:color w:val="auto"/>
              </w:rPr>
            </w:pPr>
          </w:p>
        </w:tc>
        <w:tc>
          <w:tcPr>
            <w:tcW w:w="2560" w:type="dxa"/>
            <w:vAlign w:val="bottom"/>
            <w:gridSpan w:val="3"/>
          </w:tcPr>
          <w:p>
            <w:pPr>
              <w:ind w:left="580"/>
              <w:spacing w:after="0"/>
              <w:rPr>
                <w:sz w:val="20"/>
                <w:szCs w:val="20"/>
                <w:color w:val="auto"/>
              </w:rPr>
            </w:pPr>
            <w:r>
              <w:rPr>
                <w:rFonts w:ascii="Arial" w:cs="Arial" w:eastAsia="Arial" w:hAnsi="Arial"/>
                <w:sz w:val="16"/>
                <w:szCs w:val="16"/>
                <w:b w:val="1"/>
                <w:bCs w:val="1"/>
                <w:color w:val="auto"/>
              </w:rPr>
              <w:t>June 30, 2019</w:t>
            </w:r>
          </w:p>
        </w:tc>
        <w:tc>
          <w:tcPr>
            <w:tcW w:w="17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89"/>
              </w:rPr>
              <w:t>September 30, 2019</w:t>
            </w:r>
          </w:p>
        </w:tc>
      </w:tr>
      <w:tr>
        <w:trPr>
          <w:trHeight w:val="199"/>
        </w:trPr>
        <w:tc>
          <w:tcPr>
            <w:tcW w:w="45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8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33,028</w:t>
            </w:r>
          </w:p>
        </w:tc>
        <w:tc>
          <w:tcPr>
            <w:tcW w:w="1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21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19,143</w:t>
            </w:r>
          </w:p>
        </w:tc>
        <w:tc>
          <w:tcPr>
            <w:tcW w:w="16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auto"/>
            </w:tcBorders>
            <w:shd w:val="clear" w:color="auto" w:fill="E5FFFF"/>
          </w:tcPr>
          <w:p>
            <w:pPr>
              <w:spacing w:after="0"/>
              <w:rPr>
                <w:sz w:val="17"/>
                <w:szCs w:val="17"/>
                <w:color w:val="auto"/>
              </w:rPr>
            </w:pPr>
          </w:p>
        </w:tc>
        <w:tc>
          <w:tcPr>
            <w:tcW w:w="1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29,434</w:t>
            </w:r>
          </w:p>
        </w:tc>
        <w:tc>
          <w:tcPr>
            <w:tcW w:w="60" w:type="dxa"/>
            <w:vAlign w:val="bottom"/>
          </w:tcPr>
          <w:p>
            <w:pPr>
              <w:spacing w:after="0"/>
              <w:rPr>
                <w:sz w:val="17"/>
                <w:szCs w:val="17"/>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6"/>
                <w:szCs w:val="16"/>
                <w:color w:val="auto"/>
              </w:rPr>
              <w:t>Depreciation</w:t>
            </w:r>
          </w:p>
        </w:tc>
        <w:tc>
          <w:tcPr>
            <w:tcW w:w="1900" w:type="dxa"/>
            <w:vAlign w:val="bottom"/>
            <w:gridSpan w:val="2"/>
          </w:tcPr>
          <w:p>
            <w:pPr>
              <w:jc w:val="right"/>
              <w:ind w:right="100"/>
              <w:spacing w:after="0"/>
              <w:rPr>
                <w:sz w:val="20"/>
                <w:szCs w:val="20"/>
                <w:color w:val="auto"/>
              </w:rPr>
            </w:pPr>
            <w:r>
              <w:rPr>
                <w:rFonts w:ascii="Arial" w:cs="Arial" w:eastAsia="Arial" w:hAnsi="Arial"/>
                <w:sz w:val="16"/>
                <w:szCs w:val="16"/>
                <w:color w:val="auto"/>
              </w:rPr>
              <w:t>22,133</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22,137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22,819</w:t>
            </w:r>
          </w:p>
        </w:tc>
        <w:tc>
          <w:tcPr>
            <w:tcW w:w="60" w:type="dxa"/>
            <w:vAlign w:val="bottom"/>
          </w:tcPr>
          <w:p>
            <w:pPr>
              <w:spacing w:after="0"/>
              <w:rPr>
                <w:sz w:val="19"/>
                <w:szCs w:val="19"/>
                <w:color w:val="auto"/>
              </w:rPr>
            </w:pPr>
          </w:p>
        </w:tc>
      </w:tr>
      <w:tr>
        <w:trPr>
          <w:trHeight w:val="233"/>
        </w:trPr>
        <w:tc>
          <w:tcPr>
            <w:tcW w:w="458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9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18,470</w:t>
            </w:r>
          </w:p>
        </w:tc>
        <w:tc>
          <w:tcPr>
            <w:tcW w:w="21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18,484</w:t>
            </w:r>
          </w:p>
        </w:tc>
        <w:tc>
          <w:tcPr>
            <w:tcW w:w="1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17,534</w:t>
            </w:r>
          </w:p>
        </w:tc>
        <w:tc>
          <w:tcPr>
            <w:tcW w:w="60" w:type="dxa"/>
            <w:vAlign w:val="bottom"/>
          </w:tcPr>
          <w:p>
            <w:pPr>
              <w:spacing w:after="0"/>
              <w:rPr>
                <w:sz w:val="20"/>
                <w:szCs w:val="20"/>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6"/>
                <w:szCs w:val="16"/>
                <w:color w:val="auto"/>
              </w:rPr>
              <w:t>Financial income</w:t>
            </w:r>
          </w:p>
        </w:tc>
        <w:tc>
          <w:tcPr>
            <w:tcW w:w="1900" w:type="dxa"/>
            <w:vAlign w:val="bottom"/>
            <w:gridSpan w:val="2"/>
          </w:tcPr>
          <w:p>
            <w:pPr>
              <w:jc w:val="right"/>
              <w:ind w:right="40"/>
              <w:spacing w:after="0"/>
              <w:rPr>
                <w:sz w:val="20"/>
                <w:szCs w:val="20"/>
                <w:color w:val="auto"/>
              </w:rPr>
            </w:pPr>
            <w:r>
              <w:rPr>
                <w:rFonts w:ascii="Arial" w:cs="Arial" w:eastAsia="Arial" w:hAnsi="Arial"/>
                <w:sz w:val="16"/>
                <w:szCs w:val="16"/>
                <w:color w:val="auto"/>
              </w:rPr>
              <w:t>(593)</w:t>
            </w:r>
          </w:p>
        </w:tc>
        <w:tc>
          <w:tcPr>
            <w:tcW w:w="2340" w:type="dxa"/>
            <w:vAlign w:val="bottom"/>
            <w:gridSpan w:val="3"/>
          </w:tcPr>
          <w:p>
            <w:pPr>
              <w:jc w:val="right"/>
              <w:ind w:right="100"/>
              <w:spacing w:after="0"/>
              <w:rPr>
                <w:sz w:val="20"/>
                <w:szCs w:val="20"/>
                <w:color w:val="auto"/>
              </w:rPr>
            </w:pPr>
            <w:r>
              <w:rPr>
                <w:rFonts w:ascii="Arial" w:cs="Arial" w:eastAsia="Arial" w:hAnsi="Arial"/>
                <w:sz w:val="16"/>
                <w:szCs w:val="16"/>
                <w:color w:val="auto"/>
              </w:rPr>
              <w:t>(527)</w:t>
            </w:r>
          </w:p>
        </w:tc>
        <w:tc>
          <w:tcPr>
            <w:tcW w:w="30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(393)</w:t>
            </w:r>
          </w:p>
        </w:tc>
      </w:tr>
      <w:tr>
        <w:trPr>
          <w:trHeight w:val="233"/>
        </w:trPr>
        <w:tc>
          <w:tcPr>
            <w:tcW w:w="4580" w:type="dxa"/>
            <w:vAlign w:val="bottom"/>
            <w:shd w:val="clear" w:color="auto" w:fill="E5FFFF"/>
          </w:tcPr>
          <w:p>
            <w:pPr>
              <w:spacing w:after="0"/>
              <w:rPr>
                <w:sz w:val="20"/>
                <w:szCs w:val="20"/>
                <w:color w:val="auto"/>
              </w:rPr>
            </w:pPr>
            <w:r>
              <w:rPr>
                <w:rFonts w:ascii="Arial" w:cs="Arial" w:eastAsia="Arial" w:hAnsi="Arial"/>
                <w:sz w:val="16"/>
                <w:szCs w:val="16"/>
                <w:color w:val="auto"/>
              </w:rPr>
              <w:t>(Gain)/loss on derivatives</w:t>
            </w:r>
          </w:p>
        </w:tc>
        <w:tc>
          <w:tcPr>
            <w:tcW w:w="19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(2,082)</w:t>
            </w:r>
          </w:p>
        </w:tc>
        <w:tc>
          <w:tcPr>
            <w:tcW w:w="21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8,266</w:t>
            </w:r>
          </w:p>
        </w:tc>
        <w:tc>
          <w:tcPr>
            <w:tcW w:w="1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2,385</w:t>
            </w:r>
          </w:p>
        </w:tc>
        <w:tc>
          <w:tcPr>
            <w:tcW w:w="60" w:type="dxa"/>
            <w:vAlign w:val="bottom"/>
          </w:tcPr>
          <w:p>
            <w:pPr>
              <w:spacing w:after="0"/>
              <w:rPr>
                <w:sz w:val="20"/>
                <w:szCs w:val="20"/>
                <w:color w:val="auto"/>
              </w:rPr>
            </w:pPr>
          </w:p>
        </w:tc>
      </w:tr>
      <w:tr>
        <w:trPr>
          <w:trHeight w:val="196"/>
        </w:trPr>
        <w:tc>
          <w:tcPr>
            <w:tcW w:w="4580" w:type="dxa"/>
            <w:vAlign w:val="bottom"/>
          </w:tcPr>
          <w:p>
            <w:pPr>
              <w:spacing w:after="0"/>
              <w:rPr>
                <w:sz w:val="20"/>
                <w:szCs w:val="20"/>
                <w:color w:val="auto"/>
              </w:rPr>
            </w:pPr>
            <w:r>
              <w:rPr>
                <w:rFonts w:ascii="Arial" w:cs="Arial" w:eastAsia="Arial" w:hAnsi="Arial"/>
                <w:sz w:val="16"/>
                <w:szCs w:val="16"/>
                <w:b w:val="1"/>
                <w:bCs w:val="1"/>
                <w:color w:val="auto"/>
              </w:rPr>
              <w:t>EBITDA</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70,956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67,503</w:t>
            </w:r>
          </w:p>
        </w:tc>
        <w:tc>
          <w:tcPr>
            <w:tcW w:w="1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71,779</w:t>
            </w:r>
          </w:p>
        </w:tc>
        <w:tc>
          <w:tcPr>
            <w:tcW w:w="60" w:type="dxa"/>
            <w:vAlign w:val="bottom"/>
          </w:tcPr>
          <w:p>
            <w:pPr>
              <w:spacing w:after="0"/>
              <w:rPr>
                <w:sz w:val="17"/>
                <w:szCs w:val="17"/>
                <w:color w:val="auto"/>
              </w:rPr>
            </w:pPr>
          </w:p>
        </w:tc>
      </w:tr>
      <w:tr>
        <w:trPr>
          <w:trHeight w:val="20"/>
        </w:trPr>
        <w:tc>
          <w:tcPr>
            <w:tcW w:w="45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7"/>
        </w:trPr>
        <w:tc>
          <w:tcPr>
            <w:tcW w:w="4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1"/>
              </w:rPr>
              <w:t>Partnership Performance Results</w:t>
            </w: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5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0"/>
              </w:rPr>
              <w:t>For the three months ended</w:t>
            </w: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3"/>
        </w:trPr>
        <w:tc>
          <w:tcPr>
            <w:tcW w:w="4580" w:type="dxa"/>
            <w:vAlign w:val="bottom"/>
          </w:tcPr>
          <w:p>
            <w:pPr>
              <w:spacing w:after="0"/>
              <w:rPr>
                <w:sz w:val="20"/>
                <w:szCs w:val="20"/>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September 30, 2018</w:t>
            </w:r>
          </w:p>
        </w:tc>
        <w:tc>
          <w:tcPr>
            <w:tcW w:w="80" w:type="dxa"/>
            <w:vAlign w:val="bottom"/>
          </w:tcPr>
          <w:p>
            <w:pPr>
              <w:spacing w:after="0"/>
              <w:rPr>
                <w:sz w:val="20"/>
                <w:szCs w:val="20"/>
                <w:color w:val="auto"/>
              </w:rPr>
            </w:pPr>
          </w:p>
        </w:tc>
        <w:tc>
          <w:tcPr>
            <w:tcW w:w="2560" w:type="dxa"/>
            <w:vAlign w:val="bottom"/>
            <w:gridSpan w:val="3"/>
          </w:tcPr>
          <w:p>
            <w:pPr>
              <w:ind w:left="580"/>
              <w:spacing w:after="0"/>
              <w:rPr>
                <w:sz w:val="20"/>
                <w:szCs w:val="20"/>
                <w:color w:val="auto"/>
              </w:rPr>
            </w:pPr>
            <w:r>
              <w:rPr>
                <w:rFonts w:ascii="Arial" w:cs="Arial" w:eastAsia="Arial" w:hAnsi="Arial"/>
                <w:sz w:val="16"/>
                <w:szCs w:val="16"/>
                <w:b w:val="1"/>
                <w:bCs w:val="1"/>
                <w:color w:val="auto"/>
              </w:rPr>
              <w:t>June 30, 2019</w:t>
            </w:r>
          </w:p>
        </w:tc>
        <w:tc>
          <w:tcPr>
            <w:tcW w:w="17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89"/>
              </w:rPr>
              <w:t>September 30, 2019</w:t>
            </w:r>
          </w:p>
        </w:tc>
      </w:tr>
      <w:tr>
        <w:trPr>
          <w:trHeight w:val="199"/>
        </w:trPr>
        <w:tc>
          <w:tcPr>
            <w:tcW w:w="45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8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27,270</w:t>
            </w:r>
          </w:p>
        </w:tc>
        <w:tc>
          <w:tcPr>
            <w:tcW w:w="1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21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19,143</w:t>
            </w:r>
          </w:p>
        </w:tc>
        <w:tc>
          <w:tcPr>
            <w:tcW w:w="16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auto"/>
            </w:tcBorders>
            <w:shd w:val="clear" w:color="auto" w:fill="E5FFFF"/>
          </w:tcPr>
          <w:p>
            <w:pPr>
              <w:spacing w:after="0"/>
              <w:rPr>
                <w:sz w:val="17"/>
                <w:szCs w:val="17"/>
                <w:color w:val="auto"/>
              </w:rPr>
            </w:pPr>
          </w:p>
        </w:tc>
        <w:tc>
          <w:tcPr>
            <w:tcW w:w="1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29,434</w:t>
            </w:r>
          </w:p>
        </w:tc>
        <w:tc>
          <w:tcPr>
            <w:tcW w:w="60" w:type="dxa"/>
            <w:vAlign w:val="bottom"/>
          </w:tcPr>
          <w:p>
            <w:pPr>
              <w:spacing w:after="0"/>
              <w:rPr>
                <w:sz w:val="17"/>
                <w:szCs w:val="17"/>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6"/>
                <w:szCs w:val="16"/>
                <w:color w:val="auto"/>
              </w:rPr>
              <w:t>Depreciation</w:t>
            </w:r>
          </w:p>
        </w:tc>
        <w:tc>
          <w:tcPr>
            <w:tcW w:w="1900" w:type="dxa"/>
            <w:vAlign w:val="bottom"/>
            <w:gridSpan w:val="2"/>
          </w:tcPr>
          <w:p>
            <w:pPr>
              <w:jc w:val="right"/>
              <w:ind w:right="100"/>
              <w:spacing w:after="0"/>
              <w:rPr>
                <w:sz w:val="20"/>
                <w:szCs w:val="20"/>
                <w:color w:val="auto"/>
              </w:rPr>
            </w:pPr>
            <w:r>
              <w:rPr>
                <w:rFonts w:ascii="Arial" w:cs="Arial" w:eastAsia="Arial" w:hAnsi="Arial"/>
                <w:sz w:val="16"/>
                <w:szCs w:val="16"/>
                <w:color w:val="auto"/>
              </w:rPr>
              <w:t>18,710</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22,137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22,819</w:t>
            </w:r>
          </w:p>
        </w:tc>
        <w:tc>
          <w:tcPr>
            <w:tcW w:w="60" w:type="dxa"/>
            <w:vAlign w:val="bottom"/>
          </w:tcPr>
          <w:p>
            <w:pPr>
              <w:spacing w:after="0"/>
              <w:rPr>
                <w:sz w:val="19"/>
                <w:szCs w:val="19"/>
                <w:color w:val="auto"/>
              </w:rPr>
            </w:pPr>
          </w:p>
        </w:tc>
      </w:tr>
      <w:tr>
        <w:trPr>
          <w:trHeight w:val="233"/>
        </w:trPr>
        <w:tc>
          <w:tcPr>
            <w:tcW w:w="458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9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15,533</w:t>
            </w:r>
          </w:p>
        </w:tc>
        <w:tc>
          <w:tcPr>
            <w:tcW w:w="21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18,484</w:t>
            </w:r>
          </w:p>
        </w:tc>
        <w:tc>
          <w:tcPr>
            <w:tcW w:w="1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17,534</w:t>
            </w:r>
          </w:p>
        </w:tc>
        <w:tc>
          <w:tcPr>
            <w:tcW w:w="60" w:type="dxa"/>
            <w:vAlign w:val="bottom"/>
          </w:tcPr>
          <w:p>
            <w:pPr>
              <w:spacing w:after="0"/>
              <w:rPr>
                <w:sz w:val="20"/>
                <w:szCs w:val="20"/>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6"/>
                <w:szCs w:val="16"/>
                <w:color w:val="auto"/>
              </w:rPr>
              <w:t>Financial income</w:t>
            </w:r>
          </w:p>
        </w:tc>
        <w:tc>
          <w:tcPr>
            <w:tcW w:w="1900" w:type="dxa"/>
            <w:vAlign w:val="bottom"/>
            <w:gridSpan w:val="2"/>
          </w:tcPr>
          <w:p>
            <w:pPr>
              <w:jc w:val="right"/>
              <w:ind w:right="40"/>
              <w:spacing w:after="0"/>
              <w:rPr>
                <w:sz w:val="20"/>
                <w:szCs w:val="20"/>
                <w:color w:val="auto"/>
              </w:rPr>
            </w:pPr>
            <w:r>
              <w:rPr>
                <w:rFonts w:ascii="Arial" w:cs="Arial" w:eastAsia="Arial" w:hAnsi="Arial"/>
                <w:sz w:val="16"/>
                <w:szCs w:val="16"/>
                <w:color w:val="auto"/>
              </w:rPr>
              <w:t>(581)</w:t>
            </w:r>
          </w:p>
        </w:tc>
        <w:tc>
          <w:tcPr>
            <w:tcW w:w="2340" w:type="dxa"/>
            <w:vAlign w:val="bottom"/>
            <w:gridSpan w:val="3"/>
          </w:tcPr>
          <w:p>
            <w:pPr>
              <w:jc w:val="right"/>
              <w:ind w:right="100"/>
              <w:spacing w:after="0"/>
              <w:rPr>
                <w:sz w:val="20"/>
                <w:szCs w:val="20"/>
                <w:color w:val="auto"/>
              </w:rPr>
            </w:pPr>
            <w:r>
              <w:rPr>
                <w:rFonts w:ascii="Arial" w:cs="Arial" w:eastAsia="Arial" w:hAnsi="Arial"/>
                <w:sz w:val="16"/>
                <w:szCs w:val="16"/>
                <w:color w:val="auto"/>
              </w:rPr>
              <w:t>(527)</w:t>
            </w:r>
          </w:p>
        </w:tc>
        <w:tc>
          <w:tcPr>
            <w:tcW w:w="30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(393)</w:t>
            </w:r>
          </w:p>
        </w:tc>
      </w:tr>
      <w:tr>
        <w:trPr>
          <w:trHeight w:val="233"/>
        </w:trPr>
        <w:tc>
          <w:tcPr>
            <w:tcW w:w="4580" w:type="dxa"/>
            <w:vAlign w:val="bottom"/>
            <w:shd w:val="clear" w:color="auto" w:fill="E5FFFF"/>
          </w:tcPr>
          <w:p>
            <w:pPr>
              <w:spacing w:after="0"/>
              <w:rPr>
                <w:sz w:val="20"/>
                <w:szCs w:val="20"/>
                <w:color w:val="auto"/>
              </w:rPr>
            </w:pPr>
            <w:r>
              <w:rPr>
                <w:rFonts w:ascii="Arial" w:cs="Arial" w:eastAsia="Arial" w:hAnsi="Arial"/>
                <w:sz w:val="16"/>
                <w:szCs w:val="16"/>
                <w:color w:val="auto"/>
              </w:rPr>
              <w:t>(Gain)/loss on derivatives</w:t>
            </w:r>
          </w:p>
        </w:tc>
        <w:tc>
          <w:tcPr>
            <w:tcW w:w="19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(2,082)</w:t>
            </w:r>
          </w:p>
        </w:tc>
        <w:tc>
          <w:tcPr>
            <w:tcW w:w="21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8,266</w:t>
            </w:r>
          </w:p>
        </w:tc>
        <w:tc>
          <w:tcPr>
            <w:tcW w:w="1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2,385</w:t>
            </w:r>
          </w:p>
        </w:tc>
        <w:tc>
          <w:tcPr>
            <w:tcW w:w="60" w:type="dxa"/>
            <w:vAlign w:val="bottom"/>
          </w:tcPr>
          <w:p>
            <w:pPr>
              <w:spacing w:after="0"/>
              <w:rPr>
                <w:sz w:val="20"/>
                <w:szCs w:val="20"/>
                <w:color w:val="auto"/>
              </w:rPr>
            </w:pPr>
          </w:p>
        </w:tc>
      </w:tr>
      <w:tr>
        <w:trPr>
          <w:trHeight w:val="196"/>
        </w:trPr>
        <w:tc>
          <w:tcPr>
            <w:tcW w:w="4580" w:type="dxa"/>
            <w:vAlign w:val="bottom"/>
          </w:tcPr>
          <w:p>
            <w:pPr>
              <w:spacing w:after="0"/>
              <w:rPr>
                <w:sz w:val="20"/>
                <w:szCs w:val="20"/>
                <w:color w:val="auto"/>
              </w:rPr>
            </w:pPr>
            <w:r>
              <w:rPr>
                <w:rFonts w:ascii="Arial" w:cs="Arial" w:eastAsia="Arial" w:hAnsi="Arial"/>
                <w:sz w:val="16"/>
                <w:szCs w:val="16"/>
                <w:b w:val="1"/>
                <w:bCs w:val="1"/>
                <w:color w:val="auto"/>
              </w:rPr>
              <w:t>EBITDA</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58,850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67,503</w:t>
            </w:r>
          </w:p>
        </w:tc>
        <w:tc>
          <w:tcPr>
            <w:tcW w:w="1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71,779</w:t>
            </w:r>
          </w:p>
        </w:tc>
        <w:tc>
          <w:tcPr>
            <w:tcW w:w="60" w:type="dxa"/>
            <w:vAlign w:val="bottom"/>
          </w:tcPr>
          <w:p>
            <w:pPr>
              <w:spacing w:after="0"/>
              <w:rPr>
                <w:sz w:val="17"/>
                <w:szCs w:val="17"/>
                <w:color w:val="auto"/>
              </w:rPr>
            </w:pPr>
          </w:p>
        </w:tc>
      </w:tr>
      <w:tr>
        <w:trPr>
          <w:trHeight w:val="20"/>
        </w:trPr>
        <w:tc>
          <w:tcPr>
            <w:tcW w:w="45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0"/>
        </w:trPr>
        <w:tc>
          <w:tcPr>
            <w:tcW w:w="4600" w:type="dxa"/>
            <w:vAlign w:val="bottom"/>
          </w:tcPr>
          <w:p>
            <w:pPr>
              <w:spacing w:after="0"/>
              <w:rPr>
                <w:sz w:val="20"/>
                <w:szCs w:val="20"/>
                <w:color w:val="auto"/>
              </w:rPr>
            </w:pPr>
            <w:r>
              <w:rPr>
                <w:rFonts w:ascii="Arial" w:cs="Arial" w:eastAsia="Arial" w:hAnsi="Arial"/>
                <w:sz w:val="16"/>
                <w:szCs w:val="16"/>
                <w:b w:val="1"/>
                <w:bCs w:val="1"/>
                <w:color w:val="auto"/>
              </w:rPr>
              <w:t>Reconciliation of Profit to Adjusted Profit: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405"/>
        </w:trPr>
        <w:tc>
          <w:tcPr>
            <w:tcW w:w="460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46"/>
        </w:trPr>
        <w:tc>
          <w:tcPr>
            <w:tcW w:w="4600" w:type="dxa"/>
            <w:vAlign w:val="bottom"/>
          </w:tcPr>
          <w:p>
            <w:pPr>
              <w:spacing w:after="0"/>
              <w:rPr>
                <w:sz w:val="24"/>
                <w:szCs w:val="24"/>
                <w:color w:val="auto"/>
              </w:rPr>
            </w:pPr>
          </w:p>
        </w:tc>
        <w:tc>
          <w:tcPr>
            <w:tcW w:w="4520" w:type="dxa"/>
            <w:vAlign w:val="bottom"/>
            <w:gridSpan w:val="6"/>
          </w:tcPr>
          <w:p>
            <w:pPr>
              <w:jc w:val="center"/>
              <w:ind w:left="1579"/>
              <w:spacing w:after="0"/>
              <w:rPr>
                <w:sz w:val="20"/>
                <w:szCs w:val="20"/>
                <w:color w:val="auto"/>
              </w:rPr>
            </w:pPr>
            <w:r>
              <w:rPr>
                <w:rFonts w:ascii="Arial" w:cs="Arial" w:eastAsia="Arial" w:hAnsi="Arial"/>
                <w:sz w:val="16"/>
                <w:szCs w:val="16"/>
                <w:b w:val="1"/>
                <w:bCs w:val="1"/>
                <w:color w:val="auto"/>
                <w:w w:val="92"/>
              </w:rPr>
              <w:t>IFRS Common Control Reported Results</w:t>
            </w:r>
          </w:p>
        </w:tc>
        <w:tc>
          <w:tcPr>
            <w:tcW w:w="1660" w:type="dxa"/>
            <w:vAlign w:val="bottom"/>
          </w:tcPr>
          <w:p>
            <w:pPr>
              <w:spacing w:after="0"/>
              <w:rPr>
                <w:sz w:val="24"/>
                <w:szCs w:val="24"/>
                <w:color w:val="auto"/>
              </w:rPr>
            </w:pPr>
          </w:p>
        </w:tc>
      </w:tr>
      <w:tr>
        <w:trPr>
          <w:trHeight w:val="230"/>
        </w:trPr>
        <w:tc>
          <w:tcPr>
            <w:tcW w:w="46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0"/>
              </w:rPr>
              <w:t>For the three months ended</w:t>
            </w:r>
          </w:p>
        </w:tc>
        <w:tc>
          <w:tcPr>
            <w:tcW w:w="1660" w:type="dxa"/>
            <w:vAlign w:val="bottom"/>
          </w:tcPr>
          <w:p>
            <w:pPr>
              <w:spacing w:after="0"/>
              <w:rPr>
                <w:sz w:val="19"/>
                <w:szCs w:val="19"/>
                <w:color w:val="auto"/>
              </w:rPr>
            </w:pPr>
          </w:p>
        </w:tc>
      </w:tr>
      <w:tr>
        <w:trPr>
          <w:trHeight w:val="233"/>
        </w:trPr>
        <w:tc>
          <w:tcPr>
            <w:tcW w:w="4600" w:type="dxa"/>
            <w:vAlign w:val="bottom"/>
          </w:tcPr>
          <w:p>
            <w:pPr>
              <w:spacing w:after="0"/>
              <w:rPr>
                <w:sz w:val="20"/>
                <w:szCs w:val="20"/>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September 30, 2018</w:t>
            </w:r>
          </w:p>
        </w:tc>
        <w:tc>
          <w:tcPr>
            <w:tcW w:w="80" w:type="dxa"/>
            <w:vAlign w:val="bottom"/>
          </w:tcPr>
          <w:p>
            <w:pPr>
              <w:spacing w:after="0"/>
              <w:rPr>
                <w:sz w:val="20"/>
                <w:szCs w:val="20"/>
                <w:color w:val="auto"/>
              </w:rPr>
            </w:pPr>
          </w:p>
        </w:tc>
        <w:tc>
          <w:tcPr>
            <w:tcW w:w="2540" w:type="dxa"/>
            <w:vAlign w:val="bottom"/>
            <w:gridSpan w:val="3"/>
          </w:tcPr>
          <w:p>
            <w:pPr>
              <w:ind w:left="560"/>
              <w:spacing w:after="0"/>
              <w:rPr>
                <w:sz w:val="20"/>
                <w:szCs w:val="20"/>
                <w:color w:val="auto"/>
              </w:rPr>
            </w:pPr>
            <w:r>
              <w:rPr>
                <w:rFonts w:ascii="Arial" w:cs="Arial" w:eastAsia="Arial" w:hAnsi="Arial"/>
                <w:sz w:val="16"/>
                <w:szCs w:val="16"/>
                <w:b w:val="1"/>
                <w:bCs w:val="1"/>
                <w:color w:val="auto"/>
              </w:rPr>
              <w:t>June 30, 2019</w:t>
            </w:r>
          </w:p>
        </w:tc>
        <w:tc>
          <w:tcPr>
            <w:tcW w:w="166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September 30, 2019</w:t>
            </w:r>
          </w:p>
        </w:tc>
      </w:tr>
      <w:tr>
        <w:trPr>
          <w:trHeight w:val="199"/>
        </w:trPr>
        <w:tc>
          <w:tcPr>
            <w:tcW w:w="46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8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33,028</w:t>
            </w:r>
          </w:p>
        </w:tc>
        <w:tc>
          <w:tcPr>
            <w:tcW w:w="1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20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19,143</w:t>
            </w:r>
          </w:p>
        </w:tc>
        <w:tc>
          <w:tcPr>
            <w:tcW w:w="16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auto"/>
            </w:tcBorders>
            <w:shd w:val="clear" w:color="auto" w:fill="E5FFFF"/>
          </w:tcPr>
          <w:p>
            <w:pPr>
              <w:spacing w:after="0"/>
              <w:rPr>
                <w:sz w:val="17"/>
                <w:szCs w:val="17"/>
                <w:color w:val="auto"/>
              </w:rPr>
            </w:pPr>
          </w:p>
        </w:tc>
        <w:tc>
          <w:tcPr>
            <w:tcW w:w="1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29,434</w:t>
            </w:r>
          </w:p>
        </w:tc>
      </w:tr>
      <w:tr>
        <w:trPr>
          <w:trHeight w:val="224"/>
        </w:trPr>
        <w:tc>
          <w:tcPr>
            <w:tcW w:w="4600" w:type="dxa"/>
            <w:vAlign w:val="bottom"/>
          </w:tcPr>
          <w:p>
            <w:pPr>
              <w:spacing w:after="0"/>
              <w:rPr>
                <w:sz w:val="20"/>
                <w:szCs w:val="20"/>
                <w:color w:val="auto"/>
              </w:rPr>
            </w:pPr>
            <w:r>
              <w:rPr>
                <w:rFonts w:ascii="Arial" w:cs="Arial" w:eastAsia="Arial" w:hAnsi="Arial"/>
                <w:sz w:val="16"/>
                <w:szCs w:val="16"/>
                <w:color w:val="auto"/>
              </w:rPr>
              <w:t>Non-cash (gain)/loss on derivatives</w:t>
            </w:r>
          </w:p>
        </w:tc>
        <w:tc>
          <w:tcPr>
            <w:tcW w:w="1900" w:type="dxa"/>
            <w:vAlign w:val="bottom"/>
            <w:gridSpan w:val="2"/>
          </w:tcPr>
          <w:p>
            <w:pPr>
              <w:jc w:val="right"/>
              <w:ind w:right="40"/>
              <w:spacing w:after="0"/>
              <w:rPr>
                <w:sz w:val="20"/>
                <w:szCs w:val="20"/>
                <w:color w:val="auto"/>
              </w:rPr>
            </w:pPr>
            <w:r>
              <w:rPr>
                <w:rFonts w:ascii="Arial" w:cs="Arial" w:eastAsia="Arial" w:hAnsi="Arial"/>
                <w:sz w:val="16"/>
                <w:szCs w:val="16"/>
                <w:color w:val="auto"/>
              </w:rPr>
              <w:t>(1,653)</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8,646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2,445</w:t>
            </w:r>
          </w:p>
        </w:tc>
      </w:tr>
      <w:tr>
        <w:trPr>
          <w:trHeight w:val="202"/>
        </w:trPr>
        <w:tc>
          <w:tcPr>
            <w:tcW w:w="46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Adjusted Profit</w:t>
            </w:r>
          </w:p>
        </w:tc>
        <w:tc>
          <w:tcPr>
            <w:tcW w:w="1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31,375</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20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27,789</w:t>
            </w: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300" w:type="dxa"/>
            <w:vAlign w:val="bottom"/>
            <w:tcBorders>
              <w:top w:val="single" w:sz="8" w:color="auto"/>
              <w:bottom w:val="single" w:sz="8" w:color="auto"/>
            </w:tcBorders>
            <w:shd w:val="clear" w:color="auto" w:fill="E5FFFF"/>
          </w:tcPr>
          <w:p>
            <w:pPr>
              <w:spacing w:after="0"/>
              <w:rPr>
                <w:sz w:val="17"/>
                <w:szCs w:val="17"/>
                <w:color w:val="auto"/>
              </w:rPr>
            </w:pPr>
          </w:p>
        </w:tc>
        <w:tc>
          <w:tcPr>
            <w:tcW w:w="1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31,879</w:t>
            </w:r>
          </w:p>
        </w:tc>
      </w:tr>
      <w:tr>
        <w:trPr>
          <w:trHeight w:val="20"/>
        </w:trPr>
        <w:tc>
          <w:tcPr>
            <w:tcW w:w="46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609"/>
        </w:trPr>
        <w:tc>
          <w:tcPr>
            <w:tcW w:w="4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1"/>
              </w:rPr>
              <w:t>Partnership Performance Results</w:t>
            </w:r>
          </w:p>
        </w:tc>
        <w:tc>
          <w:tcPr>
            <w:tcW w:w="1660" w:type="dxa"/>
            <w:vAlign w:val="bottom"/>
          </w:tcPr>
          <w:p>
            <w:pPr>
              <w:spacing w:after="0"/>
              <w:rPr>
                <w:sz w:val="24"/>
                <w:szCs w:val="24"/>
                <w:color w:val="auto"/>
              </w:rPr>
            </w:pPr>
          </w:p>
        </w:tc>
      </w:tr>
      <w:tr>
        <w:trPr>
          <w:trHeight w:val="230"/>
        </w:trPr>
        <w:tc>
          <w:tcPr>
            <w:tcW w:w="46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0"/>
              </w:rPr>
              <w:t>For the three months ended</w:t>
            </w:r>
          </w:p>
        </w:tc>
        <w:tc>
          <w:tcPr>
            <w:tcW w:w="1660" w:type="dxa"/>
            <w:vAlign w:val="bottom"/>
          </w:tcPr>
          <w:p>
            <w:pPr>
              <w:spacing w:after="0"/>
              <w:rPr>
                <w:sz w:val="19"/>
                <w:szCs w:val="19"/>
                <w:color w:val="auto"/>
              </w:rPr>
            </w:pPr>
          </w:p>
        </w:tc>
      </w:tr>
      <w:tr>
        <w:trPr>
          <w:trHeight w:val="233"/>
        </w:trPr>
        <w:tc>
          <w:tcPr>
            <w:tcW w:w="4600" w:type="dxa"/>
            <w:vAlign w:val="bottom"/>
          </w:tcPr>
          <w:p>
            <w:pPr>
              <w:spacing w:after="0"/>
              <w:rPr>
                <w:sz w:val="20"/>
                <w:szCs w:val="20"/>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September 30, 2018</w:t>
            </w:r>
          </w:p>
        </w:tc>
        <w:tc>
          <w:tcPr>
            <w:tcW w:w="80" w:type="dxa"/>
            <w:vAlign w:val="bottom"/>
          </w:tcPr>
          <w:p>
            <w:pPr>
              <w:spacing w:after="0"/>
              <w:rPr>
                <w:sz w:val="20"/>
                <w:szCs w:val="20"/>
                <w:color w:val="auto"/>
              </w:rPr>
            </w:pPr>
          </w:p>
        </w:tc>
        <w:tc>
          <w:tcPr>
            <w:tcW w:w="2540" w:type="dxa"/>
            <w:vAlign w:val="bottom"/>
            <w:gridSpan w:val="3"/>
          </w:tcPr>
          <w:p>
            <w:pPr>
              <w:ind w:left="560"/>
              <w:spacing w:after="0"/>
              <w:rPr>
                <w:sz w:val="20"/>
                <w:szCs w:val="20"/>
                <w:color w:val="auto"/>
              </w:rPr>
            </w:pPr>
            <w:r>
              <w:rPr>
                <w:rFonts w:ascii="Arial" w:cs="Arial" w:eastAsia="Arial" w:hAnsi="Arial"/>
                <w:sz w:val="16"/>
                <w:szCs w:val="16"/>
                <w:b w:val="1"/>
                <w:bCs w:val="1"/>
                <w:color w:val="auto"/>
              </w:rPr>
              <w:t>June 30, 2019</w:t>
            </w:r>
          </w:p>
        </w:tc>
        <w:tc>
          <w:tcPr>
            <w:tcW w:w="166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September 30, 2019</w:t>
            </w:r>
          </w:p>
        </w:tc>
      </w:tr>
      <w:tr>
        <w:trPr>
          <w:trHeight w:val="199"/>
        </w:trPr>
        <w:tc>
          <w:tcPr>
            <w:tcW w:w="46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8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27,270</w:t>
            </w:r>
          </w:p>
        </w:tc>
        <w:tc>
          <w:tcPr>
            <w:tcW w:w="1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20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19,143</w:t>
            </w:r>
          </w:p>
        </w:tc>
        <w:tc>
          <w:tcPr>
            <w:tcW w:w="16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auto"/>
            </w:tcBorders>
            <w:shd w:val="clear" w:color="auto" w:fill="E5FFFF"/>
          </w:tcPr>
          <w:p>
            <w:pPr>
              <w:spacing w:after="0"/>
              <w:rPr>
                <w:sz w:val="17"/>
                <w:szCs w:val="17"/>
                <w:color w:val="auto"/>
              </w:rPr>
            </w:pPr>
          </w:p>
        </w:tc>
        <w:tc>
          <w:tcPr>
            <w:tcW w:w="1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29,434</w:t>
            </w:r>
          </w:p>
        </w:tc>
      </w:tr>
      <w:tr>
        <w:trPr>
          <w:trHeight w:val="224"/>
        </w:trPr>
        <w:tc>
          <w:tcPr>
            <w:tcW w:w="4600" w:type="dxa"/>
            <w:vAlign w:val="bottom"/>
          </w:tcPr>
          <w:p>
            <w:pPr>
              <w:spacing w:after="0"/>
              <w:rPr>
                <w:sz w:val="20"/>
                <w:szCs w:val="20"/>
                <w:color w:val="auto"/>
              </w:rPr>
            </w:pPr>
            <w:r>
              <w:rPr>
                <w:rFonts w:ascii="Arial" w:cs="Arial" w:eastAsia="Arial" w:hAnsi="Arial"/>
                <w:sz w:val="16"/>
                <w:szCs w:val="16"/>
                <w:color w:val="auto"/>
              </w:rPr>
              <w:t>Non-cash (gain)/loss on derivatives</w:t>
            </w:r>
          </w:p>
        </w:tc>
        <w:tc>
          <w:tcPr>
            <w:tcW w:w="1900" w:type="dxa"/>
            <w:vAlign w:val="bottom"/>
            <w:gridSpan w:val="2"/>
          </w:tcPr>
          <w:p>
            <w:pPr>
              <w:jc w:val="right"/>
              <w:ind w:right="40"/>
              <w:spacing w:after="0"/>
              <w:rPr>
                <w:sz w:val="20"/>
                <w:szCs w:val="20"/>
                <w:color w:val="auto"/>
              </w:rPr>
            </w:pPr>
            <w:r>
              <w:rPr>
                <w:rFonts w:ascii="Arial" w:cs="Arial" w:eastAsia="Arial" w:hAnsi="Arial"/>
                <w:sz w:val="16"/>
                <w:szCs w:val="16"/>
                <w:color w:val="auto"/>
              </w:rPr>
              <w:t>(1,653)</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8,646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2,445</w:t>
            </w:r>
          </w:p>
        </w:tc>
      </w:tr>
      <w:tr>
        <w:trPr>
          <w:trHeight w:val="202"/>
        </w:trPr>
        <w:tc>
          <w:tcPr>
            <w:tcW w:w="46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Adjusted Profit</w:t>
            </w:r>
          </w:p>
        </w:tc>
        <w:tc>
          <w:tcPr>
            <w:tcW w:w="1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25,617</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20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27,789</w:t>
            </w: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300" w:type="dxa"/>
            <w:vAlign w:val="bottom"/>
            <w:tcBorders>
              <w:top w:val="single" w:sz="8" w:color="auto"/>
              <w:bottom w:val="single" w:sz="8" w:color="auto"/>
            </w:tcBorders>
            <w:shd w:val="clear" w:color="auto" w:fill="E5FFFF"/>
          </w:tcPr>
          <w:p>
            <w:pPr>
              <w:spacing w:after="0"/>
              <w:rPr>
                <w:sz w:val="17"/>
                <w:szCs w:val="17"/>
                <w:color w:val="auto"/>
              </w:rPr>
            </w:pPr>
          </w:p>
        </w:tc>
        <w:tc>
          <w:tcPr>
            <w:tcW w:w="1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31,879</w:t>
            </w:r>
          </w:p>
        </w:tc>
      </w:tr>
      <w:tr>
        <w:trPr>
          <w:trHeight w:val="20"/>
        </w:trPr>
        <w:tc>
          <w:tcPr>
            <w:tcW w:w="46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Distributable Cash Flow</w:t>
      </w:r>
    </w:p>
    <w:p>
      <w:pPr>
        <w:spacing w:after="0" w:line="239" w:lineRule="exact"/>
        <w:rPr>
          <w:sz w:val="20"/>
          <w:szCs w:val="20"/>
          <w:color w:val="auto"/>
        </w:rPr>
      </w:pPr>
    </w:p>
    <w:p>
      <w:pPr>
        <w:spacing w:after="0" w:line="311" w:lineRule="auto"/>
        <w:rPr>
          <w:sz w:val="20"/>
          <w:szCs w:val="20"/>
          <w:color w:val="auto"/>
        </w:rPr>
      </w:pPr>
      <w:r>
        <w:rPr>
          <w:rFonts w:ascii="Arial" w:cs="Arial" w:eastAsia="Arial" w:hAnsi="Arial"/>
          <w:sz w:val="14"/>
          <w:szCs w:val="14"/>
          <w:color w:val="auto"/>
        </w:rPr>
        <w:t>Distributable cash flow means EBITDA, on the basis of the Partnership Performance Results, after considering financial costs for the period, including realized loss on derivatives (interest rate swaps and forward foreign exchange contracts) and excluding amortization of loan fees, lease expense,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long-term the operating capacity of, or the revenues generated by, our capital assets. Distributable cash flow, which is a non-GAAP financial measure, is a quantitative standard used by investors in publicly traded partnerships to assess their ability to make quarterly cash distributions. Our calculation of Distributable cash flow may not be comparable to that reported by other companies. 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 The table below reconciles Distributable cash flow to Profit for the period attributable to the Partnership.</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20"/>
                <w:szCs w:val="20"/>
                <w:color w:val="auto"/>
              </w:rPr>
            </w:pPr>
            <w:r>
              <w:rPr>
                <w:rFonts w:ascii="Arial" w:cs="Arial" w:eastAsia="Arial" w:hAnsi="Arial"/>
                <w:sz w:val="16"/>
                <w:szCs w:val="16"/>
                <w:b w:val="1"/>
                <w:bCs w:val="1"/>
                <w:color w:val="auto"/>
                <w:w w:val="94"/>
              </w:rPr>
              <w:t>Reconciliation of Distributable Cash Flow to Partnership’s Profit:</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9"/>
        </w:trPr>
        <w:tc>
          <w:tcPr>
            <w:tcW w:w="466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4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6"/>
              </w:rPr>
              <w:t>For the three months ended</w:t>
            </w: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6"/>
        </w:trPr>
        <w:tc>
          <w:tcPr>
            <w:tcW w:w="4660" w:type="dxa"/>
            <w:vAlign w:val="bottom"/>
          </w:tcPr>
          <w:p>
            <w:pPr>
              <w:spacing w:after="0"/>
              <w:rPr>
                <w:sz w:val="20"/>
                <w:szCs w:val="20"/>
                <w:color w:val="auto"/>
              </w:rPr>
            </w:pPr>
          </w:p>
        </w:tc>
        <w:tc>
          <w:tcPr>
            <w:tcW w:w="1980" w:type="dxa"/>
            <w:vAlign w:val="bottom"/>
            <w:gridSpan w:val="2"/>
          </w:tcPr>
          <w:p>
            <w:pPr>
              <w:jc w:val="right"/>
              <w:ind w:right="340"/>
              <w:spacing w:after="0" w:line="236" w:lineRule="exact"/>
              <w:rPr>
                <w:sz w:val="20"/>
                <w:szCs w:val="20"/>
                <w:color w:val="auto"/>
              </w:rPr>
            </w:pPr>
            <w:r>
              <w:rPr>
                <w:rFonts w:ascii="Arial" w:cs="Arial" w:eastAsia="Arial" w:hAnsi="Arial"/>
                <w:sz w:val="16"/>
                <w:szCs w:val="16"/>
                <w:b w:val="1"/>
                <w:bCs w:val="1"/>
                <w:color w:val="auto"/>
                <w:w w:val="94"/>
              </w:rPr>
              <w:t xml:space="preserve">September 30, 2018 </w:t>
            </w:r>
            <w:r>
              <w:rPr>
                <w:rFonts w:ascii="Arial" w:cs="Arial" w:eastAsia="Arial" w:hAnsi="Arial"/>
                <w:sz w:val="21"/>
                <w:szCs w:val="21"/>
                <w:b w:val="1"/>
                <w:bCs w:val="1"/>
                <w:color w:val="auto"/>
                <w:w w:val="94"/>
                <w:vertAlign w:val="superscript"/>
              </w:rPr>
              <w:t>(1)</w:t>
            </w:r>
          </w:p>
        </w:tc>
        <w:tc>
          <w:tcPr>
            <w:tcW w:w="226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June 30, 2019</w:t>
            </w:r>
          </w:p>
        </w:tc>
        <w:tc>
          <w:tcPr>
            <w:tcW w:w="1980" w:type="dxa"/>
            <w:vAlign w:val="bottom"/>
            <w:gridSpan w:val="2"/>
          </w:tcPr>
          <w:p>
            <w:pPr>
              <w:jc w:val="right"/>
              <w:ind w:right="260"/>
              <w:spacing w:after="0" w:line="236" w:lineRule="exact"/>
              <w:rPr>
                <w:sz w:val="20"/>
                <w:szCs w:val="20"/>
                <w:color w:val="auto"/>
              </w:rPr>
            </w:pPr>
            <w:r>
              <w:rPr>
                <w:rFonts w:ascii="Arial" w:cs="Arial" w:eastAsia="Arial" w:hAnsi="Arial"/>
                <w:sz w:val="16"/>
                <w:szCs w:val="16"/>
                <w:b w:val="1"/>
                <w:bCs w:val="1"/>
                <w:color w:val="auto"/>
                <w:w w:val="99"/>
              </w:rPr>
              <w:t xml:space="preserve">September 30, 2019 </w:t>
            </w:r>
            <w:r>
              <w:rPr>
                <w:rFonts w:ascii="Arial" w:cs="Arial" w:eastAsia="Arial" w:hAnsi="Arial"/>
                <w:sz w:val="21"/>
                <w:szCs w:val="21"/>
                <w:b w:val="1"/>
                <w:bCs w:val="1"/>
                <w:color w:val="auto"/>
                <w:w w:val="99"/>
                <w:vertAlign w:val="superscript"/>
              </w:rPr>
              <w:t>(4)</w:t>
            </w:r>
          </w:p>
        </w:tc>
      </w:tr>
      <w:tr>
        <w:trPr>
          <w:trHeight w:val="196"/>
        </w:trPr>
        <w:tc>
          <w:tcPr>
            <w:tcW w:w="46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Partnership’s profit for the period</w:t>
            </w:r>
          </w:p>
        </w:tc>
        <w:tc>
          <w:tcPr>
            <w:tcW w:w="17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27,270</w:t>
            </w:r>
          </w:p>
        </w:tc>
        <w:tc>
          <w:tcPr>
            <w:tcW w:w="200" w:type="dxa"/>
            <w:vAlign w:val="bottom"/>
            <w:tcBorders>
              <w:top w:val="single" w:sz="8" w:color="E5FFFF"/>
            </w:tcBorders>
            <w:shd w:val="clear" w:color="auto" w:fill="E5FFFF"/>
          </w:tcPr>
          <w:p>
            <w:pPr>
              <w:spacing w:after="0"/>
              <w:rPr>
                <w:sz w:val="17"/>
                <w:szCs w:val="17"/>
                <w:color w:val="auto"/>
              </w:rPr>
            </w:pPr>
          </w:p>
        </w:tc>
        <w:tc>
          <w:tcPr>
            <w:tcW w:w="20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19,143</w:t>
            </w:r>
          </w:p>
        </w:tc>
        <w:tc>
          <w:tcPr>
            <w:tcW w:w="200" w:type="dxa"/>
            <w:vAlign w:val="bottom"/>
            <w:tcBorders>
              <w:top w:val="single" w:sz="8" w:color="E5FFFF"/>
            </w:tcBorders>
            <w:shd w:val="clear" w:color="auto" w:fill="E5FFFF"/>
          </w:tcPr>
          <w:p>
            <w:pPr>
              <w:spacing w:after="0"/>
              <w:rPr>
                <w:sz w:val="17"/>
                <w:szCs w:val="17"/>
                <w:color w:val="auto"/>
              </w:rPr>
            </w:pPr>
          </w:p>
        </w:tc>
        <w:tc>
          <w:tcPr>
            <w:tcW w:w="19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29,434</w:t>
            </w:r>
          </w:p>
        </w:tc>
        <w:tc>
          <w:tcPr>
            <w:tcW w:w="60" w:type="dxa"/>
            <w:vAlign w:val="bottom"/>
          </w:tcPr>
          <w:p>
            <w:pPr>
              <w:spacing w:after="0"/>
              <w:rPr>
                <w:sz w:val="17"/>
                <w:szCs w:val="17"/>
                <w:color w:val="auto"/>
              </w:rPr>
            </w:pPr>
          </w:p>
        </w:tc>
      </w:tr>
      <w:tr>
        <w:trPr>
          <w:trHeight w:val="227"/>
        </w:trPr>
        <w:tc>
          <w:tcPr>
            <w:tcW w:w="4660" w:type="dxa"/>
            <w:vAlign w:val="bottom"/>
          </w:tcPr>
          <w:p>
            <w:pPr>
              <w:spacing w:after="0"/>
              <w:rPr>
                <w:sz w:val="20"/>
                <w:szCs w:val="20"/>
                <w:color w:val="auto"/>
              </w:rPr>
            </w:pPr>
            <w:r>
              <w:rPr>
                <w:rFonts w:ascii="Arial" w:cs="Arial" w:eastAsia="Arial" w:hAnsi="Arial"/>
                <w:sz w:val="16"/>
                <w:szCs w:val="16"/>
                <w:color w:val="auto"/>
              </w:rPr>
              <w:t>Depreciation</w:t>
            </w:r>
          </w:p>
        </w:tc>
        <w:tc>
          <w:tcPr>
            <w:tcW w:w="1980" w:type="dxa"/>
            <w:vAlign w:val="bottom"/>
            <w:gridSpan w:val="2"/>
          </w:tcPr>
          <w:p>
            <w:pPr>
              <w:jc w:val="right"/>
              <w:ind w:right="200"/>
              <w:spacing w:after="0"/>
              <w:rPr>
                <w:sz w:val="20"/>
                <w:szCs w:val="20"/>
                <w:color w:val="auto"/>
              </w:rPr>
            </w:pPr>
            <w:r>
              <w:rPr>
                <w:rFonts w:ascii="Arial" w:cs="Arial" w:eastAsia="Arial" w:hAnsi="Arial"/>
                <w:sz w:val="16"/>
                <w:szCs w:val="16"/>
                <w:color w:val="auto"/>
              </w:rPr>
              <w:t>18,710</w:t>
            </w:r>
          </w:p>
        </w:tc>
        <w:tc>
          <w:tcPr>
            <w:tcW w:w="2060" w:type="dxa"/>
            <w:vAlign w:val="bottom"/>
          </w:tcPr>
          <w:p>
            <w:pPr>
              <w:jc w:val="right"/>
              <w:spacing w:after="0"/>
              <w:rPr>
                <w:sz w:val="20"/>
                <w:szCs w:val="20"/>
                <w:color w:val="auto"/>
              </w:rPr>
            </w:pPr>
            <w:r>
              <w:rPr>
                <w:rFonts w:ascii="Arial" w:cs="Arial" w:eastAsia="Arial" w:hAnsi="Arial"/>
                <w:sz w:val="16"/>
                <w:szCs w:val="16"/>
                <w:color w:val="auto"/>
              </w:rPr>
              <w:t>22,137</w:t>
            </w:r>
          </w:p>
        </w:tc>
        <w:tc>
          <w:tcPr>
            <w:tcW w:w="200" w:type="dxa"/>
            <w:vAlign w:val="bottom"/>
          </w:tcPr>
          <w:p>
            <w:pPr>
              <w:spacing w:after="0"/>
              <w:rPr>
                <w:sz w:val="19"/>
                <w:szCs w:val="19"/>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6"/>
                <w:szCs w:val="16"/>
                <w:color w:val="auto"/>
              </w:rPr>
              <w:t>22,819</w:t>
            </w:r>
          </w:p>
        </w:tc>
      </w:tr>
      <w:tr>
        <w:trPr>
          <w:trHeight w:val="233"/>
        </w:trPr>
        <w:tc>
          <w:tcPr>
            <w:tcW w:w="466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9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15,533</w:t>
            </w: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18,484</w:t>
            </w:r>
          </w:p>
        </w:tc>
        <w:tc>
          <w:tcPr>
            <w:tcW w:w="200" w:type="dxa"/>
            <w:vAlign w:val="bottom"/>
            <w:shd w:val="clear" w:color="auto" w:fill="E5FFFF"/>
          </w:tcPr>
          <w:p>
            <w:pPr>
              <w:spacing w:after="0"/>
              <w:rPr>
                <w:sz w:val="20"/>
                <w:szCs w:val="20"/>
                <w:color w:val="auto"/>
              </w:rPr>
            </w:pPr>
          </w:p>
        </w:tc>
        <w:tc>
          <w:tcPr>
            <w:tcW w:w="1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17,534</w:t>
            </w:r>
          </w:p>
        </w:tc>
        <w:tc>
          <w:tcPr>
            <w:tcW w:w="60" w:type="dxa"/>
            <w:vAlign w:val="bottom"/>
          </w:tcPr>
          <w:p>
            <w:pPr>
              <w:spacing w:after="0"/>
              <w:rPr>
                <w:sz w:val="20"/>
                <w:szCs w:val="20"/>
                <w:color w:val="auto"/>
              </w:rPr>
            </w:pPr>
          </w:p>
        </w:tc>
      </w:tr>
      <w:tr>
        <w:trPr>
          <w:trHeight w:val="227"/>
        </w:trPr>
        <w:tc>
          <w:tcPr>
            <w:tcW w:w="4660" w:type="dxa"/>
            <w:vAlign w:val="bottom"/>
          </w:tcPr>
          <w:p>
            <w:pPr>
              <w:spacing w:after="0"/>
              <w:rPr>
                <w:sz w:val="20"/>
                <w:szCs w:val="20"/>
                <w:color w:val="auto"/>
              </w:rPr>
            </w:pPr>
            <w:r>
              <w:rPr>
                <w:rFonts w:ascii="Arial" w:cs="Arial" w:eastAsia="Arial" w:hAnsi="Arial"/>
                <w:sz w:val="16"/>
                <w:szCs w:val="16"/>
                <w:color w:val="auto"/>
              </w:rPr>
              <w:t>Financial income</w:t>
            </w:r>
          </w:p>
        </w:tc>
        <w:tc>
          <w:tcPr>
            <w:tcW w:w="1980" w:type="dxa"/>
            <w:vAlign w:val="bottom"/>
            <w:gridSpan w:val="2"/>
          </w:tcPr>
          <w:p>
            <w:pPr>
              <w:jc w:val="right"/>
              <w:ind w:right="140"/>
              <w:spacing w:after="0"/>
              <w:rPr>
                <w:sz w:val="20"/>
                <w:szCs w:val="20"/>
                <w:color w:val="auto"/>
              </w:rPr>
            </w:pPr>
            <w:r>
              <w:rPr>
                <w:rFonts w:ascii="Arial" w:cs="Arial" w:eastAsia="Arial" w:hAnsi="Arial"/>
                <w:sz w:val="16"/>
                <w:szCs w:val="16"/>
                <w:color w:val="auto"/>
              </w:rPr>
              <w:t>(581)</w:t>
            </w:r>
          </w:p>
        </w:tc>
        <w:tc>
          <w:tcPr>
            <w:tcW w:w="2260" w:type="dxa"/>
            <w:vAlign w:val="bottom"/>
            <w:gridSpan w:val="2"/>
          </w:tcPr>
          <w:p>
            <w:pPr>
              <w:jc w:val="right"/>
              <w:ind w:right="140"/>
              <w:spacing w:after="0"/>
              <w:rPr>
                <w:sz w:val="20"/>
                <w:szCs w:val="20"/>
                <w:color w:val="auto"/>
              </w:rPr>
            </w:pPr>
            <w:r>
              <w:rPr>
                <w:rFonts w:ascii="Arial" w:cs="Arial" w:eastAsia="Arial" w:hAnsi="Arial"/>
                <w:sz w:val="16"/>
                <w:szCs w:val="16"/>
                <w:color w:val="auto"/>
              </w:rPr>
              <w:t>(527)</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(393)</w:t>
            </w:r>
          </w:p>
        </w:tc>
      </w:tr>
      <w:tr>
        <w:trPr>
          <w:trHeight w:val="233"/>
        </w:trPr>
        <w:tc>
          <w:tcPr>
            <w:tcW w:w="4660" w:type="dxa"/>
            <w:vAlign w:val="bottom"/>
            <w:shd w:val="clear" w:color="auto" w:fill="E5FFFF"/>
          </w:tcPr>
          <w:p>
            <w:pPr>
              <w:spacing w:after="0"/>
              <w:rPr>
                <w:sz w:val="20"/>
                <w:szCs w:val="20"/>
                <w:color w:val="auto"/>
              </w:rPr>
            </w:pPr>
            <w:r>
              <w:rPr>
                <w:rFonts w:ascii="Arial" w:cs="Arial" w:eastAsia="Arial" w:hAnsi="Arial"/>
                <w:sz w:val="16"/>
                <w:szCs w:val="16"/>
                <w:color w:val="auto"/>
              </w:rPr>
              <w:t>(Gain)/loss on derivatives</w:t>
            </w:r>
          </w:p>
        </w:tc>
        <w:tc>
          <w:tcPr>
            <w:tcW w:w="19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(2,082)</w:t>
            </w: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8,266</w:t>
            </w:r>
          </w:p>
        </w:tc>
        <w:tc>
          <w:tcPr>
            <w:tcW w:w="200" w:type="dxa"/>
            <w:vAlign w:val="bottom"/>
            <w:shd w:val="clear" w:color="auto" w:fill="E5FFFF"/>
          </w:tcPr>
          <w:p>
            <w:pPr>
              <w:spacing w:after="0"/>
              <w:rPr>
                <w:sz w:val="20"/>
                <w:szCs w:val="20"/>
                <w:color w:val="auto"/>
              </w:rPr>
            </w:pPr>
          </w:p>
        </w:tc>
        <w:tc>
          <w:tcPr>
            <w:tcW w:w="1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2,385</w:t>
            </w:r>
          </w:p>
        </w:tc>
        <w:tc>
          <w:tcPr>
            <w:tcW w:w="60" w:type="dxa"/>
            <w:vAlign w:val="bottom"/>
          </w:tcPr>
          <w:p>
            <w:pPr>
              <w:spacing w:after="0"/>
              <w:rPr>
                <w:sz w:val="20"/>
                <w:szCs w:val="20"/>
                <w:color w:val="auto"/>
              </w:rPr>
            </w:pPr>
          </w:p>
        </w:tc>
      </w:tr>
      <w:tr>
        <w:trPr>
          <w:trHeight w:val="204"/>
        </w:trPr>
        <w:tc>
          <w:tcPr>
            <w:tcW w:w="46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EBITDA</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58,850</w:t>
            </w:r>
          </w:p>
        </w:tc>
        <w:tc>
          <w:tcPr>
            <w:tcW w:w="200" w:type="dxa"/>
            <w:vAlign w:val="bottom"/>
            <w:tcBorders>
              <w:bottom w:val="single" w:sz="8" w:color="E5FFFF"/>
            </w:tcBorders>
          </w:tcPr>
          <w:p>
            <w:pPr>
              <w:spacing w:after="0"/>
              <w:rPr>
                <w:sz w:val="17"/>
                <w:szCs w:val="17"/>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67,503</w:t>
            </w:r>
          </w:p>
        </w:tc>
        <w:tc>
          <w:tcPr>
            <w:tcW w:w="200" w:type="dxa"/>
            <w:vAlign w:val="bottom"/>
            <w:tcBorders>
              <w:bottom w:val="single" w:sz="8" w:color="E5FFFF"/>
            </w:tcBorders>
          </w:tcPr>
          <w:p>
            <w:pPr>
              <w:spacing w:after="0"/>
              <w:rPr>
                <w:sz w:val="17"/>
                <w:szCs w:val="17"/>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71,779</w:t>
            </w:r>
          </w:p>
        </w:tc>
        <w:tc>
          <w:tcPr>
            <w:tcW w:w="60" w:type="dxa"/>
            <w:vAlign w:val="bottom"/>
          </w:tcPr>
          <w:p>
            <w:pPr>
              <w:spacing w:after="0"/>
              <w:rPr>
                <w:sz w:val="17"/>
                <w:szCs w:val="17"/>
                <w:color w:val="auto"/>
              </w:rPr>
            </w:pPr>
          </w:p>
        </w:tc>
      </w:tr>
      <w:tr>
        <w:trPr>
          <w:trHeight w:val="178"/>
        </w:trPr>
        <w:tc>
          <w:tcPr>
            <w:tcW w:w="4660" w:type="dxa"/>
            <w:vAlign w:val="bottom"/>
            <w:shd w:val="clear" w:color="auto" w:fill="E5FFFF"/>
          </w:tcPr>
          <w:p>
            <w:pPr>
              <w:spacing w:after="0" w:line="178" w:lineRule="exact"/>
              <w:rPr>
                <w:sz w:val="20"/>
                <w:szCs w:val="20"/>
                <w:color w:val="auto"/>
              </w:rPr>
            </w:pPr>
            <w:r>
              <w:rPr>
                <w:rFonts w:ascii="Arial" w:cs="Arial" w:eastAsia="Arial" w:hAnsi="Arial"/>
                <w:sz w:val="16"/>
                <w:szCs w:val="16"/>
                <w:color w:val="auto"/>
                <w:w w:val="91"/>
              </w:rPr>
              <w:t>Financial costs (excluding amortization of loan fees and lease expense)</w:t>
            </w:r>
          </w:p>
        </w:tc>
        <w:tc>
          <w:tcPr>
            <w:tcW w:w="178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206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920" w:type="dxa"/>
            <w:vAlign w:val="bottom"/>
            <w:shd w:val="clear" w:color="auto" w:fill="E5FFFF"/>
          </w:tcPr>
          <w:p>
            <w:pPr>
              <w:spacing w:after="0"/>
              <w:rPr>
                <w:sz w:val="15"/>
                <w:szCs w:val="15"/>
                <w:color w:val="auto"/>
              </w:rPr>
            </w:pPr>
          </w:p>
        </w:tc>
        <w:tc>
          <w:tcPr>
            <w:tcW w:w="60" w:type="dxa"/>
            <w:vAlign w:val="bottom"/>
          </w:tcPr>
          <w:p>
            <w:pPr>
              <w:spacing w:after="0"/>
              <w:rPr>
                <w:sz w:val="15"/>
                <w:szCs w:val="15"/>
                <w:color w:val="auto"/>
              </w:rPr>
            </w:pPr>
          </w:p>
        </w:tc>
      </w:tr>
      <w:tr>
        <w:trPr>
          <w:trHeight w:val="212"/>
        </w:trPr>
        <w:tc>
          <w:tcPr>
            <w:tcW w:w="4660" w:type="dxa"/>
            <w:vAlign w:val="bottom"/>
            <w:shd w:val="clear" w:color="auto" w:fill="E5FFFF"/>
          </w:tcPr>
          <w:p>
            <w:pPr>
              <w:ind w:left="200"/>
              <w:spacing w:after="0"/>
              <w:rPr>
                <w:sz w:val="20"/>
                <w:szCs w:val="20"/>
                <w:color w:val="auto"/>
              </w:rPr>
            </w:pPr>
            <w:r>
              <w:rPr>
                <w:rFonts w:ascii="Arial" w:cs="Arial" w:eastAsia="Arial" w:hAnsi="Arial"/>
                <w:sz w:val="16"/>
                <w:szCs w:val="16"/>
                <w:color w:val="auto"/>
              </w:rPr>
              <w:t>and realized loss on derivatives</w:t>
            </w:r>
          </w:p>
        </w:tc>
        <w:tc>
          <w:tcPr>
            <w:tcW w:w="19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(13,764)</w:t>
            </w:r>
          </w:p>
        </w:tc>
        <w:tc>
          <w:tcPr>
            <w:tcW w:w="226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(16,666)</w:t>
            </w:r>
          </w:p>
        </w:tc>
        <w:tc>
          <w:tcPr>
            <w:tcW w:w="1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(16,021)</w:t>
            </w:r>
          </w:p>
        </w:tc>
        <w:tc>
          <w:tcPr>
            <w:tcW w:w="60" w:type="dxa"/>
            <w:vAlign w:val="bottom"/>
          </w:tcPr>
          <w:p>
            <w:pPr>
              <w:spacing w:after="0"/>
              <w:rPr>
                <w:sz w:val="18"/>
                <w:szCs w:val="18"/>
                <w:color w:val="auto"/>
              </w:rPr>
            </w:pPr>
          </w:p>
        </w:tc>
      </w:tr>
      <w:tr>
        <w:trPr>
          <w:trHeight w:val="230"/>
        </w:trPr>
        <w:tc>
          <w:tcPr>
            <w:tcW w:w="4660" w:type="dxa"/>
            <w:vAlign w:val="bottom"/>
          </w:tcPr>
          <w:p>
            <w:pPr>
              <w:spacing w:after="0" w:line="230" w:lineRule="exact"/>
              <w:rPr>
                <w:sz w:val="20"/>
                <w:szCs w:val="20"/>
                <w:color w:val="auto"/>
              </w:rPr>
            </w:pPr>
            <w:r>
              <w:rPr>
                <w:rFonts w:ascii="Arial" w:cs="Arial" w:eastAsia="Arial" w:hAnsi="Arial"/>
                <w:sz w:val="16"/>
                <w:szCs w:val="16"/>
                <w:color w:val="auto"/>
              </w:rPr>
              <w:t xml:space="preserve">Dry-docking capital reserve </w:t>
            </w:r>
            <w:r>
              <w:rPr>
                <w:rFonts w:ascii="Arial" w:cs="Arial" w:eastAsia="Arial" w:hAnsi="Arial"/>
                <w:sz w:val="21"/>
                <w:szCs w:val="21"/>
                <w:color w:val="auto"/>
                <w:vertAlign w:val="superscript"/>
              </w:rPr>
              <w:t>(2)</w:t>
            </w:r>
          </w:p>
        </w:tc>
        <w:tc>
          <w:tcPr>
            <w:tcW w:w="1980" w:type="dxa"/>
            <w:vAlign w:val="bottom"/>
            <w:gridSpan w:val="2"/>
          </w:tcPr>
          <w:p>
            <w:pPr>
              <w:jc w:val="right"/>
              <w:ind w:right="140"/>
              <w:spacing w:after="0"/>
              <w:rPr>
                <w:sz w:val="20"/>
                <w:szCs w:val="20"/>
                <w:color w:val="auto"/>
              </w:rPr>
            </w:pPr>
            <w:r>
              <w:rPr>
                <w:rFonts w:ascii="Arial" w:cs="Arial" w:eastAsia="Arial" w:hAnsi="Arial"/>
                <w:sz w:val="16"/>
                <w:szCs w:val="16"/>
                <w:color w:val="auto"/>
              </w:rPr>
              <w:t>(3,523)</w:t>
            </w:r>
          </w:p>
        </w:tc>
        <w:tc>
          <w:tcPr>
            <w:tcW w:w="2260" w:type="dxa"/>
            <w:vAlign w:val="bottom"/>
            <w:gridSpan w:val="2"/>
          </w:tcPr>
          <w:p>
            <w:pPr>
              <w:jc w:val="right"/>
              <w:ind w:right="140"/>
              <w:spacing w:after="0"/>
              <w:rPr>
                <w:sz w:val="20"/>
                <w:szCs w:val="20"/>
                <w:color w:val="auto"/>
              </w:rPr>
            </w:pPr>
            <w:r>
              <w:rPr>
                <w:rFonts w:ascii="Arial" w:cs="Arial" w:eastAsia="Arial" w:hAnsi="Arial"/>
                <w:sz w:val="16"/>
                <w:szCs w:val="16"/>
                <w:color w:val="auto"/>
              </w:rPr>
              <w:t>(4,170)</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(4,170)</w:t>
            </w:r>
          </w:p>
        </w:tc>
      </w:tr>
      <w:tr>
        <w:trPr>
          <w:trHeight w:val="230"/>
        </w:trPr>
        <w:tc>
          <w:tcPr>
            <w:tcW w:w="4660" w:type="dxa"/>
            <w:vAlign w:val="bottom"/>
            <w:shd w:val="clear" w:color="auto" w:fill="E5FFFF"/>
          </w:tcPr>
          <w:p>
            <w:pPr>
              <w:spacing w:after="0" w:line="230" w:lineRule="exact"/>
              <w:rPr>
                <w:sz w:val="20"/>
                <w:szCs w:val="20"/>
                <w:color w:val="auto"/>
              </w:rPr>
            </w:pPr>
            <w:r>
              <w:rPr>
                <w:rFonts w:ascii="Arial" w:cs="Arial" w:eastAsia="Arial" w:hAnsi="Arial"/>
                <w:sz w:val="16"/>
                <w:szCs w:val="16"/>
                <w:color w:val="auto"/>
              </w:rPr>
              <w:t xml:space="preserve">Replacement capital reserve </w:t>
            </w:r>
            <w:r>
              <w:rPr>
                <w:rFonts w:ascii="Arial" w:cs="Arial" w:eastAsia="Arial" w:hAnsi="Arial"/>
                <w:sz w:val="21"/>
                <w:szCs w:val="21"/>
                <w:color w:val="auto"/>
                <w:vertAlign w:val="superscript"/>
              </w:rPr>
              <w:t>(2)</w:t>
            </w:r>
          </w:p>
        </w:tc>
        <w:tc>
          <w:tcPr>
            <w:tcW w:w="19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(8,939)</w:t>
            </w:r>
          </w:p>
        </w:tc>
        <w:tc>
          <w:tcPr>
            <w:tcW w:w="226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(9,686)</w:t>
            </w:r>
          </w:p>
        </w:tc>
        <w:tc>
          <w:tcPr>
            <w:tcW w:w="1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(9,686)</w:t>
            </w:r>
          </w:p>
        </w:tc>
        <w:tc>
          <w:tcPr>
            <w:tcW w:w="60" w:type="dxa"/>
            <w:vAlign w:val="bottom"/>
          </w:tcPr>
          <w:p>
            <w:pPr>
              <w:spacing w:after="0"/>
              <w:rPr>
                <w:sz w:val="19"/>
                <w:szCs w:val="19"/>
                <w:color w:val="auto"/>
              </w:rPr>
            </w:pPr>
          </w:p>
        </w:tc>
      </w:tr>
      <w:tr>
        <w:trPr>
          <w:trHeight w:val="227"/>
        </w:trPr>
        <w:tc>
          <w:tcPr>
            <w:tcW w:w="4660" w:type="dxa"/>
            <w:vAlign w:val="bottom"/>
          </w:tcPr>
          <w:p>
            <w:pPr>
              <w:spacing w:after="0"/>
              <w:rPr>
                <w:sz w:val="20"/>
                <w:szCs w:val="20"/>
                <w:color w:val="auto"/>
              </w:rPr>
            </w:pPr>
            <w:r>
              <w:rPr>
                <w:rFonts w:ascii="Arial" w:cs="Arial" w:eastAsia="Arial" w:hAnsi="Arial"/>
                <w:sz w:val="16"/>
                <w:szCs w:val="16"/>
                <w:color w:val="auto"/>
              </w:rPr>
              <w:t>Accrued preferred equity distribution</w:t>
            </w:r>
          </w:p>
        </w:tc>
        <w:tc>
          <w:tcPr>
            <w:tcW w:w="1980" w:type="dxa"/>
            <w:vAlign w:val="bottom"/>
            <w:gridSpan w:val="2"/>
          </w:tcPr>
          <w:p>
            <w:pPr>
              <w:jc w:val="right"/>
              <w:ind w:right="140"/>
              <w:spacing w:after="0"/>
              <w:rPr>
                <w:sz w:val="20"/>
                <w:szCs w:val="20"/>
                <w:color w:val="auto"/>
              </w:rPr>
            </w:pPr>
            <w:r>
              <w:rPr>
                <w:rFonts w:ascii="Arial" w:cs="Arial" w:eastAsia="Arial" w:hAnsi="Arial"/>
                <w:sz w:val="16"/>
                <w:szCs w:val="16"/>
                <w:color w:val="auto"/>
              </w:rPr>
              <w:t>(5,457)</w:t>
            </w:r>
          </w:p>
        </w:tc>
        <w:tc>
          <w:tcPr>
            <w:tcW w:w="2260" w:type="dxa"/>
            <w:vAlign w:val="bottom"/>
            <w:gridSpan w:val="2"/>
          </w:tcPr>
          <w:p>
            <w:pPr>
              <w:jc w:val="right"/>
              <w:ind w:right="140"/>
              <w:spacing w:after="0"/>
              <w:rPr>
                <w:sz w:val="20"/>
                <w:szCs w:val="20"/>
                <w:color w:val="auto"/>
              </w:rPr>
            </w:pPr>
            <w:r>
              <w:rPr>
                <w:rFonts w:ascii="Arial" w:cs="Arial" w:eastAsia="Arial" w:hAnsi="Arial"/>
                <w:sz w:val="16"/>
                <w:szCs w:val="16"/>
                <w:color w:val="auto"/>
              </w:rPr>
              <w:t>(7,582)</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(7,582)</w:t>
            </w:r>
          </w:p>
        </w:tc>
      </w:tr>
      <w:tr>
        <w:trPr>
          <w:trHeight w:val="213"/>
        </w:trPr>
        <w:tc>
          <w:tcPr>
            <w:tcW w:w="46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Distributable cash flow</w:t>
            </w:r>
          </w:p>
        </w:tc>
        <w:tc>
          <w:tcPr>
            <w:tcW w:w="1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27,167</w:t>
            </w:r>
          </w:p>
        </w:tc>
        <w:tc>
          <w:tcPr>
            <w:tcW w:w="200" w:type="dxa"/>
            <w:vAlign w:val="bottom"/>
            <w:tcBorders>
              <w:top w:val="single" w:sz="8" w:color="E5FFFF"/>
            </w:tcBorders>
            <w:shd w:val="clear" w:color="auto" w:fill="E5FFFF"/>
          </w:tcPr>
          <w:p>
            <w:pPr>
              <w:spacing w:after="0"/>
              <w:rPr>
                <w:sz w:val="18"/>
                <w:szCs w:val="18"/>
                <w:color w:val="auto"/>
              </w:rPr>
            </w:pPr>
          </w:p>
        </w:tc>
        <w:tc>
          <w:tcPr>
            <w:tcW w:w="20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29,399</w:t>
            </w:r>
          </w:p>
        </w:tc>
        <w:tc>
          <w:tcPr>
            <w:tcW w:w="200" w:type="dxa"/>
            <w:vAlign w:val="bottom"/>
            <w:tcBorders>
              <w:top w:val="single" w:sz="8" w:color="E5FFFF"/>
            </w:tcBorders>
            <w:shd w:val="clear" w:color="auto" w:fill="E5FFFF"/>
          </w:tcPr>
          <w:p>
            <w:pPr>
              <w:spacing w:after="0"/>
              <w:rPr>
                <w:sz w:val="18"/>
                <w:szCs w:val="18"/>
                <w:color w:val="auto"/>
              </w:rPr>
            </w:pPr>
          </w:p>
        </w:tc>
        <w:tc>
          <w:tcPr>
            <w:tcW w:w="1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34,320</w:t>
            </w:r>
          </w:p>
        </w:tc>
        <w:tc>
          <w:tcPr>
            <w:tcW w:w="60" w:type="dxa"/>
            <w:vAlign w:val="bottom"/>
          </w:tcPr>
          <w:p>
            <w:pPr>
              <w:spacing w:after="0"/>
              <w:rPr>
                <w:sz w:val="18"/>
                <w:szCs w:val="18"/>
                <w:color w:val="auto"/>
              </w:rPr>
            </w:pPr>
          </w:p>
        </w:tc>
      </w:tr>
      <w:tr>
        <w:trPr>
          <w:trHeight w:val="210"/>
        </w:trPr>
        <w:tc>
          <w:tcPr>
            <w:tcW w:w="4660" w:type="dxa"/>
            <w:vAlign w:val="bottom"/>
          </w:tcPr>
          <w:p>
            <w:pPr>
              <w:spacing w:after="0" w:line="210" w:lineRule="exact"/>
              <w:rPr>
                <w:sz w:val="20"/>
                <w:szCs w:val="20"/>
                <w:color w:val="auto"/>
              </w:rPr>
            </w:pPr>
            <w:r>
              <w:rPr>
                <w:rFonts w:ascii="Arial" w:cs="Arial" w:eastAsia="Arial" w:hAnsi="Arial"/>
                <w:sz w:val="16"/>
                <w:szCs w:val="16"/>
                <w:color w:val="auto"/>
              </w:rPr>
              <w:t xml:space="preserve">Other reserves </w:t>
            </w:r>
            <w:r>
              <w:rPr>
                <w:rFonts w:ascii="Arial" w:cs="Arial" w:eastAsia="Arial" w:hAnsi="Arial"/>
                <w:sz w:val="21"/>
                <w:szCs w:val="21"/>
                <w:color w:val="auto"/>
                <w:vertAlign w:val="superscript"/>
              </w:rPr>
              <w:t>(3)</w:t>
            </w:r>
          </w:p>
        </w:tc>
        <w:tc>
          <w:tcPr>
            <w:tcW w:w="1980" w:type="dxa"/>
            <w:vAlign w:val="bottom"/>
            <w:gridSpan w:val="2"/>
          </w:tcPr>
          <w:p>
            <w:pPr>
              <w:jc w:val="right"/>
              <w:ind w:right="200"/>
              <w:spacing w:after="0"/>
              <w:rPr>
                <w:sz w:val="20"/>
                <w:szCs w:val="20"/>
                <w:color w:val="auto"/>
              </w:rPr>
            </w:pPr>
            <w:r>
              <w:rPr>
                <w:rFonts w:ascii="Arial" w:cs="Arial" w:eastAsia="Arial" w:hAnsi="Arial"/>
                <w:sz w:val="16"/>
                <w:szCs w:val="16"/>
                <w:color w:val="auto"/>
              </w:rPr>
              <w:t>(1,451)</w:t>
            </w:r>
          </w:p>
        </w:tc>
        <w:tc>
          <w:tcPr>
            <w:tcW w:w="2260" w:type="dxa"/>
            <w:vAlign w:val="bottom"/>
            <w:gridSpan w:val="2"/>
          </w:tcPr>
          <w:p>
            <w:pPr>
              <w:jc w:val="right"/>
              <w:ind w:right="140"/>
              <w:spacing w:after="0"/>
              <w:rPr>
                <w:sz w:val="20"/>
                <w:szCs w:val="20"/>
                <w:color w:val="auto"/>
              </w:rPr>
            </w:pPr>
            <w:r>
              <w:rPr>
                <w:rFonts w:ascii="Arial" w:cs="Arial" w:eastAsia="Arial" w:hAnsi="Arial"/>
                <w:sz w:val="16"/>
                <w:szCs w:val="16"/>
                <w:color w:val="auto"/>
              </w:rPr>
              <w:t>(2,759)</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(7,883)</w:t>
            </w:r>
          </w:p>
        </w:tc>
      </w:tr>
      <w:tr>
        <w:trPr>
          <w:trHeight w:val="196"/>
        </w:trPr>
        <w:tc>
          <w:tcPr>
            <w:tcW w:w="46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distribution declared</w:t>
            </w:r>
          </w:p>
        </w:tc>
        <w:tc>
          <w:tcPr>
            <w:tcW w:w="1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25,716</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20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26,640</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26,437</w:t>
            </w:r>
          </w:p>
        </w:tc>
        <w:tc>
          <w:tcPr>
            <w:tcW w:w="60" w:type="dxa"/>
            <w:vAlign w:val="bottom"/>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44"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 xml:space="preserve">Excludes amounts related to GAS-fourteen Ltd., the owner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GAS-twenty seven Ltd., the owner of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and GAS-twelve Ltd., the owner of the </w:t>
      </w:r>
      <w:r>
        <w:rPr>
          <w:rFonts w:ascii="Arial" w:cs="Arial" w:eastAsia="Arial" w:hAnsi="Arial"/>
          <w:sz w:val="16"/>
          <w:szCs w:val="16"/>
          <w:i w:val="1"/>
          <w:iCs w:val="1"/>
          <w:color w:val="auto"/>
        </w:rPr>
        <w:t>GasLog Glasgow</w:t>
      </w:r>
      <w:r>
        <w:rPr>
          <w:rFonts w:ascii="Arial" w:cs="Arial" w:eastAsia="Arial" w:hAnsi="Arial"/>
          <w:sz w:val="16"/>
          <w:szCs w:val="16"/>
          <w:color w:val="auto"/>
        </w:rPr>
        <w:t>, for the periods prior to their transfers to the Partnership on April 26, 2018, November 14, 2018 and April 1, 2019, respectively. While such amounts are reflected in the Partnership’s unaudited condensed consolidated financial statements because the transfers to the Partnership were accounted for as reorganizations of entities under common control under IFRS, GAS-fourteen Ltd., GAS-twenty seven Ltd. and GAS-twelve Ltd. were not owned by the Partnership prior to their respective transfers to the</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16" w:name="page17"/>
    <w:bookmarkEnd w:id="16"/>
    <w:p>
      <w:pPr>
        <w:ind w:left="332" w:right="80"/>
        <w:spacing w:after="0" w:line="293" w:lineRule="auto"/>
        <w:rPr>
          <w:sz w:val="20"/>
          <w:szCs w:val="20"/>
          <w:color w:val="auto"/>
        </w:rPr>
      </w:pPr>
      <w:r>
        <w:rPr>
          <w:rFonts w:ascii="Arial" w:cs="Arial" w:eastAsia="Arial" w:hAnsi="Arial"/>
          <w:sz w:val="16"/>
          <w:szCs w:val="16"/>
          <w:color w:val="auto"/>
        </w:rPr>
        <w:t>Partnership on April 26, 2018, November 14, 2018 and April 1, 2019, respectively, and accordingly the Partnership was not entitled to the cash or results generated in the period prior to such transfers.</w:t>
      </w:r>
    </w:p>
    <w:p>
      <w:pPr>
        <w:spacing w:after="0" w:line="172" w:lineRule="exact"/>
        <w:rPr>
          <w:sz w:val="20"/>
          <w:szCs w:val="20"/>
          <w:color w:val="auto"/>
        </w:rPr>
      </w:pPr>
    </w:p>
    <w:p>
      <w:pPr>
        <w:ind w:left="332" w:hanging="332"/>
        <w:spacing w:after="0" w:line="218" w:lineRule="auto"/>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Effective January 1, 2019, the Partnership revised the assumed re-investment rate used in calculating the dry-docking capital reserve and the replacement capital reserve to reflect the upward movement of the USD LIBOR rates.</w:t>
      </w:r>
    </w:p>
    <w:p>
      <w:pPr>
        <w:spacing w:after="0" w:line="213" w:lineRule="exact"/>
        <w:rPr>
          <w:rFonts w:ascii="Arial" w:cs="Arial" w:eastAsia="Arial" w:hAnsi="Arial"/>
          <w:sz w:val="23"/>
          <w:szCs w:val="23"/>
          <w:color w:val="auto"/>
          <w:vertAlign w:val="superscript"/>
        </w:rPr>
      </w:pPr>
    </w:p>
    <w:p>
      <w:pPr>
        <w:ind w:left="332" w:right="800" w:hanging="332"/>
        <w:spacing w:after="0" w:line="218" w:lineRule="auto"/>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Refers to movements in reserves (other than the dry-docking and replacement capital reserves) for the proper conduct of the business of the Partnership and its subsidiaries.</w:t>
      </w:r>
    </w:p>
    <w:p>
      <w:pPr>
        <w:spacing w:after="0" w:line="213" w:lineRule="exact"/>
        <w:rPr>
          <w:rFonts w:ascii="Arial" w:cs="Arial" w:eastAsia="Arial" w:hAnsi="Arial"/>
          <w:sz w:val="23"/>
          <w:szCs w:val="23"/>
          <w:color w:val="auto"/>
          <w:vertAlign w:val="superscript"/>
        </w:rPr>
      </w:pPr>
    </w:p>
    <w:p>
      <w:pPr>
        <w:ind w:left="332" w:right="360" w:hanging="332"/>
        <w:spacing w:after="0" w:line="276" w:lineRule="auto"/>
        <w:tabs>
          <w:tab w:leader="none" w:pos="32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For the three months ended September 30, 2019, the cash distributions declared and the other reserves have been calculated based on the number of units issued and outstanding as of September 30, 2019. The decrease in total cash distributions declared in the third quarter of 2019 as compared to the second quarter of 2019 is attributable to the decrease in the number of outstanding common units due to the repurchases of common units by GasLog Partners during the third quarter of 2019.</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6" w:right="259" w:bottom="1440" w:gutter="0" w:footer="0" w:header="0"/>
        </w:sectPr>
      </w:pPr>
    </w:p>
    <w:bookmarkStart w:id="17" w:name="page18"/>
    <w:bookmarkEnd w:id="17"/>
    <w:p>
      <w:pPr>
        <w:jc w:val="right"/>
        <w:spacing w:after="0"/>
        <w:rPr>
          <w:sz w:val="20"/>
          <w:szCs w:val="20"/>
          <w:color w:val="auto"/>
        </w:rPr>
      </w:pPr>
      <w:r>
        <w:rPr>
          <w:rFonts w:ascii="Arial" w:cs="Arial" w:eastAsia="Arial" w:hAnsi="Arial"/>
          <w:sz w:val="16"/>
          <w:szCs w:val="16"/>
          <w:b w:val="1"/>
          <w:bCs w:val="1"/>
          <w:color w:val="auto"/>
        </w:rPr>
        <w:t>Exhibit 99.2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Financial Report for the Three and Nine Months Ended September 30, 2019</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9" w:lineRule="exact"/>
        <w:rPr>
          <w:sz w:val="20"/>
          <w:szCs w:val="20"/>
          <w:color w:val="auto"/>
        </w:rPr>
      </w:pPr>
    </w:p>
    <w:p>
      <w:pPr>
        <w:ind w:right="20" w:firstLine="405"/>
        <w:spacing w:after="0" w:line="289" w:lineRule="auto"/>
        <w:rPr>
          <w:sz w:val="20"/>
          <w:szCs w:val="20"/>
          <w:color w:val="auto"/>
        </w:rPr>
      </w:pPr>
      <w:r>
        <w:rPr>
          <w:rFonts w:ascii="Arial" w:cs="Arial" w:eastAsia="Arial" w:hAnsi="Arial"/>
          <w:sz w:val="15"/>
          <w:szCs w:val="15"/>
          <w:color w:val="auto"/>
        </w:rPr>
        <w:t>The following is a discussion of our financial condition and results of operations for the three- and nine-month periods ended September 30, 2019 and September 30, 2018. References to “GasLog Partners”, “we”, “our”, “us” and “the Partnership” or similar terms refer to GasLog Partners LP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United States Securities Exchange Commission (the “SEC”) on February 26, 2019.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the discussion in the section entitled “Forward-Looking Statements” below.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9" w:lineRule="exact"/>
        <w:rPr>
          <w:sz w:val="20"/>
          <w:szCs w:val="20"/>
          <w:color w:val="auto"/>
        </w:rPr>
      </w:pPr>
    </w:p>
    <w:p>
      <w:pPr>
        <w:ind w:right="160" w:firstLine="383"/>
        <w:spacing w:after="0" w:line="289" w:lineRule="auto"/>
        <w:rPr>
          <w:sz w:val="20"/>
          <w:szCs w:val="20"/>
          <w:color w:val="auto"/>
        </w:rPr>
      </w:pPr>
      <w:r>
        <w:rPr>
          <w:rFonts w:ascii="Arial" w:cs="Arial" w:eastAsia="Arial" w:hAnsi="Arial"/>
          <w:sz w:val="15"/>
          <w:szCs w:val="15"/>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report,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48" w:lineRule="exact"/>
        <w:rPr>
          <w:sz w:val="20"/>
          <w:szCs w:val="20"/>
          <w:color w:val="auto"/>
        </w:rPr>
      </w:pPr>
    </w:p>
    <w:p>
      <w:pPr>
        <w:ind w:left="660" w:right="300" w:hanging="328"/>
        <w:spacing w:after="0" w:line="266" w:lineRule="auto"/>
        <w:tabs>
          <w:tab w:leader="none" w:pos="624" w:val="left"/>
        </w:tabs>
        <w:numPr>
          <w:ilvl w:val="0"/>
          <w:numId w:val="10"/>
        </w:numPr>
        <w:rPr>
          <w:rFonts w:ascii="Arial" w:cs="Arial" w:eastAsia="Arial" w:hAnsi="Arial"/>
          <w:sz w:val="17"/>
          <w:szCs w:val="17"/>
          <w:color w:val="auto"/>
        </w:rPr>
      </w:pPr>
      <w:r>
        <w:rPr>
          <w:rFonts w:ascii="Arial" w:cs="Arial" w:eastAsia="Arial" w:hAnsi="Arial"/>
          <w:sz w:val="15"/>
          <w:szCs w:val="15"/>
          <w:color w:val="auto"/>
        </w:rPr>
        <w:t>general liquefied natural gas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0" w:lineRule="exact"/>
        <w:rPr>
          <w:rFonts w:ascii="Arial" w:cs="Arial" w:eastAsia="Arial" w:hAnsi="Arial"/>
          <w:sz w:val="17"/>
          <w:szCs w:val="17"/>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fluctuations in charter hire rates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our ability to secure new multi-year charters at economically attractive rates;</w:t>
      </w:r>
    </w:p>
    <w:p>
      <w:pPr>
        <w:spacing w:after="0" w:line="9" w:lineRule="exact"/>
        <w:rPr>
          <w:rFonts w:ascii="Arial" w:cs="Arial" w:eastAsia="Arial" w:hAnsi="Arial"/>
          <w:sz w:val="18"/>
          <w:szCs w:val="18"/>
          <w:color w:val="auto"/>
        </w:rPr>
      </w:pPr>
    </w:p>
    <w:p>
      <w:pPr>
        <w:ind w:left="660" w:right="240" w:hanging="328"/>
        <w:spacing w:after="0" w:line="266" w:lineRule="auto"/>
        <w:tabs>
          <w:tab w:leader="none" w:pos="624" w:val="left"/>
        </w:tabs>
        <w:numPr>
          <w:ilvl w:val="0"/>
          <w:numId w:val="10"/>
        </w:numPr>
        <w:rPr>
          <w:rFonts w:ascii="Arial" w:cs="Arial" w:eastAsia="Arial" w:hAnsi="Arial"/>
          <w:sz w:val="17"/>
          <w:szCs w:val="17"/>
          <w:color w:val="auto"/>
        </w:rPr>
      </w:pPr>
      <w:r>
        <w:rPr>
          <w:rFonts w:ascii="Arial" w:cs="Arial" w:eastAsia="Arial" w:hAnsi="Arial"/>
          <w:sz w:val="15"/>
          <w:szCs w:val="15"/>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10" w:lineRule="exact"/>
        <w:rPr>
          <w:rFonts w:ascii="Arial" w:cs="Arial" w:eastAsia="Arial" w:hAnsi="Arial"/>
          <w:sz w:val="17"/>
          <w:szCs w:val="17"/>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fluctuations in prices for crude oil, petroleum products and natural gas;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fluctuations in exchange rates, especially the U.S. dollar and Euro;</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5"/>
          <w:szCs w:val="15"/>
          <w:color w:val="auto"/>
        </w:rPr>
        <w:t>our ability to expand our portfolio by acquiring vessels through our drop-down pipeline with GasLog Ltd. (“GasLog”) or by acquiring other assets from third parties;</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the ability of GasLog to maintain long-term relationships with major energy companies and major LNG producers, marketers and consumers;</w:t>
      </w:r>
    </w:p>
    <w:p>
      <w:pPr>
        <w:spacing w:after="0" w:line="9" w:lineRule="exact"/>
        <w:rPr>
          <w:rFonts w:ascii="Arial" w:cs="Arial" w:eastAsia="Arial" w:hAnsi="Arial"/>
          <w:sz w:val="18"/>
          <w:szCs w:val="18"/>
          <w:color w:val="auto"/>
        </w:rPr>
      </w:pPr>
    </w:p>
    <w:p>
      <w:pPr>
        <w:ind w:left="660" w:right="360" w:hanging="328"/>
        <w:spacing w:after="0" w:line="251"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our future operating performance, financial condition, liquidity and cash available for distributions;</w:t>
      </w:r>
    </w:p>
    <w:p>
      <w:pPr>
        <w:spacing w:after="0" w:line="9" w:lineRule="exact"/>
        <w:rPr>
          <w:rFonts w:ascii="Arial" w:cs="Arial" w:eastAsia="Arial" w:hAnsi="Arial"/>
          <w:sz w:val="18"/>
          <w:szCs w:val="18"/>
          <w:color w:val="auto"/>
        </w:rPr>
      </w:pPr>
    </w:p>
    <w:p>
      <w:pPr>
        <w:ind w:left="660" w:right="200" w:hanging="328"/>
        <w:spacing w:after="0" w:line="251"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w:t>
      </w:r>
    </w:p>
    <w:p>
      <w:pPr>
        <w:spacing w:after="0" w:line="20" w:lineRule="exact"/>
        <w:rPr>
          <w:rFonts w:ascii="Arial" w:cs="Arial" w:eastAsia="Arial" w:hAnsi="Arial"/>
          <w:sz w:val="17"/>
          <w:szCs w:val="17"/>
          <w:color w:val="auto"/>
        </w:rPr>
      </w:pPr>
    </w:p>
    <w:p>
      <w:pPr>
        <w:ind w:left="660" w:right="60" w:hanging="328"/>
        <w:spacing w:after="0" w:line="251"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potential liability from future litigation;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5"/>
          <w:szCs w:val="15"/>
          <w:color w:val="auto"/>
        </w:rPr>
        <w:t xml:space="preserve">other risks and uncertainties described in the Partnership’s Annual Report on Form 20-F filed with the SEC on February 26, 2019,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 w:name="page19"/>
    <w:bookmarkEnd w:id="18"/>
    <w:p>
      <w:pPr>
        <w:jc w:val="both"/>
        <w:ind w:right="40" w:firstLine="324"/>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ind w:right="260" w:firstLine="324"/>
        <w:spacing w:after="0" w:line="369" w:lineRule="auto"/>
        <w:rPr>
          <w:sz w:val="20"/>
          <w:szCs w:val="20"/>
          <w:color w:val="auto"/>
        </w:rPr>
      </w:pPr>
      <w:r>
        <w:rPr>
          <w:rFonts w:ascii="Arial" w:cs="Arial" w:eastAsia="Arial" w:hAnsi="Arial"/>
          <w:sz w:val="14"/>
          <w:szCs w:val="14"/>
          <w:color w:val="auto"/>
        </w:rPr>
        <w:t>The declaration and payment of distributions are at all times subject to the discretion of our board of directors and will depend on, amongst other things, the risks and uncertainties described above, restrictions in our credit facilities, the provisions of Marshall Islands law and such other factors as our board of directors may deem relevant.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Distribution</w:t>
      </w:r>
    </w:p>
    <w:p>
      <w:pPr>
        <w:spacing w:after="0" w:line="239" w:lineRule="exact"/>
        <w:rPr>
          <w:sz w:val="20"/>
          <w:szCs w:val="20"/>
          <w:color w:val="auto"/>
        </w:rPr>
      </w:pPr>
    </w:p>
    <w:p>
      <w:pPr>
        <w:ind w:right="360" w:firstLine="383"/>
        <w:spacing w:after="0" w:line="278" w:lineRule="auto"/>
        <w:rPr>
          <w:sz w:val="20"/>
          <w:szCs w:val="20"/>
          <w:color w:val="auto"/>
        </w:rPr>
      </w:pPr>
      <w:r>
        <w:rPr>
          <w:rFonts w:ascii="Arial" w:cs="Arial" w:eastAsia="Arial" w:hAnsi="Arial"/>
          <w:sz w:val="16"/>
          <w:szCs w:val="16"/>
          <w:color w:val="auto"/>
        </w:rPr>
        <w:t>On October 29, 2019, the board of directors of GasLog Partners approved and declared a quarterly cash distribution of $0.55 per common unit for the quarter ended September 30, 2019. The cash distribution is payable on November 13, 2019 to all unitholders of record as of November 8, 2019. The aggregate amount of the declared distribution will be $26.4 million based on the number of units issued and outstanding on September 30, 2019.</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39" w:lineRule="exact"/>
        <w:rPr>
          <w:sz w:val="20"/>
          <w:szCs w:val="20"/>
          <w:color w:val="auto"/>
        </w:rPr>
      </w:pPr>
    </w:p>
    <w:p>
      <w:pPr>
        <w:ind w:right="160" w:firstLine="510"/>
        <w:spacing w:after="0" w:line="315" w:lineRule="auto"/>
        <w:rPr>
          <w:sz w:val="20"/>
          <w:szCs w:val="20"/>
          <w:color w:val="auto"/>
        </w:rPr>
      </w:pPr>
      <w:r>
        <w:rPr>
          <w:rFonts w:ascii="Arial" w:cs="Arial" w:eastAsia="Arial" w:hAnsi="Arial"/>
          <w:sz w:val="14"/>
          <w:szCs w:val="14"/>
          <w:color w:val="auto"/>
        </w:rPr>
        <w:t>On January 29, 2019, the board of directors of GasLog Partners authorized a unit repurchase programme of up to $25.0 million covering the period from January 31, 2019 to December 31, 2021. Under the terms of the repurchase programme, GasLog Partners may repurchase common units from time to time, at its discretion, on the open market or in privately negotiated transactions. During the three months ended September 30, 2019, GasLog Partners repurchased and cancelled 508,908 of the Partnership’s common units at a weighted average price of $19.84 per common unit for a total amount of $10.1 million, including commissions. Since the authorization of the unit repurchase programme and through October 30, 2019, GasLog Partners has repurchased and cancelled a total of 985,259 units at a weighted average price of $20.31 per common unit for a total amount of $20.0 million, including commissions. As of October 30, 2019, the unutilized portion of the unit repurchase programme was $5.0 million.</w:t>
      </w:r>
    </w:p>
    <w:p>
      <w:pPr>
        <w:spacing w:after="0" w:line="164" w:lineRule="exact"/>
        <w:rPr>
          <w:sz w:val="20"/>
          <w:szCs w:val="20"/>
          <w:color w:val="auto"/>
        </w:rPr>
      </w:pPr>
    </w:p>
    <w:p>
      <w:pPr>
        <w:ind w:right="80" w:firstLine="383"/>
        <w:spacing w:after="0" w:line="278" w:lineRule="auto"/>
        <w:rPr>
          <w:sz w:val="20"/>
          <w:szCs w:val="20"/>
          <w:color w:val="auto"/>
        </w:rPr>
      </w:pPr>
      <w:r>
        <w:rPr>
          <w:rFonts w:ascii="Arial" w:cs="Arial" w:eastAsia="Arial" w:hAnsi="Arial"/>
          <w:sz w:val="16"/>
          <w:szCs w:val="16"/>
          <w:color w:val="auto"/>
        </w:rPr>
        <w:t>As of September 30, 2019, GasLog held a 35.4% ownership interest in the Partnership (including 2.0% through general partner units) and a 32.0% voting and economic interest in the Partnership.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a growth-oriented limited partnership focused on owning, operating and acquiring LNG carriers engaged in LNG transportation.</w:t>
      </w:r>
    </w:p>
    <w:p>
      <w:pPr>
        <w:spacing w:after="0" w:line="235" w:lineRule="exact"/>
        <w:rPr>
          <w:sz w:val="20"/>
          <w:szCs w:val="20"/>
          <w:color w:val="auto"/>
        </w:rPr>
      </w:pPr>
    </w:p>
    <w:p>
      <w:pPr>
        <w:ind w:right="100" w:firstLine="428"/>
        <w:spacing w:after="0" w:line="273" w:lineRule="auto"/>
        <w:rPr>
          <w:sz w:val="20"/>
          <w:szCs w:val="20"/>
          <w:color w:val="auto"/>
        </w:rPr>
      </w:pPr>
      <w:r>
        <w:rPr>
          <w:rFonts w:ascii="Arial" w:cs="Arial" w:eastAsia="Arial" w:hAnsi="Arial"/>
          <w:sz w:val="16"/>
          <w:szCs w:val="16"/>
          <w:color w:val="auto"/>
        </w:rPr>
        <w:t>As of September 30, 2019, our fleet consisted of 15 LNG carriers, including 10 vessels with tri-fuel diesel electric (“TFDE”) propulsion and five modern steam turbine propulsion (“Steam”) vessels. We also have options and other rights under which we may acquire additional LNG carriers from GasLog, as described below. We believe that such options and rights provide us with significant built-in growth opportunities. We may also acquire vessels or other LNG infrastructure assets from shipyards or other owners.</w:t>
      </w:r>
    </w:p>
    <w:p>
      <w:pPr>
        <w:spacing w:after="0" w:line="189" w:lineRule="exact"/>
        <w:rPr>
          <w:sz w:val="20"/>
          <w:szCs w:val="20"/>
          <w:color w:val="auto"/>
        </w:rPr>
      </w:pPr>
    </w:p>
    <w:p>
      <w:pPr>
        <w:ind w:firstLine="428"/>
        <w:spacing w:after="0" w:line="270" w:lineRule="auto"/>
        <w:rPr>
          <w:sz w:val="20"/>
          <w:szCs w:val="20"/>
          <w:color w:val="auto"/>
        </w:rPr>
      </w:pPr>
      <w:r>
        <w:rPr>
          <w:rFonts w:ascii="Arial" w:cs="Arial" w:eastAsia="Arial" w:hAnsi="Arial"/>
          <w:sz w:val="16"/>
          <w:szCs w:val="16"/>
          <w:color w:val="auto"/>
        </w:rPr>
        <w:t>We operate our vessels mainly under multi-year charters with fixed-fee contracts that generate predictable cash flows during the life of these charters. One of our vessels currently operates under a three-and-a-half-year time charter with a market-linked daily hire rate determined on a per voyage basis. We intend to grow our portfolio through further acquisitions of LNG carriers or other LNG infrastructure assets from GasLog and third parties. However, we cannot assure you that we will make any particular acquisition or that we will be successful in rechartering our ships when their current charters expire or that, as a consequence, we will successfully grow our distributions per common unit. Among other things, our ability to acquire additional LNG carriers or other LNG infrastructure assets will be dependent upon our ability to raise additional equity and debt financing.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Fleet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fleet currently consists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Cargo</w:t>
            </w: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Capacity</w:t>
            </w: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Charter</w:t>
            </w: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252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Year Built</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(cbm)</w:t>
            </w:r>
          </w:p>
        </w:tc>
        <w:tc>
          <w:tcPr>
            <w:tcW w:w="1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Charterer</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Propulsion</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Expiration</w:t>
            </w:r>
          </w:p>
        </w:tc>
        <w:tc>
          <w:tcPr>
            <w:tcW w:w="1500" w:type="dxa"/>
            <w:vAlign w:val="bottom"/>
            <w:gridSpan w:val="2"/>
          </w:tcPr>
          <w:p>
            <w:pPr>
              <w:jc w:val="right"/>
              <w:ind w:right="146"/>
              <w:spacing w:after="0"/>
              <w:rPr>
                <w:sz w:val="20"/>
                <w:szCs w:val="20"/>
                <w:color w:val="auto"/>
              </w:rPr>
            </w:pPr>
            <w:r>
              <w:rPr>
                <w:rFonts w:ascii="Arial" w:cs="Arial" w:eastAsia="Arial" w:hAnsi="Arial"/>
                <w:sz w:val="16"/>
                <w:szCs w:val="16"/>
                <w:b w:val="1"/>
                <w:bCs w:val="1"/>
                <w:color w:val="auto"/>
              </w:rPr>
              <w:t>Optional Period</w:t>
            </w:r>
          </w:p>
        </w:tc>
        <w:tc>
          <w:tcPr>
            <w:tcW w:w="20" w:type="dxa"/>
            <w:vAlign w:val="bottom"/>
          </w:tcPr>
          <w:p>
            <w:pPr>
              <w:spacing w:after="0"/>
              <w:rPr>
                <w:sz w:val="18"/>
                <w:szCs w:val="18"/>
                <w:color w:val="auto"/>
              </w:rPr>
            </w:pPr>
          </w:p>
        </w:tc>
      </w:tr>
      <w:tr>
        <w:trPr>
          <w:trHeight w:val="202"/>
        </w:trPr>
        <w:tc>
          <w:tcPr>
            <w:tcW w:w="3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1</w:t>
            </w:r>
          </w:p>
        </w:tc>
        <w:tc>
          <w:tcPr>
            <w:tcW w:w="2080" w:type="dxa"/>
            <w:vAlign w:val="bottom"/>
            <w:tcBorders>
              <w:top w:val="single" w:sz="8" w:color="auto"/>
            </w:tcBorders>
            <w:shd w:val="clear" w:color="auto" w:fill="E5FFFF"/>
          </w:tcPr>
          <w:p>
            <w:pPr>
              <w:ind w:left="60"/>
              <w:spacing w:after="0"/>
              <w:rPr>
                <w:sz w:val="20"/>
                <w:szCs w:val="20"/>
                <w:color w:val="auto"/>
              </w:rPr>
            </w:pPr>
            <w:r>
              <w:rPr>
                <w:rFonts w:ascii="Arial" w:cs="Arial" w:eastAsia="Arial" w:hAnsi="Arial"/>
                <w:sz w:val="16"/>
                <w:szCs w:val="16"/>
                <w:i w:val="1"/>
                <w:iCs w:val="1"/>
                <w:color w:val="auto"/>
              </w:rPr>
              <w:t>Methane Alison Victoria</w:t>
            </w:r>
          </w:p>
        </w:tc>
        <w:tc>
          <w:tcPr>
            <w:tcW w:w="140" w:type="dxa"/>
            <w:vAlign w:val="bottom"/>
            <w:tcBorders>
              <w:top w:val="single" w:sz="8" w:color="E5FFFF"/>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2007</w:t>
            </w:r>
          </w:p>
        </w:tc>
        <w:tc>
          <w:tcPr>
            <w:tcW w:w="14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40" w:type="dxa"/>
            <w:vAlign w:val="bottom"/>
            <w:tcBorders>
              <w:top w:val="single" w:sz="8" w:color="E5FFFF"/>
            </w:tcBorders>
            <w:shd w:val="clear" w:color="auto" w:fill="E5FFFF"/>
          </w:tcPr>
          <w:p>
            <w:pPr>
              <w:spacing w:after="0"/>
              <w:rPr>
                <w:sz w:val="17"/>
                <w:szCs w:val="17"/>
                <w:color w:val="auto"/>
              </w:rPr>
            </w:pPr>
          </w:p>
        </w:tc>
        <w:tc>
          <w:tcPr>
            <w:tcW w:w="17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40" w:type="dxa"/>
            <w:vAlign w:val="bottom"/>
            <w:tcBorders>
              <w:top w:val="single" w:sz="8" w:color="E5FFFF"/>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6"/>
              </w:rPr>
              <w:t>Steam</w:t>
            </w:r>
          </w:p>
        </w:tc>
        <w:tc>
          <w:tcPr>
            <w:tcW w:w="12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December 2019</w:t>
            </w:r>
          </w:p>
        </w:tc>
        <w:tc>
          <w:tcPr>
            <w:tcW w:w="14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center"/>
              <w:ind w:left="579"/>
              <w:spacing w:after="0"/>
              <w:rPr>
                <w:sz w:val="20"/>
                <w:szCs w:val="20"/>
                <w:color w:val="auto"/>
              </w:rPr>
            </w:pPr>
            <w:r>
              <w:rPr>
                <w:rFonts w:ascii="Arial" w:cs="Arial" w:eastAsia="Arial" w:hAnsi="Arial"/>
                <w:sz w:val="16"/>
                <w:szCs w:val="16"/>
                <w:color w:val="auto"/>
                <w:w w:val="99"/>
              </w:rPr>
              <w:t>—</w:t>
            </w:r>
          </w:p>
        </w:tc>
        <w:tc>
          <w:tcPr>
            <w:tcW w:w="640" w:type="dxa"/>
            <w:vAlign w:val="bottom"/>
            <w:tcBorders>
              <w:top w:val="single" w:sz="8" w:color="auto"/>
            </w:tcBorders>
            <w:shd w:val="clear" w:color="auto" w:fill="E5FF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00" w:type="dxa"/>
            <w:vAlign w:val="bottom"/>
          </w:tcPr>
          <w:p>
            <w:pPr>
              <w:jc w:val="center"/>
              <w:spacing w:after="0"/>
              <w:rPr>
                <w:sz w:val="20"/>
                <w:szCs w:val="20"/>
                <w:color w:val="auto"/>
              </w:rPr>
            </w:pPr>
            <w:r>
              <w:rPr>
                <w:rFonts w:ascii="Arial" w:cs="Arial" w:eastAsia="Arial" w:hAnsi="Arial"/>
                <w:sz w:val="16"/>
                <w:szCs w:val="16"/>
                <w:b w:val="1"/>
                <w:bCs w:val="1"/>
                <w:color w:val="auto"/>
                <w:w w:val="89"/>
              </w:rPr>
              <w:t>2</w:t>
            </w:r>
          </w:p>
        </w:tc>
        <w:tc>
          <w:tcPr>
            <w:tcW w:w="2220" w:type="dxa"/>
            <w:vAlign w:val="bottom"/>
            <w:gridSpan w:val="2"/>
          </w:tcPr>
          <w:p>
            <w:pPr>
              <w:ind w:left="60"/>
              <w:spacing w:after="0"/>
              <w:rPr>
                <w:sz w:val="20"/>
                <w:szCs w:val="20"/>
                <w:color w:val="auto"/>
              </w:rPr>
            </w:pPr>
            <w:r>
              <w:rPr>
                <w:rFonts w:ascii="Arial" w:cs="Arial" w:eastAsia="Arial" w:hAnsi="Arial"/>
                <w:sz w:val="16"/>
                <w:szCs w:val="16"/>
                <w:i w:val="1"/>
                <w:iCs w:val="1"/>
                <w:color w:val="auto"/>
              </w:rPr>
              <w:t>Methane Rita Andrea</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2006</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40" w:type="dxa"/>
            <w:vAlign w:val="bottom"/>
          </w:tcPr>
          <w:p>
            <w:pPr>
              <w:spacing w:after="0"/>
              <w:rPr>
                <w:sz w:val="17"/>
                <w:szCs w:val="17"/>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Steam</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April 2020</w:t>
            </w:r>
          </w:p>
        </w:tc>
        <w:tc>
          <w:tcPr>
            <w:tcW w:w="860" w:type="dxa"/>
            <w:vAlign w:val="bottom"/>
          </w:tcPr>
          <w:p>
            <w:pPr>
              <w:jc w:val="center"/>
              <w:ind w:left="579"/>
              <w:spacing w:after="0"/>
              <w:rPr>
                <w:sz w:val="20"/>
                <w:szCs w:val="20"/>
                <w:color w:val="auto"/>
              </w:rPr>
            </w:pPr>
            <w:r>
              <w:rPr>
                <w:rFonts w:ascii="Arial" w:cs="Arial" w:eastAsia="Arial" w:hAnsi="Arial"/>
                <w:sz w:val="16"/>
                <w:szCs w:val="16"/>
                <w:color w:val="auto"/>
                <w:w w:val="99"/>
              </w:rPr>
              <w:t>—</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00" w:type="dxa"/>
            <w:vAlign w:val="bottom"/>
            <w:shd w:val="clear" w:color="auto" w:fill="E2FFFF"/>
          </w:tcPr>
          <w:p>
            <w:pPr>
              <w:jc w:val="center"/>
              <w:spacing w:after="0"/>
              <w:rPr>
                <w:sz w:val="20"/>
                <w:szCs w:val="20"/>
                <w:color w:val="auto"/>
              </w:rPr>
            </w:pPr>
            <w:r>
              <w:rPr>
                <w:rFonts w:ascii="Arial" w:cs="Arial" w:eastAsia="Arial" w:hAnsi="Arial"/>
                <w:sz w:val="16"/>
                <w:szCs w:val="16"/>
                <w:b w:val="1"/>
                <w:bCs w:val="1"/>
                <w:color w:val="auto"/>
                <w:w w:val="89"/>
              </w:rPr>
              <w:t>3</w:t>
            </w:r>
          </w:p>
        </w:tc>
        <w:tc>
          <w:tcPr>
            <w:tcW w:w="2220" w:type="dxa"/>
            <w:vAlign w:val="bottom"/>
            <w:gridSpan w:val="2"/>
            <w:shd w:val="clear" w:color="auto" w:fill="E2FFFF"/>
          </w:tcPr>
          <w:p>
            <w:pPr>
              <w:ind w:left="60"/>
              <w:spacing w:after="0"/>
              <w:rPr>
                <w:sz w:val="20"/>
                <w:szCs w:val="20"/>
                <w:color w:val="auto"/>
              </w:rPr>
            </w:pPr>
            <w:r>
              <w:rPr>
                <w:rFonts w:ascii="Arial" w:cs="Arial" w:eastAsia="Arial" w:hAnsi="Arial"/>
                <w:sz w:val="16"/>
                <w:szCs w:val="16"/>
                <w:i w:val="1"/>
                <w:iCs w:val="1"/>
                <w:color w:val="auto"/>
              </w:rPr>
              <w:t>Methane Shirley Elisabeth</w:t>
            </w:r>
          </w:p>
        </w:tc>
        <w:tc>
          <w:tcPr>
            <w:tcW w:w="1000" w:type="dxa"/>
            <w:vAlign w:val="bottom"/>
            <w:shd w:val="clear" w:color="auto" w:fill="E2FFFF"/>
          </w:tcPr>
          <w:p>
            <w:pPr>
              <w:jc w:val="center"/>
              <w:spacing w:after="0"/>
              <w:rPr>
                <w:sz w:val="20"/>
                <w:szCs w:val="20"/>
                <w:color w:val="auto"/>
              </w:rPr>
            </w:pPr>
            <w:r>
              <w:rPr>
                <w:rFonts w:ascii="Arial" w:cs="Arial" w:eastAsia="Arial" w:hAnsi="Arial"/>
                <w:sz w:val="16"/>
                <w:szCs w:val="16"/>
                <w:color w:val="auto"/>
                <w:w w:val="89"/>
              </w:rPr>
              <w:t>2007</w:t>
            </w:r>
          </w:p>
        </w:tc>
        <w:tc>
          <w:tcPr>
            <w:tcW w:w="140" w:type="dxa"/>
            <w:vAlign w:val="bottom"/>
            <w:shd w:val="clear" w:color="auto" w:fill="E2FFFF"/>
          </w:tcPr>
          <w:p>
            <w:pPr>
              <w:spacing w:after="0"/>
              <w:rPr>
                <w:sz w:val="17"/>
                <w:szCs w:val="17"/>
                <w:color w:val="auto"/>
              </w:rPr>
            </w:pPr>
          </w:p>
        </w:tc>
        <w:tc>
          <w:tcPr>
            <w:tcW w:w="1020" w:type="dxa"/>
            <w:vAlign w:val="bottom"/>
            <w:shd w:val="clear" w:color="auto" w:fill="E2FFFF"/>
          </w:tcPr>
          <w:p>
            <w:pPr>
              <w:jc w:val="center"/>
              <w:spacing w:after="0"/>
              <w:rPr>
                <w:sz w:val="20"/>
                <w:szCs w:val="20"/>
                <w:color w:val="auto"/>
              </w:rPr>
            </w:pPr>
            <w:r>
              <w:rPr>
                <w:rFonts w:ascii="Arial" w:cs="Arial" w:eastAsia="Arial" w:hAnsi="Arial"/>
                <w:sz w:val="16"/>
                <w:szCs w:val="16"/>
                <w:color w:val="auto"/>
                <w:w w:val="89"/>
              </w:rPr>
              <w:t>145,000</w:t>
            </w:r>
          </w:p>
        </w:tc>
        <w:tc>
          <w:tcPr>
            <w:tcW w:w="140" w:type="dxa"/>
            <w:vAlign w:val="bottom"/>
            <w:shd w:val="clear" w:color="auto" w:fill="E2FFFF"/>
          </w:tcPr>
          <w:p>
            <w:pPr>
              <w:spacing w:after="0"/>
              <w:rPr>
                <w:sz w:val="17"/>
                <w:szCs w:val="17"/>
                <w:color w:val="auto"/>
              </w:rPr>
            </w:pPr>
          </w:p>
        </w:tc>
        <w:tc>
          <w:tcPr>
            <w:tcW w:w="1920" w:type="dxa"/>
            <w:vAlign w:val="bottom"/>
            <w:gridSpan w:val="2"/>
            <w:shd w:val="clear" w:color="auto" w:fill="E2FFFF"/>
          </w:tcPr>
          <w:p>
            <w:pPr>
              <w:jc w:val="center"/>
              <w:ind w:right="14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shd w:val="clear" w:color="auto" w:fill="E2FFFF"/>
          </w:tcPr>
          <w:p>
            <w:pPr>
              <w:jc w:val="center"/>
              <w:ind w:right="120"/>
              <w:spacing w:after="0"/>
              <w:rPr>
                <w:sz w:val="20"/>
                <w:szCs w:val="20"/>
                <w:color w:val="auto"/>
              </w:rPr>
            </w:pPr>
            <w:r>
              <w:rPr>
                <w:rFonts w:ascii="Arial" w:cs="Arial" w:eastAsia="Arial" w:hAnsi="Arial"/>
                <w:sz w:val="16"/>
                <w:szCs w:val="16"/>
                <w:color w:val="auto"/>
                <w:w w:val="86"/>
              </w:rPr>
              <w:t>Steam</w:t>
            </w:r>
          </w:p>
        </w:tc>
        <w:tc>
          <w:tcPr>
            <w:tcW w:w="1580" w:type="dxa"/>
            <w:vAlign w:val="bottom"/>
            <w:gridSpan w:val="2"/>
            <w:shd w:val="clear" w:color="auto" w:fill="E2FFFF"/>
          </w:tcPr>
          <w:p>
            <w:pPr>
              <w:jc w:val="center"/>
              <w:ind w:right="120"/>
              <w:spacing w:after="0"/>
              <w:rPr>
                <w:sz w:val="20"/>
                <w:szCs w:val="20"/>
                <w:color w:val="auto"/>
              </w:rPr>
            </w:pPr>
            <w:r>
              <w:rPr>
                <w:rFonts w:ascii="Arial" w:cs="Arial" w:eastAsia="Arial" w:hAnsi="Arial"/>
                <w:sz w:val="16"/>
                <w:szCs w:val="16"/>
                <w:color w:val="auto"/>
                <w:w w:val="88"/>
              </w:rPr>
              <w:t>June 2020</w:t>
            </w:r>
          </w:p>
        </w:tc>
        <w:tc>
          <w:tcPr>
            <w:tcW w:w="860" w:type="dxa"/>
            <w:vAlign w:val="bottom"/>
            <w:shd w:val="clear" w:color="auto" w:fill="E2FFFF"/>
          </w:tcPr>
          <w:p>
            <w:pPr>
              <w:jc w:val="center"/>
              <w:ind w:left="579"/>
              <w:spacing w:after="0"/>
              <w:rPr>
                <w:sz w:val="20"/>
                <w:szCs w:val="20"/>
                <w:color w:val="auto"/>
              </w:rPr>
            </w:pPr>
            <w:r>
              <w:rPr>
                <w:rFonts w:ascii="Arial" w:cs="Arial" w:eastAsia="Arial" w:hAnsi="Arial"/>
                <w:sz w:val="16"/>
                <w:szCs w:val="16"/>
                <w:color w:val="auto"/>
                <w:w w:val="99"/>
              </w:rPr>
              <w:t>—</w:t>
            </w:r>
          </w:p>
        </w:tc>
        <w:tc>
          <w:tcPr>
            <w:tcW w:w="640" w:type="dxa"/>
            <w:vAlign w:val="bottom"/>
            <w:shd w:val="clear" w:color="auto" w:fill="E2FFFF"/>
          </w:tcPr>
          <w:p>
            <w:pPr>
              <w:spacing w:after="0"/>
              <w:rPr>
                <w:sz w:val="17"/>
                <w:szCs w:val="17"/>
                <w:color w:val="auto"/>
              </w:rPr>
            </w:pPr>
          </w:p>
        </w:tc>
        <w:tc>
          <w:tcPr>
            <w:tcW w:w="20" w:type="dxa"/>
            <w:vAlign w:val="bottom"/>
          </w:tcPr>
          <w:p>
            <w:pPr>
              <w:spacing w:after="0"/>
              <w:rPr>
                <w:sz w:val="17"/>
                <w:szCs w:val="17"/>
                <w:color w:val="auto"/>
              </w:rPr>
            </w:pPr>
          </w:p>
        </w:tc>
      </w:tr>
      <w:tr>
        <w:trPr>
          <w:trHeight w:val="193"/>
        </w:trPr>
        <w:tc>
          <w:tcPr>
            <w:tcW w:w="300" w:type="dxa"/>
            <w:vAlign w:val="bottom"/>
          </w:tcPr>
          <w:p>
            <w:pPr>
              <w:jc w:val="center"/>
              <w:spacing w:after="0"/>
              <w:rPr>
                <w:sz w:val="20"/>
                <w:szCs w:val="20"/>
                <w:color w:val="auto"/>
              </w:rPr>
            </w:pPr>
            <w:r>
              <w:rPr>
                <w:rFonts w:ascii="Arial" w:cs="Arial" w:eastAsia="Arial" w:hAnsi="Arial"/>
                <w:sz w:val="16"/>
                <w:szCs w:val="16"/>
                <w:b w:val="1"/>
                <w:bCs w:val="1"/>
                <w:color w:val="auto"/>
                <w:w w:val="89"/>
              </w:rPr>
              <w:t>4</w:t>
            </w:r>
          </w:p>
        </w:tc>
        <w:tc>
          <w:tcPr>
            <w:tcW w:w="2220" w:type="dxa"/>
            <w:vAlign w:val="bottom"/>
            <w:gridSpan w:val="2"/>
          </w:tcPr>
          <w:p>
            <w:pPr>
              <w:ind w:left="60"/>
              <w:spacing w:after="0"/>
              <w:rPr>
                <w:sz w:val="20"/>
                <w:szCs w:val="20"/>
                <w:color w:val="auto"/>
              </w:rPr>
            </w:pPr>
            <w:r>
              <w:rPr>
                <w:rFonts w:ascii="Arial" w:cs="Arial" w:eastAsia="Arial" w:hAnsi="Arial"/>
                <w:sz w:val="16"/>
                <w:szCs w:val="16"/>
                <w:i w:val="1"/>
                <w:iCs w:val="1"/>
                <w:color w:val="auto"/>
              </w:rPr>
              <w:t>GasLog Sydney</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40" w:type="dxa"/>
            <w:vAlign w:val="bottom"/>
          </w:tcPr>
          <w:p>
            <w:pPr>
              <w:spacing w:after="0"/>
              <w:rPr>
                <w:sz w:val="16"/>
                <w:szCs w:val="16"/>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Cheniere Energy Inc.</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2020</w:t>
            </w:r>
          </w:p>
        </w:tc>
        <w:tc>
          <w:tcPr>
            <w:tcW w:w="1500" w:type="dxa"/>
            <w:vAlign w:val="bottom"/>
            <w:gridSpan w:val="2"/>
          </w:tcPr>
          <w:p>
            <w:pPr>
              <w:jc w:val="center"/>
              <w:spacing w:after="0" w:line="193" w:lineRule="exact"/>
              <w:rPr>
                <w:sz w:val="20"/>
                <w:szCs w:val="20"/>
                <w:color w:val="auto"/>
              </w:rPr>
            </w:pPr>
            <w:r>
              <w:rPr>
                <w:rFonts w:ascii="Arial" w:cs="Arial" w:eastAsia="Arial" w:hAnsi="Arial"/>
                <w:sz w:val="16"/>
                <w:szCs w:val="16"/>
                <w:color w:val="auto"/>
                <w:w w:val="87"/>
              </w:rPr>
              <w:t xml:space="preserve">2020-2021 </w:t>
            </w:r>
            <w:r>
              <w:rPr>
                <w:rFonts w:ascii="Arial" w:cs="Arial" w:eastAsia="Arial" w:hAnsi="Arial"/>
                <w:sz w:val="21"/>
                <w:szCs w:val="21"/>
                <w:color w:val="auto"/>
                <w:w w:val="87"/>
                <w:vertAlign w:val="superscript"/>
              </w:rPr>
              <w:t>(1)</w:t>
            </w:r>
          </w:p>
        </w:tc>
        <w:tc>
          <w:tcPr>
            <w:tcW w:w="20" w:type="dxa"/>
            <w:vAlign w:val="bottom"/>
          </w:tcPr>
          <w:p>
            <w:pPr>
              <w:spacing w:after="0"/>
              <w:rPr>
                <w:sz w:val="16"/>
                <w:szCs w:val="16"/>
                <w:color w:val="auto"/>
              </w:rPr>
            </w:pPr>
          </w:p>
        </w:tc>
      </w:tr>
      <w:tr>
        <w:trPr>
          <w:trHeight w:val="206"/>
        </w:trPr>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(“Cheniere”)</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300" w:type="dxa"/>
            <w:vAlign w:val="bottom"/>
            <w:shd w:val="clear" w:color="auto" w:fill="E2FFFF"/>
          </w:tcPr>
          <w:p>
            <w:pPr>
              <w:jc w:val="center"/>
              <w:spacing w:after="0"/>
              <w:rPr>
                <w:sz w:val="20"/>
                <w:szCs w:val="20"/>
                <w:color w:val="auto"/>
              </w:rPr>
            </w:pPr>
            <w:r>
              <w:rPr>
                <w:rFonts w:ascii="Arial" w:cs="Arial" w:eastAsia="Arial" w:hAnsi="Arial"/>
                <w:sz w:val="16"/>
                <w:szCs w:val="16"/>
                <w:b w:val="1"/>
                <w:bCs w:val="1"/>
                <w:color w:val="auto"/>
                <w:w w:val="89"/>
              </w:rPr>
              <w:t>5</w:t>
            </w:r>
          </w:p>
        </w:tc>
        <w:tc>
          <w:tcPr>
            <w:tcW w:w="2220" w:type="dxa"/>
            <w:vAlign w:val="bottom"/>
            <w:gridSpan w:val="2"/>
            <w:shd w:val="clear" w:color="auto" w:fill="E2FFFF"/>
          </w:tcPr>
          <w:p>
            <w:pPr>
              <w:ind w:left="60"/>
              <w:spacing w:after="0"/>
              <w:rPr>
                <w:sz w:val="20"/>
                <w:szCs w:val="20"/>
                <w:color w:val="auto"/>
              </w:rPr>
            </w:pPr>
            <w:r>
              <w:rPr>
                <w:rFonts w:ascii="Arial" w:cs="Arial" w:eastAsia="Arial" w:hAnsi="Arial"/>
                <w:sz w:val="16"/>
                <w:szCs w:val="16"/>
                <w:i w:val="1"/>
                <w:iCs w:val="1"/>
                <w:color w:val="auto"/>
              </w:rPr>
              <w:t>Methane Jane Elizabeth</w:t>
            </w:r>
          </w:p>
        </w:tc>
        <w:tc>
          <w:tcPr>
            <w:tcW w:w="1000" w:type="dxa"/>
            <w:vAlign w:val="bottom"/>
            <w:shd w:val="clear" w:color="auto" w:fill="E2FFFF"/>
          </w:tcPr>
          <w:p>
            <w:pPr>
              <w:jc w:val="center"/>
              <w:spacing w:after="0"/>
              <w:rPr>
                <w:sz w:val="20"/>
                <w:szCs w:val="20"/>
                <w:color w:val="auto"/>
              </w:rPr>
            </w:pPr>
            <w:r>
              <w:rPr>
                <w:rFonts w:ascii="Arial" w:cs="Arial" w:eastAsia="Arial" w:hAnsi="Arial"/>
                <w:sz w:val="16"/>
                <w:szCs w:val="16"/>
                <w:color w:val="auto"/>
                <w:w w:val="89"/>
              </w:rPr>
              <w:t>2006</w:t>
            </w:r>
          </w:p>
        </w:tc>
        <w:tc>
          <w:tcPr>
            <w:tcW w:w="140" w:type="dxa"/>
            <w:vAlign w:val="bottom"/>
            <w:shd w:val="clear" w:color="auto" w:fill="E2FFFF"/>
          </w:tcPr>
          <w:p>
            <w:pPr>
              <w:spacing w:after="0"/>
              <w:rPr>
                <w:sz w:val="18"/>
                <w:szCs w:val="18"/>
                <w:color w:val="auto"/>
              </w:rPr>
            </w:pPr>
          </w:p>
        </w:tc>
        <w:tc>
          <w:tcPr>
            <w:tcW w:w="1020" w:type="dxa"/>
            <w:vAlign w:val="bottom"/>
            <w:shd w:val="clear" w:color="auto" w:fill="E2FFFF"/>
          </w:tcPr>
          <w:p>
            <w:pPr>
              <w:jc w:val="center"/>
              <w:spacing w:after="0"/>
              <w:rPr>
                <w:sz w:val="20"/>
                <w:szCs w:val="20"/>
                <w:color w:val="auto"/>
              </w:rPr>
            </w:pPr>
            <w:r>
              <w:rPr>
                <w:rFonts w:ascii="Arial" w:cs="Arial" w:eastAsia="Arial" w:hAnsi="Arial"/>
                <w:sz w:val="16"/>
                <w:szCs w:val="16"/>
                <w:color w:val="auto"/>
                <w:w w:val="89"/>
              </w:rPr>
              <w:t>145,000</w:t>
            </w:r>
          </w:p>
        </w:tc>
        <w:tc>
          <w:tcPr>
            <w:tcW w:w="140" w:type="dxa"/>
            <w:vAlign w:val="bottom"/>
            <w:shd w:val="clear" w:color="auto" w:fill="E2FFFF"/>
          </w:tcPr>
          <w:p>
            <w:pPr>
              <w:spacing w:after="0"/>
              <w:rPr>
                <w:sz w:val="18"/>
                <w:szCs w:val="18"/>
                <w:color w:val="auto"/>
              </w:rPr>
            </w:pPr>
          </w:p>
        </w:tc>
        <w:tc>
          <w:tcPr>
            <w:tcW w:w="1920" w:type="dxa"/>
            <w:vAlign w:val="bottom"/>
            <w:gridSpan w:val="2"/>
            <w:shd w:val="clear" w:color="auto" w:fill="E2FFFF"/>
          </w:tcPr>
          <w:p>
            <w:pPr>
              <w:jc w:val="center"/>
              <w:ind w:right="140"/>
              <w:spacing w:after="0" w:line="209" w:lineRule="exact"/>
              <w:rPr>
                <w:sz w:val="20"/>
                <w:szCs w:val="20"/>
                <w:color w:val="auto"/>
              </w:rPr>
            </w:pPr>
            <w:r>
              <w:rPr>
                <w:rFonts w:ascii="Arial" w:cs="Arial" w:eastAsia="Arial" w:hAnsi="Arial"/>
                <w:sz w:val="16"/>
                <w:szCs w:val="16"/>
                <w:color w:val="auto"/>
                <w:w w:val="91"/>
              </w:rPr>
              <w:t xml:space="preserve">Trafigura </w:t>
            </w:r>
            <w:r>
              <w:rPr>
                <w:rFonts w:ascii="Arial" w:cs="Arial" w:eastAsia="Arial" w:hAnsi="Arial"/>
                <w:sz w:val="21"/>
                <w:szCs w:val="21"/>
                <w:color w:val="auto"/>
                <w:w w:val="91"/>
                <w:vertAlign w:val="superscript"/>
              </w:rPr>
              <w:t>(2)</w:t>
            </w:r>
          </w:p>
        </w:tc>
        <w:tc>
          <w:tcPr>
            <w:tcW w:w="1120" w:type="dxa"/>
            <w:vAlign w:val="bottom"/>
            <w:gridSpan w:val="2"/>
            <w:shd w:val="clear" w:color="auto" w:fill="E2FFFF"/>
          </w:tcPr>
          <w:p>
            <w:pPr>
              <w:jc w:val="center"/>
              <w:ind w:right="120"/>
              <w:spacing w:after="0"/>
              <w:rPr>
                <w:sz w:val="20"/>
                <w:szCs w:val="20"/>
                <w:color w:val="auto"/>
              </w:rPr>
            </w:pPr>
            <w:r>
              <w:rPr>
                <w:rFonts w:ascii="Arial" w:cs="Arial" w:eastAsia="Arial" w:hAnsi="Arial"/>
                <w:sz w:val="16"/>
                <w:szCs w:val="16"/>
                <w:color w:val="auto"/>
                <w:w w:val="86"/>
              </w:rPr>
              <w:t>Steam</w:t>
            </w:r>
          </w:p>
        </w:tc>
        <w:tc>
          <w:tcPr>
            <w:tcW w:w="1580" w:type="dxa"/>
            <w:vAlign w:val="bottom"/>
            <w:gridSpan w:val="2"/>
            <w:shd w:val="clear" w:color="auto" w:fill="E2FFFF"/>
          </w:tcPr>
          <w:p>
            <w:pPr>
              <w:jc w:val="center"/>
              <w:ind w:right="120"/>
              <w:spacing w:after="0" w:line="209" w:lineRule="exact"/>
              <w:rPr>
                <w:sz w:val="20"/>
                <w:szCs w:val="20"/>
                <w:color w:val="auto"/>
              </w:rPr>
            </w:pPr>
            <w:r>
              <w:rPr>
                <w:rFonts w:ascii="Arial" w:cs="Arial" w:eastAsia="Arial" w:hAnsi="Arial"/>
                <w:sz w:val="16"/>
                <w:szCs w:val="16"/>
                <w:color w:val="auto"/>
                <w:w w:val="90"/>
              </w:rPr>
              <w:t xml:space="preserve">November 2020 </w:t>
            </w:r>
            <w:r>
              <w:rPr>
                <w:rFonts w:ascii="Arial" w:cs="Arial" w:eastAsia="Arial" w:hAnsi="Arial"/>
                <w:sz w:val="21"/>
                <w:szCs w:val="21"/>
                <w:color w:val="auto"/>
                <w:w w:val="90"/>
                <w:vertAlign w:val="superscript"/>
              </w:rPr>
              <w:t>(2)</w:t>
            </w:r>
          </w:p>
        </w:tc>
        <w:tc>
          <w:tcPr>
            <w:tcW w:w="1500" w:type="dxa"/>
            <w:vAlign w:val="bottom"/>
            <w:gridSpan w:val="2"/>
            <w:shd w:val="clear" w:color="auto" w:fill="E2FFFF"/>
          </w:tcPr>
          <w:p>
            <w:pPr>
              <w:jc w:val="center"/>
              <w:spacing w:after="0" w:line="209" w:lineRule="exact"/>
              <w:rPr>
                <w:sz w:val="20"/>
                <w:szCs w:val="20"/>
                <w:color w:val="auto"/>
              </w:rPr>
            </w:pPr>
            <w:r>
              <w:rPr>
                <w:rFonts w:ascii="Arial" w:cs="Arial" w:eastAsia="Arial" w:hAnsi="Arial"/>
                <w:sz w:val="16"/>
                <w:szCs w:val="16"/>
                <w:color w:val="auto"/>
                <w:w w:val="88"/>
              </w:rPr>
              <w:t xml:space="preserve">2021–2024 </w:t>
            </w:r>
            <w:r>
              <w:rPr>
                <w:rFonts w:ascii="Arial" w:cs="Arial" w:eastAsia="Arial" w:hAnsi="Arial"/>
                <w:sz w:val="21"/>
                <w:szCs w:val="21"/>
                <w:color w:val="auto"/>
                <w:w w:val="88"/>
                <w:vertAlign w:val="superscript"/>
              </w:rPr>
              <w:t>(3)</w:t>
            </w:r>
          </w:p>
        </w:tc>
        <w:tc>
          <w:tcPr>
            <w:tcW w:w="20" w:type="dxa"/>
            <w:vAlign w:val="bottom"/>
          </w:tcPr>
          <w:p>
            <w:pPr>
              <w:spacing w:after="0"/>
              <w:rPr>
                <w:sz w:val="18"/>
                <w:szCs w:val="18"/>
                <w:color w:val="auto"/>
              </w:rPr>
            </w:pPr>
          </w:p>
        </w:tc>
      </w:tr>
      <w:tr>
        <w:trPr>
          <w:trHeight w:val="203"/>
        </w:trPr>
        <w:tc>
          <w:tcPr>
            <w:tcW w:w="300" w:type="dxa"/>
            <w:vAlign w:val="bottom"/>
          </w:tcPr>
          <w:p>
            <w:pPr>
              <w:jc w:val="center"/>
              <w:spacing w:after="0"/>
              <w:rPr>
                <w:sz w:val="20"/>
                <w:szCs w:val="20"/>
                <w:color w:val="auto"/>
              </w:rPr>
            </w:pPr>
            <w:r>
              <w:rPr>
                <w:rFonts w:ascii="Arial" w:cs="Arial" w:eastAsia="Arial" w:hAnsi="Arial"/>
                <w:sz w:val="16"/>
                <w:szCs w:val="16"/>
                <w:b w:val="1"/>
                <w:bCs w:val="1"/>
                <w:color w:val="auto"/>
                <w:w w:val="89"/>
              </w:rPr>
              <w:t>6</w:t>
            </w:r>
          </w:p>
        </w:tc>
        <w:tc>
          <w:tcPr>
            <w:tcW w:w="2220" w:type="dxa"/>
            <w:vAlign w:val="bottom"/>
            <w:gridSpan w:val="2"/>
          </w:tcPr>
          <w:p>
            <w:pPr>
              <w:ind w:left="60"/>
              <w:spacing w:after="0"/>
              <w:rPr>
                <w:sz w:val="20"/>
                <w:szCs w:val="20"/>
                <w:color w:val="auto"/>
              </w:rPr>
            </w:pPr>
            <w:r>
              <w:rPr>
                <w:rFonts w:ascii="Arial" w:cs="Arial" w:eastAsia="Arial" w:hAnsi="Arial"/>
                <w:sz w:val="16"/>
                <w:szCs w:val="16"/>
                <w:i w:val="1"/>
                <w:iCs w:val="1"/>
                <w:color w:val="auto"/>
              </w:rPr>
              <w:t>Methane Heather Sally</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2007</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40" w:type="dxa"/>
            <w:vAlign w:val="bottom"/>
          </w:tcPr>
          <w:p>
            <w:pPr>
              <w:spacing w:after="0"/>
              <w:rPr>
                <w:sz w:val="17"/>
                <w:szCs w:val="17"/>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Steam</w:t>
            </w: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December 2020</w:t>
            </w:r>
          </w:p>
        </w:tc>
        <w:tc>
          <w:tcPr>
            <w:tcW w:w="860" w:type="dxa"/>
            <w:vAlign w:val="bottom"/>
          </w:tcPr>
          <w:p>
            <w:pPr>
              <w:jc w:val="center"/>
              <w:ind w:left="579"/>
              <w:spacing w:after="0"/>
              <w:rPr>
                <w:sz w:val="20"/>
                <w:szCs w:val="20"/>
                <w:color w:val="auto"/>
              </w:rPr>
            </w:pPr>
            <w:r>
              <w:rPr>
                <w:rFonts w:ascii="Arial" w:cs="Arial" w:eastAsia="Arial" w:hAnsi="Arial"/>
                <w:sz w:val="16"/>
                <w:szCs w:val="16"/>
                <w:color w:val="auto"/>
                <w:w w:val="99"/>
              </w:rPr>
              <w:t>—</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0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7</w:t>
            </w:r>
          </w:p>
        </w:tc>
        <w:tc>
          <w:tcPr>
            <w:tcW w:w="2220" w:type="dxa"/>
            <w:vAlign w:val="bottom"/>
            <w:gridSpan w:val="2"/>
            <w:shd w:val="clear" w:color="auto" w:fill="E5FFFF"/>
          </w:tcPr>
          <w:p>
            <w:pPr>
              <w:ind w:left="60"/>
              <w:spacing w:after="0"/>
              <w:rPr>
                <w:sz w:val="20"/>
                <w:szCs w:val="20"/>
                <w:color w:val="auto"/>
              </w:rPr>
            </w:pPr>
            <w:r>
              <w:rPr>
                <w:rFonts w:ascii="Arial" w:cs="Arial" w:eastAsia="Arial" w:hAnsi="Arial"/>
                <w:sz w:val="16"/>
                <w:szCs w:val="16"/>
                <w:i w:val="1"/>
                <w:iCs w:val="1"/>
                <w:color w:val="auto"/>
              </w:rPr>
              <w:t>GasLog Seattle</w:t>
            </w:r>
          </w:p>
        </w:tc>
        <w:tc>
          <w:tcPr>
            <w:tcW w:w="10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2013</w:t>
            </w: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40" w:type="dxa"/>
            <w:vAlign w:val="bottom"/>
            <w:shd w:val="clear" w:color="auto" w:fill="E5FFFF"/>
          </w:tcPr>
          <w:p>
            <w:pPr>
              <w:spacing w:after="0"/>
              <w:rPr>
                <w:sz w:val="17"/>
                <w:szCs w:val="17"/>
                <w:color w:val="auto"/>
              </w:rPr>
            </w:pPr>
          </w:p>
        </w:tc>
        <w:tc>
          <w:tcPr>
            <w:tcW w:w="192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8"/>
              </w:rPr>
              <w:t>June 2021</w:t>
            </w:r>
          </w:p>
        </w:tc>
        <w:tc>
          <w:tcPr>
            <w:tcW w:w="860" w:type="dxa"/>
            <w:vAlign w:val="bottom"/>
            <w:shd w:val="clear" w:color="auto" w:fill="E5FFFF"/>
          </w:tcPr>
          <w:p>
            <w:pPr>
              <w:jc w:val="center"/>
              <w:ind w:left="579"/>
              <w:spacing w:after="0"/>
              <w:rPr>
                <w:sz w:val="20"/>
                <w:szCs w:val="20"/>
                <w:color w:val="auto"/>
              </w:rPr>
            </w:pPr>
            <w:r>
              <w:rPr>
                <w:rFonts w:ascii="Arial" w:cs="Arial" w:eastAsia="Arial" w:hAnsi="Arial"/>
                <w:sz w:val="16"/>
                <w:szCs w:val="16"/>
                <w:color w:val="auto"/>
                <w:w w:val="99"/>
              </w:rPr>
              <w:t>—</w:t>
            </w:r>
          </w:p>
        </w:tc>
        <w:tc>
          <w:tcPr>
            <w:tcW w:w="64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00" w:type="dxa"/>
            <w:vAlign w:val="bottom"/>
          </w:tcPr>
          <w:p>
            <w:pPr>
              <w:jc w:val="center"/>
              <w:spacing w:after="0"/>
              <w:rPr>
                <w:sz w:val="20"/>
                <w:szCs w:val="20"/>
                <w:color w:val="auto"/>
              </w:rPr>
            </w:pPr>
            <w:r>
              <w:rPr>
                <w:rFonts w:ascii="Arial" w:cs="Arial" w:eastAsia="Arial" w:hAnsi="Arial"/>
                <w:sz w:val="16"/>
                <w:szCs w:val="16"/>
                <w:b w:val="1"/>
                <w:bCs w:val="1"/>
                <w:color w:val="auto"/>
                <w:w w:val="89"/>
              </w:rPr>
              <w:t>8</w:t>
            </w:r>
          </w:p>
        </w:tc>
        <w:tc>
          <w:tcPr>
            <w:tcW w:w="2220" w:type="dxa"/>
            <w:vAlign w:val="bottom"/>
            <w:gridSpan w:val="2"/>
          </w:tcPr>
          <w:p>
            <w:pPr>
              <w:ind w:left="60"/>
              <w:spacing w:after="0"/>
              <w:rPr>
                <w:sz w:val="20"/>
                <w:szCs w:val="20"/>
                <w:color w:val="auto"/>
              </w:rPr>
            </w:pPr>
            <w:r>
              <w:rPr>
                <w:rFonts w:ascii="Arial" w:cs="Arial" w:eastAsia="Arial" w:hAnsi="Arial"/>
                <w:sz w:val="16"/>
                <w:szCs w:val="16"/>
                <w:i w:val="1"/>
                <w:iCs w:val="1"/>
                <w:color w:val="auto"/>
              </w:rPr>
              <w:t>Solaris</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2014</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40" w:type="dxa"/>
            <w:vAlign w:val="bottom"/>
          </w:tcPr>
          <w:p>
            <w:pPr>
              <w:spacing w:after="0"/>
              <w:rPr>
                <w:sz w:val="17"/>
                <w:szCs w:val="17"/>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2021</w:t>
            </w:r>
          </w:p>
        </w:tc>
        <w:tc>
          <w:tcPr>
            <w:tcW w:w="860" w:type="dxa"/>
            <w:vAlign w:val="bottom"/>
          </w:tcPr>
          <w:p>
            <w:pPr>
              <w:jc w:val="center"/>
              <w:ind w:left="579"/>
              <w:spacing w:after="0"/>
              <w:rPr>
                <w:sz w:val="20"/>
                <w:szCs w:val="20"/>
                <w:color w:val="auto"/>
              </w:rPr>
            </w:pPr>
            <w:r>
              <w:rPr>
                <w:rFonts w:ascii="Arial" w:cs="Arial" w:eastAsia="Arial" w:hAnsi="Arial"/>
                <w:sz w:val="16"/>
                <w:szCs w:val="16"/>
                <w:color w:val="auto"/>
                <w:w w:val="99"/>
              </w:rPr>
              <w:t>—</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0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9</w:t>
            </w:r>
          </w:p>
        </w:tc>
        <w:tc>
          <w:tcPr>
            <w:tcW w:w="2220" w:type="dxa"/>
            <w:vAlign w:val="bottom"/>
            <w:gridSpan w:val="2"/>
            <w:shd w:val="clear" w:color="auto" w:fill="E5FFFF"/>
          </w:tcPr>
          <w:p>
            <w:pPr>
              <w:ind w:left="60"/>
              <w:spacing w:after="0"/>
              <w:rPr>
                <w:sz w:val="20"/>
                <w:szCs w:val="20"/>
                <w:color w:val="auto"/>
              </w:rPr>
            </w:pPr>
            <w:r>
              <w:rPr>
                <w:rFonts w:ascii="Arial" w:cs="Arial" w:eastAsia="Arial" w:hAnsi="Arial"/>
                <w:sz w:val="16"/>
                <w:szCs w:val="16"/>
                <w:i w:val="1"/>
                <w:iCs w:val="1"/>
                <w:color w:val="auto"/>
              </w:rPr>
              <w:t>GasLog Santiago</w:t>
            </w:r>
          </w:p>
        </w:tc>
        <w:tc>
          <w:tcPr>
            <w:tcW w:w="10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2013</w:t>
            </w:r>
          </w:p>
        </w:tc>
        <w:tc>
          <w:tcPr>
            <w:tcW w:w="140" w:type="dxa"/>
            <w:vAlign w:val="bottom"/>
            <w:shd w:val="clear" w:color="auto" w:fill="E5FFFF"/>
          </w:tcPr>
          <w:p>
            <w:pPr>
              <w:spacing w:after="0"/>
              <w:rPr>
                <w:sz w:val="18"/>
                <w:szCs w:val="18"/>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4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3"/>
              </w:rPr>
              <w:t>Trafigura</w:t>
            </w:r>
          </w:p>
        </w:tc>
        <w:tc>
          <w:tcPr>
            <w:tcW w:w="11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58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1"/>
              </w:rPr>
              <w:t>December 2021</w:t>
            </w:r>
          </w:p>
        </w:tc>
        <w:tc>
          <w:tcPr>
            <w:tcW w:w="1500" w:type="dxa"/>
            <w:vAlign w:val="bottom"/>
            <w:gridSpan w:val="2"/>
            <w:shd w:val="clear" w:color="auto" w:fill="E5FFFF"/>
          </w:tcPr>
          <w:p>
            <w:pPr>
              <w:jc w:val="center"/>
              <w:spacing w:after="0" w:line="216" w:lineRule="exact"/>
              <w:rPr>
                <w:sz w:val="20"/>
                <w:szCs w:val="20"/>
                <w:color w:val="auto"/>
              </w:rPr>
            </w:pPr>
            <w:r>
              <w:rPr>
                <w:rFonts w:ascii="Arial" w:cs="Arial" w:eastAsia="Arial" w:hAnsi="Arial"/>
                <w:sz w:val="16"/>
                <w:szCs w:val="16"/>
                <w:color w:val="auto"/>
                <w:w w:val="87"/>
              </w:rPr>
              <w:t xml:space="preserve">2022-2028 </w:t>
            </w:r>
            <w:r>
              <w:rPr>
                <w:rFonts w:ascii="Arial" w:cs="Arial" w:eastAsia="Arial" w:hAnsi="Arial"/>
                <w:sz w:val="21"/>
                <w:szCs w:val="21"/>
                <w:color w:val="auto"/>
                <w:w w:val="87"/>
                <w:vertAlign w:val="superscript"/>
              </w:rPr>
              <w:t>(4)</w:t>
            </w:r>
          </w:p>
        </w:tc>
        <w:tc>
          <w:tcPr>
            <w:tcW w:w="20" w:type="dxa"/>
            <w:vAlign w:val="bottom"/>
          </w:tcPr>
          <w:p>
            <w:pPr>
              <w:spacing w:after="0"/>
              <w:rPr>
                <w:sz w:val="18"/>
                <w:szCs w:val="18"/>
                <w:color w:val="auto"/>
              </w:rPr>
            </w:pPr>
          </w:p>
        </w:tc>
      </w:tr>
      <w:tr>
        <w:trPr>
          <w:trHeight w:val="216"/>
        </w:trPr>
        <w:tc>
          <w:tcPr>
            <w:tcW w:w="300" w:type="dxa"/>
            <w:vAlign w:val="bottom"/>
          </w:tcPr>
          <w:p>
            <w:pPr>
              <w:jc w:val="center"/>
              <w:spacing w:after="0"/>
              <w:rPr>
                <w:sz w:val="20"/>
                <w:szCs w:val="20"/>
                <w:color w:val="auto"/>
              </w:rPr>
            </w:pPr>
            <w:r>
              <w:rPr>
                <w:rFonts w:ascii="Arial" w:cs="Arial" w:eastAsia="Arial" w:hAnsi="Arial"/>
                <w:sz w:val="16"/>
                <w:szCs w:val="16"/>
                <w:b w:val="1"/>
                <w:bCs w:val="1"/>
                <w:color w:val="auto"/>
                <w:w w:val="89"/>
              </w:rPr>
              <w:t>10</w:t>
            </w:r>
          </w:p>
        </w:tc>
        <w:tc>
          <w:tcPr>
            <w:tcW w:w="2220" w:type="dxa"/>
            <w:vAlign w:val="bottom"/>
            <w:gridSpan w:val="2"/>
          </w:tcPr>
          <w:p>
            <w:pPr>
              <w:ind w:left="60"/>
              <w:spacing w:after="0"/>
              <w:rPr>
                <w:sz w:val="20"/>
                <w:szCs w:val="20"/>
                <w:color w:val="auto"/>
              </w:rPr>
            </w:pPr>
            <w:r>
              <w:rPr>
                <w:rFonts w:ascii="Arial" w:cs="Arial" w:eastAsia="Arial" w:hAnsi="Arial"/>
                <w:sz w:val="16"/>
                <w:szCs w:val="16"/>
                <w:i w:val="1"/>
                <w:iCs w:val="1"/>
                <w:color w:val="auto"/>
              </w:rPr>
              <w:t>GasLog Shanghai</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40" w:type="dxa"/>
            <w:vAlign w:val="bottom"/>
          </w:tcPr>
          <w:p>
            <w:pPr>
              <w:spacing w:after="0"/>
              <w:rPr>
                <w:sz w:val="18"/>
                <w:szCs w:val="18"/>
                <w:color w:val="auto"/>
              </w:rPr>
            </w:pPr>
          </w:p>
        </w:tc>
        <w:tc>
          <w:tcPr>
            <w:tcW w:w="1920" w:type="dxa"/>
            <w:vAlign w:val="bottom"/>
            <w:gridSpan w:val="2"/>
          </w:tcPr>
          <w:p>
            <w:pPr>
              <w:jc w:val="center"/>
              <w:ind w:right="140"/>
              <w:spacing w:after="0" w:line="216" w:lineRule="exact"/>
              <w:rPr>
                <w:sz w:val="20"/>
                <w:szCs w:val="20"/>
                <w:color w:val="auto"/>
              </w:rPr>
            </w:pPr>
            <w:r>
              <w:rPr>
                <w:rFonts w:ascii="Arial" w:cs="Arial" w:eastAsia="Arial" w:hAnsi="Arial"/>
                <w:sz w:val="16"/>
                <w:szCs w:val="16"/>
                <w:color w:val="auto"/>
                <w:w w:val="89"/>
              </w:rPr>
              <w:t xml:space="preserve">Gunvor </w:t>
            </w:r>
            <w:r>
              <w:rPr>
                <w:rFonts w:ascii="Arial" w:cs="Arial" w:eastAsia="Arial" w:hAnsi="Arial"/>
                <w:sz w:val="21"/>
                <w:szCs w:val="21"/>
                <w:color w:val="auto"/>
                <w:w w:val="89"/>
                <w:vertAlign w:val="superscript"/>
              </w:rPr>
              <w:t>(5)</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November 2022</w:t>
            </w:r>
          </w:p>
        </w:tc>
        <w:tc>
          <w:tcPr>
            <w:tcW w:w="860" w:type="dxa"/>
            <w:vAlign w:val="bottom"/>
          </w:tcPr>
          <w:p>
            <w:pPr>
              <w:jc w:val="center"/>
              <w:ind w:left="579"/>
              <w:spacing w:after="0"/>
              <w:rPr>
                <w:sz w:val="20"/>
                <w:szCs w:val="20"/>
                <w:color w:val="auto"/>
              </w:rPr>
            </w:pPr>
            <w:r>
              <w:rPr>
                <w:rFonts w:ascii="Arial" w:cs="Arial" w:eastAsia="Arial" w:hAnsi="Arial"/>
                <w:sz w:val="16"/>
                <w:szCs w:val="16"/>
                <w:color w:val="auto"/>
                <w:w w:val="99"/>
              </w:rPr>
              <w:t>—</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30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11</w:t>
            </w:r>
          </w:p>
        </w:tc>
        <w:tc>
          <w:tcPr>
            <w:tcW w:w="2220" w:type="dxa"/>
            <w:vAlign w:val="bottom"/>
            <w:gridSpan w:val="2"/>
            <w:shd w:val="clear" w:color="auto" w:fill="E5FFFF"/>
          </w:tcPr>
          <w:p>
            <w:pPr>
              <w:ind w:left="60"/>
              <w:spacing w:after="0"/>
              <w:rPr>
                <w:sz w:val="20"/>
                <w:szCs w:val="20"/>
                <w:color w:val="auto"/>
              </w:rPr>
            </w:pPr>
            <w:r>
              <w:rPr>
                <w:rFonts w:ascii="Arial" w:cs="Arial" w:eastAsia="Arial" w:hAnsi="Arial"/>
                <w:sz w:val="16"/>
                <w:szCs w:val="16"/>
                <w:i w:val="1"/>
                <w:iCs w:val="1"/>
                <w:color w:val="auto"/>
              </w:rPr>
              <w:t>GasLog Geneva</w:t>
            </w:r>
          </w:p>
        </w:tc>
        <w:tc>
          <w:tcPr>
            <w:tcW w:w="10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2016</w:t>
            </w: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40" w:type="dxa"/>
            <w:vAlign w:val="bottom"/>
            <w:shd w:val="clear" w:color="auto" w:fill="E5FFFF"/>
          </w:tcPr>
          <w:p>
            <w:pPr>
              <w:spacing w:after="0"/>
              <w:rPr>
                <w:sz w:val="17"/>
                <w:szCs w:val="17"/>
                <w:color w:val="auto"/>
              </w:rPr>
            </w:pPr>
          </w:p>
        </w:tc>
        <w:tc>
          <w:tcPr>
            <w:tcW w:w="192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58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89"/>
              </w:rPr>
              <w:t>September 2023</w:t>
            </w:r>
          </w:p>
        </w:tc>
        <w:tc>
          <w:tcPr>
            <w:tcW w:w="1500" w:type="dxa"/>
            <w:vAlign w:val="bottom"/>
            <w:gridSpan w:val="2"/>
            <w:shd w:val="clear" w:color="auto" w:fill="E5FFFF"/>
          </w:tcPr>
          <w:p>
            <w:pPr>
              <w:jc w:val="center"/>
              <w:spacing w:after="0" w:line="203" w:lineRule="exact"/>
              <w:rPr>
                <w:sz w:val="20"/>
                <w:szCs w:val="20"/>
                <w:color w:val="auto"/>
              </w:rPr>
            </w:pPr>
            <w:r>
              <w:rPr>
                <w:rFonts w:ascii="Arial" w:cs="Arial" w:eastAsia="Arial" w:hAnsi="Arial"/>
                <w:sz w:val="16"/>
                <w:szCs w:val="16"/>
                <w:color w:val="auto"/>
                <w:w w:val="88"/>
              </w:rPr>
              <w:t xml:space="preserve">2028–2031 </w:t>
            </w:r>
            <w:r>
              <w:rPr>
                <w:rFonts w:ascii="Arial" w:cs="Arial" w:eastAsia="Arial" w:hAnsi="Arial"/>
                <w:sz w:val="21"/>
                <w:szCs w:val="21"/>
                <w:color w:val="auto"/>
                <w:w w:val="88"/>
                <w:vertAlign w:val="superscript"/>
              </w:rPr>
              <w:t>(6)</w:t>
            </w:r>
          </w:p>
        </w:tc>
        <w:tc>
          <w:tcPr>
            <w:tcW w:w="20" w:type="dxa"/>
            <w:vAlign w:val="bottom"/>
            <w:shd w:val="clear" w:color="auto" w:fill="E5FFFF"/>
          </w:tcPr>
          <w:p>
            <w:pPr>
              <w:spacing w:after="0"/>
              <w:rPr>
                <w:sz w:val="17"/>
                <w:szCs w:val="17"/>
                <w:color w:val="auto"/>
              </w:rPr>
            </w:pPr>
          </w:p>
        </w:tc>
      </w:tr>
      <w:tr>
        <w:trPr>
          <w:trHeight w:val="203"/>
        </w:trPr>
        <w:tc>
          <w:tcPr>
            <w:tcW w:w="300" w:type="dxa"/>
            <w:vAlign w:val="bottom"/>
          </w:tcPr>
          <w:p>
            <w:pPr>
              <w:jc w:val="center"/>
              <w:spacing w:after="0"/>
              <w:rPr>
                <w:sz w:val="20"/>
                <w:szCs w:val="20"/>
                <w:color w:val="auto"/>
              </w:rPr>
            </w:pPr>
            <w:r>
              <w:rPr>
                <w:rFonts w:ascii="Arial" w:cs="Arial" w:eastAsia="Arial" w:hAnsi="Arial"/>
                <w:sz w:val="16"/>
                <w:szCs w:val="16"/>
                <w:b w:val="1"/>
                <w:bCs w:val="1"/>
                <w:color w:val="auto"/>
                <w:w w:val="89"/>
              </w:rPr>
              <w:t>12</w:t>
            </w:r>
          </w:p>
        </w:tc>
        <w:tc>
          <w:tcPr>
            <w:tcW w:w="2220" w:type="dxa"/>
            <w:vAlign w:val="bottom"/>
            <w:gridSpan w:val="2"/>
          </w:tcPr>
          <w:p>
            <w:pPr>
              <w:ind w:left="60"/>
              <w:spacing w:after="0"/>
              <w:rPr>
                <w:sz w:val="20"/>
                <w:szCs w:val="20"/>
                <w:color w:val="auto"/>
              </w:rPr>
            </w:pPr>
            <w:r>
              <w:rPr>
                <w:rFonts w:ascii="Arial" w:cs="Arial" w:eastAsia="Arial" w:hAnsi="Arial"/>
                <w:sz w:val="16"/>
                <w:szCs w:val="16"/>
                <w:i w:val="1"/>
                <w:iCs w:val="1"/>
                <w:color w:val="auto"/>
              </w:rPr>
              <w:t>GasLog Gibraltar</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2016</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40" w:type="dxa"/>
            <w:vAlign w:val="bottom"/>
          </w:tcPr>
          <w:p>
            <w:pPr>
              <w:spacing w:after="0"/>
              <w:rPr>
                <w:sz w:val="17"/>
                <w:szCs w:val="17"/>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October 2023</w:t>
            </w:r>
          </w:p>
        </w:tc>
        <w:tc>
          <w:tcPr>
            <w:tcW w:w="1500" w:type="dxa"/>
            <w:vAlign w:val="bottom"/>
            <w:gridSpan w:val="2"/>
          </w:tcPr>
          <w:p>
            <w:pPr>
              <w:jc w:val="center"/>
              <w:spacing w:after="0" w:line="203" w:lineRule="exact"/>
              <w:rPr>
                <w:sz w:val="20"/>
                <w:szCs w:val="20"/>
                <w:color w:val="auto"/>
              </w:rPr>
            </w:pPr>
            <w:r>
              <w:rPr>
                <w:rFonts w:ascii="Arial" w:cs="Arial" w:eastAsia="Arial" w:hAnsi="Arial"/>
                <w:sz w:val="16"/>
                <w:szCs w:val="16"/>
                <w:color w:val="auto"/>
                <w:w w:val="88"/>
              </w:rPr>
              <w:t xml:space="preserve">2028–2031 </w:t>
            </w:r>
            <w:r>
              <w:rPr>
                <w:rFonts w:ascii="Arial" w:cs="Arial" w:eastAsia="Arial" w:hAnsi="Arial"/>
                <w:sz w:val="21"/>
                <w:szCs w:val="21"/>
                <w:color w:val="auto"/>
                <w:w w:val="88"/>
                <w:vertAlign w:val="superscript"/>
              </w:rPr>
              <w:t>(6)</w:t>
            </w:r>
          </w:p>
        </w:tc>
        <w:tc>
          <w:tcPr>
            <w:tcW w:w="20" w:type="dxa"/>
            <w:vAlign w:val="bottom"/>
          </w:tcPr>
          <w:p>
            <w:pPr>
              <w:spacing w:after="0"/>
              <w:rPr>
                <w:sz w:val="17"/>
                <w:szCs w:val="17"/>
                <w:color w:val="auto"/>
              </w:rPr>
            </w:pPr>
          </w:p>
        </w:tc>
      </w:tr>
      <w:tr>
        <w:trPr>
          <w:trHeight w:val="203"/>
        </w:trPr>
        <w:tc>
          <w:tcPr>
            <w:tcW w:w="30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13</w:t>
            </w:r>
          </w:p>
        </w:tc>
        <w:tc>
          <w:tcPr>
            <w:tcW w:w="2220" w:type="dxa"/>
            <w:vAlign w:val="bottom"/>
            <w:gridSpan w:val="2"/>
            <w:shd w:val="clear" w:color="auto" w:fill="E5FFFF"/>
          </w:tcPr>
          <w:p>
            <w:pPr>
              <w:ind w:left="60"/>
              <w:spacing w:after="0"/>
              <w:rPr>
                <w:sz w:val="20"/>
                <w:szCs w:val="20"/>
                <w:color w:val="auto"/>
              </w:rPr>
            </w:pPr>
            <w:r>
              <w:rPr>
                <w:rFonts w:ascii="Arial" w:cs="Arial" w:eastAsia="Arial" w:hAnsi="Arial"/>
                <w:sz w:val="16"/>
                <w:szCs w:val="16"/>
                <w:i w:val="1"/>
                <w:iCs w:val="1"/>
                <w:color w:val="auto"/>
              </w:rPr>
              <w:t>Methane Becki Anne</w:t>
            </w:r>
          </w:p>
        </w:tc>
        <w:tc>
          <w:tcPr>
            <w:tcW w:w="10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2010</w:t>
            </w: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170,000</w:t>
            </w:r>
          </w:p>
        </w:tc>
        <w:tc>
          <w:tcPr>
            <w:tcW w:w="140" w:type="dxa"/>
            <w:vAlign w:val="bottom"/>
            <w:shd w:val="clear" w:color="auto" w:fill="E5FFFF"/>
          </w:tcPr>
          <w:p>
            <w:pPr>
              <w:spacing w:after="0"/>
              <w:rPr>
                <w:sz w:val="17"/>
                <w:szCs w:val="17"/>
                <w:color w:val="auto"/>
              </w:rPr>
            </w:pPr>
          </w:p>
        </w:tc>
        <w:tc>
          <w:tcPr>
            <w:tcW w:w="192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2"/>
              </w:rPr>
              <w:t>March 2024</w:t>
            </w:r>
          </w:p>
        </w:tc>
        <w:tc>
          <w:tcPr>
            <w:tcW w:w="1500" w:type="dxa"/>
            <w:vAlign w:val="bottom"/>
            <w:gridSpan w:val="2"/>
            <w:shd w:val="clear" w:color="auto" w:fill="E5FFFF"/>
          </w:tcPr>
          <w:p>
            <w:pPr>
              <w:jc w:val="center"/>
              <w:spacing w:after="0" w:line="203" w:lineRule="exact"/>
              <w:rPr>
                <w:sz w:val="20"/>
                <w:szCs w:val="20"/>
                <w:color w:val="auto"/>
              </w:rPr>
            </w:pPr>
            <w:r>
              <w:rPr>
                <w:rFonts w:ascii="Arial" w:cs="Arial" w:eastAsia="Arial" w:hAnsi="Arial"/>
                <w:sz w:val="16"/>
                <w:szCs w:val="16"/>
                <w:color w:val="auto"/>
                <w:w w:val="87"/>
              </w:rPr>
              <w:t xml:space="preserve">2027-2029 </w:t>
            </w:r>
            <w:r>
              <w:rPr>
                <w:rFonts w:ascii="Arial" w:cs="Arial" w:eastAsia="Arial" w:hAnsi="Arial"/>
                <w:sz w:val="21"/>
                <w:szCs w:val="21"/>
                <w:color w:val="auto"/>
                <w:w w:val="87"/>
                <w:vertAlign w:val="superscript"/>
              </w:rPr>
              <w:t>(7)</w:t>
            </w:r>
          </w:p>
        </w:tc>
        <w:tc>
          <w:tcPr>
            <w:tcW w:w="20" w:type="dxa"/>
            <w:vAlign w:val="bottom"/>
            <w:shd w:val="clear" w:color="auto" w:fill="E5FFFF"/>
          </w:tcPr>
          <w:p>
            <w:pPr>
              <w:spacing w:after="0"/>
              <w:rPr>
                <w:sz w:val="17"/>
                <w:szCs w:val="17"/>
                <w:color w:val="auto"/>
              </w:rPr>
            </w:pPr>
          </w:p>
        </w:tc>
      </w:tr>
      <w:tr>
        <w:trPr>
          <w:trHeight w:val="203"/>
        </w:trPr>
        <w:tc>
          <w:tcPr>
            <w:tcW w:w="300" w:type="dxa"/>
            <w:vAlign w:val="bottom"/>
          </w:tcPr>
          <w:p>
            <w:pPr>
              <w:jc w:val="center"/>
              <w:spacing w:after="0"/>
              <w:rPr>
                <w:sz w:val="20"/>
                <w:szCs w:val="20"/>
                <w:color w:val="auto"/>
              </w:rPr>
            </w:pPr>
            <w:r>
              <w:rPr>
                <w:rFonts w:ascii="Arial" w:cs="Arial" w:eastAsia="Arial" w:hAnsi="Arial"/>
                <w:sz w:val="16"/>
                <w:szCs w:val="16"/>
                <w:b w:val="1"/>
                <w:bCs w:val="1"/>
                <w:color w:val="auto"/>
                <w:w w:val="89"/>
              </w:rPr>
              <w:t>14</w:t>
            </w:r>
          </w:p>
        </w:tc>
        <w:tc>
          <w:tcPr>
            <w:tcW w:w="2220" w:type="dxa"/>
            <w:vAlign w:val="bottom"/>
            <w:gridSpan w:val="2"/>
          </w:tcPr>
          <w:p>
            <w:pPr>
              <w:ind w:left="60"/>
              <w:spacing w:after="0"/>
              <w:rPr>
                <w:sz w:val="20"/>
                <w:szCs w:val="20"/>
                <w:color w:val="auto"/>
              </w:rPr>
            </w:pPr>
            <w:r>
              <w:rPr>
                <w:rFonts w:ascii="Arial" w:cs="Arial" w:eastAsia="Arial" w:hAnsi="Arial"/>
                <w:sz w:val="16"/>
                <w:szCs w:val="16"/>
                <w:i w:val="1"/>
                <w:iCs w:val="1"/>
                <w:color w:val="auto"/>
              </w:rPr>
              <w:t>GasLog Greece</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2016</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40" w:type="dxa"/>
            <w:vAlign w:val="bottom"/>
          </w:tcPr>
          <w:p>
            <w:pPr>
              <w:spacing w:after="0"/>
              <w:rPr>
                <w:sz w:val="17"/>
                <w:szCs w:val="17"/>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March 2026</w:t>
            </w:r>
          </w:p>
        </w:tc>
        <w:tc>
          <w:tcPr>
            <w:tcW w:w="860" w:type="dxa"/>
            <w:vAlign w:val="bottom"/>
          </w:tcPr>
          <w:p>
            <w:pPr>
              <w:jc w:val="right"/>
              <w:spacing w:after="0"/>
              <w:rPr>
                <w:sz w:val="20"/>
                <w:szCs w:val="20"/>
                <w:color w:val="auto"/>
              </w:rPr>
            </w:pPr>
            <w:r>
              <w:rPr>
                <w:rFonts w:ascii="Arial" w:cs="Arial" w:eastAsia="Arial" w:hAnsi="Arial"/>
                <w:sz w:val="16"/>
                <w:szCs w:val="16"/>
                <w:color w:val="auto"/>
              </w:rPr>
              <w:t>2031</w:t>
            </w:r>
          </w:p>
        </w:tc>
        <w:tc>
          <w:tcPr>
            <w:tcW w:w="640" w:type="dxa"/>
            <w:vAlign w:val="bottom"/>
          </w:tcPr>
          <w:p>
            <w:pPr>
              <w:jc w:val="right"/>
              <w:ind w:right="446"/>
              <w:spacing w:after="0"/>
              <w:rPr>
                <w:sz w:val="20"/>
                <w:szCs w:val="20"/>
                <w:color w:val="auto"/>
              </w:rPr>
            </w:pPr>
            <w:r>
              <w:rPr>
                <w:rFonts w:ascii="Arial" w:cs="Arial" w:eastAsia="Arial" w:hAnsi="Arial"/>
                <w:sz w:val="11"/>
                <w:szCs w:val="11"/>
                <w:color w:val="auto"/>
                <w:w w:val="88"/>
              </w:rPr>
              <w:t>(8)</w:t>
            </w:r>
          </w:p>
        </w:tc>
        <w:tc>
          <w:tcPr>
            <w:tcW w:w="20" w:type="dxa"/>
            <w:vAlign w:val="bottom"/>
          </w:tcPr>
          <w:p>
            <w:pPr>
              <w:spacing w:after="0"/>
              <w:rPr>
                <w:sz w:val="17"/>
                <w:szCs w:val="17"/>
                <w:color w:val="auto"/>
              </w:rPr>
            </w:pPr>
          </w:p>
        </w:tc>
      </w:tr>
      <w:tr>
        <w:trPr>
          <w:trHeight w:val="203"/>
        </w:trPr>
        <w:tc>
          <w:tcPr>
            <w:tcW w:w="30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15</w:t>
            </w:r>
          </w:p>
        </w:tc>
        <w:tc>
          <w:tcPr>
            <w:tcW w:w="2220" w:type="dxa"/>
            <w:vAlign w:val="bottom"/>
            <w:gridSpan w:val="2"/>
            <w:shd w:val="clear" w:color="auto" w:fill="E5FFFF"/>
          </w:tcPr>
          <w:p>
            <w:pPr>
              <w:ind w:left="60"/>
              <w:spacing w:after="0"/>
              <w:rPr>
                <w:sz w:val="20"/>
                <w:szCs w:val="20"/>
                <w:color w:val="auto"/>
              </w:rPr>
            </w:pPr>
            <w:r>
              <w:rPr>
                <w:rFonts w:ascii="Arial" w:cs="Arial" w:eastAsia="Arial" w:hAnsi="Arial"/>
                <w:sz w:val="16"/>
                <w:szCs w:val="16"/>
                <w:i w:val="1"/>
                <w:iCs w:val="1"/>
                <w:color w:val="auto"/>
              </w:rPr>
              <w:t>GasLog Glasgow</w:t>
            </w:r>
          </w:p>
        </w:tc>
        <w:tc>
          <w:tcPr>
            <w:tcW w:w="10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2016</w:t>
            </w: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40" w:type="dxa"/>
            <w:vAlign w:val="bottom"/>
            <w:shd w:val="clear" w:color="auto" w:fill="E5FFFF"/>
          </w:tcPr>
          <w:p>
            <w:pPr>
              <w:spacing w:after="0"/>
              <w:rPr>
                <w:sz w:val="17"/>
                <w:szCs w:val="17"/>
                <w:color w:val="auto"/>
              </w:rPr>
            </w:pPr>
          </w:p>
        </w:tc>
        <w:tc>
          <w:tcPr>
            <w:tcW w:w="192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8"/>
              </w:rPr>
              <w:t>June 2026</w:t>
            </w:r>
          </w:p>
        </w:tc>
        <w:tc>
          <w:tcPr>
            <w:tcW w:w="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2031</w:t>
            </w:r>
          </w:p>
        </w:tc>
        <w:tc>
          <w:tcPr>
            <w:tcW w:w="640" w:type="dxa"/>
            <w:vAlign w:val="bottom"/>
            <w:shd w:val="clear" w:color="auto" w:fill="E5FFFF"/>
          </w:tcPr>
          <w:p>
            <w:pPr>
              <w:jc w:val="right"/>
              <w:ind w:right="446"/>
              <w:spacing w:after="0"/>
              <w:rPr>
                <w:sz w:val="20"/>
                <w:szCs w:val="20"/>
                <w:color w:val="auto"/>
              </w:rPr>
            </w:pPr>
            <w:r>
              <w:rPr>
                <w:rFonts w:ascii="Arial" w:cs="Arial" w:eastAsia="Arial" w:hAnsi="Arial"/>
                <w:sz w:val="11"/>
                <w:szCs w:val="11"/>
                <w:color w:val="auto"/>
                <w:w w:val="88"/>
              </w:rPr>
              <w:t>(8)</w:t>
            </w:r>
          </w:p>
        </w:tc>
        <w:tc>
          <w:tcPr>
            <w:tcW w:w="20" w:type="dxa"/>
            <w:vAlign w:val="bottom"/>
            <w:shd w:val="clear" w:color="auto" w:fill="E5FFFF"/>
          </w:tcPr>
          <w:p>
            <w:pPr>
              <w:spacing w:after="0"/>
              <w:rPr>
                <w:sz w:val="17"/>
                <w:szCs w:val="17"/>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19" w:name="page20"/>
    <w:bookmarkEnd w:id="19"/>
    <w:p>
      <w:pPr>
        <w:ind w:left="340" w:right="80" w:hanging="332"/>
        <w:spacing w:after="0" w:line="201" w:lineRule="auto"/>
        <w:tabs>
          <w:tab w:leader="none" w:pos="337"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t>Charterer may extend the term of this time charter for a period ranging from six to twelve months, provided that the charterer gives us advance notice of declaration. The period shown reflects the expiration of the minimum optional period and the maximum optional period.</w:t>
      </w:r>
    </w:p>
    <w:p>
      <w:pPr>
        <w:ind w:left="340" w:right="40" w:hanging="332"/>
        <w:spacing w:after="0" w:line="213" w:lineRule="auto"/>
        <w:tabs>
          <w:tab w:leader="none" w:pos="337"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 xml:space="preserve">In March 2018, GasLog Partners secured a one-year charter with Trafigura Maritime Logistics PTE Ltd. (“Trafigura”) for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(as nominated by the Partnership), which is expected to commence in November 2019. The hire rate for this charter will be lower than the hire rate under the vessel’s multi-year charter with Shell, which expired in October 2019.</w:t>
      </w:r>
    </w:p>
    <w:p>
      <w:pPr>
        <w:spacing w:after="0" w:line="1" w:lineRule="exact"/>
        <w:rPr>
          <w:rFonts w:ascii="Arial" w:cs="Arial" w:eastAsia="Arial" w:hAnsi="Arial"/>
          <w:sz w:val="16"/>
          <w:szCs w:val="16"/>
          <w:color w:val="auto"/>
          <w:vertAlign w:val="superscript"/>
        </w:rPr>
      </w:pPr>
    </w:p>
    <w:p>
      <w:pPr>
        <w:ind w:left="340" w:right="100" w:hanging="332"/>
        <w:spacing w:after="0" w:line="193" w:lineRule="auto"/>
        <w:tabs>
          <w:tab w:leader="none" w:pos="337"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this time charter for a period ranging from one to four years, provided that the charterer gives us advance notice of declaration.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40" w:hanging="332"/>
        <w:spacing w:after="0" w:line="193" w:lineRule="auto"/>
        <w:tabs>
          <w:tab w:leader="none" w:pos="337"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this time charter for a period ranging from one to seven years, provided that the charterer gives us advance notice of declaration.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20" w:hanging="312"/>
        <w:spacing w:after="0" w:line="182" w:lineRule="auto"/>
        <w:tabs>
          <w:tab w:leader="none" w:pos="320" w:val="left"/>
        </w:tabs>
        <w:numPr>
          <w:ilvl w:val="0"/>
          <w:numId w:val="11"/>
        </w:numPr>
        <w:rPr>
          <w:rFonts w:ascii="Arial" w:cs="Arial" w:eastAsia="Arial" w:hAnsi="Arial"/>
          <w:sz w:val="17"/>
          <w:szCs w:val="17"/>
          <w:color w:val="auto"/>
          <w:vertAlign w:val="superscript"/>
        </w:rPr>
      </w:pPr>
      <w:r>
        <w:rPr>
          <w:rFonts w:ascii="Arial" w:cs="Arial" w:eastAsia="Arial" w:hAnsi="Arial"/>
          <w:sz w:val="14"/>
          <w:szCs w:val="14"/>
          <w:color w:val="auto"/>
        </w:rPr>
        <w:t>The vessel is chartered to Clearlake Shipping Pte. Ltd., a subsidiary of Gunvor Group Ltd. (“Gunvor”).</w:t>
      </w:r>
    </w:p>
    <w:p>
      <w:pPr>
        <w:ind w:left="340" w:right="80" w:hanging="332"/>
        <w:spacing w:after="0" w:line="193" w:lineRule="auto"/>
        <w:tabs>
          <w:tab w:leader="none" w:pos="337"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40" w:right="180" w:hanging="332"/>
        <w:spacing w:after="0" w:line="193" w:lineRule="auto"/>
        <w:tabs>
          <w:tab w:leader="none" w:pos="337"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the related charter for one extension period of three or five years, provided that the charterer gives us advance notice of its exercise of any extension option.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20" w:hanging="312"/>
        <w:spacing w:after="0" w:line="197" w:lineRule="auto"/>
        <w:tabs>
          <w:tab w:leader="none" w:pos="3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these time charters for a period of five years, provided that the charterer gives us advance notice of declaration.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Charter Expirations</w:t>
      </w:r>
    </w:p>
    <w:p>
      <w:pPr>
        <w:spacing w:after="0" w:line="235" w:lineRule="exact"/>
        <w:rPr>
          <w:sz w:val="20"/>
          <w:szCs w:val="20"/>
          <w:color w:val="auto"/>
        </w:rPr>
      </w:pPr>
    </w:p>
    <w:p>
      <w:pPr>
        <w:ind w:right="80" w:firstLine="428"/>
        <w:spacing w:after="0" w:line="27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are due to come off charter in December 2019, April 2020, June 2020, June 2020, November 2020 and December 2020, respectively, each plus or minus 30 days. GasLog Partners continues to pursue opportunities for new multi-year charters with third parties and, on an interim basis, may consider trading the vessels in the spot market, pursuing the most advantageous redeployment depending on evolving market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Vessels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Five-Year Vessel Business Opportunities</w:t>
      </w:r>
    </w:p>
    <w:p>
      <w:pPr>
        <w:spacing w:after="0" w:line="235" w:lineRule="exact"/>
        <w:rPr>
          <w:sz w:val="20"/>
          <w:szCs w:val="20"/>
          <w:color w:val="auto"/>
        </w:rPr>
      </w:pPr>
    </w:p>
    <w:p>
      <w:pPr>
        <w:ind w:firstLine="383"/>
        <w:spacing w:after="0" w:line="269"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seven newbuildings and two on-the-water vessels listed below will each qualify as a Five-Year Vessel upon commencement of their respective charters and GasLog will be required to offer to us an opportunity to purchase each vessel at fair market value within 30 days of the commencement of its charter. Generally, we must exercise this right of first offer within 30 days following the notice from GasLog that the vessel has been acquired or has become a Five-Year Vessel.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Cargo</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2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Capacity</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4"/>
              </w:rPr>
              <w:t>Charter</w:t>
            </w:r>
          </w:p>
        </w:tc>
      </w:tr>
      <w:tr>
        <w:trPr>
          <w:trHeight w:val="210"/>
        </w:trPr>
        <w:tc>
          <w:tcPr>
            <w:tcW w:w="292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000" w:type="dxa"/>
            <w:vAlign w:val="bottom"/>
          </w:tcPr>
          <w:p>
            <w:pPr>
              <w:ind w:left="200"/>
              <w:spacing w:after="0"/>
              <w:rPr>
                <w:sz w:val="20"/>
                <w:szCs w:val="20"/>
                <w:color w:val="auto"/>
              </w:rPr>
            </w:pPr>
            <w:r>
              <w:rPr>
                <w:rFonts w:ascii="Arial" w:cs="Arial" w:eastAsia="Arial" w:hAnsi="Arial"/>
                <w:sz w:val="16"/>
                <w:szCs w:val="16"/>
                <w:b w:val="1"/>
                <w:bCs w:val="1"/>
                <w:color w:val="auto"/>
              </w:rPr>
              <w:t>Year Built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(cbm)</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Charterer</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Propulsion</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4"/>
              </w:rPr>
              <w:t>Expiration</w:t>
            </w:r>
          </w:p>
        </w:tc>
      </w:tr>
      <w:tr>
        <w:trPr>
          <w:trHeight w:val="202"/>
        </w:trPr>
        <w:tc>
          <w:tcPr>
            <w:tcW w:w="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w:t>
            </w:r>
          </w:p>
        </w:tc>
        <w:tc>
          <w:tcPr>
            <w:tcW w:w="2560" w:type="dxa"/>
            <w:vAlign w:val="bottom"/>
            <w:tcBorders>
              <w:top w:val="single" w:sz="8" w:color="auto"/>
            </w:tcBorders>
            <w:shd w:val="clear" w:color="auto" w:fill="E5FFFF"/>
          </w:tcPr>
          <w:p>
            <w:pPr>
              <w:ind w:left="40"/>
              <w:spacing w:after="0"/>
              <w:rPr>
                <w:sz w:val="20"/>
                <w:szCs w:val="20"/>
                <w:color w:val="auto"/>
              </w:rPr>
            </w:pPr>
            <w:r>
              <w:rPr>
                <w:rFonts w:ascii="Arial" w:cs="Arial" w:eastAsia="Arial" w:hAnsi="Arial"/>
                <w:sz w:val="16"/>
                <w:szCs w:val="16"/>
                <w:i w:val="1"/>
                <w:iCs w:val="1"/>
                <w:color w:val="auto"/>
              </w:rPr>
              <w:t>GasLog Singapore</w:t>
            </w:r>
          </w:p>
        </w:tc>
        <w:tc>
          <w:tcPr>
            <w:tcW w:w="120" w:type="dxa"/>
            <w:vAlign w:val="bottom"/>
            <w:tcBorders>
              <w:top w:val="single" w:sz="8" w:color="E5FFFF"/>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jc w:val="center"/>
              <w:ind w:left="39"/>
              <w:spacing w:after="0"/>
              <w:rPr>
                <w:sz w:val="20"/>
                <w:szCs w:val="20"/>
                <w:color w:val="auto"/>
              </w:rPr>
            </w:pPr>
            <w:r>
              <w:rPr>
                <w:rFonts w:ascii="Arial" w:cs="Arial" w:eastAsia="Arial" w:hAnsi="Arial"/>
                <w:sz w:val="16"/>
                <w:szCs w:val="16"/>
                <w:color w:val="auto"/>
                <w:w w:val="89"/>
              </w:rPr>
              <w:t>2010</w:t>
            </w:r>
          </w:p>
        </w:tc>
        <w:tc>
          <w:tcPr>
            <w:tcW w:w="12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center"/>
              <w:spacing w:after="0" w:line="202" w:lineRule="exact"/>
              <w:rPr>
                <w:sz w:val="20"/>
                <w:szCs w:val="20"/>
                <w:color w:val="auto"/>
              </w:rPr>
            </w:pPr>
            <w:r>
              <w:rPr>
                <w:rFonts w:ascii="Arial" w:cs="Arial" w:eastAsia="Arial" w:hAnsi="Arial"/>
                <w:sz w:val="16"/>
                <w:szCs w:val="16"/>
                <w:color w:val="auto"/>
                <w:w w:val="92"/>
              </w:rPr>
              <w:t xml:space="preserve">Sinolam LNG </w:t>
            </w:r>
            <w:r>
              <w:rPr>
                <w:rFonts w:ascii="Arial" w:cs="Arial" w:eastAsia="Arial" w:hAnsi="Arial"/>
                <w:sz w:val="21"/>
                <w:szCs w:val="21"/>
                <w:color w:val="auto"/>
                <w:w w:val="92"/>
                <w:vertAlign w:val="superscript"/>
              </w:rPr>
              <w:t>(1)</w:t>
            </w:r>
          </w:p>
        </w:tc>
        <w:tc>
          <w:tcPr>
            <w:tcW w:w="12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tcBorders>
              <w:top w:val="single" w:sz="8" w:color="E5FFFF"/>
            </w:tcBorders>
            <w:shd w:val="clear" w:color="auto" w:fill="E5FFFF"/>
          </w:tcPr>
          <w:p>
            <w:pPr>
              <w:spacing w:after="0"/>
              <w:rPr>
                <w:sz w:val="17"/>
                <w:szCs w:val="17"/>
                <w:color w:val="auto"/>
              </w:rPr>
            </w:pPr>
          </w:p>
        </w:tc>
        <w:tc>
          <w:tcPr>
            <w:tcW w:w="15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2030</w:t>
            </w:r>
          </w:p>
        </w:tc>
      </w:tr>
      <w:tr>
        <w:trPr>
          <w:trHeight w:val="203"/>
        </w:trPr>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68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Warsaw</w:t>
            </w:r>
          </w:p>
        </w:tc>
        <w:tc>
          <w:tcPr>
            <w:tcW w:w="1000" w:type="dxa"/>
            <w:vAlign w:val="bottom"/>
          </w:tcPr>
          <w:p>
            <w:pPr>
              <w:jc w:val="center"/>
              <w:ind w:left="39"/>
              <w:spacing w:after="0"/>
              <w:rPr>
                <w:sz w:val="20"/>
                <w:szCs w:val="20"/>
                <w:color w:val="auto"/>
              </w:rPr>
            </w:pPr>
            <w:r>
              <w:rPr>
                <w:rFonts w:ascii="Arial" w:cs="Arial" w:eastAsia="Arial" w:hAnsi="Arial"/>
                <w:sz w:val="16"/>
                <w:szCs w:val="16"/>
                <w:color w:val="auto"/>
                <w:w w:val="89"/>
              </w:rPr>
              <w:t>2019</w:t>
            </w:r>
          </w:p>
        </w:tc>
        <w:tc>
          <w:tcPr>
            <w:tcW w:w="1100" w:type="dxa"/>
            <w:vAlign w:val="bottom"/>
            <w:gridSpan w:val="3"/>
          </w:tcPr>
          <w:p>
            <w:pPr>
              <w:jc w:val="center"/>
              <w:ind w:left="139"/>
              <w:spacing w:after="0"/>
              <w:rPr>
                <w:sz w:val="20"/>
                <w:szCs w:val="20"/>
                <w:color w:val="auto"/>
              </w:rPr>
            </w:pPr>
            <w:r>
              <w:rPr>
                <w:rFonts w:ascii="Arial" w:cs="Arial" w:eastAsia="Arial" w:hAnsi="Arial"/>
                <w:sz w:val="16"/>
                <w:szCs w:val="16"/>
                <w:color w:val="auto"/>
                <w:w w:val="89"/>
              </w:rPr>
              <w:t>180,000</w:t>
            </w:r>
          </w:p>
        </w:tc>
        <w:tc>
          <w:tcPr>
            <w:tcW w:w="120" w:type="dxa"/>
            <w:vAlign w:val="bottom"/>
          </w:tcPr>
          <w:p>
            <w:pPr>
              <w:spacing w:after="0"/>
              <w:rPr>
                <w:sz w:val="17"/>
                <w:szCs w:val="17"/>
                <w:color w:val="auto"/>
              </w:rPr>
            </w:pPr>
          </w:p>
        </w:tc>
        <w:tc>
          <w:tcPr>
            <w:tcW w:w="1440" w:type="dxa"/>
            <w:vAlign w:val="bottom"/>
            <w:gridSpan w:val="2"/>
          </w:tcPr>
          <w:p>
            <w:pPr>
              <w:jc w:val="center"/>
              <w:ind w:right="100"/>
              <w:spacing w:after="0" w:line="203" w:lineRule="exact"/>
              <w:rPr>
                <w:sz w:val="20"/>
                <w:szCs w:val="20"/>
                <w:color w:val="auto"/>
              </w:rPr>
            </w:pPr>
            <w:r>
              <w:rPr>
                <w:rFonts w:ascii="Arial" w:cs="Arial" w:eastAsia="Arial" w:hAnsi="Arial"/>
                <w:sz w:val="16"/>
                <w:szCs w:val="16"/>
                <w:color w:val="auto"/>
                <w:w w:val="81"/>
              </w:rPr>
              <w:t xml:space="preserve">Endesa </w:t>
            </w:r>
            <w:r>
              <w:rPr>
                <w:rFonts w:ascii="Arial" w:cs="Arial" w:eastAsia="Arial" w:hAnsi="Arial"/>
                <w:sz w:val="21"/>
                <w:szCs w:val="21"/>
                <w:color w:val="auto"/>
                <w:w w:val="81"/>
                <w:vertAlign w:val="superscript"/>
              </w:rPr>
              <w:t>(2)</w:t>
            </w:r>
          </w:p>
        </w:tc>
        <w:tc>
          <w:tcPr>
            <w:tcW w:w="1240" w:type="dxa"/>
            <w:vAlign w:val="bottom"/>
            <w:gridSpan w:val="2"/>
          </w:tcPr>
          <w:p>
            <w:pPr>
              <w:jc w:val="center"/>
              <w:ind w:right="10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540" w:type="dxa"/>
            <w:vAlign w:val="bottom"/>
          </w:tcPr>
          <w:p>
            <w:pPr>
              <w:jc w:val="center"/>
              <w:spacing w:after="0"/>
              <w:rPr>
                <w:sz w:val="20"/>
                <w:szCs w:val="20"/>
                <w:color w:val="auto"/>
              </w:rPr>
            </w:pPr>
            <w:r>
              <w:rPr>
                <w:rFonts w:ascii="Arial" w:cs="Arial" w:eastAsia="Arial" w:hAnsi="Arial"/>
                <w:sz w:val="16"/>
                <w:szCs w:val="16"/>
                <w:color w:val="auto"/>
                <w:w w:val="95"/>
              </w:rPr>
              <w:t>2029</w:t>
            </w:r>
          </w:p>
        </w:tc>
      </w:tr>
      <w:tr>
        <w:trPr>
          <w:trHeight w:val="203"/>
        </w:trPr>
        <w:tc>
          <w:tcPr>
            <w:tcW w:w="240" w:type="dxa"/>
            <w:vAlign w:val="bottom"/>
            <w:shd w:val="clear" w:color="auto" w:fill="E2FFFF"/>
          </w:tcPr>
          <w:p>
            <w:pPr>
              <w:jc w:val="right"/>
              <w:spacing w:after="0"/>
              <w:rPr>
                <w:sz w:val="20"/>
                <w:szCs w:val="20"/>
                <w:color w:val="auto"/>
              </w:rPr>
            </w:pPr>
            <w:r>
              <w:rPr>
                <w:rFonts w:ascii="Arial" w:cs="Arial" w:eastAsia="Arial" w:hAnsi="Arial"/>
                <w:sz w:val="16"/>
                <w:szCs w:val="16"/>
                <w:b w:val="1"/>
                <w:bCs w:val="1"/>
                <w:color w:val="auto"/>
              </w:rPr>
              <w:t>3</w:t>
            </w:r>
          </w:p>
        </w:tc>
        <w:tc>
          <w:tcPr>
            <w:tcW w:w="2680" w:type="dxa"/>
            <w:vAlign w:val="bottom"/>
            <w:gridSpan w:val="2"/>
            <w:shd w:val="clear" w:color="auto" w:fill="E2FFFF"/>
          </w:tcPr>
          <w:p>
            <w:pPr>
              <w:ind w:left="40"/>
              <w:spacing w:after="0"/>
              <w:rPr>
                <w:sz w:val="20"/>
                <w:szCs w:val="20"/>
                <w:color w:val="auto"/>
              </w:rPr>
            </w:pPr>
            <w:r>
              <w:rPr>
                <w:rFonts w:ascii="Arial" w:cs="Arial" w:eastAsia="Arial" w:hAnsi="Arial"/>
                <w:sz w:val="16"/>
                <w:szCs w:val="16"/>
                <w:color w:val="auto"/>
              </w:rPr>
              <w:t>Hull No. 2213</w:t>
            </w:r>
          </w:p>
        </w:tc>
        <w:tc>
          <w:tcPr>
            <w:tcW w:w="1000" w:type="dxa"/>
            <w:vAlign w:val="bottom"/>
            <w:shd w:val="clear" w:color="auto" w:fill="E2FFFF"/>
          </w:tcPr>
          <w:p>
            <w:pPr>
              <w:jc w:val="center"/>
              <w:ind w:left="39"/>
              <w:spacing w:after="0" w:line="203" w:lineRule="exact"/>
              <w:rPr>
                <w:sz w:val="20"/>
                <w:szCs w:val="20"/>
                <w:color w:val="auto"/>
              </w:rPr>
            </w:pPr>
            <w:r>
              <w:rPr>
                <w:rFonts w:ascii="Arial" w:cs="Arial" w:eastAsia="Arial" w:hAnsi="Arial"/>
                <w:sz w:val="16"/>
                <w:szCs w:val="16"/>
                <w:color w:val="auto"/>
                <w:w w:val="86"/>
              </w:rPr>
              <w:t xml:space="preserve">Q2 2020 </w:t>
            </w:r>
            <w:r>
              <w:rPr>
                <w:rFonts w:ascii="Arial" w:cs="Arial" w:eastAsia="Arial" w:hAnsi="Arial"/>
                <w:sz w:val="21"/>
                <w:szCs w:val="21"/>
                <w:color w:val="auto"/>
                <w:w w:val="86"/>
                <w:vertAlign w:val="superscript"/>
              </w:rPr>
              <w:t>(4)</w:t>
            </w:r>
          </w:p>
        </w:tc>
        <w:tc>
          <w:tcPr>
            <w:tcW w:w="1100" w:type="dxa"/>
            <w:vAlign w:val="bottom"/>
            <w:gridSpan w:val="3"/>
            <w:shd w:val="clear" w:color="auto" w:fill="E2FFFF"/>
          </w:tcPr>
          <w:p>
            <w:pPr>
              <w:jc w:val="center"/>
              <w:ind w:left="139"/>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E2FFFF"/>
          </w:tcPr>
          <w:p>
            <w:pPr>
              <w:spacing w:after="0"/>
              <w:rPr>
                <w:sz w:val="17"/>
                <w:szCs w:val="17"/>
                <w:color w:val="auto"/>
              </w:rPr>
            </w:pPr>
          </w:p>
        </w:tc>
        <w:tc>
          <w:tcPr>
            <w:tcW w:w="1440" w:type="dxa"/>
            <w:vAlign w:val="bottom"/>
            <w:gridSpan w:val="2"/>
            <w:shd w:val="clear" w:color="auto" w:fill="E2FFFF"/>
          </w:tcPr>
          <w:p>
            <w:pPr>
              <w:jc w:val="center"/>
              <w:ind w:right="100"/>
              <w:spacing w:after="0" w:line="203" w:lineRule="exact"/>
              <w:rPr>
                <w:sz w:val="20"/>
                <w:szCs w:val="20"/>
                <w:color w:val="auto"/>
              </w:rPr>
            </w:pPr>
            <w:r>
              <w:rPr>
                <w:rFonts w:ascii="Arial" w:cs="Arial" w:eastAsia="Arial" w:hAnsi="Arial"/>
                <w:sz w:val="16"/>
                <w:szCs w:val="16"/>
                <w:color w:val="auto"/>
                <w:w w:val="86"/>
              </w:rPr>
              <w:t xml:space="preserve">Centrica </w:t>
            </w:r>
            <w:r>
              <w:rPr>
                <w:rFonts w:ascii="Arial" w:cs="Arial" w:eastAsia="Arial" w:hAnsi="Arial"/>
                <w:sz w:val="21"/>
                <w:szCs w:val="21"/>
                <w:color w:val="auto"/>
                <w:w w:val="86"/>
                <w:vertAlign w:val="superscript"/>
              </w:rPr>
              <w:t>(5)</w:t>
            </w:r>
          </w:p>
        </w:tc>
        <w:tc>
          <w:tcPr>
            <w:tcW w:w="1240" w:type="dxa"/>
            <w:vAlign w:val="bottom"/>
            <w:gridSpan w:val="2"/>
            <w:shd w:val="clear" w:color="auto" w:fill="E2FFFF"/>
          </w:tcPr>
          <w:p>
            <w:pPr>
              <w:jc w:val="center"/>
              <w:ind w:right="10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540" w:type="dxa"/>
            <w:vAlign w:val="bottom"/>
            <w:shd w:val="clear" w:color="auto" w:fill="E2FFFF"/>
          </w:tcPr>
          <w:p>
            <w:pPr>
              <w:jc w:val="center"/>
              <w:spacing w:after="0" w:line="203" w:lineRule="exact"/>
              <w:rPr>
                <w:sz w:val="20"/>
                <w:szCs w:val="20"/>
                <w:color w:val="auto"/>
              </w:rPr>
            </w:pPr>
            <w:r>
              <w:rPr>
                <w:rFonts w:ascii="Arial" w:cs="Arial" w:eastAsia="Arial" w:hAnsi="Arial"/>
                <w:sz w:val="16"/>
                <w:szCs w:val="16"/>
                <w:color w:val="auto"/>
                <w:w w:val="87"/>
              </w:rPr>
              <w:t xml:space="preserve">2027 </w:t>
            </w:r>
            <w:r>
              <w:rPr>
                <w:rFonts w:ascii="Arial" w:cs="Arial" w:eastAsia="Arial" w:hAnsi="Arial"/>
                <w:sz w:val="21"/>
                <w:szCs w:val="21"/>
                <w:color w:val="auto"/>
                <w:w w:val="87"/>
                <w:vertAlign w:val="superscript"/>
              </w:rPr>
              <w:t>(6)</w:t>
            </w:r>
          </w:p>
        </w:tc>
      </w:tr>
      <w:tr>
        <w:trPr>
          <w:trHeight w:val="203"/>
        </w:trPr>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680" w:type="dxa"/>
            <w:vAlign w:val="bottom"/>
            <w:gridSpan w:val="2"/>
          </w:tcPr>
          <w:p>
            <w:pPr>
              <w:ind w:left="40"/>
              <w:spacing w:after="0"/>
              <w:rPr>
                <w:sz w:val="20"/>
                <w:szCs w:val="20"/>
                <w:color w:val="auto"/>
              </w:rPr>
            </w:pPr>
            <w:r>
              <w:rPr>
                <w:rFonts w:ascii="Arial" w:cs="Arial" w:eastAsia="Arial" w:hAnsi="Arial"/>
                <w:sz w:val="16"/>
                <w:szCs w:val="16"/>
                <w:color w:val="auto"/>
              </w:rPr>
              <w:t>Hull No. 2274</w:t>
            </w:r>
          </w:p>
        </w:tc>
        <w:tc>
          <w:tcPr>
            <w:tcW w:w="1000" w:type="dxa"/>
            <w:vAlign w:val="bottom"/>
          </w:tcPr>
          <w:p>
            <w:pPr>
              <w:jc w:val="center"/>
              <w:ind w:left="39"/>
              <w:spacing w:after="0" w:line="203" w:lineRule="exact"/>
              <w:rPr>
                <w:sz w:val="20"/>
                <w:szCs w:val="20"/>
                <w:color w:val="auto"/>
              </w:rPr>
            </w:pPr>
            <w:r>
              <w:rPr>
                <w:rFonts w:ascii="Arial" w:cs="Arial" w:eastAsia="Arial" w:hAnsi="Arial"/>
                <w:sz w:val="16"/>
                <w:szCs w:val="16"/>
                <w:color w:val="auto"/>
                <w:w w:val="86"/>
              </w:rPr>
              <w:t xml:space="preserve">Q2 2020 </w:t>
            </w:r>
            <w:r>
              <w:rPr>
                <w:rFonts w:ascii="Arial" w:cs="Arial" w:eastAsia="Arial" w:hAnsi="Arial"/>
                <w:sz w:val="21"/>
                <w:szCs w:val="21"/>
                <w:color w:val="auto"/>
                <w:w w:val="86"/>
                <w:vertAlign w:val="superscript"/>
              </w:rPr>
              <w:t>(4)</w:t>
            </w:r>
          </w:p>
        </w:tc>
        <w:tc>
          <w:tcPr>
            <w:tcW w:w="1100" w:type="dxa"/>
            <w:vAlign w:val="bottom"/>
            <w:gridSpan w:val="3"/>
          </w:tcPr>
          <w:p>
            <w:pPr>
              <w:jc w:val="center"/>
              <w:ind w:left="139"/>
              <w:spacing w:after="0"/>
              <w:rPr>
                <w:sz w:val="20"/>
                <w:szCs w:val="20"/>
                <w:color w:val="auto"/>
              </w:rPr>
            </w:pPr>
            <w:r>
              <w:rPr>
                <w:rFonts w:ascii="Arial" w:cs="Arial" w:eastAsia="Arial" w:hAnsi="Arial"/>
                <w:sz w:val="16"/>
                <w:szCs w:val="16"/>
                <w:color w:val="auto"/>
                <w:w w:val="89"/>
              </w:rPr>
              <w:t>180,000</w:t>
            </w:r>
          </w:p>
        </w:tc>
        <w:tc>
          <w:tcPr>
            <w:tcW w:w="120" w:type="dxa"/>
            <w:vAlign w:val="bottom"/>
          </w:tcPr>
          <w:p>
            <w:pPr>
              <w:spacing w:after="0"/>
              <w:rPr>
                <w:sz w:val="17"/>
                <w:szCs w:val="17"/>
                <w:color w:val="auto"/>
              </w:rPr>
            </w:pPr>
          </w:p>
        </w:tc>
        <w:tc>
          <w:tcPr>
            <w:tcW w:w="1440" w:type="dxa"/>
            <w:vAlign w:val="bottom"/>
            <w:gridSpan w:val="2"/>
          </w:tcPr>
          <w:p>
            <w:pPr>
              <w:jc w:val="center"/>
              <w:ind w:right="100"/>
              <w:spacing w:after="0" w:line="203" w:lineRule="exact"/>
              <w:rPr>
                <w:sz w:val="20"/>
                <w:szCs w:val="20"/>
                <w:color w:val="auto"/>
              </w:rPr>
            </w:pPr>
            <w:r>
              <w:rPr>
                <w:rFonts w:ascii="Arial" w:cs="Arial" w:eastAsia="Arial" w:hAnsi="Arial"/>
                <w:sz w:val="16"/>
                <w:szCs w:val="16"/>
                <w:color w:val="auto"/>
                <w:w w:val="86"/>
              </w:rPr>
              <w:t xml:space="preserve">JERA </w:t>
            </w:r>
            <w:r>
              <w:rPr>
                <w:rFonts w:ascii="Arial" w:cs="Arial" w:eastAsia="Arial" w:hAnsi="Arial"/>
                <w:sz w:val="21"/>
                <w:szCs w:val="21"/>
                <w:color w:val="auto"/>
                <w:w w:val="86"/>
                <w:vertAlign w:val="superscript"/>
              </w:rPr>
              <w:t>(7)</w:t>
            </w:r>
          </w:p>
        </w:tc>
        <w:tc>
          <w:tcPr>
            <w:tcW w:w="1240" w:type="dxa"/>
            <w:vAlign w:val="bottom"/>
            <w:gridSpan w:val="2"/>
          </w:tcPr>
          <w:p>
            <w:pPr>
              <w:jc w:val="center"/>
              <w:ind w:right="10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540" w:type="dxa"/>
            <w:vAlign w:val="bottom"/>
          </w:tcPr>
          <w:p>
            <w:pPr>
              <w:jc w:val="center"/>
              <w:spacing w:after="0" w:line="203" w:lineRule="exact"/>
              <w:rPr>
                <w:sz w:val="20"/>
                <w:szCs w:val="20"/>
                <w:color w:val="auto"/>
              </w:rPr>
            </w:pPr>
            <w:r>
              <w:rPr>
                <w:rFonts w:ascii="Arial" w:cs="Arial" w:eastAsia="Arial" w:hAnsi="Arial"/>
                <w:sz w:val="16"/>
                <w:szCs w:val="16"/>
                <w:color w:val="auto"/>
                <w:w w:val="87"/>
              </w:rPr>
              <w:t xml:space="preserve">2032 </w:t>
            </w:r>
            <w:r>
              <w:rPr>
                <w:rFonts w:ascii="Arial" w:cs="Arial" w:eastAsia="Arial" w:hAnsi="Arial"/>
                <w:sz w:val="21"/>
                <w:szCs w:val="21"/>
                <w:color w:val="auto"/>
                <w:w w:val="87"/>
                <w:vertAlign w:val="superscript"/>
              </w:rPr>
              <w:t>(6)</w:t>
            </w:r>
          </w:p>
        </w:tc>
      </w:tr>
      <w:tr>
        <w:trPr>
          <w:trHeight w:val="203"/>
        </w:trPr>
        <w:tc>
          <w:tcPr>
            <w:tcW w:w="240" w:type="dxa"/>
            <w:vAlign w:val="bottom"/>
            <w:shd w:val="clear" w:color="auto" w:fill="E2FFFF"/>
          </w:tcPr>
          <w:p>
            <w:pPr>
              <w:jc w:val="right"/>
              <w:spacing w:after="0"/>
              <w:rPr>
                <w:sz w:val="20"/>
                <w:szCs w:val="20"/>
                <w:color w:val="auto"/>
              </w:rPr>
            </w:pPr>
            <w:r>
              <w:rPr>
                <w:rFonts w:ascii="Arial" w:cs="Arial" w:eastAsia="Arial" w:hAnsi="Arial"/>
                <w:sz w:val="16"/>
                <w:szCs w:val="16"/>
                <w:b w:val="1"/>
                <w:bCs w:val="1"/>
                <w:color w:val="auto"/>
              </w:rPr>
              <w:t>5</w:t>
            </w:r>
          </w:p>
        </w:tc>
        <w:tc>
          <w:tcPr>
            <w:tcW w:w="2680" w:type="dxa"/>
            <w:vAlign w:val="bottom"/>
            <w:gridSpan w:val="2"/>
            <w:shd w:val="clear" w:color="auto" w:fill="E2FFFF"/>
          </w:tcPr>
          <w:p>
            <w:pPr>
              <w:ind w:left="40"/>
              <w:spacing w:after="0"/>
              <w:rPr>
                <w:sz w:val="20"/>
                <w:szCs w:val="20"/>
                <w:color w:val="auto"/>
              </w:rPr>
            </w:pPr>
            <w:r>
              <w:rPr>
                <w:rFonts w:ascii="Arial" w:cs="Arial" w:eastAsia="Arial" w:hAnsi="Arial"/>
                <w:sz w:val="16"/>
                <w:szCs w:val="16"/>
                <w:color w:val="auto"/>
              </w:rPr>
              <w:t>Hull No. 2262</w:t>
            </w:r>
          </w:p>
        </w:tc>
        <w:tc>
          <w:tcPr>
            <w:tcW w:w="1000" w:type="dxa"/>
            <w:vAlign w:val="bottom"/>
            <w:shd w:val="clear" w:color="auto" w:fill="E2FFFF"/>
          </w:tcPr>
          <w:p>
            <w:pPr>
              <w:jc w:val="center"/>
              <w:ind w:left="39"/>
              <w:spacing w:after="0" w:line="203" w:lineRule="exact"/>
              <w:rPr>
                <w:sz w:val="20"/>
                <w:szCs w:val="20"/>
                <w:color w:val="auto"/>
              </w:rPr>
            </w:pPr>
            <w:r>
              <w:rPr>
                <w:rFonts w:ascii="Arial" w:cs="Arial" w:eastAsia="Arial" w:hAnsi="Arial"/>
                <w:sz w:val="16"/>
                <w:szCs w:val="16"/>
                <w:color w:val="auto"/>
                <w:w w:val="86"/>
              </w:rPr>
              <w:t xml:space="preserve">Q3 2020 </w:t>
            </w:r>
            <w:r>
              <w:rPr>
                <w:rFonts w:ascii="Arial" w:cs="Arial" w:eastAsia="Arial" w:hAnsi="Arial"/>
                <w:sz w:val="21"/>
                <w:szCs w:val="21"/>
                <w:color w:val="auto"/>
                <w:w w:val="86"/>
                <w:vertAlign w:val="superscript"/>
              </w:rPr>
              <w:t>(4)</w:t>
            </w:r>
          </w:p>
        </w:tc>
        <w:tc>
          <w:tcPr>
            <w:tcW w:w="1100" w:type="dxa"/>
            <w:vAlign w:val="bottom"/>
            <w:gridSpan w:val="3"/>
            <w:shd w:val="clear" w:color="auto" w:fill="E2FFFF"/>
          </w:tcPr>
          <w:p>
            <w:pPr>
              <w:jc w:val="center"/>
              <w:ind w:left="139"/>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E2FFFF"/>
          </w:tcPr>
          <w:p>
            <w:pPr>
              <w:spacing w:after="0"/>
              <w:rPr>
                <w:sz w:val="17"/>
                <w:szCs w:val="17"/>
                <w:color w:val="auto"/>
              </w:rPr>
            </w:pPr>
          </w:p>
        </w:tc>
        <w:tc>
          <w:tcPr>
            <w:tcW w:w="1440" w:type="dxa"/>
            <w:vAlign w:val="bottom"/>
            <w:gridSpan w:val="2"/>
            <w:shd w:val="clear" w:color="auto" w:fill="E2FFFF"/>
          </w:tcPr>
          <w:p>
            <w:pPr>
              <w:jc w:val="center"/>
              <w:ind w:right="100"/>
              <w:spacing w:after="0" w:line="203" w:lineRule="exact"/>
              <w:rPr>
                <w:sz w:val="20"/>
                <w:szCs w:val="20"/>
                <w:color w:val="auto"/>
              </w:rPr>
            </w:pPr>
            <w:r>
              <w:rPr>
                <w:rFonts w:ascii="Arial" w:cs="Arial" w:eastAsia="Arial" w:hAnsi="Arial"/>
                <w:sz w:val="16"/>
                <w:szCs w:val="16"/>
                <w:color w:val="auto"/>
                <w:w w:val="86"/>
              </w:rPr>
              <w:t xml:space="preserve">Centrica </w:t>
            </w:r>
            <w:r>
              <w:rPr>
                <w:rFonts w:ascii="Arial" w:cs="Arial" w:eastAsia="Arial" w:hAnsi="Arial"/>
                <w:sz w:val="21"/>
                <w:szCs w:val="21"/>
                <w:color w:val="auto"/>
                <w:w w:val="86"/>
                <w:vertAlign w:val="superscript"/>
              </w:rPr>
              <w:t>(5)</w:t>
            </w:r>
          </w:p>
        </w:tc>
        <w:tc>
          <w:tcPr>
            <w:tcW w:w="1240" w:type="dxa"/>
            <w:vAlign w:val="bottom"/>
            <w:gridSpan w:val="2"/>
            <w:shd w:val="clear" w:color="auto" w:fill="E2FFFF"/>
          </w:tcPr>
          <w:p>
            <w:pPr>
              <w:jc w:val="center"/>
              <w:ind w:right="10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540" w:type="dxa"/>
            <w:vAlign w:val="bottom"/>
            <w:shd w:val="clear" w:color="auto" w:fill="E2FFFF"/>
          </w:tcPr>
          <w:p>
            <w:pPr>
              <w:jc w:val="center"/>
              <w:spacing w:after="0" w:line="203" w:lineRule="exact"/>
              <w:rPr>
                <w:sz w:val="20"/>
                <w:szCs w:val="20"/>
                <w:color w:val="auto"/>
              </w:rPr>
            </w:pPr>
            <w:r>
              <w:rPr>
                <w:rFonts w:ascii="Arial" w:cs="Arial" w:eastAsia="Arial" w:hAnsi="Arial"/>
                <w:sz w:val="16"/>
                <w:szCs w:val="16"/>
                <w:color w:val="auto"/>
                <w:w w:val="87"/>
              </w:rPr>
              <w:t xml:space="preserve">2027 </w:t>
            </w:r>
            <w:r>
              <w:rPr>
                <w:rFonts w:ascii="Arial" w:cs="Arial" w:eastAsia="Arial" w:hAnsi="Arial"/>
                <w:sz w:val="21"/>
                <w:szCs w:val="21"/>
                <w:color w:val="auto"/>
                <w:w w:val="87"/>
                <w:vertAlign w:val="superscript"/>
              </w:rPr>
              <w:t>(6)</w:t>
            </w:r>
          </w:p>
        </w:tc>
      </w:tr>
      <w:tr>
        <w:trPr>
          <w:trHeight w:val="203"/>
        </w:trPr>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680" w:type="dxa"/>
            <w:vAlign w:val="bottom"/>
            <w:gridSpan w:val="2"/>
          </w:tcPr>
          <w:p>
            <w:pPr>
              <w:ind w:left="40"/>
              <w:spacing w:after="0"/>
              <w:rPr>
                <w:sz w:val="20"/>
                <w:szCs w:val="20"/>
                <w:color w:val="auto"/>
              </w:rPr>
            </w:pPr>
            <w:r>
              <w:rPr>
                <w:rFonts w:ascii="Arial" w:cs="Arial" w:eastAsia="Arial" w:hAnsi="Arial"/>
                <w:sz w:val="16"/>
                <w:szCs w:val="16"/>
                <w:color w:val="auto"/>
              </w:rPr>
              <w:t>Hull No. 2300</w:t>
            </w:r>
          </w:p>
        </w:tc>
        <w:tc>
          <w:tcPr>
            <w:tcW w:w="1000" w:type="dxa"/>
            <w:vAlign w:val="bottom"/>
          </w:tcPr>
          <w:p>
            <w:pPr>
              <w:jc w:val="center"/>
              <w:ind w:left="39"/>
              <w:spacing w:after="0" w:line="203" w:lineRule="exact"/>
              <w:rPr>
                <w:sz w:val="20"/>
                <w:szCs w:val="20"/>
                <w:color w:val="auto"/>
              </w:rPr>
            </w:pPr>
            <w:r>
              <w:rPr>
                <w:rFonts w:ascii="Arial" w:cs="Arial" w:eastAsia="Arial" w:hAnsi="Arial"/>
                <w:sz w:val="16"/>
                <w:szCs w:val="16"/>
                <w:color w:val="auto"/>
                <w:w w:val="86"/>
              </w:rPr>
              <w:t xml:space="preserve">Q4 2020 </w:t>
            </w:r>
            <w:r>
              <w:rPr>
                <w:rFonts w:ascii="Arial" w:cs="Arial" w:eastAsia="Arial" w:hAnsi="Arial"/>
                <w:sz w:val="21"/>
                <w:szCs w:val="21"/>
                <w:color w:val="auto"/>
                <w:w w:val="86"/>
                <w:vertAlign w:val="superscript"/>
              </w:rPr>
              <w:t>(4)</w:t>
            </w:r>
          </w:p>
        </w:tc>
        <w:tc>
          <w:tcPr>
            <w:tcW w:w="1100" w:type="dxa"/>
            <w:vAlign w:val="bottom"/>
            <w:gridSpan w:val="3"/>
          </w:tcPr>
          <w:p>
            <w:pPr>
              <w:jc w:val="center"/>
              <w:ind w:left="139"/>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Cheniere</w:t>
            </w:r>
          </w:p>
        </w:tc>
        <w:tc>
          <w:tcPr>
            <w:tcW w:w="1240" w:type="dxa"/>
            <w:vAlign w:val="bottom"/>
            <w:gridSpan w:val="2"/>
          </w:tcPr>
          <w:p>
            <w:pPr>
              <w:jc w:val="center"/>
              <w:ind w:right="10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540" w:type="dxa"/>
            <w:vAlign w:val="bottom"/>
          </w:tcPr>
          <w:p>
            <w:pPr>
              <w:jc w:val="center"/>
              <w:spacing w:after="0" w:line="203" w:lineRule="exact"/>
              <w:rPr>
                <w:sz w:val="20"/>
                <w:szCs w:val="20"/>
                <w:color w:val="auto"/>
              </w:rPr>
            </w:pPr>
            <w:r>
              <w:rPr>
                <w:rFonts w:ascii="Arial" w:cs="Arial" w:eastAsia="Arial" w:hAnsi="Arial"/>
                <w:sz w:val="16"/>
                <w:szCs w:val="16"/>
                <w:color w:val="auto"/>
                <w:w w:val="87"/>
              </w:rPr>
              <w:t xml:space="preserve">2027 </w:t>
            </w:r>
            <w:r>
              <w:rPr>
                <w:rFonts w:ascii="Arial" w:cs="Arial" w:eastAsia="Arial" w:hAnsi="Arial"/>
                <w:sz w:val="21"/>
                <w:szCs w:val="21"/>
                <w:color w:val="auto"/>
                <w:w w:val="87"/>
                <w:vertAlign w:val="superscript"/>
              </w:rPr>
              <w:t>(6)</w:t>
            </w:r>
          </w:p>
        </w:tc>
      </w:tr>
      <w:tr>
        <w:trPr>
          <w:trHeight w:val="203"/>
        </w:trPr>
        <w:tc>
          <w:tcPr>
            <w:tcW w:w="240" w:type="dxa"/>
            <w:vAlign w:val="bottom"/>
            <w:shd w:val="clear" w:color="auto" w:fill="E2FFFF"/>
          </w:tcPr>
          <w:p>
            <w:pPr>
              <w:jc w:val="right"/>
              <w:spacing w:after="0"/>
              <w:rPr>
                <w:sz w:val="20"/>
                <w:szCs w:val="20"/>
                <w:color w:val="auto"/>
              </w:rPr>
            </w:pPr>
            <w:r>
              <w:rPr>
                <w:rFonts w:ascii="Arial" w:cs="Arial" w:eastAsia="Arial" w:hAnsi="Arial"/>
                <w:sz w:val="16"/>
                <w:szCs w:val="16"/>
                <w:b w:val="1"/>
                <w:bCs w:val="1"/>
                <w:color w:val="auto"/>
              </w:rPr>
              <w:t>7</w:t>
            </w:r>
          </w:p>
        </w:tc>
        <w:tc>
          <w:tcPr>
            <w:tcW w:w="2680" w:type="dxa"/>
            <w:vAlign w:val="bottom"/>
            <w:gridSpan w:val="2"/>
            <w:shd w:val="clear" w:color="auto" w:fill="E2FFFF"/>
          </w:tcPr>
          <w:p>
            <w:pPr>
              <w:ind w:left="40"/>
              <w:spacing w:after="0"/>
              <w:rPr>
                <w:sz w:val="20"/>
                <w:szCs w:val="20"/>
                <w:color w:val="auto"/>
              </w:rPr>
            </w:pPr>
            <w:r>
              <w:rPr>
                <w:rFonts w:ascii="Arial" w:cs="Arial" w:eastAsia="Arial" w:hAnsi="Arial"/>
                <w:sz w:val="16"/>
                <w:szCs w:val="16"/>
                <w:color w:val="auto"/>
              </w:rPr>
              <w:t>Hull No. 2301</w:t>
            </w:r>
          </w:p>
        </w:tc>
        <w:tc>
          <w:tcPr>
            <w:tcW w:w="1000" w:type="dxa"/>
            <w:vAlign w:val="bottom"/>
            <w:shd w:val="clear" w:color="auto" w:fill="E2FFFF"/>
          </w:tcPr>
          <w:p>
            <w:pPr>
              <w:jc w:val="center"/>
              <w:ind w:left="39"/>
              <w:spacing w:after="0" w:line="203" w:lineRule="exact"/>
              <w:rPr>
                <w:sz w:val="20"/>
                <w:szCs w:val="20"/>
                <w:color w:val="auto"/>
              </w:rPr>
            </w:pPr>
            <w:r>
              <w:rPr>
                <w:rFonts w:ascii="Arial" w:cs="Arial" w:eastAsia="Arial" w:hAnsi="Arial"/>
                <w:sz w:val="16"/>
                <w:szCs w:val="16"/>
                <w:color w:val="auto"/>
                <w:w w:val="86"/>
              </w:rPr>
              <w:t xml:space="preserve">Q4 2020 </w:t>
            </w:r>
            <w:r>
              <w:rPr>
                <w:rFonts w:ascii="Arial" w:cs="Arial" w:eastAsia="Arial" w:hAnsi="Arial"/>
                <w:sz w:val="21"/>
                <w:szCs w:val="21"/>
                <w:color w:val="auto"/>
                <w:w w:val="86"/>
                <w:vertAlign w:val="superscript"/>
              </w:rPr>
              <w:t>(4)</w:t>
            </w:r>
          </w:p>
        </w:tc>
        <w:tc>
          <w:tcPr>
            <w:tcW w:w="1100" w:type="dxa"/>
            <w:vAlign w:val="bottom"/>
            <w:gridSpan w:val="3"/>
            <w:shd w:val="clear" w:color="auto" w:fill="E2FFFF"/>
          </w:tcPr>
          <w:p>
            <w:pPr>
              <w:jc w:val="center"/>
              <w:ind w:left="139"/>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2FFFF"/>
          </w:tcPr>
          <w:p>
            <w:pPr>
              <w:spacing w:after="0"/>
              <w:rPr>
                <w:sz w:val="17"/>
                <w:szCs w:val="17"/>
                <w:color w:val="auto"/>
              </w:rPr>
            </w:pPr>
          </w:p>
        </w:tc>
        <w:tc>
          <w:tcPr>
            <w:tcW w:w="1440" w:type="dxa"/>
            <w:vAlign w:val="bottom"/>
            <w:gridSpan w:val="2"/>
            <w:shd w:val="clear" w:color="auto" w:fill="E2FFFF"/>
          </w:tcPr>
          <w:p>
            <w:pPr>
              <w:jc w:val="center"/>
              <w:ind w:right="120"/>
              <w:spacing w:after="0"/>
              <w:rPr>
                <w:sz w:val="20"/>
                <w:szCs w:val="20"/>
                <w:color w:val="auto"/>
              </w:rPr>
            </w:pPr>
            <w:r>
              <w:rPr>
                <w:rFonts w:ascii="Arial" w:cs="Arial" w:eastAsia="Arial" w:hAnsi="Arial"/>
                <w:sz w:val="16"/>
                <w:szCs w:val="16"/>
                <w:color w:val="auto"/>
                <w:w w:val="92"/>
              </w:rPr>
              <w:t>Cheniere</w:t>
            </w:r>
          </w:p>
        </w:tc>
        <w:tc>
          <w:tcPr>
            <w:tcW w:w="1240" w:type="dxa"/>
            <w:vAlign w:val="bottom"/>
            <w:gridSpan w:val="2"/>
            <w:shd w:val="clear" w:color="auto" w:fill="E2FFFF"/>
          </w:tcPr>
          <w:p>
            <w:pPr>
              <w:jc w:val="center"/>
              <w:ind w:right="10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540" w:type="dxa"/>
            <w:vAlign w:val="bottom"/>
            <w:shd w:val="clear" w:color="auto" w:fill="E2FFFF"/>
          </w:tcPr>
          <w:p>
            <w:pPr>
              <w:jc w:val="center"/>
              <w:spacing w:after="0" w:line="203" w:lineRule="exact"/>
              <w:rPr>
                <w:sz w:val="20"/>
                <w:szCs w:val="20"/>
                <w:color w:val="auto"/>
              </w:rPr>
            </w:pPr>
            <w:r>
              <w:rPr>
                <w:rFonts w:ascii="Arial" w:cs="Arial" w:eastAsia="Arial" w:hAnsi="Arial"/>
                <w:sz w:val="16"/>
                <w:szCs w:val="16"/>
                <w:color w:val="auto"/>
                <w:w w:val="87"/>
              </w:rPr>
              <w:t xml:space="preserve">2027 </w:t>
            </w:r>
            <w:r>
              <w:rPr>
                <w:rFonts w:ascii="Arial" w:cs="Arial" w:eastAsia="Arial" w:hAnsi="Arial"/>
                <w:sz w:val="21"/>
                <w:szCs w:val="21"/>
                <w:color w:val="auto"/>
                <w:w w:val="87"/>
                <w:vertAlign w:val="superscript"/>
              </w:rPr>
              <w:t>(6)</w:t>
            </w:r>
          </w:p>
        </w:tc>
      </w:tr>
      <w:tr>
        <w:trPr>
          <w:trHeight w:val="203"/>
        </w:trPr>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2680" w:type="dxa"/>
            <w:vAlign w:val="bottom"/>
            <w:gridSpan w:val="2"/>
          </w:tcPr>
          <w:p>
            <w:pPr>
              <w:ind w:left="40"/>
              <w:spacing w:after="0"/>
              <w:rPr>
                <w:sz w:val="20"/>
                <w:szCs w:val="20"/>
                <w:color w:val="auto"/>
              </w:rPr>
            </w:pPr>
            <w:r>
              <w:rPr>
                <w:rFonts w:ascii="Arial" w:cs="Arial" w:eastAsia="Arial" w:hAnsi="Arial"/>
                <w:sz w:val="16"/>
                <w:szCs w:val="16"/>
                <w:color w:val="auto"/>
              </w:rPr>
              <w:t>Hull No. 2311</w:t>
            </w:r>
          </w:p>
        </w:tc>
        <w:tc>
          <w:tcPr>
            <w:tcW w:w="1000" w:type="dxa"/>
            <w:vAlign w:val="bottom"/>
          </w:tcPr>
          <w:p>
            <w:pPr>
              <w:jc w:val="center"/>
              <w:ind w:left="39"/>
              <w:spacing w:after="0" w:line="203" w:lineRule="exact"/>
              <w:rPr>
                <w:sz w:val="20"/>
                <w:szCs w:val="20"/>
                <w:color w:val="auto"/>
              </w:rPr>
            </w:pPr>
            <w:r>
              <w:rPr>
                <w:rFonts w:ascii="Arial" w:cs="Arial" w:eastAsia="Arial" w:hAnsi="Arial"/>
                <w:sz w:val="16"/>
                <w:szCs w:val="16"/>
                <w:color w:val="auto"/>
                <w:w w:val="86"/>
              </w:rPr>
              <w:t xml:space="preserve">Q2 2021 </w:t>
            </w:r>
            <w:r>
              <w:rPr>
                <w:rFonts w:ascii="Arial" w:cs="Arial" w:eastAsia="Arial" w:hAnsi="Arial"/>
                <w:sz w:val="21"/>
                <w:szCs w:val="21"/>
                <w:color w:val="auto"/>
                <w:w w:val="86"/>
                <w:vertAlign w:val="superscript"/>
              </w:rPr>
              <w:t>(4)</w:t>
            </w:r>
          </w:p>
        </w:tc>
        <w:tc>
          <w:tcPr>
            <w:tcW w:w="1100" w:type="dxa"/>
            <w:vAlign w:val="bottom"/>
            <w:gridSpan w:val="3"/>
          </w:tcPr>
          <w:p>
            <w:pPr>
              <w:jc w:val="center"/>
              <w:ind w:left="139"/>
              <w:spacing w:after="0"/>
              <w:rPr>
                <w:sz w:val="20"/>
                <w:szCs w:val="20"/>
                <w:color w:val="auto"/>
              </w:rPr>
            </w:pPr>
            <w:r>
              <w:rPr>
                <w:rFonts w:ascii="Arial" w:cs="Arial" w:eastAsia="Arial" w:hAnsi="Arial"/>
                <w:sz w:val="16"/>
                <w:szCs w:val="16"/>
                <w:color w:val="auto"/>
                <w:w w:val="89"/>
              </w:rPr>
              <w:t>180,000</w:t>
            </w:r>
          </w:p>
        </w:tc>
        <w:tc>
          <w:tcPr>
            <w:tcW w:w="12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Cheniere</w:t>
            </w:r>
          </w:p>
        </w:tc>
        <w:tc>
          <w:tcPr>
            <w:tcW w:w="1240" w:type="dxa"/>
            <w:vAlign w:val="bottom"/>
            <w:gridSpan w:val="2"/>
          </w:tcPr>
          <w:p>
            <w:pPr>
              <w:jc w:val="center"/>
              <w:ind w:right="10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540" w:type="dxa"/>
            <w:vAlign w:val="bottom"/>
          </w:tcPr>
          <w:p>
            <w:pPr>
              <w:jc w:val="center"/>
              <w:spacing w:after="0" w:line="203" w:lineRule="exact"/>
              <w:rPr>
                <w:sz w:val="20"/>
                <w:szCs w:val="20"/>
                <w:color w:val="auto"/>
              </w:rPr>
            </w:pPr>
            <w:r>
              <w:rPr>
                <w:rFonts w:ascii="Arial" w:cs="Arial" w:eastAsia="Arial" w:hAnsi="Arial"/>
                <w:sz w:val="16"/>
                <w:szCs w:val="16"/>
                <w:color w:val="auto"/>
                <w:w w:val="87"/>
              </w:rPr>
              <w:t xml:space="preserve">2028 </w:t>
            </w:r>
            <w:r>
              <w:rPr>
                <w:rFonts w:ascii="Arial" w:cs="Arial" w:eastAsia="Arial" w:hAnsi="Arial"/>
                <w:sz w:val="21"/>
                <w:szCs w:val="21"/>
                <w:color w:val="auto"/>
                <w:w w:val="87"/>
                <w:vertAlign w:val="superscript"/>
              </w:rPr>
              <w:t>(6)</w:t>
            </w:r>
          </w:p>
        </w:tc>
      </w:tr>
      <w:tr>
        <w:trPr>
          <w:trHeight w:val="203"/>
        </w:trPr>
        <w:tc>
          <w:tcPr>
            <w:tcW w:w="240" w:type="dxa"/>
            <w:vAlign w:val="bottom"/>
            <w:shd w:val="clear" w:color="auto" w:fill="E2FFFF"/>
          </w:tcPr>
          <w:p>
            <w:pPr>
              <w:jc w:val="right"/>
              <w:spacing w:after="0"/>
              <w:rPr>
                <w:sz w:val="20"/>
                <w:szCs w:val="20"/>
                <w:color w:val="auto"/>
              </w:rPr>
            </w:pPr>
            <w:r>
              <w:rPr>
                <w:rFonts w:ascii="Arial" w:cs="Arial" w:eastAsia="Arial" w:hAnsi="Arial"/>
                <w:sz w:val="16"/>
                <w:szCs w:val="16"/>
                <w:b w:val="1"/>
                <w:bCs w:val="1"/>
                <w:color w:val="auto"/>
              </w:rPr>
              <w:t>9</w:t>
            </w:r>
          </w:p>
        </w:tc>
        <w:tc>
          <w:tcPr>
            <w:tcW w:w="2680" w:type="dxa"/>
            <w:vAlign w:val="bottom"/>
            <w:gridSpan w:val="2"/>
            <w:shd w:val="clear" w:color="auto" w:fill="E2FFFF"/>
          </w:tcPr>
          <w:p>
            <w:pPr>
              <w:ind w:left="40"/>
              <w:spacing w:after="0"/>
              <w:rPr>
                <w:sz w:val="20"/>
                <w:szCs w:val="20"/>
                <w:color w:val="auto"/>
              </w:rPr>
            </w:pPr>
            <w:r>
              <w:rPr>
                <w:rFonts w:ascii="Arial" w:cs="Arial" w:eastAsia="Arial" w:hAnsi="Arial"/>
                <w:sz w:val="16"/>
                <w:szCs w:val="16"/>
                <w:color w:val="auto"/>
              </w:rPr>
              <w:t>Hull No. 2312</w:t>
            </w:r>
          </w:p>
        </w:tc>
        <w:tc>
          <w:tcPr>
            <w:tcW w:w="1000" w:type="dxa"/>
            <w:vAlign w:val="bottom"/>
            <w:shd w:val="clear" w:color="auto" w:fill="E2FFFF"/>
          </w:tcPr>
          <w:p>
            <w:pPr>
              <w:jc w:val="center"/>
              <w:ind w:left="39"/>
              <w:spacing w:after="0" w:line="203" w:lineRule="exact"/>
              <w:rPr>
                <w:sz w:val="20"/>
                <w:szCs w:val="20"/>
                <w:color w:val="auto"/>
              </w:rPr>
            </w:pPr>
            <w:r>
              <w:rPr>
                <w:rFonts w:ascii="Arial" w:cs="Arial" w:eastAsia="Arial" w:hAnsi="Arial"/>
                <w:sz w:val="16"/>
                <w:szCs w:val="16"/>
                <w:color w:val="auto"/>
                <w:w w:val="86"/>
              </w:rPr>
              <w:t xml:space="preserve">Q3 2021 </w:t>
            </w:r>
            <w:r>
              <w:rPr>
                <w:rFonts w:ascii="Arial" w:cs="Arial" w:eastAsia="Arial" w:hAnsi="Arial"/>
                <w:sz w:val="21"/>
                <w:szCs w:val="21"/>
                <w:color w:val="auto"/>
                <w:w w:val="86"/>
                <w:vertAlign w:val="superscript"/>
              </w:rPr>
              <w:t>(4)</w:t>
            </w:r>
          </w:p>
        </w:tc>
        <w:tc>
          <w:tcPr>
            <w:tcW w:w="1100" w:type="dxa"/>
            <w:vAlign w:val="bottom"/>
            <w:gridSpan w:val="3"/>
            <w:shd w:val="clear" w:color="auto" w:fill="E2FFFF"/>
          </w:tcPr>
          <w:p>
            <w:pPr>
              <w:jc w:val="center"/>
              <w:ind w:left="139"/>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E2FFFF"/>
          </w:tcPr>
          <w:p>
            <w:pPr>
              <w:spacing w:after="0"/>
              <w:rPr>
                <w:sz w:val="17"/>
                <w:szCs w:val="17"/>
                <w:color w:val="auto"/>
              </w:rPr>
            </w:pPr>
          </w:p>
        </w:tc>
        <w:tc>
          <w:tcPr>
            <w:tcW w:w="1440" w:type="dxa"/>
            <w:vAlign w:val="bottom"/>
            <w:gridSpan w:val="2"/>
            <w:shd w:val="clear" w:color="auto" w:fill="E2FFFF"/>
          </w:tcPr>
          <w:p>
            <w:pPr>
              <w:jc w:val="center"/>
              <w:ind w:right="120"/>
              <w:spacing w:after="0"/>
              <w:rPr>
                <w:sz w:val="20"/>
                <w:szCs w:val="20"/>
                <w:color w:val="auto"/>
              </w:rPr>
            </w:pPr>
            <w:r>
              <w:rPr>
                <w:rFonts w:ascii="Arial" w:cs="Arial" w:eastAsia="Arial" w:hAnsi="Arial"/>
                <w:sz w:val="16"/>
                <w:szCs w:val="16"/>
                <w:color w:val="auto"/>
                <w:w w:val="92"/>
              </w:rPr>
              <w:t>Cheniere</w:t>
            </w:r>
          </w:p>
        </w:tc>
        <w:tc>
          <w:tcPr>
            <w:tcW w:w="1240" w:type="dxa"/>
            <w:vAlign w:val="bottom"/>
            <w:gridSpan w:val="2"/>
            <w:shd w:val="clear" w:color="auto" w:fill="E2FFFF"/>
          </w:tcPr>
          <w:p>
            <w:pPr>
              <w:jc w:val="center"/>
              <w:ind w:right="10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540" w:type="dxa"/>
            <w:vAlign w:val="bottom"/>
            <w:shd w:val="clear" w:color="auto" w:fill="E2FFFF"/>
          </w:tcPr>
          <w:p>
            <w:pPr>
              <w:jc w:val="center"/>
              <w:spacing w:after="0" w:line="203" w:lineRule="exact"/>
              <w:rPr>
                <w:sz w:val="20"/>
                <w:szCs w:val="20"/>
                <w:color w:val="auto"/>
              </w:rPr>
            </w:pPr>
            <w:r>
              <w:rPr>
                <w:rFonts w:ascii="Arial" w:cs="Arial" w:eastAsia="Arial" w:hAnsi="Arial"/>
                <w:sz w:val="16"/>
                <w:szCs w:val="16"/>
                <w:color w:val="auto"/>
                <w:w w:val="87"/>
              </w:rPr>
              <w:t xml:space="preserve">2028 </w:t>
            </w:r>
            <w:r>
              <w:rPr>
                <w:rFonts w:ascii="Arial" w:cs="Arial" w:eastAsia="Arial" w:hAnsi="Arial"/>
                <w:sz w:val="21"/>
                <w:szCs w:val="21"/>
                <w:color w:val="auto"/>
                <w:w w:val="87"/>
                <w:vertAlign w:val="superscript"/>
              </w:rPr>
              <w:t>(6)</w:t>
            </w:r>
          </w:p>
        </w:tc>
      </w:tr>
      <w:tr>
        <w:trPr>
          <w:trHeight w:val="216"/>
        </w:trPr>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bl>
    <w:p>
      <w:pPr>
        <w:spacing w:after="0" w:line="197" w:lineRule="exact"/>
        <w:rPr>
          <w:sz w:val="20"/>
          <w:szCs w:val="20"/>
          <w:color w:val="auto"/>
        </w:rPr>
      </w:pPr>
    </w:p>
    <w:p>
      <w:pPr>
        <w:ind w:left="260" w:right="400" w:hanging="252"/>
        <w:spacing w:after="0" w:line="201" w:lineRule="auto"/>
        <w:tabs>
          <w:tab w:leader="none" w:pos="257"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 vessel is currently trading in the spot market and has been chartered to Sinolam LNG Terminal, S.A. (“Sinolam LNG”) for the provision of an LNG floating storage unit (“FSU”). The charter is expected to commence in November 2020, after the dry-docking and conversion of the vessel to an FSU.</w:t>
      </w:r>
    </w:p>
    <w:p>
      <w:pPr>
        <w:ind w:left="240" w:hanging="232"/>
        <w:spacing w:after="0" w:line="182" w:lineRule="auto"/>
        <w:tabs>
          <w:tab w:leader="none" w:pos="240"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The vessel is chartered to a wholly owned subsidiary of Endesa, S.A. (“Endesa”). The charter is expected to commence in May 2021.</w:t>
      </w:r>
    </w:p>
    <w:p>
      <w:pPr>
        <w:ind w:left="240" w:hanging="232"/>
        <w:spacing w:after="0" w:line="182" w:lineRule="auto"/>
        <w:tabs>
          <w:tab w:leader="none" w:pos="240"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Reference to “X-DF” refers to low pressure dual-fuel two-stroke engine propulsion manufactured by Winterthur Gas &amp; Diesel.</w:t>
      </w:r>
    </w:p>
    <w:p>
      <w:pPr>
        <w:ind w:left="240" w:hanging="232"/>
        <w:spacing w:after="0" w:line="182" w:lineRule="auto"/>
        <w:tabs>
          <w:tab w:leader="none" w:pos="240"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Expected delivery quarters are presented.</w:t>
      </w:r>
    </w:p>
    <w:p>
      <w:pPr>
        <w:ind w:left="240" w:hanging="232"/>
        <w:spacing w:after="0" w:line="182" w:lineRule="auto"/>
        <w:tabs>
          <w:tab w:leader="none" w:pos="240"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The vessel is chartered to Pioneer Shipping Limited, a wholly owned subsidiary of Centrica plc (“Centrica”).</w:t>
      </w:r>
    </w:p>
    <w:p>
      <w:pPr>
        <w:ind w:left="240" w:hanging="232"/>
        <w:spacing w:after="0" w:line="182" w:lineRule="auto"/>
        <w:tabs>
          <w:tab w:leader="none" w:pos="240"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Charter expiration to be determined based upon actual date of delivery.</w:t>
      </w:r>
    </w:p>
    <w:p>
      <w:pPr>
        <w:ind w:left="240" w:hanging="232"/>
        <w:spacing w:after="0" w:line="197" w:lineRule="auto"/>
        <w:tabs>
          <w:tab w:leader="none" w:pos="24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 vessel is chartered to LNG Marine Transport Limited, the principal LNG shipping entity of Japan’s JERA Co., Inc (“JERA”).</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39" w:lineRule="exact"/>
        <w:rPr>
          <w:sz w:val="20"/>
          <w:szCs w:val="20"/>
          <w:color w:val="auto"/>
        </w:rPr>
      </w:pPr>
    </w:p>
    <w:p>
      <w:pPr>
        <w:ind w:right="320" w:firstLine="383"/>
        <w:spacing w:after="0" w:line="293" w:lineRule="auto"/>
        <w:rPr>
          <w:sz w:val="20"/>
          <w:szCs w:val="20"/>
          <w:color w:val="auto"/>
        </w:rPr>
      </w:pPr>
      <w:r>
        <w:rPr>
          <w:rFonts w:ascii="Arial" w:cs="Arial" w:eastAsia="Arial" w:hAnsi="Arial"/>
          <w:sz w:val="16"/>
          <w:szCs w:val="16"/>
          <w:color w:val="auto"/>
        </w:rPr>
        <w:t xml:space="preserve">Our results set forth below are derived from the unaudited condensed consolidated financial statements of the Partnership. The transfers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Methane Becki Anne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Glasgow </w:t>
      </w:r>
      <w:r>
        <w:rPr>
          <w:rFonts w:ascii="Arial" w:cs="Arial" w:eastAsia="Arial" w:hAnsi="Arial"/>
          <w:sz w:val="16"/>
          <w:szCs w:val="16"/>
          <w:color w:val="auto"/>
        </w:rPr>
        <w:t>from GasLog to the Partnership on April 26, 2018, November 14, 2018 and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20" w:name="page21"/>
    <w:bookmarkEnd w:id="20"/>
    <w:p>
      <w:pPr>
        <w:ind w:right="200"/>
        <w:spacing w:after="0" w:line="278" w:lineRule="auto"/>
        <w:rPr>
          <w:sz w:val="20"/>
          <w:szCs w:val="20"/>
          <w:color w:val="auto"/>
        </w:rPr>
      </w:pPr>
      <w:r>
        <w:rPr>
          <w:rFonts w:ascii="Arial" w:cs="Arial" w:eastAsia="Arial" w:hAnsi="Arial"/>
          <w:sz w:val="16"/>
          <w:szCs w:val="16"/>
          <w:color w:val="auto"/>
        </w:rPr>
        <w:t>April 1, 2019, respectively, were accounted for as reorganizations of entities under common control under the International Financial Reporting Standards (“IFRS”). The unaudited condensed consolidated financial statements include the accounts of the Partnership and its subsidiaries assuming that they are consolidated from the dates of their incorporation by GasLog as they were under the common control of GasLog.</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The Partnership’s historical results were retroactively restated to reflect the historical results of these acquired entities during the periods they were owned by GasLog.</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Three-month period ended September 30, 2018 compared to the three-month period ended September 30,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3840" w:type="dxa"/>
            <w:vAlign w:val="bottom"/>
            <w:gridSpan w:val="7"/>
          </w:tcPr>
          <w:p>
            <w:pPr>
              <w:jc w:val="center"/>
              <w:ind w:right="900"/>
              <w:spacing w:after="0"/>
              <w:rPr>
                <w:sz w:val="20"/>
                <w:szCs w:val="20"/>
                <w:color w:val="auto"/>
              </w:rPr>
            </w:pPr>
            <w:r>
              <w:rPr>
                <w:rFonts w:ascii="Arial" w:cs="Arial" w:eastAsia="Arial" w:hAnsi="Arial"/>
                <w:sz w:val="16"/>
                <w:szCs w:val="16"/>
                <w:b w:val="1"/>
                <w:bCs w:val="1"/>
                <w:color w:val="auto"/>
                <w:w w:val="92"/>
              </w:rPr>
              <w:t>IFRS Reported Common Control Results</w:t>
            </w:r>
          </w:p>
        </w:tc>
        <w:tc>
          <w:tcPr>
            <w:tcW w:w="0" w:type="dxa"/>
            <w:vAlign w:val="bottom"/>
          </w:tcPr>
          <w:p>
            <w:pPr>
              <w:spacing w:after="0"/>
              <w:rPr>
                <w:sz w:val="1"/>
                <w:szCs w:val="1"/>
                <w:color w:val="auto"/>
              </w:rPr>
            </w:pPr>
          </w:p>
        </w:tc>
      </w:tr>
      <w:tr>
        <w:trPr>
          <w:trHeight w:val="185"/>
        </w:trPr>
        <w:tc>
          <w:tcPr>
            <w:tcW w:w="6200" w:type="dxa"/>
            <w:vAlign w:val="bottom"/>
          </w:tcPr>
          <w:p>
            <w:pPr>
              <w:spacing w:after="0"/>
              <w:rPr>
                <w:sz w:val="16"/>
                <w:szCs w:val="16"/>
                <w:color w:val="auto"/>
              </w:rPr>
            </w:pPr>
          </w:p>
        </w:tc>
        <w:tc>
          <w:tcPr>
            <w:tcW w:w="1660" w:type="dxa"/>
            <w:vAlign w:val="bottom"/>
            <w:tcBorders>
              <w:top w:val="single" w:sz="8" w:color="auto"/>
            </w:tcBorders>
            <w:gridSpan w:val="3"/>
          </w:tcPr>
          <w:p>
            <w:pPr>
              <w:jc w:val="right"/>
              <w:ind w:right="48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13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60" w:type="dxa"/>
            <w:vAlign w:val="bottom"/>
            <w:gridSpan w:val="2"/>
          </w:tcPr>
          <w:p>
            <w:pPr>
              <w:ind w:left="6720"/>
              <w:spacing w:after="0"/>
              <w:rPr>
                <w:sz w:val="20"/>
                <w:szCs w:val="20"/>
                <w:color w:val="auto"/>
              </w:rPr>
            </w:pPr>
            <w:r>
              <w:rPr>
                <w:rFonts w:ascii="Arial" w:cs="Arial" w:eastAsia="Arial" w:hAnsi="Arial"/>
                <w:sz w:val="16"/>
                <w:szCs w:val="16"/>
                <w:b w:val="1"/>
                <w:bCs w:val="1"/>
                <w:color w:val="auto"/>
                <w:w w:val="89"/>
              </w:rPr>
              <w:t>2018</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280" w:type="dxa"/>
            <w:vAlign w:val="bottom"/>
          </w:tcPr>
          <w:p>
            <w:pPr>
              <w:spacing w:after="0"/>
              <w:rPr>
                <w:sz w:val="18"/>
                <w:szCs w:val="18"/>
                <w:color w:val="auto"/>
              </w:rPr>
            </w:pPr>
          </w:p>
        </w:tc>
        <w:tc>
          <w:tcPr>
            <w:tcW w:w="140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2"/>
        </w:trPr>
        <w:tc>
          <w:tcPr>
            <w:tcW w:w="62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860" w:type="dxa"/>
            <w:vAlign w:val="bottom"/>
            <w:tcBorders>
              <w:top w:val="single" w:sz="8" w:color="auto"/>
            </w:tcBorders>
            <w:shd w:val="clear" w:color="auto" w:fill="E5FFFF"/>
          </w:tcPr>
          <w:p>
            <w:pPr>
              <w:spacing w:after="0"/>
              <w:rPr>
                <w:sz w:val="17"/>
                <w:szCs w:val="17"/>
                <w:color w:val="auto"/>
              </w:rPr>
            </w:pPr>
          </w:p>
        </w:tc>
        <w:tc>
          <w:tcPr>
            <w:tcW w:w="5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97,205</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96,485</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tcPr>
          <w:p>
            <w:pPr>
              <w:spacing w:after="0"/>
              <w:rPr>
                <w:sz w:val="20"/>
                <w:szCs w:val="20"/>
                <w:color w:val="auto"/>
              </w:rPr>
            </w:pPr>
            <w:r>
              <w:rPr>
                <w:rFonts w:ascii="Arial" w:cs="Arial" w:eastAsia="Arial" w:hAnsi="Arial"/>
                <w:sz w:val="16"/>
                <w:szCs w:val="16"/>
                <w:color w:val="auto"/>
              </w:rPr>
              <w:t>Net pool allocation</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780</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8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(3,550)</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(1,673)</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1,877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tcPr>
          <w:p>
            <w:pPr>
              <w:spacing w:after="0"/>
              <w:rPr>
                <w:sz w:val="20"/>
                <w:szCs w:val="20"/>
                <w:color w:val="auto"/>
              </w:rPr>
            </w:pPr>
            <w:r>
              <w:rPr>
                <w:rFonts w:ascii="Arial" w:cs="Arial" w:eastAsia="Arial" w:hAnsi="Arial"/>
                <w:sz w:val="16"/>
                <w:szCs w:val="16"/>
                <w:color w:val="auto"/>
              </w:rPr>
              <w:t>Vessel operating costs</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w w:val="90"/>
              </w:rPr>
              <w:t>(18,597)</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(18,116)</w:t>
            </w:r>
          </w:p>
        </w:tc>
        <w:tc>
          <w:tcPr>
            <w:tcW w:w="1360" w:type="dxa"/>
            <w:vAlign w:val="bottom"/>
          </w:tcPr>
          <w:p>
            <w:pPr>
              <w:jc w:val="right"/>
              <w:spacing w:after="0"/>
              <w:rPr>
                <w:sz w:val="20"/>
                <w:szCs w:val="20"/>
                <w:color w:val="auto"/>
              </w:rPr>
            </w:pPr>
            <w:r>
              <w:rPr>
                <w:rFonts w:ascii="Arial" w:cs="Arial" w:eastAsia="Arial" w:hAnsi="Arial"/>
                <w:sz w:val="16"/>
                <w:szCs w:val="16"/>
                <w:color w:val="auto"/>
              </w:rPr>
              <w:t>481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Depreciation</w:t>
            </w:r>
          </w:p>
        </w:tc>
        <w:tc>
          <w:tcPr>
            <w:tcW w:w="8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w w:val="90"/>
              </w:rPr>
              <w:t>(22,133)</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(22,819)</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tcPr>
          <w:p>
            <w:pPr>
              <w:spacing w:after="0"/>
              <w:rPr>
                <w:sz w:val="20"/>
                <w:szCs w:val="20"/>
                <w:color w:val="auto"/>
              </w:rPr>
            </w:pPr>
            <w:r>
              <w:rPr>
                <w:rFonts w:ascii="Arial" w:cs="Arial" w:eastAsia="Arial" w:hAnsi="Arial"/>
                <w:sz w:val="16"/>
                <w:szCs w:val="16"/>
                <w:color w:val="auto"/>
              </w:rPr>
              <w:t>General and administrative expenses</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(4,882)</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(4,917)</w:t>
            </w:r>
          </w:p>
        </w:tc>
        <w:tc>
          <w:tcPr>
            <w:tcW w:w="1360" w:type="dxa"/>
            <w:vAlign w:val="bottom"/>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860" w:type="dxa"/>
            <w:vAlign w:val="bottom"/>
            <w:tcBorders>
              <w:top w:val="single" w:sz="8" w:color="auto"/>
              <w:bottom w:val="single" w:sz="8" w:color="auto"/>
            </w:tcBorders>
            <w:shd w:val="clear" w:color="auto" w:fill="E5FFFF"/>
          </w:tcPr>
          <w:p>
            <w:pPr>
              <w:spacing w:after="0"/>
              <w:rPr>
                <w:sz w:val="17"/>
                <w:szCs w:val="17"/>
                <w:color w:val="auto"/>
              </w:rPr>
            </w:pPr>
          </w:p>
        </w:tc>
        <w:tc>
          <w:tcPr>
            <w:tcW w:w="5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48,823</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48,960</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Pr>
          <w:p>
            <w:pPr>
              <w:spacing w:after="0"/>
              <w:rPr>
                <w:sz w:val="20"/>
                <w:szCs w:val="20"/>
                <w:color w:val="auto"/>
              </w:rPr>
            </w:pPr>
            <w:r>
              <w:rPr>
                <w:rFonts w:ascii="Arial" w:cs="Arial" w:eastAsia="Arial" w:hAnsi="Arial"/>
                <w:sz w:val="16"/>
                <w:szCs w:val="16"/>
                <w:color w:val="auto"/>
              </w:rPr>
              <w:t>Financial costs</w:t>
            </w:r>
          </w:p>
        </w:tc>
        <w:tc>
          <w:tcPr>
            <w:tcW w:w="8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3"/>
              </w:rPr>
              <w:t>(18,470)</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(17,534)</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8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593</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393</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tcPr>
          <w:p>
            <w:pPr>
              <w:spacing w:after="0"/>
              <w:rPr>
                <w:sz w:val="20"/>
                <w:szCs w:val="20"/>
                <w:color w:val="auto"/>
              </w:rPr>
            </w:pPr>
            <w:r>
              <w:rPr>
                <w:rFonts w:ascii="Arial" w:cs="Arial" w:eastAsia="Arial" w:hAnsi="Arial"/>
                <w:sz w:val="16"/>
                <w:szCs w:val="16"/>
                <w:color w:val="auto"/>
              </w:rPr>
              <w:t>Gain/(loss) on derivatives</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2,082</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(2,385)</w:t>
            </w:r>
          </w:p>
        </w:tc>
        <w:tc>
          <w:tcPr>
            <w:tcW w:w="1360" w:type="dxa"/>
            <w:vAlign w:val="bottom"/>
          </w:tcPr>
          <w:p>
            <w:pPr>
              <w:jc w:val="right"/>
              <w:spacing w:after="0"/>
              <w:rPr>
                <w:sz w:val="20"/>
                <w:szCs w:val="20"/>
                <w:color w:val="auto"/>
              </w:rPr>
            </w:pPr>
            <w:r>
              <w:rPr>
                <w:rFonts w:ascii="Arial" w:cs="Arial" w:eastAsia="Arial" w:hAnsi="Arial"/>
                <w:sz w:val="16"/>
                <w:szCs w:val="16"/>
                <w:color w:val="auto"/>
              </w:rPr>
              <w:t>(4,467)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860" w:type="dxa"/>
            <w:vAlign w:val="bottom"/>
            <w:tcBorders>
              <w:top w:val="single" w:sz="8" w:color="auto"/>
              <w:bottom w:val="single" w:sz="8" w:color="auto"/>
            </w:tcBorders>
            <w:shd w:val="clear" w:color="auto" w:fill="E5FFFF"/>
          </w:tcPr>
          <w:p>
            <w:pPr>
              <w:spacing w:after="0"/>
              <w:rPr>
                <w:sz w:val="17"/>
                <w:szCs w:val="17"/>
                <w:color w:val="auto"/>
              </w:rPr>
            </w:pPr>
          </w:p>
        </w:tc>
        <w:tc>
          <w:tcPr>
            <w:tcW w:w="5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33,028</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29,434</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(3,594</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6"/>
                <w:szCs w:val="16"/>
                <w:b w:val="1"/>
                <w:bCs w:val="1"/>
                <w:color w:val="auto"/>
              </w:rPr>
              <w:t>Profit attributable to Partnership’s operations</w:t>
            </w: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27,270</w:t>
            </w:r>
          </w:p>
        </w:tc>
        <w:tc>
          <w:tcPr>
            <w:tcW w:w="280" w:type="dxa"/>
            <w:vAlign w:val="bottom"/>
            <w:vMerge w:val="continue"/>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29,434</w:t>
            </w:r>
          </w:p>
        </w:tc>
        <w:tc>
          <w:tcPr>
            <w:tcW w:w="280" w:type="dxa"/>
            <w:vAlign w:val="bottom"/>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2,164</w:t>
            </w:r>
          </w:p>
        </w:tc>
        <w:tc>
          <w:tcPr>
            <w:tcW w:w="2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460" w:firstLine="405"/>
        <w:spacing w:after="0" w:line="369" w:lineRule="auto"/>
        <w:rPr>
          <w:sz w:val="20"/>
          <w:szCs w:val="20"/>
          <w:color w:val="auto"/>
        </w:rPr>
      </w:pPr>
      <w:r>
        <w:rPr>
          <w:rFonts w:ascii="Arial" w:cs="Arial" w:eastAsia="Arial" w:hAnsi="Arial"/>
          <w:sz w:val="14"/>
          <w:szCs w:val="14"/>
          <w:color w:val="auto"/>
        </w:rPr>
        <w:t>For the three-month period ended September 30, 2018, we had an average of 15.0 vessels operating in our owned fleet having 1,335 revenue operating days, while during the three-month period ended September 30, 2019, we had an average of 15.0 vessels operating in our owned fleet having 1,365 revenue operating days.</w:t>
      </w:r>
    </w:p>
    <w:p>
      <w:pPr>
        <w:spacing w:after="0" w:line="126" w:lineRule="exact"/>
        <w:rPr>
          <w:sz w:val="20"/>
          <w:szCs w:val="20"/>
          <w:color w:val="auto"/>
        </w:rPr>
      </w:pPr>
    </w:p>
    <w:p>
      <w:pPr>
        <w:ind w:right="60" w:firstLine="428"/>
        <w:spacing w:after="0" w:line="291" w:lineRule="auto"/>
        <w:rPr>
          <w:sz w:val="20"/>
          <w:szCs w:val="20"/>
          <w:color w:val="auto"/>
        </w:rPr>
      </w:pPr>
      <w:r>
        <w:rPr>
          <w:rFonts w:ascii="Arial" w:cs="Arial" w:eastAsia="Arial" w:hAnsi="Arial"/>
          <w:sz w:val="15"/>
          <w:szCs w:val="15"/>
          <w:b w:val="1"/>
          <w:bCs w:val="1"/>
          <w:i w:val="1"/>
          <w:iCs w:val="1"/>
          <w:color w:val="auto"/>
        </w:rPr>
        <w:t xml:space="preserve">Revenues: </w:t>
      </w:r>
      <w:r>
        <w:rPr>
          <w:rFonts w:ascii="Arial" w:cs="Arial" w:eastAsia="Arial" w:hAnsi="Arial"/>
          <w:sz w:val="15"/>
          <w:szCs w:val="15"/>
          <w:color w:val="auto"/>
        </w:rPr>
        <w:t>Revenues decreased by $0.7 million, or 0.7%, from $97.2 million for the three-month period ended September 30, 2018, to $96.5 million for the same period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in 2019. The decrease in revenues is mainly attributable to the expirations of the initial time charters of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in May, June and September 2018, respectively. Following the expirations of their initial charters,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traded in the spot market through The Cool Pool (the “Cool Pool”) until June 2019 and was subsequently rechartered to Gunvor, 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began a new, multi-year charter with Trafigura in August 2018 and the </w:t>
      </w:r>
      <w:r>
        <w:rPr>
          <w:rFonts w:ascii="Arial" w:cs="Arial" w:eastAsia="Arial" w:hAnsi="Arial"/>
          <w:sz w:val="15"/>
          <w:szCs w:val="15"/>
          <w:i w:val="1"/>
          <w:iCs w:val="1"/>
          <w:color w:val="auto"/>
        </w:rPr>
        <w:t xml:space="preserve">GasLog Sydney </w:t>
      </w:r>
      <w:r>
        <w:rPr>
          <w:rFonts w:ascii="Arial" w:cs="Arial" w:eastAsia="Arial" w:hAnsi="Arial"/>
          <w:sz w:val="15"/>
          <w:szCs w:val="15"/>
          <w:color w:val="auto"/>
        </w:rPr>
        <w:t>began a new, 18-month charter with Cheniere in December 2018. As a result, the average daily hire rate decreased from $72,813 for the three-month period</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30, 2018 to $70,684 for the three-month period ended September 30, 2019.</w:t>
      </w:r>
    </w:p>
    <w:p>
      <w:pPr>
        <w:spacing w:after="0" w:line="177" w:lineRule="exact"/>
        <w:rPr>
          <w:sz w:val="20"/>
          <w:szCs w:val="20"/>
          <w:color w:val="auto"/>
        </w:rPr>
      </w:pPr>
    </w:p>
    <w:p>
      <w:pPr>
        <w:ind w:firstLine="428"/>
        <w:spacing w:after="0" w:line="270" w:lineRule="auto"/>
        <w:rPr>
          <w:sz w:val="20"/>
          <w:szCs w:val="20"/>
          <w:color w:val="auto"/>
        </w:rPr>
      </w:pPr>
      <w:r>
        <w:rPr>
          <w:rFonts w:ascii="Arial" w:cs="Arial" w:eastAsia="Arial" w:hAnsi="Arial"/>
          <w:sz w:val="16"/>
          <w:szCs w:val="16"/>
          <w:b w:val="1"/>
          <w:bCs w:val="1"/>
          <w:i w:val="1"/>
          <w:iCs w:val="1"/>
          <w:color w:val="auto"/>
        </w:rPr>
        <w:t xml:space="preserve">Net Pool Allocation: </w:t>
      </w:r>
      <w:r>
        <w:rPr>
          <w:rFonts w:ascii="Arial" w:cs="Arial" w:eastAsia="Arial" w:hAnsi="Arial"/>
          <w:sz w:val="16"/>
          <w:szCs w:val="16"/>
          <w:color w:val="auto"/>
        </w:rPr>
        <w:t>Net pool allocation was $0.8 million in the three months ended September 30, 2018 and $0.0 million in the three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2019, following the removal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from the Cool Pool on June 23, 2019. The $0.8 million of net pool allocation in the three months ended September 30, 2018 represented the adjustment of the net results generated by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in accordance with the pool distribution formula before exiting the Cool Pool. In the three months ended September 30, 2019, GasLog Partners recognized gross revenues and gross voyage expenses and commissions of $0.0 million and $0.0 million, respectively, from the operation of the </w:t>
      </w:r>
      <w:r>
        <w:rPr>
          <w:rFonts w:ascii="Arial" w:cs="Arial" w:eastAsia="Arial" w:hAnsi="Arial"/>
          <w:sz w:val="16"/>
          <w:szCs w:val="16"/>
          <w:i w:val="1"/>
          <w:iCs w:val="1"/>
          <w:color w:val="auto"/>
        </w:rPr>
        <w:t>GasLog Shanghai</w:t>
      </w:r>
      <w:r>
        <w:rPr>
          <w:rFonts w:ascii="Arial" w:cs="Arial" w:eastAsia="Arial" w:hAnsi="Arial"/>
          <w:sz w:val="16"/>
          <w:szCs w:val="16"/>
          <w:color w:val="auto"/>
        </w:rPr>
        <w:t>, which entered the Cool Pool in May 2018 (September 30, 2018: $4.1 million and $0.2 million, respectively). GasLog Partners’ total net pool performance is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3020" w:type="dxa"/>
            <w:vAlign w:val="bottom"/>
            <w:gridSpan w:val="4"/>
          </w:tcPr>
          <w:p>
            <w:pPr>
              <w:ind w:left="540"/>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7860" w:type="dxa"/>
            <w:vAlign w:val="bottom"/>
          </w:tcPr>
          <w:p>
            <w:pPr>
              <w:spacing w:after="0"/>
              <w:rPr>
                <w:sz w:val="17"/>
                <w:szCs w:val="17"/>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786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r>
      <w:tr>
        <w:trPr>
          <w:trHeight w:val="202"/>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Pool gross revenues (included in Revenues)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4,110</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ind w:left="1200"/>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7"/>
                <w:szCs w:val="17"/>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rPr>
              <w:t>Pool gross voyage expenses and commissions (included in Voyage expenses and commissions)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(210)</w:t>
            </w:r>
          </w:p>
        </w:tc>
        <w:tc>
          <w:tcPr>
            <w:tcW w:w="1360" w:type="dxa"/>
            <w:vAlign w:val="bottom"/>
          </w:tcPr>
          <w:p>
            <w:pPr>
              <w:ind w:left="1200"/>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7"/>
                <w:szCs w:val="17"/>
                <w:color w:val="auto"/>
              </w:rPr>
            </w:pP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GasLog Partners’ adjustment for net pool allocation (Net pool allocation)</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780</w:t>
            </w:r>
          </w:p>
        </w:tc>
        <w:tc>
          <w:tcPr>
            <w:tcW w:w="28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ind w:left="1200"/>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7"/>
                <w:szCs w:val="17"/>
                <w:color w:val="auto"/>
              </w:rPr>
            </w:pPr>
          </w:p>
        </w:tc>
      </w:tr>
      <w:tr>
        <w:trPr>
          <w:trHeight w:val="196"/>
        </w:trPr>
        <w:tc>
          <w:tcPr>
            <w:tcW w:w="7860" w:type="dxa"/>
            <w:vAlign w:val="bottom"/>
          </w:tcPr>
          <w:p>
            <w:pPr>
              <w:spacing w:after="0"/>
              <w:rPr>
                <w:sz w:val="20"/>
                <w:szCs w:val="20"/>
                <w:color w:val="auto"/>
              </w:rPr>
            </w:pPr>
            <w:r>
              <w:rPr>
                <w:rFonts w:ascii="Arial" w:cs="Arial" w:eastAsia="Arial" w:hAnsi="Arial"/>
                <w:sz w:val="16"/>
                <w:szCs w:val="16"/>
                <w:b w:val="1"/>
                <w:bCs w:val="1"/>
                <w:color w:val="auto"/>
              </w:rPr>
              <w:t>GasLog Partners’ total net pool performance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4,680</w:t>
            </w:r>
          </w:p>
        </w:tc>
        <w:tc>
          <w:tcPr>
            <w:tcW w:w="280" w:type="dxa"/>
            <w:vAlign w:val="bottom"/>
          </w:tcPr>
          <w:p>
            <w:pPr>
              <w:spacing w:after="0"/>
              <w:rPr>
                <w:sz w:val="17"/>
                <w:szCs w:val="17"/>
                <w:color w:val="auto"/>
              </w:rPr>
            </w:pPr>
          </w:p>
        </w:tc>
        <w:tc>
          <w:tcPr>
            <w:tcW w:w="1360" w:type="dxa"/>
            <w:vAlign w:val="bottom"/>
            <w:tcBorders>
              <w:bottom w:val="single" w:sz="8" w:color="auto"/>
            </w:tcBorders>
          </w:tcPr>
          <w:p>
            <w:pPr>
              <w:ind w:left="1200"/>
              <w:spacing w:after="0"/>
              <w:rPr>
                <w:sz w:val="20"/>
                <w:szCs w:val="20"/>
                <w:color w:val="auto"/>
              </w:rPr>
            </w:pPr>
            <w:r>
              <w:rPr>
                <w:rFonts w:ascii="Arial" w:cs="Arial" w:eastAsia="Arial" w:hAnsi="Arial"/>
                <w:sz w:val="16"/>
                <w:szCs w:val="16"/>
                <w:color w:val="auto"/>
                <w:w w:val="87"/>
              </w:rPr>
              <w:t>—</w:t>
            </w:r>
          </w:p>
        </w:tc>
        <w:tc>
          <w:tcPr>
            <w:tcW w:w="20" w:type="dxa"/>
            <w:vAlign w:val="bottom"/>
            <w:tcBorders>
              <w:bottom w:val="single" w:sz="8" w:color="auto"/>
            </w:tcBorders>
          </w:tcPr>
          <w:p>
            <w:pPr>
              <w:spacing w:after="0"/>
              <w:rPr>
                <w:sz w:val="17"/>
                <w:szCs w:val="17"/>
                <w:color w:val="auto"/>
              </w:rPr>
            </w:pPr>
          </w:p>
        </w:tc>
      </w:tr>
    </w:tbl>
    <w:p>
      <w:pPr>
        <w:spacing w:after="0" w:line="206" w:lineRule="exact"/>
        <w:rPr>
          <w:sz w:val="20"/>
          <w:szCs w:val="20"/>
          <w:color w:val="auto"/>
        </w:rPr>
      </w:pPr>
    </w:p>
    <w:p>
      <w:pPr>
        <w:ind w:right="400" w:firstLine="428"/>
        <w:spacing w:after="0" w:line="273" w:lineRule="auto"/>
        <w:rPr>
          <w:sz w:val="20"/>
          <w:szCs w:val="20"/>
          <w:color w:val="auto"/>
        </w:rPr>
      </w:pPr>
      <w:r>
        <w:rPr>
          <w:rFonts w:ascii="Arial" w:cs="Arial" w:eastAsia="Arial" w:hAnsi="Arial"/>
          <w:sz w:val="16"/>
          <w:szCs w:val="16"/>
          <w:b w:val="1"/>
          <w:bCs w:val="1"/>
          <w:i w:val="1"/>
          <w:iCs w:val="1"/>
          <w:color w:val="auto"/>
        </w:rPr>
        <w:t xml:space="preserve">Voyage Expenses and Commissions: </w:t>
      </w:r>
      <w:r>
        <w:rPr>
          <w:rFonts w:ascii="Arial" w:cs="Arial" w:eastAsia="Arial" w:hAnsi="Arial"/>
          <w:sz w:val="16"/>
          <w:szCs w:val="16"/>
          <w:color w:val="auto"/>
        </w:rPr>
        <w:t>Voyage expenses and commissions decreased by $1.9 million, or 52.8%, from $3.6 million in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September 30, 2018 to $1.7 million in the three months ended September 30, 2019. The decrease in voyage expenses and commissions is mainly attributable to decreased bunker consumption costs following the rechartering under multi-year contracts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which had been operating in the spot market since the expirations of their initial time charters in 2018.</w:t>
      </w:r>
    </w:p>
    <w:p>
      <w:pPr>
        <w:spacing w:after="0" w:line="189" w:lineRule="exact"/>
        <w:rPr>
          <w:sz w:val="20"/>
          <w:szCs w:val="20"/>
          <w:color w:val="auto"/>
        </w:rPr>
      </w:pPr>
    </w:p>
    <w:p>
      <w:pPr>
        <w:ind w:right="40" w:firstLine="428"/>
        <w:spacing w:after="0" w:line="324" w:lineRule="auto"/>
        <w:rPr>
          <w:sz w:val="20"/>
          <w:szCs w:val="20"/>
          <w:color w:val="auto"/>
        </w:rPr>
      </w:pPr>
      <w:r>
        <w:rPr>
          <w:rFonts w:ascii="Arial" w:cs="Arial" w:eastAsia="Arial" w:hAnsi="Arial"/>
          <w:sz w:val="14"/>
          <w:szCs w:val="14"/>
          <w:b w:val="1"/>
          <w:bCs w:val="1"/>
          <w:i w:val="1"/>
          <w:iCs w:val="1"/>
          <w:color w:val="auto"/>
        </w:rPr>
        <w:t xml:space="preserve">Vessel Operating Costs: </w:t>
      </w:r>
      <w:r>
        <w:rPr>
          <w:rFonts w:ascii="Arial" w:cs="Arial" w:eastAsia="Arial" w:hAnsi="Arial"/>
          <w:sz w:val="14"/>
          <w:szCs w:val="14"/>
          <w:color w:val="auto"/>
        </w:rPr>
        <w:t>Vessel operating costs decreased by $0.5 million, or 2.7%, from $18.6 million for the three-month period ended September 30, 2018 to $18.1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million for the same period in 2019. The decrease is mainly attributable to a decrease of $0.8 million in crew wages, mainly due to the favorable movement of the EUR/USD exchange rate, which decreased by an average of 5.0% in the three months ended September 30, 2019 as compared to the same period in 2018. Daily operating costs per vessel also decreased from $14,438 per day for the three-month period ended September 30, 2018 to $14,065 per day for the three-month period ended September 30, 2019.</w:t>
      </w:r>
    </w:p>
    <w:p>
      <w:pPr>
        <w:spacing w:after="0" w:line="157" w:lineRule="exact"/>
        <w:rPr>
          <w:sz w:val="20"/>
          <w:szCs w:val="20"/>
          <w:color w:val="auto"/>
        </w:rPr>
      </w:pPr>
    </w:p>
    <w:p>
      <w:pPr>
        <w:ind w:right="600" w:firstLine="428"/>
        <w:spacing w:after="0" w:line="293"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were $4.9 million for both the three-month periods ended September 30, 2018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2019. This is mainly attributable to the fact that a decrease of $0.4 million in the administrative services fees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payable to GasLog in 2019 was entirely offset by an increase in other expenses of $0.4 million.</w:t>
      </w:r>
    </w:p>
    <w:p>
      <w:pPr>
        <w:spacing w:after="0" w:line="235" w:lineRule="exact"/>
        <w:rPr>
          <w:sz w:val="20"/>
          <w:szCs w:val="20"/>
          <w:color w:val="auto"/>
        </w:rPr>
      </w:pPr>
    </w:p>
    <w:p>
      <w:pPr>
        <w:ind w:right="180" w:firstLine="428"/>
        <w:spacing w:after="0" w:line="293" w:lineRule="auto"/>
        <w:rPr>
          <w:sz w:val="20"/>
          <w:szCs w:val="20"/>
          <w:color w:val="auto"/>
        </w:rPr>
      </w:pPr>
      <w:r>
        <w:rPr>
          <w:rFonts w:ascii="Arial" w:cs="Arial" w:eastAsia="Arial" w:hAnsi="Arial"/>
          <w:sz w:val="15"/>
          <w:szCs w:val="15"/>
          <w:b w:val="1"/>
          <w:bCs w:val="1"/>
          <w:i w:val="1"/>
          <w:iCs w:val="1"/>
          <w:color w:val="auto"/>
        </w:rPr>
        <w:t xml:space="preserve">Financial Costs: </w:t>
      </w:r>
      <w:r>
        <w:rPr>
          <w:rFonts w:ascii="Arial" w:cs="Arial" w:eastAsia="Arial" w:hAnsi="Arial"/>
          <w:sz w:val="15"/>
          <w:szCs w:val="15"/>
          <w:color w:val="auto"/>
        </w:rPr>
        <w:t>Financial costs decreased by $1.0 million, or 5.4%, from $18.5 million for the three-month period ended September 30, 2018 to $17.5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same period in 2019. The decrease in financial costs is mainly attributable to a decrease of $0.8 million in interest expense on loans, primarily due to the lower London Interbank Offered Rate (“LIBOR”) rates in the third quarter of 2019 as compared to the same period in 2018. During the three-month period ended September 30, 2018, we had an average of $1,423.5 million of outstanding indebtedness with a weighted average interest rate of 4.6%, compared to an average of $1,402.9 million of outstanding indebtedness with a weighted average interest rate of 4.4% during the three-month period ended September 30, 2019.</w:t>
      </w:r>
    </w:p>
    <w:p>
      <w:pPr>
        <w:spacing w:after="0" w:line="176" w:lineRule="exact"/>
        <w:rPr>
          <w:sz w:val="20"/>
          <w:szCs w:val="20"/>
          <w:color w:val="auto"/>
        </w:rPr>
      </w:pPr>
    </w:p>
    <w:p>
      <w:pPr>
        <w:ind w:right="60" w:firstLine="428"/>
        <w:spacing w:after="0" w:line="297" w:lineRule="auto"/>
        <w:rPr>
          <w:sz w:val="20"/>
          <w:szCs w:val="20"/>
          <w:color w:val="auto"/>
        </w:rPr>
      </w:pPr>
      <w:r>
        <w:rPr>
          <w:rFonts w:ascii="Arial" w:cs="Arial" w:eastAsia="Arial" w:hAnsi="Arial"/>
          <w:sz w:val="15"/>
          <w:szCs w:val="15"/>
          <w:b w:val="1"/>
          <w:bCs w:val="1"/>
          <w:i w:val="1"/>
          <w:iCs w:val="1"/>
          <w:color w:val="auto"/>
        </w:rPr>
        <w:t xml:space="preserve">Gain/(loss) on Derivatives: </w:t>
      </w:r>
      <w:r>
        <w:rPr>
          <w:rFonts w:ascii="Arial" w:cs="Arial" w:eastAsia="Arial" w:hAnsi="Arial"/>
          <w:sz w:val="15"/>
          <w:szCs w:val="15"/>
          <w:color w:val="auto"/>
        </w:rPr>
        <w:t>Gain on derivatives decreased by $4.5 million, from a gain of $2.1 million for the three-month period ended September 30, 2018 to a loss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$2.4 million for the same period in 2019. The decrease is attributable to a $4.1 million decrease in unrealized gain from the mark-to-market valuation of the derivatives which were carried at fair value through profit or loss, which reflected a gain of $1.7 million in the three months ended September 30, 2018 as compared to a loss of $2.4 million in the three months ended September 30, 2019, and a decrease of $0.4 million in realized gain on derivatives held for trading.</w:t>
      </w:r>
    </w:p>
    <w:p>
      <w:pPr>
        <w:spacing w:after="0" w:line="173" w:lineRule="exact"/>
        <w:rPr>
          <w:sz w:val="20"/>
          <w:szCs w:val="20"/>
          <w:color w:val="auto"/>
        </w:rPr>
      </w:pPr>
    </w:p>
    <w:p>
      <w:pPr>
        <w:ind w:right="440" w:firstLine="428"/>
        <w:spacing w:after="0" w:line="293" w:lineRule="auto"/>
        <w:rPr>
          <w:sz w:val="20"/>
          <w:szCs w:val="20"/>
          <w:color w:val="auto"/>
        </w:rPr>
      </w:pPr>
      <w:r>
        <w:rPr>
          <w:rFonts w:ascii="Arial" w:cs="Arial" w:eastAsia="Arial" w:hAnsi="Arial"/>
          <w:sz w:val="16"/>
          <w:szCs w:val="16"/>
          <w:b w:val="1"/>
          <w:bCs w:val="1"/>
          <w:i w:val="1"/>
          <w:iCs w:val="1"/>
          <w:color w:val="auto"/>
        </w:rPr>
        <w:t xml:space="preserve">Profit for the Period: </w:t>
      </w:r>
      <w:r>
        <w:rPr>
          <w:rFonts w:ascii="Arial" w:cs="Arial" w:eastAsia="Arial" w:hAnsi="Arial"/>
          <w:sz w:val="16"/>
          <w:szCs w:val="16"/>
          <w:color w:val="auto"/>
        </w:rPr>
        <w:t>Profit for the period decreased by $3.6 million, or 10.9%, from $33.0 million for the three-month period ended September 30, 2018 to $29.4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2019, as a result of the aforementioned factors.</w:t>
      </w:r>
    </w:p>
    <w:p>
      <w:pPr>
        <w:spacing w:after="0" w:line="172" w:lineRule="exact"/>
        <w:rPr>
          <w:sz w:val="20"/>
          <w:szCs w:val="20"/>
          <w:color w:val="auto"/>
        </w:rPr>
      </w:pPr>
    </w:p>
    <w:p>
      <w:pPr>
        <w:ind w:right="160" w:firstLine="428"/>
        <w:spacing w:after="0" w:line="273" w:lineRule="auto"/>
        <w:rPr>
          <w:sz w:val="20"/>
          <w:szCs w:val="20"/>
          <w:color w:val="auto"/>
        </w:rPr>
      </w:pPr>
      <w:r>
        <w:rPr>
          <w:rFonts w:ascii="Arial" w:cs="Arial" w:eastAsia="Arial" w:hAnsi="Arial"/>
          <w:sz w:val="16"/>
          <w:szCs w:val="16"/>
          <w:b w:val="1"/>
          <w:bCs w:val="1"/>
          <w:i w:val="1"/>
          <w:iCs w:val="1"/>
          <w:color w:val="auto"/>
        </w:rPr>
        <w:t xml:space="preserve">Profit Attributable to the Partnership: </w:t>
      </w:r>
      <w:r>
        <w:rPr>
          <w:rFonts w:ascii="Arial" w:cs="Arial" w:eastAsia="Arial" w:hAnsi="Arial"/>
          <w:sz w:val="16"/>
          <w:szCs w:val="16"/>
          <w:color w:val="auto"/>
        </w:rPr>
        <w:t>Profit attributable to the Partnership increased by $2.1 million, or 7.7%, from $27.3 million for the three-month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September 30, 2018 to $29.4 million for the three-month period ended September 30, 2019. The increase was mainly driven by the profits of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acquired by the Partnership on November 14, 2018 and April 1, 2019, respectively, partially offset by a $4.5 million decrease in gain on derivatives</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the Partnership.</w:t>
      </w:r>
    </w:p>
    <w:p>
      <w:pPr>
        <w:spacing w:after="0" w:line="189" w:lineRule="exact"/>
        <w:rPr>
          <w:sz w:val="20"/>
          <w:szCs w:val="20"/>
          <w:color w:val="auto"/>
        </w:rPr>
      </w:pPr>
    </w:p>
    <w:p>
      <w:pPr>
        <w:ind w:right="60" w:firstLine="428"/>
        <w:spacing w:after="0" w:line="273" w:lineRule="auto"/>
        <w:rPr>
          <w:sz w:val="20"/>
          <w:szCs w:val="20"/>
          <w:color w:val="auto"/>
        </w:rPr>
      </w:pPr>
      <w:r>
        <w:rPr>
          <w:rFonts w:ascii="Arial" w:cs="Arial" w:eastAsia="Arial" w:hAnsi="Arial"/>
          <w:sz w:val="16"/>
          <w:szCs w:val="16"/>
          <w:color w:val="auto"/>
        </w:rPr>
        <w:t xml:space="preserve">Specifically, the profit attributable to the Partnership was mainly affected by (a) an increase in revenues of $15.3 million contributed by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 xml:space="preserve">GasLog Glasgow </w:t>
      </w:r>
      <w:r>
        <w:rPr>
          <w:rFonts w:ascii="Arial" w:cs="Arial" w:eastAsia="Arial" w:hAnsi="Arial"/>
          <w:sz w:val="16"/>
          <w:szCs w:val="16"/>
          <w:color w:val="auto"/>
        </w:rPr>
        <w:t>after their drop-downs to the Partnership, partially offset by (b) an increase in operating expenses attributable to the Partnership of $2.4 million, mainly</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the operating expenses of the acquired vessels, and (c) an increase in depreciation expense attributable to the Partnership of $4.1 million, resulting primarily from the acquisition of the aforementioned vessels.</w:t>
      </w:r>
    </w:p>
    <w:p>
      <w:pPr>
        <w:spacing w:after="0" w:line="189" w:lineRule="exact"/>
        <w:rPr>
          <w:sz w:val="20"/>
          <w:szCs w:val="20"/>
          <w:color w:val="auto"/>
        </w:rPr>
      </w:pPr>
    </w:p>
    <w:p>
      <w:pPr>
        <w:ind w:right="40" w:firstLine="428"/>
        <w:spacing w:after="0" w:line="278" w:lineRule="auto"/>
        <w:rPr>
          <w:sz w:val="20"/>
          <w:szCs w:val="20"/>
          <w:color w:val="auto"/>
        </w:rPr>
      </w:pPr>
      <w:r>
        <w:rPr>
          <w:rFonts w:ascii="Arial" w:cs="Arial" w:eastAsia="Arial" w:hAnsi="Arial"/>
          <w:sz w:val="16"/>
          <w:szCs w:val="16"/>
          <w:color w:val="auto"/>
        </w:rPr>
        <w:t xml:space="preserve">In addition, the profit attributable to the Partnership was further affected by (a) an increase in financial costs attributable to the Partnership of $2.0 million, mainly due to increased interest expense with respect to the aggregate outstanding debt of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after their respective acquisitions by the Partnership, and (b) a decrease of $4.5 million in gain on derivatives.</w:t>
      </w:r>
    </w:p>
    <w:p>
      <w:pPr>
        <w:spacing w:after="0" w:line="184" w:lineRule="exact"/>
        <w:rPr>
          <w:sz w:val="20"/>
          <w:szCs w:val="20"/>
          <w:color w:val="auto"/>
        </w:rPr>
      </w:pPr>
    </w:p>
    <w:p>
      <w:pPr>
        <w:ind w:right="60" w:firstLine="428"/>
        <w:spacing w:after="0" w:line="273" w:lineRule="auto"/>
        <w:rPr>
          <w:sz w:val="20"/>
          <w:szCs w:val="20"/>
          <w:color w:val="auto"/>
        </w:rPr>
      </w:pPr>
      <w:r>
        <w:rPr>
          <w:rFonts w:ascii="Arial" w:cs="Arial" w:eastAsia="Arial" w:hAnsi="Arial"/>
          <w:sz w:val="16"/>
          <w:szCs w:val="16"/>
          <w:color w:val="auto"/>
        </w:rPr>
        <w:t>The above discussion of revenues, operating expenses, depreciation expense, financial costs and unrealized gain on derivatives in relation to the Profit attributable to the Partnership for the three-month period ended September 30, 2018 are non-GAAP measures that exclude amounts related to vessels currently owned by the Partnership for the periods prior to their respective transfers to GasLog Partners from GasLog. For a reconciliation of the results attributable to the Partnership to the most directly comparable IFRS reported results, refer to Appendix A included elsewhere in this report.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Nine-month period ended September 30, 2018 compared to the nine-month period ended September 30,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0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4700" w:type="dxa"/>
            <w:vAlign w:val="bottom"/>
            <w:gridSpan w:val="7"/>
          </w:tcPr>
          <w:p>
            <w:pPr>
              <w:jc w:val="center"/>
              <w:ind w:right="40"/>
              <w:spacing w:after="0"/>
              <w:rPr>
                <w:sz w:val="20"/>
                <w:szCs w:val="20"/>
                <w:color w:val="auto"/>
              </w:rPr>
            </w:pPr>
            <w:r>
              <w:rPr>
                <w:rFonts w:ascii="Arial" w:cs="Arial" w:eastAsia="Arial" w:hAnsi="Arial"/>
                <w:sz w:val="16"/>
                <w:szCs w:val="16"/>
                <w:b w:val="1"/>
                <w:bCs w:val="1"/>
                <w:color w:val="auto"/>
                <w:w w:val="92"/>
              </w:rPr>
              <w:t>IFRS Reported Common Control Results</w:t>
            </w:r>
          </w:p>
        </w:tc>
        <w:tc>
          <w:tcPr>
            <w:tcW w:w="0" w:type="dxa"/>
            <w:vAlign w:val="bottom"/>
          </w:tcPr>
          <w:p>
            <w:pPr>
              <w:spacing w:after="0"/>
              <w:rPr>
                <w:sz w:val="1"/>
                <w:szCs w:val="1"/>
                <w:color w:val="auto"/>
              </w:rPr>
            </w:pPr>
          </w:p>
        </w:tc>
      </w:tr>
      <w:tr>
        <w:trPr>
          <w:trHeight w:val="185"/>
        </w:trPr>
        <w:tc>
          <w:tcPr>
            <w:tcW w:w="6200" w:type="dxa"/>
            <w:vAlign w:val="bottom"/>
          </w:tcPr>
          <w:p>
            <w:pPr>
              <w:spacing w:after="0"/>
              <w:rPr>
                <w:sz w:val="16"/>
                <w:szCs w:val="16"/>
                <w:color w:val="auto"/>
              </w:rPr>
            </w:pPr>
          </w:p>
        </w:tc>
        <w:tc>
          <w:tcPr>
            <w:tcW w:w="166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13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18"/>
                <w:szCs w:val="18"/>
                <w:color w:val="auto"/>
              </w:rPr>
            </w:pP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280" w:type="dxa"/>
            <w:vAlign w:val="bottom"/>
          </w:tcPr>
          <w:p>
            <w:pPr>
              <w:spacing w:after="0"/>
              <w:rPr>
                <w:sz w:val="18"/>
                <w:szCs w:val="18"/>
                <w:color w:val="auto"/>
              </w:rPr>
            </w:pPr>
          </w:p>
        </w:tc>
        <w:tc>
          <w:tcPr>
            <w:tcW w:w="140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2"/>
        </w:trPr>
        <w:tc>
          <w:tcPr>
            <w:tcW w:w="62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288,626</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282,175</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(6,451)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Net pool allocation</w:t>
            </w:r>
          </w:p>
        </w:tc>
        <w:tc>
          <w:tcPr>
            <w:tcW w:w="1660" w:type="dxa"/>
            <w:vAlign w:val="bottom"/>
            <w:gridSpan w:val="2"/>
          </w:tcPr>
          <w:p>
            <w:pPr>
              <w:jc w:val="right"/>
              <w:ind w:right="280"/>
              <w:spacing w:after="0"/>
              <w:rPr>
                <w:sz w:val="20"/>
                <w:szCs w:val="20"/>
                <w:color w:val="auto"/>
              </w:rPr>
            </w:pPr>
            <w:r>
              <w:rPr>
                <w:rFonts w:ascii="Arial" w:cs="Arial" w:eastAsia="Arial" w:hAnsi="Arial"/>
                <w:sz w:val="16"/>
                <w:szCs w:val="16"/>
                <w:color w:val="auto"/>
              </w:rPr>
              <w:t>423</w:t>
            </w:r>
          </w:p>
        </w:tc>
        <w:tc>
          <w:tcPr>
            <w:tcW w:w="1360" w:type="dxa"/>
            <w:vAlign w:val="bottom"/>
          </w:tcPr>
          <w:p>
            <w:pPr>
              <w:jc w:val="right"/>
              <w:spacing w:after="0"/>
              <w:rPr>
                <w:sz w:val="20"/>
                <w:szCs w:val="20"/>
                <w:color w:val="auto"/>
              </w:rPr>
            </w:pPr>
            <w:r>
              <w:rPr>
                <w:rFonts w:ascii="Arial" w:cs="Arial" w:eastAsia="Arial" w:hAnsi="Arial"/>
                <w:sz w:val="16"/>
                <w:szCs w:val="16"/>
                <w:color w:val="auto"/>
              </w:rPr>
              <w:t>1,058</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6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(6,609)</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(5,547)</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(56,930)</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(55,295)</w:t>
            </w:r>
          </w:p>
        </w:tc>
        <w:tc>
          <w:tcPr>
            <w:tcW w:w="1360" w:type="dxa"/>
            <w:vAlign w:val="bottom"/>
          </w:tcPr>
          <w:p>
            <w:pPr>
              <w:jc w:val="right"/>
              <w:spacing w:after="0"/>
              <w:rPr>
                <w:sz w:val="20"/>
                <w:szCs w:val="20"/>
                <w:color w:val="auto"/>
              </w:rPr>
            </w:pPr>
            <w:r>
              <w:rPr>
                <w:rFonts w:ascii="Arial" w:cs="Arial" w:eastAsia="Arial" w:hAnsi="Arial"/>
                <w:sz w:val="16"/>
                <w:szCs w:val="16"/>
                <w:color w:val="auto"/>
              </w:rPr>
              <w:t>1,635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6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(65,458)</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(66,826)</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(1,368)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(14,668)</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(14,352)</w:t>
            </w:r>
          </w:p>
        </w:tc>
        <w:tc>
          <w:tcPr>
            <w:tcW w:w="1360" w:type="dxa"/>
            <w:vAlign w:val="bottom"/>
          </w:tcPr>
          <w:p>
            <w:pPr>
              <w:jc w:val="right"/>
              <w:spacing w:after="0"/>
              <w:rPr>
                <w:sz w:val="20"/>
                <w:szCs w:val="20"/>
                <w:color w:val="auto"/>
              </w:rPr>
            </w:pPr>
            <w:r>
              <w:rPr>
                <w:rFonts w:ascii="Arial" w:cs="Arial" w:eastAsia="Arial" w:hAnsi="Arial"/>
                <w:sz w:val="16"/>
                <w:szCs w:val="16"/>
                <w:color w:val="auto"/>
              </w:rPr>
              <w:t>316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145,384</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141,213</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(4,171)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Pr>
          <w:p>
            <w:pPr>
              <w:spacing w:after="0"/>
              <w:rPr>
                <w:sz w:val="20"/>
                <w:szCs w:val="20"/>
                <w:color w:val="auto"/>
              </w:rPr>
            </w:pPr>
            <w:r>
              <w:rPr>
                <w:rFonts w:ascii="Arial" w:cs="Arial" w:eastAsia="Arial" w:hAnsi="Arial"/>
                <w:sz w:val="16"/>
                <w:szCs w:val="16"/>
                <w:color w:val="auto"/>
              </w:rPr>
              <w:t>Financial costs</w:t>
            </w:r>
          </w:p>
        </w:tc>
        <w:tc>
          <w:tcPr>
            <w:tcW w:w="1380" w:type="dxa"/>
            <w:vAlign w:val="bottom"/>
          </w:tcPr>
          <w:p>
            <w:pPr>
              <w:jc w:val="right"/>
              <w:spacing w:after="0"/>
              <w:rPr>
                <w:sz w:val="20"/>
                <w:szCs w:val="20"/>
                <w:color w:val="auto"/>
              </w:rPr>
            </w:pPr>
            <w:r>
              <w:rPr>
                <w:rFonts w:ascii="Arial" w:cs="Arial" w:eastAsia="Arial" w:hAnsi="Arial"/>
                <w:sz w:val="16"/>
                <w:szCs w:val="16"/>
                <w:color w:val="auto"/>
              </w:rPr>
              <w:t>(54,113)</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(55,650)</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(1,537)</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6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1,718</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1,558</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Gain/(loss) on derivatives</w:t>
            </w:r>
          </w:p>
        </w:tc>
        <w:tc>
          <w:tcPr>
            <w:tcW w:w="1660" w:type="dxa"/>
            <w:vAlign w:val="bottom"/>
            <w:gridSpan w:val="2"/>
          </w:tcPr>
          <w:p>
            <w:pPr>
              <w:jc w:val="right"/>
              <w:ind w:right="280"/>
              <w:spacing w:after="0"/>
              <w:rPr>
                <w:sz w:val="20"/>
                <w:szCs w:val="20"/>
                <w:color w:val="auto"/>
              </w:rPr>
            </w:pPr>
            <w:r>
              <w:rPr>
                <w:rFonts w:ascii="Arial" w:cs="Arial" w:eastAsia="Arial" w:hAnsi="Arial"/>
                <w:sz w:val="16"/>
                <w:szCs w:val="16"/>
                <w:color w:val="auto"/>
              </w:rPr>
              <w:t>9,997</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(15,528)</w:t>
            </w:r>
          </w:p>
        </w:tc>
        <w:tc>
          <w:tcPr>
            <w:tcW w:w="1360" w:type="dxa"/>
            <w:vAlign w:val="bottom"/>
          </w:tcPr>
          <w:p>
            <w:pPr>
              <w:jc w:val="right"/>
              <w:spacing w:after="0"/>
              <w:rPr>
                <w:sz w:val="20"/>
                <w:szCs w:val="20"/>
                <w:color w:val="auto"/>
              </w:rPr>
            </w:pPr>
            <w:r>
              <w:rPr>
                <w:rFonts w:ascii="Arial" w:cs="Arial" w:eastAsia="Arial" w:hAnsi="Arial"/>
                <w:sz w:val="16"/>
                <w:szCs w:val="16"/>
                <w:color w:val="auto"/>
              </w:rPr>
              <w:t>(25,525)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102,986</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71,593</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(31,393)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6"/>
                <w:szCs w:val="16"/>
                <w:b w:val="1"/>
                <w:bCs w:val="1"/>
                <w:color w:val="auto"/>
              </w:rPr>
              <w:t>Profit attributable to Partnership’s operations</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gridSpan w:val="2"/>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line="20" w:lineRule="exact"/>
              <w:rPr>
                <w:sz w:val="1"/>
                <w:szCs w:val="1"/>
                <w:color w:val="auto"/>
              </w:rPr>
            </w:pPr>
          </w:p>
        </w:tc>
      </w:tr>
      <w:tr>
        <w:trPr>
          <w:trHeight w:val="183"/>
        </w:trPr>
        <w:tc>
          <w:tcPr>
            <w:tcW w:w="6200" w:type="dxa"/>
            <w:vAlign w:val="bottom"/>
            <w:vMerge w:val="continue"/>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82,173</w:t>
            </w:r>
          </w:p>
        </w:tc>
        <w:tc>
          <w:tcPr>
            <w:tcW w:w="280" w:type="dxa"/>
            <w:vAlign w:val="bottom"/>
            <w:vMerge w:val="continue"/>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68,943</w:t>
            </w: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(13,230</w:t>
            </w: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40" w:firstLine="405"/>
        <w:spacing w:after="0" w:line="329" w:lineRule="auto"/>
        <w:rPr>
          <w:sz w:val="20"/>
          <w:szCs w:val="20"/>
          <w:color w:val="auto"/>
        </w:rPr>
      </w:pPr>
      <w:r>
        <w:rPr>
          <w:rFonts w:ascii="Arial" w:cs="Arial" w:eastAsia="Arial" w:hAnsi="Arial"/>
          <w:sz w:val="15"/>
          <w:szCs w:val="15"/>
          <w:color w:val="auto"/>
        </w:rPr>
        <w:t>For the nine-month period ended September 30, 2018, we had an average of 15.0 vessels operating in our owned fleet having 3,963 revenue operating days, while during the nine-month period ended September 30, 2019, we had an average of 15.0 vessels operating in our owned fleet having 4,049 revenue operating days.</w:t>
      </w:r>
    </w:p>
    <w:p>
      <w:pPr>
        <w:spacing w:after="0" w:line="148" w:lineRule="exact"/>
        <w:rPr>
          <w:sz w:val="20"/>
          <w:szCs w:val="20"/>
          <w:color w:val="auto"/>
        </w:rPr>
      </w:pPr>
    </w:p>
    <w:p>
      <w:pPr>
        <w:ind w:firstLine="428"/>
        <w:spacing w:after="0" w:line="315" w:lineRule="auto"/>
        <w:rPr>
          <w:sz w:val="20"/>
          <w:szCs w:val="20"/>
          <w:color w:val="auto"/>
        </w:rPr>
      </w:pPr>
      <w:r>
        <w:rPr>
          <w:rFonts w:ascii="Arial" w:cs="Arial" w:eastAsia="Arial" w:hAnsi="Arial"/>
          <w:sz w:val="14"/>
          <w:szCs w:val="14"/>
          <w:b w:val="1"/>
          <w:bCs w:val="1"/>
          <w:i w:val="1"/>
          <w:iCs w:val="1"/>
          <w:color w:val="auto"/>
        </w:rPr>
        <w:t xml:space="preserve">Revenues: </w:t>
      </w:r>
      <w:r>
        <w:rPr>
          <w:rFonts w:ascii="Arial" w:cs="Arial" w:eastAsia="Arial" w:hAnsi="Arial"/>
          <w:sz w:val="14"/>
          <w:szCs w:val="14"/>
          <w:color w:val="auto"/>
        </w:rPr>
        <w:t>Revenues decreased by $6.4 million, or 2.2%, from $288.6 million for the nine-month period ended September 30, 2018 to $282.2 million for the same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period in 2019. The decrease in revenues is mainly attributable to the expirations of the initial time charters of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Santiago</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Sydney </w:t>
      </w:r>
      <w:r>
        <w:rPr>
          <w:rFonts w:ascii="Arial" w:cs="Arial" w:eastAsia="Arial" w:hAnsi="Arial"/>
          <w:sz w:val="14"/>
          <w:szCs w:val="14"/>
          <w:color w:val="auto"/>
        </w:rPr>
        <w:t>in May, June and September 2018, respectively. Following the expirations of their initial charters, the</w:t>
      </w:r>
      <w:r>
        <w:rPr>
          <w:rFonts w:ascii="Arial" w:cs="Arial" w:eastAsia="Arial" w:hAnsi="Arial"/>
          <w:sz w:val="14"/>
          <w:szCs w:val="14"/>
          <w:i w:val="1"/>
          <w:iCs w:val="1"/>
          <w:color w:val="auto"/>
        </w:rPr>
        <w:t xml:space="preserve"> GasLog Shanghai </w:t>
      </w:r>
      <w:r>
        <w:rPr>
          <w:rFonts w:ascii="Arial" w:cs="Arial" w:eastAsia="Arial" w:hAnsi="Arial"/>
          <w:sz w:val="14"/>
          <w:szCs w:val="14"/>
          <w:color w:val="auto"/>
        </w:rPr>
        <w:t>traded in the spot market through the Cool Pool</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until June 2019 and was subsequently rechartered to Gunvor, the </w:t>
      </w:r>
      <w:r>
        <w:rPr>
          <w:rFonts w:ascii="Arial" w:cs="Arial" w:eastAsia="Arial" w:hAnsi="Arial"/>
          <w:sz w:val="14"/>
          <w:szCs w:val="14"/>
          <w:i w:val="1"/>
          <w:iCs w:val="1"/>
          <w:color w:val="auto"/>
        </w:rPr>
        <w:t>GasLog Santiago</w:t>
      </w:r>
      <w:r>
        <w:rPr>
          <w:rFonts w:ascii="Arial" w:cs="Arial" w:eastAsia="Arial" w:hAnsi="Arial"/>
          <w:sz w:val="14"/>
          <w:szCs w:val="14"/>
          <w:color w:val="auto"/>
        </w:rPr>
        <w:t xml:space="preserve"> began a new, multi-year charter with Trafigura in August 2018 and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began a new, 18-month charter with Cheniere in December 2018. This decrease was partially offset by the decreased off-hire days due to scheduled dry-dockings. As a result, the average daily hire rate decreased from $72,830 for the nine-month period ended September 30, 2018 to $69,690 for the nine-month period ended September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30, 2019.</w:t>
      </w:r>
    </w:p>
    <w:p>
      <w:pPr>
        <w:spacing w:after="0" w:line="235" w:lineRule="exact"/>
        <w:rPr>
          <w:sz w:val="20"/>
          <w:szCs w:val="20"/>
          <w:color w:val="auto"/>
        </w:rPr>
      </w:pPr>
    </w:p>
    <w:p>
      <w:pPr>
        <w:ind w:right="60" w:firstLine="428"/>
        <w:spacing w:after="0" w:line="293" w:lineRule="auto"/>
        <w:rPr>
          <w:sz w:val="20"/>
          <w:szCs w:val="20"/>
          <w:color w:val="auto"/>
        </w:rPr>
      </w:pPr>
      <w:r>
        <w:rPr>
          <w:rFonts w:ascii="Arial" w:cs="Arial" w:eastAsia="Arial" w:hAnsi="Arial"/>
          <w:sz w:val="15"/>
          <w:szCs w:val="15"/>
          <w:b w:val="1"/>
          <w:bCs w:val="1"/>
          <w:i w:val="1"/>
          <w:iCs w:val="1"/>
          <w:color w:val="auto"/>
        </w:rPr>
        <w:t xml:space="preserve">Net Pool Allocation: </w:t>
      </w:r>
      <w:r>
        <w:rPr>
          <w:rFonts w:ascii="Arial" w:cs="Arial" w:eastAsia="Arial" w:hAnsi="Arial"/>
          <w:sz w:val="15"/>
          <w:szCs w:val="15"/>
          <w:color w:val="auto"/>
        </w:rPr>
        <w:t>Net pool allocation was $0.4 million in the nine months ended September 30, 2018 and $1.1 million in the nine months ended September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2019. The $1.1 million of net pool allocation in the nine months ended September 30, 2019 represents the adjustment of the net results generated by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in accordance with the pool distribution formula before exiting the Cool Pool on June 23, 2019. In the nine months ended September 30, 2019, GasLog Partners recognized gross revenues and gross voyage expenses and commissions of $5.0 million and $0.7 million, respectively, from the operation of the </w:t>
      </w:r>
      <w:r>
        <w:rPr>
          <w:rFonts w:ascii="Arial" w:cs="Arial" w:eastAsia="Arial" w:hAnsi="Arial"/>
          <w:sz w:val="15"/>
          <w:szCs w:val="15"/>
          <w:i w:val="1"/>
          <w:iCs w:val="1"/>
          <w:color w:val="auto"/>
        </w:rPr>
        <w:t>GasLog Shanghai</w:t>
      </w:r>
      <w:r>
        <w:rPr>
          <w:rFonts w:ascii="Arial" w:cs="Arial" w:eastAsia="Arial" w:hAnsi="Arial"/>
          <w:sz w:val="15"/>
          <w:szCs w:val="15"/>
          <w:color w:val="auto"/>
        </w:rPr>
        <w:t>, which entered the Cool Pool in May 2018 (September 30, 2018: $5.6 million and $0.3 million, respectively). GasLog Partners’ total net pool performance is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3040" w:type="dxa"/>
            <w:vAlign w:val="bottom"/>
            <w:gridSpan w:val="4"/>
          </w:tcPr>
          <w:p>
            <w:pPr>
              <w:ind w:left="560"/>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7860" w:type="dxa"/>
            <w:vAlign w:val="bottom"/>
          </w:tcPr>
          <w:p>
            <w:pPr>
              <w:spacing w:after="0"/>
              <w:rPr>
                <w:sz w:val="17"/>
                <w:szCs w:val="17"/>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786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r>
      <w:tr>
        <w:trPr>
          <w:trHeight w:val="202"/>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Pool gross revenues (included in Revenues)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5,626</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4,994</w:t>
            </w:r>
          </w:p>
        </w:tc>
        <w:tc>
          <w:tcPr>
            <w:tcW w:w="40" w:type="dxa"/>
            <w:vAlign w:val="bottom"/>
          </w:tcPr>
          <w:p>
            <w:pPr>
              <w:spacing w:after="0"/>
              <w:rPr>
                <w:sz w:val="17"/>
                <w:szCs w:val="17"/>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rPr>
              <w:t>Pool gross voyage expenses and commissions (included in Voyage expenses and commissions)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(288)</w:t>
            </w:r>
          </w:p>
        </w:tc>
        <w:tc>
          <w:tcPr>
            <w:tcW w:w="1360" w:type="dxa"/>
            <w:vAlign w:val="bottom"/>
          </w:tcPr>
          <w:p>
            <w:pPr>
              <w:jc w:val="right"/>
              <w:spacing w:after="0"/>
              <w:rPr>
                <w:sz w:val="20"/>
                <w:szCs w:val="20"/>
                <w:color w:val="auto"/>
              </w:rPr>
            </w:pPr>
            <w:r>
              <w:rPr>
                <w:rFonts w:ascii="Arial" w:cs="Arial" w:eastAsia="Arial" w:hAnsi="Arial"/>
                <w:sz w:val="16"/>
                <w:szCs w:val="16"/>
                <w:color w:val="auto"/>
              </w:rPr>
              <w:t>(672)</w:t>
            </w:r>
          </w:p>
        </w:tc>
        <w:tc>
          <w:tcPr>
            <w:tcW w:w="40" w:type="dxa"/>
            <w:vAlign w:val="bottom"/>
          </w:tcPr>
          <w:p>
            <w:pPr>
              <w:spacing w:after="0"/>
              <w:rPr>
                <w:sz w:val="17"/>
                <w:szCs w:val="17"/>
                <w:color w:val="auto"/>
              </w:rPr>
            </w:pP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GasLog Partners’ adjustment for net pool allocation (Net pool allocation)</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423</w:t>
            </w:r>
          </w:p>
        </w:tc>
        <w:tc>
          <w:tcPr>
            <w:tcW w:w="28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1,058</w:t>
            </w:r>
          </w:p>
        </w:tc>
        <w:tc>
          <w:tcPr>
            <w:tcW w:w="40" w:type="dxa"/>
            <w:vAlign w:val="bottom"/>
          </w:tcPr>
          <w:p>
            <w:pPr>
              <w:spacing w:after="0"/>
              <w:rPr>
                <w:sz w:val="17"/>
                <w:szCs w:val="17"/>
                <w:color w:val="auto"/>
              </w:rPr>
            </w:pPr>
          </w:p>
        </w:tc>
      </w:tr>
      <w:tr>
        <w:trPr>
          <w:trHeight w:val="196"/>
        </w:trPr>
        <w:tc>
          <w:tcPr>
            <w:tcW w:w="7860" w:type="dxa"/>
            <w:vAlign w:val="bottom"/>
          </w:tcPr>
          <w:p>
            <w:pPr>
              <w:spacing w:after="0"/>
              <w:rPr>
                <w:sz w:val="20"/>
                <w:szCs w:val="20"/>
                <w:color w:val="auto"/>
              </w:rPr>
            </w:pPr>
            <w:r>
              <w:rPr>
                <w:rFonts w:ascii="Arial" w:cs="Arial" w:eastAsia="Arial" w:hAnsi="Arial"/>
                <w:sz w:val="16"/>
                <w:szCs w:val="16"/>
                <w:b w:val="1"/>
                <w:bCs w:val="1"/>
                <w:color w:val="auto"/>
              </w:rPr>
              <w:t>GasLog Partners’ total net pool performance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5,761</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5,380</w:t>
            </w:r>
          </w:p>
        </w:tc>
        <w:tc>
          <w:tcPr>
            <w:tcW w:w="40" w:type="dxa"/>
            <w:vAlign w:val="bottom"/>
          </w:tcPr>
          <w:p>
            <w:pPr>
              <w:spacing w:after="0"/>
              <w:rPr>
                <w:sz w:val="17"/>
                <w:szCs w:val="17"/>
                <w:color w:val="auto"/>
              </w:rPr>
            </w:pPr>
          </w:p>
        </w:tc>
      </w:tr>
    </w:tbl>
    <w:p>
      <w:pPr>
        <w:spacing w:after="0" w:line="206" w:lineRule="exact"/>
        <w:rPr>
          <w:sz w:val="20"/>
          <w:szCs w:val="20"/>
          <w:color w:val="auto"/>
        </w:rPr>
      </w:pPr>
    </w:p>
    <w:p>
      <w:pPr>
        <w:ind w:right="440" w:firstLine="428"/>
        <w:spacing w:after="0" w:line="273" w:lineRule="auto"/>
        <w:rPr>
          <w:sz w:val="20"/>
          <w:szCs w:val="20"/>
          <w:color w:val="auto"/>
        </w:rPr>
      </w:pPr>
      <w:r>
        <w:rPr>
          <w:rFonts w:ascii="Arial" w:cs="Arial" w:eastAsia="Arial" w:hAnsi="Arial"/>
          <w:sz w:val="16"/>
          <w:szCs w:val="16"/>
          <w:b w:val="1"/>
          <w:bCs w:val="1"/>
          <w:i w:val="1"/>
          <w:iCs w:val="1"/>
          <w:color w:val="auto"/>
        </w:rPr>
        <w:t xml:space="preserve">Voyage Expenses and Commissions: </w:t>
      </w:r>
      <w:r>
        <w:rPr>
          <w:rFonts w:ascii="Arial" w:cs="Arial" w:eastAsia="Arial" w:hAnsi="Arial"/>
          <w:sz w:val="16"/>
          <w:szCs w:val="16"/>
          <w:color w:val="auto"/>
        </w:rPr>
        <w:t>Voyage expenses and commissions decreased by $1.1 million, or 16.7%, from $6.6 million in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September 30, 2018 to $5.5 million in the nine months ended September 30, 2019. The decrease in voyage expenses and commissions is mainly attributable to decreased bunker consumption costs following the rechartering under multi-year contracts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which had been operating in the spot market since the expirations of their initial time charters in 2018.</w:t>
      </w:r>
    </w:p>
    <w:p>
      <w:pPr>
        <w:spacing w:after="0" w:line="189" w:lineRule="exact"/>
        <w:rPr>
          <w:sz w:val="20"/>
          <w:szCs w:val="20"/>
          <w:color w:val="auto"/>
        </w:rPr>
      </w:pPr>
    </w:p>
    <w:p>
      <w:pPr>
        <w:ind w:right="120" w:firstLine="428"/>
        <w:spacing w:after="0" w:line="271" w:lineRule="auto"/>
        <w:rPr>
          <w:sz w:val="20"/>
          <w:szCs w:val="20"/>
          <w:color w:val="auto"/>
        </w:rPr>
      </w:pPr>
      <w:r>
        <w:rPr>
          <w:rFonts w:ascii="Arial" w:cs="Arial" w:eastAsia="Arial" w:hAnsi="Arial"/>
          <w:sz w:val="16"/>
          <w:szCs w:val="16"/>
          <w:b w:val="1"/>
          <w:bCs w:val="1"/>
          <w:i w:val="1"/>
          <w:iCs w:val="1"/>
          <w:color w:val="auto"/>
        </w:rPr>
        <w:t xml:space="preserve">Vessel Operating Costs: </w:t>
      </w:r>
      <w:r>
        <w:rPr>
          <w:rFonts w:ascii="Arial" w:cs="Arial" w:eastAsia="Arial" w:hAnsi="Arial"/>
          <w:sz w:val="16"/>
          <w:szCs w:val="16"/>
          <w:color w:val="auto"/>
        </w:rPr>
        <w:t>Vessel operating costs decreased by $1.6 million, or 2.8%, from $56.9 million for the nine-month period ended September 30, 2018 to $55.3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2019. The decrease in vessel operating costs is mainly attributable to a decrease of $2.0 million in crew wages, mainly due to the favorable movement of the EUR/USD exchange rate, which decreased by an average of 6.0% in the first nine months of 2019 as compared to the same period in 2018. As a result, daily operating costs per vessel decreased from $14,895 per day for the nine-month period ended September 30, 2018 to $14,468 per day for the nine-month period ended September 30, 2019.</w:t>
      </w:r>
    </w:p>
    <w:p>
      <w:pPr>
        <w:spacing w:after="0" w:line="190" w:lineRule="exact"/>
        <w:rPr>
          <w:sz w:val="20"/>
          <w:szCs w:val="20"/>
          <w:color w:val="auto"/>
        </w:rPr>
      </w:pPr>
    </w:p>
    <w:p>
      <w:pPr>
        <w:ind w:right="20" w:firstLine="428"/>
        <w:spacing w:after="0" w:line="278"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decreased by $0.3 million, or 2.0%, from $14.7 million for the nine-month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2018 to $14.4 million for the same period in 2019. The decrease in general and administrative expenses is mainly attributable to a decrease of $1.0 million in the administrative services fees payable to GasLog in 2019, partially offset by an increase in other expenses of $0.7 million.</w:t>
      </w:r>
    </w:p>
    <w:p>
      <w:pPr>
        <w:spacing w:after="0" w:line="184" w:lineRule="exact"/>
        <w:rPr>
          <w:sz w:val="20"/>
          <w:szCs w:val="20"/>
          <w:color w:val="auto"/>
        </w:rPr>
      </w:pPr>
    </w:p>
    <w:p>
      <w:pPr>
        <w:ind w:firstLine="428"/>
        <w:spacing w:after="0" w:line="271"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increased by $1.6 million, or 3.0%, from $54.1 million for the nine-month period ended September 30, 2018 to $55.7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2019. The increase in financial costs is mainly attributable to an increase of $1.7 million in interest expense on loans, primarily due to the higher LIBOR rates in the first nine months of 2019 as compared to the same period in 2018. During the nine-month period ended September 30, 2018, we had an average of $1,464.2 million of outstanding indebtedness with a weighted average interest rate of 4.3%, compared to an average of $1,400.6 million of outstanding indebtedness with a weighted average interest rate of 4.6% during the nine-month period ended September 30, 2019.</w:t>
      </w:r>
    </w:p>
    <w:p>
      <w:pPr>
        <w:spacing w:after="0" w:line="190" w:lineRule="exact"/>
        <w:rPr>
          <w:sz w:val="20"/>
          <w:szCs w:val="20"/>
          <w:color w:val="auto"/>
        </w:rPr>
      </w:pPr>
    </w:p>
    <w:p>
      <w:pPr>
        <w:ind w:right="120" w:firstLine="428"/>
        <w:spacing w:after="0" w:line="297" w:lineRule="auto"/>
        <w:rPr>
          <w:sz w:val="20"/>
          <w:szCs w:val="20"/>
          <w:color w:val="auto"/>
        </w:rPr>
      </w:pPr>
      <w:r>
        <w:rPr>
          <w:rFonts w:ascii="Arial" w:cs="Arial" w:eastAsia="Arial" w:hAnsi="Arial"/>
          <w:sz w:val="15"/>
          <w:szCs w:val="15"/>
          <w:b w:val="1"/>
          <w:bCs w:val="1"/>
          <w:i w:val="1"/>
          <w:iCs w:val="1"/>
          <w:color w:val="auto"/>
        </w:rPr>
        <w:t xml:space="preserve">Gain/(loss) on Derivatives: </w:t>
      </w:r>
      <w:r>
        <w:rPr>
          <w:rFonts w:ascii="Arial" w:cs="Arial" w:eastAsia="Arial" w:hAnsi="Arial"/>
          <w:sz w:val="15"/>
          <w:szCs w:val="15"/>
          <w:color w:val="auto"/>
        </w:rPr>
        <w:t>Gain on derivatives decreased by $25.5 million, from a gain of $10.0 million for the nine-month period ended September 30, 2018 to a loss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$15.5 million for the same period in 2019. The decrease is attributable to a $25.7 million decrease in unrealized gain from the mark-to-market valuation of the derivatives which were carried at fair value through profit or loss, which reflected a gain of $9.0 million in the nine months ended September 30, 2018 as compared to a loss of $16.7 million in the nine months ended September 30, 2019, partially offset by an increase of $0.2 million in realized gain on derivatives held for trading.</w:t>
      </w:r>
    </w:p>
    <w:p>
      <w:pPr>
        <w:spacing w:after="0" w:line="173" w:lineRule="exact"/>
        <w:rPr>
          <w:sz w:val="20"/>
          <w:szCs w:val="20"/>
          <w:color w:val="auto"/>
        </w:rPr>
      </w:pPr>
    </w:p>
    <w:p>
      <w:pPr>
        <w:ind w:right="340" w:firstLine="428"/>
        <w:spacing w:after="0" w:line="293" w:lineRule="auto"/>
        <w:rPr>
          <w:sz w:val="20"/>
          <w:szCs w:val="20"/>
          <w:color w:val="auto"/>
        </w:rPr>
      </w:pPr>
      <w:r>
        <w:rPr>
          <w:rFonts w:ascii="Arial" w:cs="Arial" w:eastAsia="Arial" w:hAnsi="Arial"/>
          <w:sz w:val="16"/>
          <w:szCs w:val="16"/>
          <w:b w:val="1"/>
          <w:bCs w:val="1"/>
          <w:i w:val="1"/>
          <w:iCs w:val="1"/>
          <w:color w:val="auto"/>
        </w:rPr>
        <w:t xml:space="preserve">Profit for the Period: </w:t>
      </w:r>
      <w:r>
        <w:rPr>
          <w:rFonts w:ascii="Arial" w:cs="Arial" w:eastAsia="Arial" w:hAnsi="Arial"/>
          <w:sz w:val="16"/>
          <w:szCs w:val="16"/>
          <w:color w:val="auto"/>
        </w:rPr>
        <w:t>Profit for the period decreased by $31.4 million, or 30.5%, from $103.0 million for the nine-month period ended September 30, 2018 to $71.6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2019, as a result of the aforementioned factors.</w:t>
      </w:r>
    </w:p>
    <w:p>
      <w:pPr>
        <w:spacing w:after="0" w:line="172" w:lineRule="exact"/>
        <w:rPr>
          <w:sz w:val="20"/>
          <w:szCs w:val="20"/>
          <w:color w:val="auto"/>
        </w:rPr>
      </w:pPr>
    </w:p>
    <w:p>
      <w:pPr>
        <w:ind w:right="120" w:firstLine="428"/>
        <w:spacing w:after="0" w:line="273" w:lineRule="auto"/>
        <w:rPr>
          <w:sz w:val="20"/>
          <w:szCs w:val="20"/>
          <w:color w:val="auto"/>
        </w:rPr>
      </w:pPr>
      <w:r>
        <w:rPr>
          <w:rFonts w:ascii="Arial" w:cs="Arial" w:eastAsia="Arial" w:hAnsi="Arial"/>
          <w:sz w:val="16"/>
          <w:szCs w:val="16"/>
          <w:b w:val="1"/>
          <w:bCs w:val="1"/>
          <w:i w:val="1"/>
          <w:iCs w:val="1"/>
          <w:color w:val="auto"/>
        </w:rPr>
        <w:t xml:space="preserve">Profit Attributable to the Partnership: </w:t>
      </w:r>
      <w:r>
        <w:rPr>
          <w:rFonts w:ascii="Arial" w:cs="Arial" w:eastAsia="Arial" w:hAnsi="Arial"/>
          <w:sz w:val="16"/>
          <w:szCs w:val="16"/>
          <w:color w:val="auto"/>
        </w:rPr>
        <w:t>Profit attributable to the Partnership decreased by $13.3 million, or 16.2%, from $82.2 million for the nine-month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September 30, 2018 to $68.9 million for the nine-month period ended September 30, 2019. The decrease was mainly driven by a $25.5 million decrease in gain on derivatives attributable to the Partnership, partially offset by the profits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acquired by the Partnership on April 26, 2018, November 14, 2018 and April 1, 2019, respectively.</w:t>
      </w:r>
    </w:p>
    <w:p>
      <w:pPr>
        <w:spacing w:after="0" w:line="189" w:lineRule="exact"/>
        <w:rPr>
          <w:sz w:val="20"/>
          <w:szCs w:val="20"/>
          <w:color w:val="auto"/>
        </w:rPr>
      </w:pPr>
    </w:p>
    <w:p>
      <w:pPr>
        <w:jc w:val="both"/>
        <w:ind w:right="440" w:firstLine="428"/>
        <w:spacing w:after="0" w:line="297" w:lineRule="auto"/>
        <w:rPr>
          <w:sz w:val="20"/>
          <w:szCs w:val="20"/>
          <w:color w:val="auto"/>
        </w:rPr>
      </w:pPr>
      <w:r>
        <w:rPr>
          <w:rFonts w:ascii="Arial" w:cs="Arial" w:eastAsia="Arial" w:hAnsi="Arial"/>
          <w:sz w:val="15"/>
          <w:szCs w:val="15"/>
          <w:color w:val="auto"/>
        </w:rPr>
        <w:t xml:space="preserve">Specifically, the profit attributable to the Partnership was mainly affected by (a) an increase in revenues of $40.8 million ($39.6 million contributed by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Gibraltar</w:t>
      </w:r>
      <w:r>
        <w:rPr>
          <w:rFonts w:ascii="Arial" w:cs="Arial" w:eastAsia="Arial" w:hAnsi="Arial"/>
          <w:sz w:val="15"/>
          <w:szCs w:val="15"/>
          <w:color w:val="auto"/>
        </w:rPr>
        <w:t>, the</w:t>
      </w:r>
      <w:r>
        <w:rPr>
          <w:rFonts w:ascii="Arial" w:cs="Arial" w:eastAsia="Arial" w:hAnsi="Arial"/>
          <w:sz w:val="15"/>
          <w:szCs w:val="15"/>
          <w:i w:val="1"/>
          <w:iCs w:val="1"/>
          <w:color w:val="auto"/>
        </w:rPr>
        <w:t xml:space="preserve"> Methane Becki Anne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GasLog Glasgow </w:t>
      </w:r>
      <w:r>
        <w:rPr>
          <w:rFonts w:ascii="Arial" w:cs="Arial" w:eastAsia="Arial" w:hAnsi="Arial"/>
          <w:sz w:val="15"/>
          <w:szCs w:val="15"/>
          <w:color w:val="auto"/>
        </w:rPr>
        <w:t>after their drop-downs to the Partnership and $1.2 million by the remaining fleet), partially offset by (b) an</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in operating expenses attributable to the Partnership of $7.3 million, mainly attributable to the operating expenses of the acquired vessels, and (c) an increase in depreciation expense attributable to the Partnership of $11.9 million, resulting primarily from the acquisition of the aforementioned vessels.</w:t>
      </w:r>
    </w:p>
    <w:p>
      <w:pPr>
        <w:spacing w:after="0" w:line="173" w:lineRule="exact"/>
        <w:rPr>
          <w:sz w:val="20"/>
          <w:szCs w:val="20"/>
          <w:color w:val="auto"/>
        </w:rPr>
      </w:pPr>
    </w:p>
    <w:p>
      <w:pPr>
        <w:ind w:right="40" w:firstLine="428"/>
        <w:spacing w:after="0" w:line="278" w:lineRule="auto"/>
        <w:rPr>
          <w:sz w:val="20"/>
          <w:szCs w:val="20"/>
          <w:color w:val="auto"/>
        </w:rPr>
      </w:pPr>
      <w:r>
        <w:rPr>
          <w:rFonts w:ascii="Arial" w:cs="Arial" w:eastAsia="Arial" w:hAnsi="Arial"/>
          <w:sz w:val="16"/>
          <w:szCs w:val="16"/>
          <w:color w:val="auto"/>
        </w:rPr>
        <w:t xml:space="preserve">In addition, the profit attributable to the Partnership was further affected by (a) an increase in financial costs attributable to the Partnership of $9.9 million, mainly due to increased interest expense with respect to the aggregate outstanding debt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after their respective acquisitions by the Partnership, and (b) a decrease of $25.5 million in gain on derivatives.</w:t>
      </w:r>
    </w:p>
    <w:p>
      <w:pPr>
        <w:spacing w:after="0" w:line="184" w:lineRule="exact"/>
        <w:rPr>
          <w:sz w:val="20"/>
          <w:szCs w:val="20"/>
          <w:color w:val="auto"/>
        </w:rPr>
      </w:pPr>
    </w:p>
    <w:p>
      <w:pPr>
        <w:ind w:right="60" w:firstLine="428"/>
        <w:spacing w:after="0" w:line="278" w:lineRule="auto"/>
        <w:rPr>
          <w:sz w:val="20"/>
          <w:szCs w:val="20"/>
          <w:color w:val="auto"/>
        </w:rPr>
      </w:pPr>
      <w:r>
        <w:rPr>
          <w:rFonts w:ascii="Arial" w:cs="Arial" w:eastAsia="Arial" w:hAnsi="Arial"/>
          <w:sz w:val="16"/>
          <w:szCs w:val="16"/>
          <w:color w:val="auto"/>
        </w:rPr>
        <w:t>The above discussion of revenues, operating expenses, depreciation expense, financial costs and unrealized gain on derivatives in relation to the Profit attributable to the Partnership for the nine-month period ended September 30, 2018 are non-GAAP measures that exclude amounts related to vessels currently owned by the Partnership for the periods prior to their respective transfers to GasLog Partners from GasLog. For a reconciliation 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the results attributable to the Partnership to the most directly comparable IFRS reported results, refer to Appendix A included elsewhere in this report.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9" w:lineRule="exact"/>
        <w:rPr>
          <w:sz w:val="20"/>
          <w:szCs w:val="20"/>
          <w:color w:val="auto"/>
        </w:rPr>
      </w:pPr>
    </w:p>
    <w:p>
      <w:pPr>
        <w:ind w:right="260" w:firstLine="510"/>
        <w:spacing w:after="0" w:line="293" w:lineRule="auto"/>
        <w:rPr>
          <w:sz w:val="20"/>
          <w:szCs w:val="20"/>
          <w:color w:val="auto"/>
        </w:rPr>
      </w:pPr>
      <w:r>
        <w:rPr>
          <w:rFonts w:ascii="Arial" w:cs="Arial" w:eastAsia="Arial" w:hAnsi="Arial"/>
          <w:sz w:val="15"/>
          <w:szCs w:val="15"/>
          <w:color w:val="auto"/>
        </w:rPr>
        <w:t>We operate in a capital-intensive industry and we expect to finance the purchase of additional vessels and other capital expenditures through a combination of borrowings from commercial banks, cash generated from operations and debt and equity financings, if any. In addition to paying distributions and potentially repurchasing common units, our other liquidity requirements relate to paying our operating and general and administrative expenses, servicing our debt, funding investments, 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76" w:lineRule="exact"/>
        <w:rPr>
          <w:sz w:val="20"/>
          <w:szCs w:val="20"/>
          <w:color w:val="auto"/>
        </w:rPr>
      </w:pPr>
    </w:p>
    <w:p>
      <w:pPr>
        <w:ind w:right="100" w:firstLine="510"/>
        <w:spacing w:after="0" w:line="278" w:lineRule="auto"/>
        <w:rPr>
          <w:sz w:val="20"/>
          <w:szCs w:val="20"/>
          <w:color w:val="auto"/>
        </w:rPr>
      </w:pPr>
      <w:r>
        <w:rPr>
          <w:rFonts w:ascii="Arial" w:cs="Arial" w:eastAsia="Arial" w:hAnsi="Arial"/>
          <w:sz w:val="16"/>
          <w:szCs w:val="16"/>
          <w:color w:val="auto"/>
        </w:rPr>
        <w:t>As of September 30, 2019, we had $65.8 million of cash and cash equivalents, of which $11.4 million was held in current accounts and $54.4 million was held in time deposits with an original duration of less than three months. An additional amount of $9.0 million of time deposits with an original duration greater than three months was classified as short-term investments.</w:t>
      </w:r>
    </w:p>
    <w:p>
      <w:pPr>
        <w:spacing w:after="0" w:line="184" w:lineRule="exact"/>
        <w:rPr>
          <w:sz w:val="20"/>
          <w:szCs w:val="20"/>
          <w:color w:val="auto"/>
        </w:rPr>
      </w:pPr>
    </w:p>
    <w:p>
      <w:pPr>
        <w:ind w:firstLine="510"/>
        <w:spacing w:after="0" w:line="297" w:lineRule="auto"/>
        <w:rPr>
          <w:sz w:val="20"/>
          <w:szCs w:val="20"/>
          <w:color w:val="auto"/>
        </w:rPr>
      </w:pPr>
      <w:r>
        <w:rPr>
          <w:rFonts w:ascii="Arial" w:cs="Arial" w:eastAsia="Arial" w:hAnsi="Arial"/>
          <w:sz w:val="15"/>
          <w:szCs w:val="15"/>
          <w:color w:val="auto"/>
        </w:rPr>
        <w:t>In the three months ended September 30, 2019, GasLog Partners repurchased and cancelled 508,908 common units at a weighted average price of $19.84 under its unit repurchase programme authorized in January 2019, for a total amount of $10.1 million, including commissions. Since the authorization of the unit repurchase programme and through October 30, 2019, GasLog Partners has repurchased and cancelled a total of 985,259 units at a weighted average price of $20.31 per common unit for a total amount of $20.0 million, including commissions. As of October 30, 2019, the unutilized portion of the unit repurchase programme was $5.0 million.</w:t>
      </w:r>
    </w:p>
    <w:p>
      <w:pPr>
        <w:spacing w:after="0" w:line="173"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As of September 30, 2019, we had an aggregate of $1,370.9 million of borrowings outstanding under our credit facilities, of which $110.3 million is repayable within one year. In addition, as of September 30, 2019, we had unused availability under our revolving credit facilities of $58.0 million.</w:t>
      </w:r>
    </w:p>
    <w:p>
      <w:pPr>
        <w:spacing w:after="0" w:line="172" w:lineRule="exact"/>
        <w:rPr>
          <w:sz w:val="20"/>
          <w:szCs w:val="20"/>
          <w:color w:val="auto"/>
        </w:rPr>
      </w:pPr>
    </w:p>
    <w:p>
      <w:pPr>
        <w:jc w:val="both"/>
        <w:ind w:right="180" w:firstLine="510"/>
        <w:spacing w:after="0" w:line="278" w:lineRule="auto"/>
        <w:rPr>
          <w:sz w:val="20"/>
          <w:szCs w:val="20"/>
          <w:color w:val="auto"/>
        </w:rPr>
      </w:pPr>
      <w:r>
        <w:rPr>
          <w:rFonts w:ascii="Arial" w:cs="Arial" w:eastAsia="Arial" w:hAnsi="Arial"/>
          <w:sz w:val="16"/>
          <w:szCs w:val="16"/>
          <w:color w:val="auto"/>
        </w:rPr>
        <w:t>The Partnership has entered into six interest rate swap agreements with GasLog at a notional value of $625.0 million in aggregate, maturing between 2020 and 2024. As a result of its hedging agreements, the Partnership has hedged 44.9% of its floating interest rate exposure on its outstanding debt as of September 30, 2019, at a weighted average interest rate of approximately 2.1% (excluding margin).</w:t>
      </w:r>
    </w:p>
    <w:p>
      <w:pPr>
        <w:spacing w:after="0" w:line="184" w:lineRule="exact"/>
        <w:rPr>
          <w:sz w:val="20"/>
          <w:szCs w:val="20"/>
          <w:color w:val="auto"/>
        </w:rPr>
      </w:pPr>
    </w:p>
    <w:p>
      <w:pPr>
        <w:ind w:right="200" w:firstLine="510"/>
        <w:spacing w:after="0" w:line="293" w:lineRule="auto"/>
        <w:rPr>
          <w:sz w:val="20"/>
          <w:szCs w:val="20"/>
          <w:color w:val="auto"/>
        </w:rPr>
      </w:pPr>
      <w:r>
        <w:rPr>
          <w:rFonts w:ascii="Arial" w:cs="Arial" w:eastAsia="Arial" w:hAnsi="Arial"/>
          <w:sz w:val="16"/>
          <w:szCs w:val="16"/>
          <w:color w:val="auto"/>
        </w:rPr>
        <w:t>Furthermore, the Partnership has in place nine forward foreign exchange contracts with GasLog with a notional value of €13.5 million and staggered maturities until June 2020 to mitigate its foreign exchange transaction exposure in its operating expenses.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Working Capital Position</w:t>
      </w:r>
    </w:p>
    <w:p>
      <w:pPr>
        <w:spacing w:after="0" w:line="239" w:lineRule="exact"/>
        <w:rPr>
          <w:sz w:val="20"/>
          <w:szCs w:val="20"/>
          <w:color w:val="auto"/>
        </w:rPr>
      </w:pPr>
    </w:p>
    <w:p>
      <w:pPr>
        <w:ind w:right="380" w:firstLine="510"/>
        <w:spacing w:after="0" w:line="293" w:lineRule="auto"/>
        <w:rPr>
          <w:sz w:val="20"/>
          <w:szCs w:val="20"/>
          <w:color w:val="auto"/>
        </w:rPr>
      </w:pPr>
      <w:r>
        <w:rPr>
          <w:rFonts w:ascii="Arial" w:cs="Arial" w:eastAsia="Arial" w:hAnsi="Arial"/>
          <w:sz w:val="16"/>
          <w:szCs w:val="16"/>
          <w:color w:val="auto"/>
        </w:rPr>
        <w:t>As of September 30, 2019, our current assets totaled $87.8 million and current liabilities totaled $148.4 million, resulting in a negative working capital position of $60.6 million.</w:t>
      </w:r>
    </w:p>
    <w:p>
      <w:pPr>
        <w:spacing w:after="0" w:line="172" w:lineRule="exact"/>
        <w:rPr>
          <w:sz w:val="20"/>
          <w:szCs w:val="20"/>
          <w:color w:val="auto"/>
        </w:rPr>
      </w:pPr>
    </w:p>
    <w:p>
      <w:pPr>
        <w:ind w:right="220" w:firstLine="486"/>
        <w:spacing w:after="0" w:line="329" w:lineRule="auto"/>
        <w:rPr>
          <w:sz w:val="20"/>
          <w:szCs w:val="20"/>
          <w:color w:val="auto"/>
        </w:rPr>
      </w:pPr>
      <w:r>
        <w:rPr>
          <w:rFonts w:ascii="Arial" w:cs="Arial" w:eastAsia="Arial" w:hAnsi="Arial"/>
          <w:sz w:val="15"/>
          <w:szCs w:val="15"/>
          <w:color w:val="auto"/>
        </w:rPr>
        <w:t>Taking into account generally expected market conditions, we anticipate that cash flow generated from operations will be sufficient to fund our operations, including our working capital requirements, and to make the required principal and interest payments on our indebtedness during the next 12 months.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3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Nine-month period ended September 30, 2018 compared to the nine-month period ended September 30, 2019</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net cash flows from operating, investing and financing activities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3300" w:type="dxa"/>
            <w:vAlign w:val="bottom"/>
            <w:gridSpan w:val="4"/>
          </w:tcPr>
          <w:p>
            <w:pPr>
              <w:jc w:val="right"/>
              <w:ind w:right="1120"/>
              <w:spacing w:after="0"/>
              <w:rPr>
                <w:sz w:val="20"/>
                <w:szCs w:val="20"/>
                <w:color w:val="auto"/>
              </w:rPr>
            </w:pPr>
            <w:r>
              <w:rPr>
                <w:rFonts w:ascii="Arial" w:cs="Arial" w:eastAsia="Arial" w:hAnsi="Arial"/>
                <w:sz w:val="16"/>
                <w:szCs w:val="16"/>
                <w:b w:val="1"/>
                <w:bCs w:val="1"/>
                <w:color w:val="auto"/>
              </w:rPr>
              <w:t>Nine months ended</w:t>
            </w: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200" w:type="dxa"/>
            <w:vAlign w:val="bottom"/>
          </w:tcPr>
          <w:p>
            <w:pPr>
              <w:spacing w:after="0"/>
              <w:rPr>
                <w:sz w:val="17"/>
                <w:szCs w:val="17"/>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6200" w:type="dxa"/>
            <w:vAlign w:val="bottom"/>
          </w:tcPr>
          <w:p>
            <w:pPr>
              <w:spacing w:after="0"/>
              <w:rPr>
                <w:sz w:val="18"/>
                <w:szCs w:val="18"/>
                <w:color w:val="auto"/>
              </w:rPr>
            </w:pP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280" w:type="dxa"/>
            <w:vAlign w:val="bottom"/>
          </w:tcPr>
          <w:p>
            <w:pPr>
              <w:spacing w:after="0"/>
              <w:rPr>
                <w:sz w:val="18"/>
                <w:szCs w:val="18"/>
                <w:color w:val="auto"/>
              </w:rPr>
            </w:pPr>
          </w:p>
        </w:tc>
        <w:tc>
          <w:tcPr>
            <w:tcW w:w="1400" w:type="dxa"/>
            <w:vAlign w:val="bottom"/>
            <w:gridSpan w:val="2"/>
          </w:tcPr>
          <w:p>
            <w:pPr>
              <w:ind w:left="420"/>
              <w:spacing w:after="0"/>
              <w:rPr>
                <w:sz w:val="20"/>
                <w:szCs w:val="20"/>
                <w:color w:val="auto"/>
              </w:rPr>
            </w:pPr>
            <w:r>
              <w:rPr>
                <w:rFonts w:ascii="Arial" w:cs="Arial" w:eastAsia="Arial" w:hAnsi="Arial"/>
                <w:sz w:val="16"/>
                <w:szCs w:val="16"/>
                <w:b w:val="1"/>
                <w:bCs w:val="1"/>
                <w:color w:val="auto"/>
              </w:rPr>
              <w:t>Change</w:t>
            </w:r>
          </w:p>
        </w:tc>
      </w:tr>
      <w:tr>
        <w:trPr>
          <w:trHeight w:val="202"/>
        </w:trPr>
        <w:tc>
          <w:tcPr>
            <w:tcW w:w="62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Net cash provided by operating activities</w:t>
            </w: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142,108</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148,888</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6,780</w:t>
            </w:r>
          </w:p>
        </w:tc>
        <w:tc>
          <w:tcPr>
            <w:tcW w:w="40" w:type="dxa"/>
            <w:vAlign w:val="bottom"/>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Net cash (used in)/provided by investing activities</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(26,207)</w:t>
            </w:r>
          </w:p>
        </w:tc>
        <w:tc>
          <w:tcPr>
            <w:tcW w:w="1360" w:type="dxa"/>
            <w:vAlign w:val="bottom"/>
          </w:tcPr>
          <w:p>
            <w:pPr>
              <w:jc w:val="right"/>
              <w:spacing w:after="0"/>
              <w:rPr>
                <w:sz w:val="20"/>
                <w:szCs w:val="20"/>
                <w:color w:val="auto"/>
              </w:rPr>
            </w:pPr>
            <w:r>
              <w:rPr>
                <w:rFonts w:ascii="Arial" w:cs="Arial" w:eastAsia="Arial" w:hAnsi="Arial"/>
                <w:sz w:val="16"/>
                <w:szCs w:val="16"/>
                <w:color w:val="auto"/>
              </w:rPr>
              <w:t>1,436</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27,643</w:t>
            </w:r>
          </w:p>
        </w:tc>
        <w:tc>
          <w:tcPr>
            <w:tcW w:w="40" w:type="dxa"/>
            <w:vAlign w:val="bottom"/>
          </w:tcPr>
          <w:p>
            <w:pPr>
              <w:spacing w:after="0"/>
              <w:rPr>
                <w:sz w:val="17"/>
                <w:szCs w:val="17"/>
                <w:color w:val="auto"/>
              </w:rPr>
            </w:pPr>
          </w:p>
        </w:tc>
      </w:tr>
      <w:tr>
        <w:trPr>
          <w:trHeight w:val="203"/>
        </w:trPr>
        <w:tc>
          <w:tcPr>
            <w:tcW w:w="6200" w:type="dxa"/>
            <w:vAlign w:val="bottom"/>
            <w:shd w:val="clear" w:color="auto" w:fill="E5FFFF"/>
          </w:tcPr>
          <w:p>
            <w:pPr>
              <w:spacing w:after="0"/>
              <w:rPr>
                <w:sz w:val="20"/>
                <w:szCs w:val="20"/>
                <w:color w:val="auto"/>
              </w:rPr>
            </w:pPr>
            <w:r>
              <w:rPr>
                <w:rFonts w:ascii="Arial" w:cs="Arial" w:eastAsia="Arial" w:hAnsi="Arial"/>
                <w:sz w:val="16"/>
                <w:szCs w:val="16"/>
                <w:color w:val="auto"/>
              </w:rPr>
              <w:t>Net cash used in financing activities</w:t>
            </w:r>
          </w:p>
        </w:tc>
        <w:tc>
          <w:tcPr>
            <w:tcW w:w="16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(99,108)</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(217,871)</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(118,763)</w:t>
            </w:r>
          </w:p>
        </w:tc>
        <w:tc>
          <w:tcPr>
            <w:tcW w:w="40" w:type="dxa"/>
            <w:vAlign w:val="bottom"/>
          </w:tcPr>
          <w:p>
            <w:pPr>
              <w:spacing w:after="0"/>
              <w:rPr>
                <w:sz w:val="17"/>
                <w:szCs w:val="17"/>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235" w:lineRule="exact"/>
        <w:rPr>
          <w:sz w:val="20"/>
          <w:szCs w:val="20"/>
          <w:color w:val="auto"/>
        </w:rPr>
      </w:pPr>
    </w:p>
    <w:p>
      <w:pPr>
        <w:ind w:right="220" w:firstLine="428"/>
        <w:spacing w:after="0" w:line="273" w:lineRule="auto"/>
        <w:rPr>
          <w:sz w:val="20"/>
          <w:szCs w:val="20"/>
          <w:color w:val="auto"/>
        </w:rPr>
      </w:pPr>
      <w:r>
        <w:rPr>
          <w:rFonts w:ascii="Arial" w:cs="Arial" w:eastAsia="Arial" w:hAnsi="Arial"/>
          <w:sz w:val="16"/>
          <w:szCs w:val="16"/>
          <w:color w:val="auto"/>
        </w:rPr>
        <w:t>Net cash provided by operating activities increased by $6.8 million, from $142.1 million in the nine-month period ended September 30, 2018 to $148.9 million in the nine-month period ended September 30, 2019. The increase of $6.8 million is mainly attributable to an increase of $14.1 million from working capital movements and a decrease of $3.6 million in vessel operating costs, voyage expenses and commissions and general and administrative expenses, partially offset by a decrease in revenues and net pool allocation of $5.8 million and an increase of $5.3 million in interest paid.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in)/provided by Investing Activities:</w:t>
      </w:r>
    </w:p>
    <w:p>
      <w:pPr>
        <w:spacing w:after="0" w:line="235" w:lineRule="exact"/>
        <w:rPr>
          <w:sz w:val="20"/>
          <w:szCs w:val="20"/>
          <w:color w:val="auto"/>
        </w:rPr>
      </w:pPr>
    </w:p>
    <w:p>
      <w:pPr>
        <w:ind w:right="680" w:firstLine="428"/>
        <w:spacing w:after="0" w:line="278" w:lineRule="auto"/>
        <w:rPr>
          <w:sz w:val="20"/>
          <w:szCs w:val="20"/>
          <w:color w:val="auto"/>
        </w:rPr>
      </w:pPr>
      <w:r>
        <w:rPr>
          <w:rFonts w:ascii="Arial" w:cs="Arial" w:eastAsia="Arial" w:hAnsi="Arial"/>
          <w:sz w:val="16"/>
          <w:szCs w:val="16"/>
          <w:color w:val="auto"/>
        </w:rPr>
        <w:t>Net cash used in investing activities decreased by $27.6 million, from net cash used in investing activities of $26.2 million in the nine-month period ended September 30, 2018 to net cash provided by investing activities of $1.4 million in the nine-month period ended September 30, 2019. The decrease of $27.6 million is attributable to a decrease of the net of payments for vessels’ additions and return of capital expenditures of $16.6 million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and an increase in net cash from short-term investments of $11.0 million.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35" w:lineRule="exact"/>
        <w:rPr>
          <w:sz w:val="20"/>
          <w:szCs w:val="20"/>
          <w:color w:val="auto"/>
        </w:rPr>
      </w:pPr>
    </w:p>
    <w:p>
      <w:pPr>
        <w:ind w:right="100" w:firstLine="428"/>
        <w:spacing w:after="0" w:line="291" w:lineRule="auto"/>
        <w:rPr>
          <w:sz w:val="20"/>
          <w:szCs w:val="20"/>
          <w:color w:val="auto"/>
        </w:rPr>
      </w:pPr>
      <w:r>
        <w:rPr>
          <w:rFonts w:ascii="Arial" w:cs="Arial" w:eastAsia="Arial" w:hAnsi="Arial"/>
          <w:sz w:val="15"/>
          <w:szCs w:val="15"/>
          <w:color w:val="auto"/>
        </w:rPr>
        <w:t>Net cash used in financing activities increased by $118.8 million, from $99.1 million in the nine-month period ended September 30, 2018 to $217.9 million in the nine-month period ended September 30, 2019. The increase of $118.8 million is mainly attributable to an increase of $270.1 million in borrowings repayments, a decrease in proceeds from issuance of preference units (net of underwriting discounts and commissions) of $111.5 million, an increase of $74.6 million in cash distributions to GasLog in exchange for contribution of net assets, a decrease of $54.4 million in proceeds from public offerings and issuances of common units and general partner units (net of underwriting discounts and commissions), an increase of $20.0 million in cash used for repurchases of common units, an increase of $17.0 million in distributions paid and an increase of $5.1 million in payments of loan issuance costs, partially offset by an increase in borrowings drawdowns of $435.0 million.</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Contracted Charter Revenues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GasLog Partners’ contracted charter revenues and vessel utilization after September 30,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rPr>
              <w:t>After</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0"/>
        </w:trPr>
        <w:tc>
          <w:tcPr>
            <w:tcW w:w="4820" w:type="dxa"/>
            <w:vAlign w:val="bottom"/>
          </w:tcPr>
          <w:p>
            <w:pPr>
              <w:spacing w:after="0"/>
              <w:rPr>
                <w:sz w:val="18"/>
                <w:szCs w:val="18"/>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September 30,</w:t>
            </w:r>
          </w:p>
        </w:tc>
        <w:tc>
          <w:tcPr>
            <w:tcW w:w="84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For the years ending December 31,</w:t>
            </w:r>
          </w:p>
        </w:tc>
        <w:tc>
          <w:tcPr>
            <w:tcW w:w="840" w:type="dxa"/>
            <w:vAlign w:val="bottom"/>
            <w:tcBorders>
              <w:bottom w:val="single" w:sz="8" w:color="auto"/>
            </w:tcBorders>
          </w:tcPr>
          <w:p>
            <w:pPr>
              <w:spacing w:after="0"/>
              <w:rPr>
                <w:sz w:val="18"/>
                <w:szCs w:val="18"/>
                <w:color w:val="auto"/>
              </w:rPr>
            </w:pPr>
          </w:p>
        </w:tc>
      </w:tr>
      <w:tr>
        <w:trPr>
          <w:trHeight w:val="202"/>
        </w:trPr>
        <w:tc>
          <w:tcPr>
            <w:tcW w:w="4820" w:type="dxa"/>
            <w:vAlign w:val="bottom"/>
          </w:tcPr>
          <w:p>
            <w:pPr>
              <w:spacing w:after="0"/>
              <w:rPr>
                <w:sz w:val="17"/>
                <w:szCs w:val="17"/>
                <w:color w:val="auto"/>
              </w:rPr>
            </w:pP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5"/>
              </w:rPr>
              <w:t>2019</w:t>
            </w: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2024-2026</w:t>
            </w: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196"/>
        </w:trPr>
        <w:tc>
          <w:tcPr>
            <w:tcW w:w="4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500" w:type="dxa"/>
            <w:vAlign w:val="bottom"/>
            <w:gridSpan w:val="5"/>
          </w:tcPr>
          <w:p>
            <w:pPr>
              <w:jc w:val="right"/>
              <w:ind w:right="539"/>
              <w:spacing w:after="0"/>
              <w:rPr>
                <w:sz w:val="20"/>
                <w:szCs w:val="20"/>
                <w:color w:val="auto"/>
              </w:rPr>
            </w:pPr>
            <w:r>
              <w:rPr>
                <w:rFonts w:ascii="Arial" w:cs="Arial" w:eastAsia="Arial" w:hAnsi="Arial"/>
                <w:sz w:val="16"/>
                <w:szCs w:val="16"/>
                <w:b w:val="1"/>
                <w:bCs w:val="1"/>
                <w:i w:val="1"/>
                <w:iCs w:val="1"/>
                <w:color w:val="auto"/>
                <w:w w:val="88"/>
              </w:rPr>
              <w:t>(in millions of U.S. dollars, except days and percentages)</w:t>
            </w:r>
          </w:p>
        </w:tc>
        <w:tc>
          <w:tcPr>
            <w:tcW w:w="840" w:type="dxa"/>
            <w:vAlign w:val="bottom"/>
          </w:tcPr>
          <w:p>
            <w:pPr>
              <w:spacing w:after="0"/>
              <w:rPr>
                <w:sz w:val="17"/>
                <w:szCs w:val="17"/>
                <w:color w:val="auto"/>
              </w:rPr>
            </w:pPr>
          </w:p>
        </w:tc>
      </w:tr>
      <w:tr>
        <w:trPr>
          <w:trHeight w:val="203"/>
        </w:trPr>
        <w:tc>
          <w:tcPr>
            <w:tcW w:w="482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Contracted time charter revenues</w:t>
            </w:r>
            <w:r>
              <w:rPr>
                <w:rFonts w:ascii="Arial" w:cs="Arial" w:eastAsia="Arial" w:hAnsi="Arial"/>
                <w:sz w:val="21"/>
                <w:szCs w:val="21"/>
                <w:color w:val="auto"/>
                <w:vertAlign w:val="superscript"/>
              </w:rPr>
              <w:t>(1)(2)(3)(4)(5)</w:t>
            </w:r>
          </w:p>
        </w:tc>
        <w:tc>
          <w:tcPr>
            <w:tcW w:w="1260" w:type="dxa"/>
            <w:vAlign w:val="bottom"/>
            <w:shd w:val="clear" w:color="auto" w:fill="E5FFFF"/>
          </w:tcPr>
          <w:p>
            <w:pPr>
              <w:jc w:val="right"/>
              <w:ind w:right="39"/>
              <w:spacing w:after="0"/>
              <w:rPr>
                <w:sz w:val="20"/>
                <w:szCs w:val="20"/>
                <w:color w:val="auto"/>
              </w:rPr>
            </w:pPr>
            <w:r>
              <w:rPr>
                <w:rFonts w:ascii="Arial" w:cs="Arial" w:eastAsia="Arial" w:hAnsi="Arial"/>
                <w:sz w:val="16"/>
                <w:szCs w:val="16"/>
                <w:color w:val="auto"/>
              </w:rPr>
              <w:t>$90.2</w:t>
            </w:r>
          </w:p>
        </w:tc>
        <w:tc>
          <w:tcPr>
            <w:tcW w:w="84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$294.3</w:t>
            </w:r>
          </w:p>
        </w:tc>
        <w:tc>
          <w:tcPr>
            <w:tcW w:w="84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$197.3</w:t>
            </w:r>
          </w:p>
        </w:tc>
        <w:tc>
          <w:tcPr>
            <w:tcW w:w="90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$162.0</w:t>
            </w:r>
          </w:p>
        </w:tc>
        <w:tc>
          <w:tcPr>
            <w:tcW w:w="84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$139.6</w:t>
            </w:r>
          </w:p>
        </w:tc>
        <w:tc>
          <w:tcPr>
            <w:tcW w:w="108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$151.2</w:t>
            </w:r>
          </w:p>
        </w:tc>
        <w:tc>
          <w:tcPr>
            <w:tcW w:w="84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$1,034.6</w:t>
            </w:r>
          </w:p>
        </w:tc>
      </w:tr>
      <w:tr>
        <w:trPr>
          <w:trHeight w:val="203"/>
        </w:trPr>
        <w:tc>
          <w:tcPr>
            <w:tcW w:w="4820" w:type="dxa"/>
            <w:vAlign w:val="bottom"/>
          </w:tcPr>
          <w:p>
            <w:pPr>
              <w:spacing w:after="0" w:line="203" w:lineRule="exact"/>
              <w:rPr>
                <w:sz w:val="20"/>
                <w:szCs w:val="20"/>
                <w:color w:val="auto"/>
              </w:rPr>
            </w:pPr>
            <w:r>
              <w:rPr>
                <w:rFonts w:ascii="Arial" w:cs="Arial" w:eastAsia="Arial" w:hAnsi="Arial"/>
                <w:sz w:val="16"/>
                <w:szCs w:val="16"/>
                <w:color w:val="auto"/>
              </w:rPr>
              <w:t>Total contracted days</w:t>
            </w:r>
            <w:r>
              <w:rPr>
                <w:rFonts w:ascii="Arial" w:cs="Arial" w:eastAsia="Arial" w:hAnsi="Arial"/>
                <w:sz w:val="21"/>
                <w:szCs w:val="21"/>
                <w:color w:val="auto"/>
                <w:vertAlign w:val="superscript"/>
              </w:rPr>
              <w:t>(1)(2)</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1,320</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4,330</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2,772</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2,159</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1,672</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1,763</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14,016</w:t>
            </w:r>
          </w:p>
        </w:tc>
      </w:tr>
      <w:tr>
        <w:trPr>
          <w:trHeight w:val="203"/>
        </w:trPr>
        <w:tc>
          <w:tcPr>
            <w:tcW w:w="482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Total available days</w:t>
            </w:r>
            <w:r>
              <w:rPr>
                <w:rFonts w:ascii="Arial" w:cs="Arial" w:eastAsia="Arial" w:hAnsi="Arial"/>
                <w:sz w:val="21"/>
                <w:szCs w:val="21"/>
                <w:color w:val="auto"/>
                <w:vertAlign w:val="superscript"/>
              </w:rPr>
              <w:t>(6)</w:t>
            </w:r>
          </w:p>
        </w:tc>
        <w:tc>
          <w:tcPr>
            <w:tcW w:w="1260" w:type="dxa"/>
            <w:vAlign w:val="bottom"/>
            <w:shd w:val="clear" w:color="auto" w:fill="E5FFFF"/>
          </w:tcPr>
          <w:p>
            <w:pPr>
              <w:jc w:val="right"/>
              <w:ind w:right="39"/>
              <w:spacing w:after="0"/>
              <w:rPr>
                <w:sz w:val="20"/>
                <w:szCs w:val="20"/>
                <w:color w:val="auto"/>
              </w:rPr>
            </w:pPr>
            <w:r>
              <w:rPr>
                <w:rFonts w:ascii="Arial" w:cs="Arial" w:eastAsia="Arial" w:hAnsi="Arial"/>
                <w:sz w:val="16"/>
                <w:szCs w:val="16"/>
                <w:color w:val="auto"/>
              </w:rPr>
              <w:t>1,350</w:t>
            </w:r>
          </w:p>
        </w:tc>
        <w:tc>
          <w:tcPr>
            <w:tcW w:w="84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5,370</w:t>
            </w:r>
          </w:p>
        </w:tc>
        <w:tc>
          <w:tcPr>
            <w:tcW w:w="84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5,325</w:t>
            </w:r>
          </w:p>
        </w:tc>
        <w:tc>
          <w:tcPr>
            <w:tcW w:w="90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5,475</w:t>
            </w:r>
          </w:p>
        </w:tc>
        <w:tc>
          <w:tcPr>
            <w:tcW w:w="84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5,355</w:t>
            </w:r>
          </w:p>
        </w:tc>
        <w:tc>
          <w:tcPr>
            <w:tcW w:w="108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16,110</w:t>
            </w:r>
          </w:p>
        </w:tc>
        <w:tc>
          <w:tcPr>
            <w:tcW w:w="84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38,985</w:t>
            </w:r>
          </w:p>
        </w:tc>
      </w:tr>
      <w:tr>
        <w:trPr>
          <w:trHeight w:val="203"/>
        </w:trPr>
        <w:tc>
          <w:tcPr>
            <w:tcW w:w="4820" w:type="dxa"/>
            <w:vAlign w:val="bottom"/>
          </w:tcPr>
          <w:p>
            <w:pPr>
              <w:spacing w:after="0" w:line="203" w:lineRule="exact"/>
              <w:rPr>
                <w:sz w:val="20"/>
                <w:szCs w:val="20"/>
                <w:color w:val="auto"/>
              </w:rPr>
            </w:pPr>
            <w:r>
              <w:rPr>
                <w:rFonts w:ascii="Arial" w:cs="Arial" w:eastAsia="Arial" w:hAnsi="Arial"/>
                <w:sz w:val="16"/>
                <w:szCs w:val="16"/>
                <w:color w:val="auto"/>
              </w:rPr>
              <w:t>Total unfixed days</w:t>
            </w:r>
            <w:r>
              <w:rPr>
                <w:rFonts w:ascii="Arial" w:cs="Arial" w:eastAsia="Arial" w:hAnsi="Arial"/>
                <w:sz w:val="21"/>
                <w:szCs w:val="21"/>
                <w:color w:val="auto"/>
                <w:vertAlign w:val="superscript"/>
              </w:rPr>
              <w:t>(7)</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1,040</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2,553</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3,316</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3,683</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14,347</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24,969</w:t>
            </w:r>
          </w:p>
        </w:tc>
      </w:tr>
      <w:tr>
        <w:trPr>
          <w:trHeight w:val="203"/>
        </w:trPr>
        <w:tc>
          <w:tcPr>
            <w:tcW w:w="4820" w:type="dxa"/>
            <w:vAlign w:val="bottom"/>
            <w:shd w:val="clear" w:color="auto" w:fill="E5FFFF"/>
          </w:tcPr>
          <w:p>
            <w:pPr>
              <w:spacing w:after="0"/>
              <w:rPr>
                <w:sz w:val="20"/>
                <w:szCs w:val="20"/>
                <w:color w:val="auto"/>
              </w:rPr>
            </w:pPr>
            <w:r>
              <w:rPr>
                <w:rFonts w:ascii="Arial" w:cs="Arial" w:eastAsia="Arial" w:hAnsi="Arial"/>
                <w:sz w:val="16"/>
                <w:szCs w:val="16"/>
                <w:color w:val="auto"/>
              </w:rPr>
              <w:t>Percentage of total contracted days/total available days</w:t>
            </w:r>
          </w:p>
        </w:tc>
        <w:tc>
          <w:tcPr>
            <w:tcW w:w="1260" w:type="dxa"/>
            <w:vAlign w:val="bottom"/>
            <w:shd w:val="clear" w:color="auto" w:fill="E5FFFF"/>
          </w:tcPr>
          <w:p>
            <w:pPr>
              <w:jc w:val="right"/>
              <w:ind w:right="39"/>
              <w:spacing w:after="0"/>
              <w:rPr>
                <w:sz w:val="20"/>
                <w:szCs w:val="20"/>
                <w:color w:val="auto"/>
              </w:rPr>
            </w:pPr>
            <w:r>
              <w:rPr>
                <w:rFonts w:ascii="Arial" w:cs="Arial" w:eastAsia="Arial" w:hAnsi="Arial"/>
                <w:sz w:val="16"/>
                <w:szCs w:val="16"/>
                <w:color w:val="auto"/>
              </w:rPr>
              <w:t>97.8%</w:t>
            </w:r>
          </w:p>
        </w:tc>
        <w:tc>
          <w:tcPr>
            <w:tcW w:w="84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80.6%</w:t>
            </w:r>
          </w:p>
        </w:tc>
        <w:tc>
          <w:tcPr>
            <w:tcW w:w="84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52.1%</w:t>
            </w:r>
          </w:p>
        </w:tc>
        <w:tc>
          <w:tcPr>
            <w:tcW w:w="90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39.4%</w:t>
            </w:r>
          </w:p>
        </w:tc>
        <w:tc>
          <w:tcPr>
            <w:tcW w:w="84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31.2%</w:t>
            </w:r>
          </w:p>
        </w:tc>
        <w:tc>
          <w:tcPr>
            <w:tcW w:w="108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10.9%</w:t>
            </w:r>
          </w:p>
        </w:tc>
        <w:tc>
          <w:tcPr>
            <w:tcW w:w="84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00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Reflects time charter revenues and contracted days for the 15 LNG carriers in our fleet as of September 30, 2019.</w:t>
      </w:r>
    </w:p>
    <w:p>
      <w:pPr>
        <w:spacing w:after="0" w:line="182" w:lineRule="exact"/>
        <w:rPr>
          <w:rFonts w:ascii="Arial" w:cs="Arial" w:eastAsia="Arial" w:hAnsi="Arial"/>
          <w:sz w:val="18"/>
          <w:szCs w:val="18"/>
          <w:color w:val="auto"/>
          <w:vertAlign w:val="superscript"/>
        </w:rPr>
      </w:pPr>
    </w:p>
    <w:p>
      <w:pPr>
        <w:ind w:left="200" w:right="420" w:hanging="192"/>
        <w:spacing w:after="0" w:line="215" w:lineRule="auto"/>
        <w:tabs>
          <w:tab w:leader="none" w:pos="191"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Our ships are scheduled to undergo dry-docking once every five years. Revenue calculations assume 365 revenue days per ship per annum, with 30 off-hire days when each ship undergoes scheduled dry-docking.</w:t>
      </w:r>
    </w:p>
    <w:p>
      <w:pPr>
        <w:spacing w:after="0" w:line="183" w:lineRule="exact"/>
        <w:rPr>
          <w:rFonts w:ascii="Arial" w:cs="Arial" w:eastAsia="Arial" w:hAnsi="Arial"/>
          <w:sz w:val="18"/>
          <w:szCs w:val="18"/>
          <w:color w:val="auto"/>
          <w:vertAlign w:val="superscript"/>
        </w:rPr>
      </w:pPr>
    </w:p>
    <w:p>
      <w:pPr>
        <w:ind w:left="200" w:right="300" w:hanging="192"/>
        <w:spacing w:after="0" w:line="215" w:lineRule="auto"/>
        <w:tabs>
          <w:tab w:leader="none" w:pos="191"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For time charters that include a fixed operating cost component, subject to annual escalation, revenue calculations include that fixed annual escalation. Revenue calculations for such charters include an estimate of the amount of the operating cost component and the management fee component.</w:t>
      </w:r>
    </w:p>
    <w:p>
      <w:pPr>
        <w:spacing w:after="0" w:line="181"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For time charters that include a variable rate of hire within an agreed range during the charter period, revenue calculations are based on the agreed minimum rate of hire for the respective period.</w:t>
      </w:r>
    </w:p>
    <w:p>
      <w:pPr>
        <w:spacing w:after="0" w:line="157"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Revenue calculations assume no exercise of any option to extend the terms of the charters.</w:t>
      </w:r>
    </w:p>
    <w:p>
      <w:pPr>
        <w:spacing w:after="0" w:line="157"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Available days represent total calendar days after deducting 30 off-hire days when the ship undergoes scheduled dry-docking.</w:t>
      </w:r>
    </w:p>
    <w:p>
      <w:pPr>
        <w:spacing w:after="0" w:line="157"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Represents available days for the ships after the expiration of the existing charters (assuming charterers do not exercise any option to extend the terms of the charters).</w:t>
      </w:r>
    </w:p>
    <w:p>
      <w:pPr>
        <w:spacing w:after="0" w:line="191" w:lineRule="exact"/>
        <w:rPr>
          <w:sz w:val="20"/>
          <w:szCs w:val="20"/>
          <w:color w:val="auto"/>
        </w:rPr>
      </w:pPr>
    </w:p>
    <w:p>
      <w:pPr>
        <w:ind w:right="20" w:firstLine="324"/>
        <w:spacing w:after="0" w:line="302" w:lineRule="auto"/>
        <w:rPr>
          <w:sz w:val="20"/>
          <w:szCs w:val="20"/>
          <w:color w:val="auto"/>
        </w:rPr>
      </w:pPr>
      <w:r>
        <w:rPr>
          <w:rFonts w:ascii="Arial" w:cs="Arial" w:eastAsia="Arial" w:hAnsi="Arial"/>
          <w:sz w:val="14"/>
          <w:szCs w:val="14"/>
          <w:color w:val="auto"/>
        </w:rPr>
        <w:t>The table above provides information about our contracted charter revenues and ship utilization based on contracts in effect for the 15 LNG carriers in our fleet as of September 30, 2019. The table reflects only our contracted charter revenues for the ships in our owned fleet for which we have secured time charters, and it does not reflect the costs or expenses we will incur in fulfilling our obligations under the charters. In particular, the table does not reflect any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w:t>
      </w:r>
    </w:p>
    <w:p>
      <w:pPr>
        <w:spacing w:after="0" w:line="4"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Form 20-F filed with the SEC on February 26, 2019.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0"/>
        </w:trPr>
        <w:tc>
          <w:tcPr>
            <w:tcW w:w="10540" w:type="dxa"/>
            <w:vAlign w:val="bottom"/>
          </w:tcPr>
          <w:p>
            <w:pPr>
              <w:ind w:left="4800"/>
              <w:spacing w:after="0"/>
              <w:rPr>
                <w:sz w:val="20"/>
                <w:szCs w:val="20"/>
                <w:color w:val="auto"/>
              </w:rPr>
            </w:pPr>
            <w:r>
              <w:rPr>
                <w:rFonts w:ascii="Arial" w:cs="Arial" w:eastAsia="Arial" w:hAnsi="Arial"/>
                <w:sz w:val="16"/>
                <w:szCs w:val="16"/>
                <w:b w:val="1"/>
                <w:bCs w:val="1"/>
                <w:color w:val="auto"/>
              </w:rPr>
              <w:t>GASLOG PARTNERS LP</w:t>
            </w:r>
          </w:p>
        </w:tc>
        <w:tc>
          <w:tcPr>
            <w:tcW w:w="820" w:type="dxa"/>
            <w:vAlign w:val="bottom"/>
          </w:tcPr>
          <w:p>
            <w:pPr>
              <w:spacing w:after="0"/>
              <w:rPr>
                <w:sz w:val="18"/>
                <w:szCs w:val="18"/>
                <w:color w:val="auto"/>
              </w:rPr>
            </w:pPr>
          </w:p>
        </w:tc>
      </w:tr>
      <w:tr>
        <w:trPr>
          <w:trHeight w:val="419"/>
        </w:trPr>
        <w:tc>
          <w:tcPr>
            <w:tcW w:w="10540" w:type="dxa"/>
            <w:vAlign w:val="bottom"/>
          </w:tcPr>
          <w:p>
            <w:pPr>
              <w:ind w:left="2560"/>
              <w:spacing w:after="0"/>
              <w:rPr>
                <w:sz w:val="20"/>
                <w:szCs w:val="20"/>
                <w:color w:val="auto"/>
              </w:rPr>
            </w:pPr>
            <w:r>
              <w:rPr>
                <w:rFonts w:ascii="Arial" w:cs="Arial" w:eastAsia="Arial" w:hAnsi="Arial"/>
                <w:sz w:val="16"/>
                <w:szCs w:val="16"/>
                <w:b w:val="1"/>
                <w:bCs w:val="1"/>
                <w:color w:val="auto"/>
              </w:rPr>
              <w:t>INDEX TO UNAUDITED CONDENSED CONSOLIDATED FINANCIAL STATEMENTS</w:t>
            </w:r>
          </w:p>
        </w:tc>
        <w:tc>
          <w:tcPr>
            <w:tcW w:w="820" w:type="dxa"/>
            <w:vAlign w:val="bottom"/>
          </w:tcPr>
          <w:p>
            <w:pPr>
              <w:spacing w:after="0"/>
              <w:rPr>
                <w:sz w:val="24"/>
                <w:szCs w:val="24"/>
                <w:color w:val="auto"/>
              </w:rPr>
            </w:pPr>
          </w:p>
        </w:tc>
      </w:tr>
      <w:tr>
        <w:trPr>
          <w:trHeight w:val="419"/>
        </w:trPr>
        <w:tc>
          <w:tcPr>
            <w:tcW w:w="10540" w:type="dxa"/>
            <w:vAlign w:val="bottom"/>
          </w:tcPr>
          <w:p>
            <w:pPr>
              <w:spacing w:after="0"/>
              <w:rPr>
                <w:sz w:val="24"/>
                <w:szCs w:val="24"/>
                <w:color w:val="auto"/>
              </w:rPr>
            </w:pPr>
          </w:p>
        </w:tc>
        <w:tc>
          <w:tcPr>
            <w:tcW w:w="820" w:type="dxa"/>
            <w:vAlign w:val="bottom"/>
          </w:tcPr>
          <w:p>
            <w:pPr>
              <w:ind w:left="380"/>
              <w:spacing w:after="0"/>
              <w:rPr>
                <w:sz w:val="20"/>
                <w:szCs w:val="20"/>
                <w:color w:val="auto"/>
              </w:rPr>
            </w:pPr>
            <w:r>
              <w:rPr>
                <w:rFonts w:ascii="Arial" w:cs="Arial" w:eastAsia="Arial" w:hAnsi="Arial"/>
                <w:sz w:val="16"/>
                <w:szCs w:val="16"/>
                <w:b w:val="1"/>
                <w:bCs w:val="1"/>
                <w:color w:val="auto"/>
              </w:rPr>
              <w:t>Page</w:t>
            </w:r>
          </w:p>
        </w:tc>
      </w:tr>
      <w:tr>
        <w:trPr>
          <w:trHeight w:val="257"/>
        </w:trPr>
        <w:tc>
          <w:tcPr>
            <w:tcW w:w="10540" w:type="dxa"/>
            <w:vAlign w:val="bottom"/>
          </w:tcPr>
          <w:p>
            <w:pPr>
              <w:spacing w:after="0"/>
              <w:rPr>
                <w:sz w:val="20"/>
                <w:szCs w:val="20"/>
                <w:color w:val="auto"/>
              </w:rPr>
            </w:pPr>
            <w:r>
              <w:rPr>
                <w:rFonts w:ascii="Arial" w:cs="Arial" w:eastAsia="Arial" w:hAnsi="Arial"/>
                <w:sz w:val="16"/>
                <w:szCs w:val="16"/>
                <w:color w:val="auto"/>
              </w:rPr>
              <w:t>Unaudited condensed consolidated statements of financial position as of December 31, 2018 and September 30, 2019</w:t>
            </w:r>
          </w:p>
        </w:tc>
        <w:tc>
          <w:tcPr>
            <w:tcW w:w="820" w:type="dxa"/>
            <w:vAlign w:val="bottom"/>
          </w:tcPr>
          <w:p>
            <w:pPr>
              <w:ind w:left="600"/>
              <w:spacing w:after="0"/>
              <w:rPr>
                <w:sz w:val="20"/>
                <w:szCs w:val="20"/>
                <w:color w:val="auto"/>
              </w:rPr>
            </w:pPr>
            <w:r>
              <w:rPr>
                <w:rFonts w:ascii="Arial" w:cs="Arial" w:eastAsia="Arial" w:hAnsi="Arial"/>
                <w:sz w:val="16"/>
                <w:szCs w:val="16"/>
                <w:color w:val="auto"/>
                <w:w w:val="83"/>
              </w:rPr>
              <w:t>F-2</w:t>
            </w:r>
          </w:p>
        </w:tc>
      </w:tr>
      <w:tr>
        <w:trPr>
          <w:trHeight w:val="253"/>
        </w:trPr>
        <w:tc>
          <w:tcPr>
            <w:tcW w:w="10540" w:type="dxa"/>
            <w:vAlign w:val="bottom"/>
          </w:tcPr>
          <w:p>
            <w:pPr>
              <w:spacing w:after="0"/>
              <w:rPr>
                <w:sz w:val="20"/>
                <w:szCs w:val="20"/>
                <w:color w:val="auto"/>
              </w:rPr>
            </w:pPr>
            <w:r>
              <w:rPr>
                <w:rFonts w:ascii="Arial" w:cs="Arial" w:eastAsia="Arial" w:hAnsi="Arial"/>
                <w:sz w:val="16"/>
                <w:szCs w:val="16"/>
                <w:color w:val="auto"/>
                <w:w w:val="93"/>
              </w:rPr>
              <w:t>Unaudited condensed consolidated statements of profit or loss and total comprehensive income for the three and nine months ended September 30, 2018 and</w:t>
            </w:r>
          </w:p>
        </w:tc>
        <w:tc>
          <w:tcPr>
            <w:tcW w:w="820" w:type="dxa"/>
            <w:vAlign w:val="bottom"/>
          </w:tcPr>
          <w:p>
            <w:pPr>
              <w:spacing w:after="0"/>
              <w:rPr>
                <w:sz w:val="21"/>
                <w:szCs w:val="21"/>
                <w:color w:val="auto"/>
              </w:rPr>
            </w:pPr>
          </w:p>
        </w:tc>
      </w:tr>
      <w:tr>
        <w:trPr>
          <w:trHeight w:val="206"/>
        </w:trPr>
        <w:tc>
          <w:tcPr>
            <w:tcW w:w="10540" w:type="dxa"/>
            <w:vAlign w:val="bottom"/>
          </w:tcPr>
          <w:p>
            <w:pPr>
              <w:ind w:left="180"/>
              <w:spacing w:after="0"/>
              <w:rPr>
                <w:sz w:val="20"/>
                <w:szCs w:val="20"/>
                <w:color w:val="auto"/>
              </w:rPr>
            </w:pPr>
            <w:r>
              <w:rPr>
                <w:rFonts w:ascii="Arial" w:cs="Arial" w:eastAsia="Arial" w:hAnsi="Arial"/>
                <w:sz w:val="16"/>
                <w:szCs w:val="16"/>
                <w:color w:val="auto"/>
              </w:rPr>
              <w:t>2019</w:t>
            </w:r>
          </w:p>
        </w:tc>
        <w:tc>
          <w:tcPr>
            <w:tcW w:w="820" w:type="dxa"/>
            <w:vAlign w:val="bottom"/>
          </w:tcPr>
          <w:p>
            <w:pPr>
              <w:ind w:left="600"/>
              <w:spacing w:after="0"/>
              <w:rPr>
                <w:sz w:val="20"/>
                <w:szCs w:val="20"/>
                <w:color w:val="auto"/>
              </w:rPr>
            </w:pPr>
            <w:r>
              <w:rPr>
                <w:rFonts w:ascii="Arial" w:cs="Arial" w:eastAsia="Arial" w:hAnsi="Arial"/>
                <w:sz w:val="16"/>
                <w:szCs w:val="16"/>
                <w:color w:val="auto"/>
                <w:w w:val="83"/>
              </w:rPr>
              <w:t>F-3</w:t>
            </w:r>
          </w:p>
        </w:tc>
      </w:tr>
      <w:tr>
        <w:trPr>
          <w:trHeight w:val="257"/>
        </w:trPr>
        <w:tc>
          <w:tcPr>
            <w:tcW w:w="10540" w:type="dxa"/>
            <w:vAlign w:val="bottom"/>
          </w:tcPr>
          <w:p>
            <w:pPr>
              <w:spacing w:after="0"/>
              <w:rPr>
                <w:sz w:val="20"/>
                <w:szCs w:val="20"/>
                <w:color w:val="auto"/>
              </w:rPr>
            </w:pPr>
            <w:r>
              <w:rPr>
                <w:rFonts w:ascii="Arial" w:cs="Arial" w:eastAsia="Arial" w:hAnsi="Arial"/>
                <w:sz w:val="16"/>
                <w:szCs w:val="16"/>
                <w:color w:val="auto"/>
              </w:rPr>
              <w:t>Unaudited condensed consolidated statements of changes in owners’/partners’ equity for the nine months ended September 30, 2018 and 2019</w:t>
            </w:r>
          </w:p>
        </w:tc>
        <w:tc>
          <w:tcPr>
            <w:tcW w:w="820" w:type="dxa"/>
            <w:vAlign w:val="bottom"/>
          </w:tcPr>
          <w:p>
            <w:pPr>
              <w:ind w:left="600"/>
              <w:spacing w:after="0"/>
              <w:rPr>
                <w:sz w:val="20"/>
                <w:szCs w:val="20"/>
                <w:color w:val="auto"/>
              </w:rPr>
            </w:pPr>
            <w:r>
              <w:rPr>
                <w:rFonts w:ascii="Arial" w:cs="Arial" w:eastAsia="Arial" w:hAnsi="Arial"/>
                <w:sz w:val="16"/>
                <w:szCs w:val="16"/>
                <w:color w:val="auto"/>
                <w:w w:val="83"/>
              </w:rPr>
              <w:t>F-4</w:t>
            </w:r>
          </w:p>
        </w:tc>
      </w:tr>
      <w:tr>
        <w:trPr>
          <w:trHeight w:val="257"/>
        </w:trPr>
        <w:tc>
          <w:tcPr>
            <w:tcW w:w="10540" w:type="dxa"/>
            <w:vAlign w:val="bottom"/>
          </w:tcPr>
          <w:p>
            <w:pPr>
              <w:spacing w:after="0"/>
              <w:rPr>
                <w:sz w:val="20"/>
                <w:szCs w:val="20"/>
                <w:color w:val="auto"/>
              </w:rPr>
            </w:pPr>
            <w:r>
              <w:rPr>
                <w:rFonts w:ascii="Arial" w:cs="Arial" w:eastAsia="Arial" w:hAnsi="Arial"/>
                <w:sz w:val="16"/>
                <w:szCs w:val="16"/>
                <w:color w:val="auto"/>
              </w:rPr>
              <w:t>Unaudited condensed consolidated statements of cash flows for the nine months ended September 30, 2018 and 2019</w:t>
            </w:r>
          </w:p>
        </w:tc>
        <w:tc>
          <w:tcPr>
            <w:tcW w:w="820" w:type="dxa"/>
            <w:vAlign w:val="bottom"/>
          </w:tcPr>
          <w:p>
            <w:pPr>
              <w:ind w:left="600"/>
              <w:spacing w:after="0"/>
              <w:rPr>
                <w:sz w:val="20"/>
                <w:szCs w:val="20"/>
                <w:color w:val="auto"/>
              </w:rPr>
            </w:pPr>
            <w:r>
              <w:rPr>
                <w:rFonts w:ascii="Arial" w:cs="Arial" w:eastAsia="Arial" w:hAnsi="Arial"/>
                <w:sz w:val="16"/>
                <w:szCs w:val="16"/>
                <w:color w:val="auto"/>
                <w:w w:val="83"/>
              </w:rPr>
              <w:t>F-5</w:t>
            </w:r>
          </w:p>
        </w:tc>
      </w:tr>
      <w:tr>
        <w:trPr>
          <w:trHeight w:val="257"/>
        </w:trPr>
        <w:tc>
          <w:tcPr>
            <w:tcW w:w="10540" w:type="dxa"/>
            <w:vAlign w:val="bottom"/>
          </w:tcPr>
          <w:p>
            <w:pPr>
              <w:spacing w:after="0"/>
              <w:rPr>
                <w:sz w:val="20"/>
                <w:szCs w:val="20"/>
                <w:color w:val="auto"/>
              </w:rPr>
            </w:pPr>
            <w:r>
              <w:rPr>
                <w:rFonts w:ascii="Arial" w:cs="Arial" w:eastAsia="Arial" w:hAnsi="Arial"/>
                <w:sz w:val="16"/>
                <w:szCs w:val="16"/>
                <w:color w:val="auto"/>
              </w:rPr>
              <w:t>Notes to the unaudited condensed consolidated financial statements</w:t>
            </w:r>
          </w:p>
        </w:tc>
        <w:tc>
          <w:tcPr>
            <w:tcW w:w="820" w:type="dxa"/>
            <w:vAlign w:val="bottom"/>
          </w:tcPr>
          <w:p>
            <w:pPr>
              <w:ind w:left="600"/>
              <w:spacing w:after="0"/>
              <w:rPr>
                <w:sz w:val="20"/>
                <w:szCs w:val="20"/>
                <w:color w:val="auto"/>
              </w:rPr>
            </w:pPr>
            <w:r>
              <w:rPr>
                <w:rFonts w:ascii="Arial" w:cs="Arial" w:eastAsia="Arial" w:hAnsi="Arial"/>
                <w:sz w:val="16"/>
                <w:szCs w:val="16"/>
                <w:color w:val="auto"/>
                <w:w w:val="83"/>
              </w:rPr>
              <w:t>F-6</w:t>
            </w:r>
          </w:p>
        </w:tc>
      </w:tr>
    </w:tbl>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20"/>
                <w:szCs w:val="20"/>
                <w:color w:val="auto"/>
              </w:rPr>
            </w:pPr>
            <w:r>
              <w:rPr>
                <w:rFonts w:ascii="Arial" w:cs="Arial" w:eastAsia="Arial" w:hAnsi="Arial"/>
                <w:sz w:val="16"/>
                <w:szCs w:val="16"/>
                <w:b w:val="1"/>
                <w:bCs w:val="1"/>
                <w:color w:val="auto"/>
              </w:rPr>
              <w:t>GasLog Partners LP</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78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b w:val="1"/>
                <w:bCs w:val="1"/>
                <w:color w:val="auto"/>
              </w:rPr>
              <w:t>As of December 31, 2018 and September 30, 2019</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420" w:type="dxa"/>
            <w:vAlign w:val="bottom"/>
            <w:gridSpan w:val="3"/>
          </w:tcPr>
          <w:p>
            <w:pPr>
              <w:ind w:left="16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18"/>
                <w:szCs w:val="18"/>
                <w:color w:val="auto"/>
              </w:rPr>
            </w:pPr>
          </w:p>
        </w:tc>
        <w:tc>
          <w:tcPr>
            <w:tcW w:w="700" w:type="dxa"/>
            <w:vAlign w:val="bottom"/>
            <w:gridSpan w:val="2"/>
          </w:tcPr>
          <w:p>
            <w:pPr>
              <w:ind w:left="80"/>
              <w:spacing w:after="0"/>
              <w:rPr>
                <w:sz w:val="20"/>
                <w:szCs w:val="20"/>
                <w:color w:val="auto"/>
              </w:rPr>
            </w:pPr>
            <w:r>
              <w:rPr>
                <w:rFonts w:ascii="Arial" w:cs="Arial" w:eastAsia="Arial" w:hAnsi="Arial"/>
                <w:sz w:val="16"/>
                <w:szCs w:val="16"/>
                <w:b w:val="1"/>
                <w:bCs w:val="1"/>
                <w:color w:val="auto"/>
              </w:rPr>
              <w:t>Note</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5"/>
              </w:rPr>
              <w:t>2018</w:t>
            </w:r>
          </w:p>
        </w:tc>
        <w:tc>
          <w:tcPr>
            <w:tcW w:w="22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i w:val="1"/>
                <w:iCs w:val="1"/>
                <w:color w:val="auto"/>
                <w:w w:val="89"/>
              </w:rPr>
              <w:t>(restated)</w:t>
            </w:r>
            <w:r>
              <w:rPr>
                <w:rFonts w:ascii="Arial" w:cs="Arial" w:eastAsia="Arial" w:hAnsi="Arial"/>
                <w:sz w:val="17"/>
                <w:szCs w:val="17"/>
                <w:color w:val="auto"/>
                <w:w w:val="89"/>
                <w:vertAlign w:val="superscript"/>
              </w:rPr>
              <w:t>(1)</w:t>
            </w:r>
          </w:p>
        </w:tc>
        <w:tc>
          <w:tcPr>
            <w:tcW w:w="2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assets</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850</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161</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24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5,116</w:t>
            </w:r>
          </w:p>
        </w:tc>
        <w:tc>
          <w:tcPr>
            <w:tcW w:w="14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Vessels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4</w:t>
            </w: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2,509,283</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2,440,314</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Right-of-use assets</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24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1,172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46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2,515,249</w:t>
            </w:r>
          </w:p>
        </w:tc>
        <w:tc>
          <w:tcPr>
            <w:tcW w:w="2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2,441,647</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78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13,811</w:t>
            </w: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6,310</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3,379</w:t>
            </w:r>
          </w:p>
        </w:tc>
        <w:tc>
          <w:tcPr>
            <w:tcW w:w="22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3,145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Due from related parties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3</w:t>
            </w: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14,540</w:t>
            </w:r>
          </w:p>
        </w:tc>
        <w:tc>
          <w:tcPr>
            <w:tcW w:w="220" w:type="dxa"/>
            <w:vAlign w:val="bottom"/>
            <w:shd w:val="clear" w:color="auto" w:fill="E5FFFF"/>
          </w:tcPr>
          <w:p>
            <w:pPr>
              <w:spacing w:after="0"/>
              <w:rPr>
                <w:sz w:val="17"/>
                <w:szCs w:val="17"/>
                <w:color w:val="auto"/>
              </w:rPr>
            </w:pPr>
          </w:p>
        </w:tc>
        <w:tc>
          <w:tcPr>
            <w:tcW w:w="142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1,245</w:t>
            </w:r>
          </w:p>
        </w:tc>
        <w:tc>
          <w:tcPr>
            <w:tcW w:w="22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2,858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12</w:t>
            </w: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4,615</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696</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Short-term investments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10,000</w:t>
            </w:r>
          </w:p>
        </w:tc>
        <w:tc>
          <w:tcPr>
            <w:tcW w:w="22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9,000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133,370</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65,823</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46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180,960</w:t>
            </w:r>
          </w:p>
        </w:tc>
        <w:tc>
          <w:tcPr>
            <w:tcW w:w="22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87,832</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46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E5FFFF"/>
            </w:tcBorders>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2,696,209</w:t>
            </w:r>
          </w:p>
        </w:tc>
        <w:tc>
          <w:tcPr>
            <w:tcW w:w="220" w:type="dxa"/>
            <w:vAlign w:val="bottom"/>
            <w:tcBorders>
              <w:bottom w:val="single" w:sz="8" w:color="E5FFFF"/>
            </w:tcBorders>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2,529,479</w:t>
            </w:r>
          </w:p>
        </w:tc>
        <w:tc>
          <w:tcPr>
            <w:tcW w:w="2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6"/>
                <w:szCs w:val="16"/>
                <w:b w:val="1"/>
                <w:bCs w:val="1"/>
                <w:color w:val="auto"/>
              </w:rPr>
              <w:t>Partners’ equity and liabilities</w:t>
            </w: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Partners’ equity</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Owners’ capital</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73,134</w:t>
            </w:r>
          </w:p>
        </w:tc>
        <w:tc>
          <w:tcPr>
            <w:tcW w:w="220" w:type="dxa"/>
            <w:vAlign w:val="bottom"/>
          </w:tcPr>
          <w:p>
            <w:pPr>
              <w:spacing w:after="0"/>
              <w:rPr>
                <w:sz w:val="17"/>
                <w:szCs w:val="17"/>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w w:val="99"/>
              </w:rPr>
              <w:t>Common unitholders (45,448,993 units issued and outstanding as of December 31, 2018 and 47,046,495 units</w:t>
            </w:r>
          </w:p>
        </w:tc>
        <w:tc>
          <w:tcPr>
            <w:tcW w:w="46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3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E5FFFF"/>
          </w:tcPr>
          <w:p>
            <w:pPr>
              <w:ind w:left="160"/>
              <w:spacing w:after="0"/>
              <w:rPr>
                <w:sz w:val="20"/>
                <w:szCs w:val="20"/>
                <w:color w:val="auto"/>
              </w:rPr>
            </w:pPr>
            <w:r>
              <w:rPr>
                <w:rFonts w:ascii="Arial" w:cs="Arial" w:eastAsia="Arial" w:hAnsi="Arial"/>
                <w:sz w:val="16"/>
                <w:szCs w:val="16"/>
                <w:color w:val="auto"/>
              </w:rPr>
              <w:t>issued and outstanding as of September 30, 2019)</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240" w:type="dxa"/>
            <w:vAlign w:val="bottom"/>
            <w:shd w:val="clear" w:color="auto" w:fill="E5FFFF"/>
          </w:tcPr>
          <w:p>
            <w:pPr>
              <w:spacing w:after="0"/>
              <w:rPr>
                <w:sz w:val="18"/>
                <w:szCs w:val="18"/>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812,863</w:t>
            </w:r>
          </w:p>
        </w:tc>
        <w:tc>
          <w:tcPr>
            <w:tcW w:w="22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746,823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780" w:type="dxa"/>
            <w:vAlign w:val="bottom"/>
          </w:tcPr>
          <w:p>
            <w:pPr>
              <w:spacing w:after="0"/>
              <w:rPr>
                <w:sz w:val="20"/>
                <w:szCs w:val="20"/>
                <w:color w:val="auto"/>
              </w:rPr>
            </w:pPr>
            <w:r>
              <w:rPr>
                <w:rFonts w:ascii="Arial" w:cs="Arial" w:eastAsia="Arial" w:hAnsi="Arial"/>
                <w:sz w:val="16"/>
                <w:szCs w:val="16"/>
                <w:color w:val="auto"/>
                <w:w w:val="97"/>
              </w:rPr>
              <w:t>General partner (927,532 units issued and outstanding as of December 31, 2018 and 1,021,336 units issued and</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160"/>
              <w:spacing w:after="0"/>
              <w:rPr>
                <w:sz w:val="20"/>
                <w:szCs w:val="20"/>
                <w:color w:val="auto"/>
              </w:rPr>
            </w:pPr>
            <w:r>
              <w:rPr>
                <w:rFonts w:ascii="Arial" w:cs="Arial" w:eastAsia="Arial" w:hAnsi="Arial"/>
                <w:sz w:val="16"/>
                <w:szCs w:val="16"/>
                <w:color w:val="auto"/>
              </w:rPr>
              <w:t>outstanding as of September 30, 2019)</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13,289</w:t>
            </w:r>
          </w:p>
        </w:tc>
        <w:tc>
          <w:tcPr>
            <w:tcW w:w="22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14,255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Incentive distribution rights (“IDR”)</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240" w:type="dxa"/>
            <w:vAlign w:val="bottom"/>
            <w:shd w:val="clear" w:color="auto" w:fill="E5FFFF"/>
          </w:tcPr>
          <w:p>
            <w:pPr>
              <w:spacing w:after="0"/>
              <w:rPr>
                <w:sz w:val="18"/>
                <w:szCs w:val="18"/>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5,176</w:t>
            </w:r>
          </w:p>
        </w:tc>
        <w:tc>
          <w:tcPr>
            <w:tcW w:w="220" w:type="dxa"/>
            <w:vAlign w:val="bottom"/>
            <w:shd w:val="clear" w:color="auto" w:fill="E5FFFF"/>
          </w:tcPr>
          <w:p>
            <w:pPr>
              <w:spacing w:after="0"/>
              <w:rPr>
                <w:sz w:val="18"/>
                <w:szCs w:val="18"/>
                <w:color w:val="auto"/>
              </w:rPr>
            </w:pPr>
          </w:p>
        </w:tc>
        <w:tc>
          <w:tcPr>
            <w:tcW w:w="142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7780" w:type="dxa"/>
            <w:vAlign w:val="bottom"/>
          </w:tcPr>
          <w:p>
            <w:pPr>
              <w:spacing w:after="0"/>
              <w:rPr>
                <w:sz w:val="20"/>
                <w:szCs w:val="20"/>
                <w:color w:val="auto"/>
              </w:rPr>
            </w:pPr>
            <w:r>
              <w:rPr>
                <w:rFonts w:ascii="Arial" w:cs="Arial" w:eastAsia="Arial" w:hAnsi="Arial"/>
                <w:sz w:val="16"/>
                <w:szCs w:val="16"/>
                <w:color w:val="auto"/>
                <w:w w:val="96"/>
              </w:rPr>
              <w:t>Preference unitholders (5,750,000 Series A Preference Units, 4,600,000 Series B Preference Units and 4,000,000</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160"/>
              <w:spacing w:after="0"/>
              <w:rPr>
                <w:sz w:val="20"/>
                <w:szCs w:val="20"/>
                <w:color w:val="auto"/>
              </w:rPr>
            </w:pPr>
            <w:r>
              <w:rPr>
                <w:rFonts w:ascii="Arial" w:cs="Arial" w:eastAsia="Arial" w:hAnsi="Arial"/>
                <w:sz w:val="16"/>
                <w:szCs w:val="16"/>
                <w:color w:val="auto"/>
              </w:rPr>
              <w:t>Series C Preference Units issued and outstanding as of December 31, 2018 and September 30, 2019)</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348,331</w:t>
            </w:r>
          </w:p>
        </w:tc>
        <w:tc>
          <w:tcPr>
            <w:tcW w:w="22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347,889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partners’ equity</w:t>
            </w:r>
          </w:p>
        </w:tc>
        <w:tc>
          <w:tcPr>
            <w:tcW w:w="46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1,252,793</w:t>
            </w:r>
          </w:p>
        </w:tc>
        <w:tc>
          <w:tcPr>
            <w:tcW w:w="2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1,108,967</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780" w:type="dxa"/>
            <w:vAlign w:val="bottom"/>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Trade accounts payable</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7,626</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12,281</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Due to related parties</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2,623</w:t>
            </w:r>
          </w:p>
        </w:tc>
        <w:tc>
          <w:tcPr>
            <w:tcW w:w="22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1,930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12</w:t>
            </w: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1,253</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2,762</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60,671</w:t>
            </w:r>
          </w:p>
        </w:tc>
        <w:tc>
          <w:tcPr>
            <w:tcW w:w="22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20,705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Borrowings—current portion</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7</w:t>
            </w: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440,389</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110,250</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Lease liabilities—current portion</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24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471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liabilities</w:t>
            </w:r>
          </w:p>
        </w:tc>
        <w:tc>
          <w:tcPr>
            <w:tcW w:w="46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512,562</w:t>
            </w:r>
          </w:p>
        </w:tc>
        <w:tc>
          <w:tcPr>
            <w:tcW w:w="2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148,399</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780" w:type="dxa"/>
            <w:vAlign w:val="bottom"/>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12</w:t>
            </w:r>
          </w:p>
        </w:tc>
        <w:tc>
          <w:tcPr>
            <w:tcW w:w="24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3,543</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9,697</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Borrowings—non-current portion</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24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925,411</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1,260,612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Lease liabilities—non-current portion</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24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531</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1,900</w:t>
            </w:r>
          </w:p>
        </w:tc>
        <w:tc>
          <w:tcPr>
            <w:tcW w:w="22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1,273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liabilities</w:t>
            </w:r>
          </w:p>
        </w:tc>
        <w:tc>
          <w:tcPr>
            <w:tcW w:w="46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930,854</w:t>
            </w:r>
          </w:p>
        </w:tc>
        <w:tc>
          <w:tcPr>
            <w:tcW w:w="2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1,272,113</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2,696,209</w:t>
            </w: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2,529,479</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Restated so as to reflect the historical financial statements of GAS-twelve Ltd. acquired on April 1, 2019 from GasLog Ltd. (“GasLog”) (Note 1).</w:t>
      </w:r>
    </w:p>
    <w:p>
      <w:pPr>
        <w:spacing w:after="0" w:line="191" w:lineRule="exact"/>
        <w:rPr>
          <w:rFonts w:ascii="Arial" w:cs="Arial" w:eastAsia="Arial" w:hAnsi="Arial"/>
          <w:sz w:val="18"/>
          <w:szCs w:val="18"/>
          <w:color w:val="auto"/>
          <w:vertAlign w:val="superscript"/>
        </w:rPr>
      </w:pPr>
    </w:p>
    <w:p>
      <w:pPr>
        <w:ind w:left="2180"/>
        <w:spacing w:after="0"/>
        <w:rPr>
          <w:rFonts w:ascii="Arial" w:cs="Arial" w:eastAsia="Arial" w:hAnsi="Arial"/>
          <w:sz w:val="18"/>
          <w:szCs w:val="18"/>
          <w:color w:val="auto"/>
          <w:vertAlign w:val="superscript"/>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GasLog Partners LP</w:t>
      </w:r>
    </w:p>
    <w:p>
      <w:pPr>
        <w:spacing w:after="0" w:line="235" w:lineRule="exact"/>
        <w:rPr>
          <w:sz w:val="20"/>
          <w:szCs w:val="20"/>
          <w:color w:val="auto"/>
        </w:rPr>
      </w:pPr>
    </w:p>
    <w:p>
      <w:pPr>
        <w:ind w:right="4820"/>
        <w:spacing w:after="0" w:line="287" w:lineRule="auto"/>
        <w:rPr>
          <w:sz w:val="20"/>
          <w:szCs w:val="20"/>
          <w:color w:val="auto"/>
        </w:rPr>
      </w:pPr>
      <w:r>
        <w:rPr>
          <w:rFonts w:ascii="Arial" w:cs="Arial" w:eastAsia="Arial" w:hAnsi="Arial"/>
          <w:sz w:val="15"/>
          <w:szCs w:val="15"/>
          <w:b w:val="1"/>
          <w:bCs w:val="1"/>
          <w:color w:val="auto"/>
        </w:rPr>
        <w:t>Unaudited condensed consolidated statements of profit or loss and total comprehensive income For the three and nine months ended September 30, 2018 and 2019</w:t>
      </w:r>
    </w:p>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For the three months ended</w:t>
            </w:r>
          </w:p>
        </w:tc>
        <w:tc>
          <w:tcPr>
            <w:tcW w:w="288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89"/>
              </w:rPr>
              <w:t>September 30,</w:t>
            </w:r>
          </w:p>
        </w:tc>
        <w:tc>
          <w:tcPr>
            <w:tcW w:w="154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89"/>
              </w:rPr>
              <w:t>September 30,</w:t>
            </w:r>
          </w:p>
        </w:tc>
        <w:tc>
          <w:tcPr>
            <w:tcW w:w="136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Note</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40" w:type="dxa"/>
            <w:vAlign w:val="bottom"/>
          </w:tcPr>
          <w:p>
            <w:pPr>
              <w:spacing w:after="0"/>
              <w:rPr>
                <w:sz w:val="18"/>
                <w:szCs w:val="18"/>
                <w:color w:val="auto"/>
              </w:rPr>
            </w:pPr>
          </w:p>
        </w:tc>
        <w:tc>
          <w:tcPr>
            <w:tcW w:w="13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2018</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139"/>
              <w:spacing w:after="0" w:line="172" w:lineRule="exact"/>
              <w:rPr>
                <w:sz w:val="20"/>
                <w:szCs w:val="20"/>
                <w:color w:val="auto"/>
              </w:rPr>
            </w:pPr>
            <w:r>
              <w:rPr>
                <w:rFonts w:ascii="Arial" w:cs="Arial" w:eastAsia="Arial" w:hAnsi="Arial"/>
                <w:sz w:val="14"/>
                <w:szCs w:val="14"/>
                <w:i w:val="1"/>
                <w:iCs w:val="1"/>
                <w:color w:val="auto"/>
                <w:w w:val="89"/>
              </w:rPr>
              <w:t>(restated)</w:t>
            </w:r>
            <w:r>
              <w:rPr>
                <w:rFonts w:ascii="Arial" w:cs="Arial" w:eastAsia="Arial" w:hAnsi="Arial"/>
                <w:sz w:val="17"/>
                <w:szCs w:val="17"/>
                <w:color w:val="auto"/>
                <w:w w:val="89"/>
                <w:vertAlign w:val="superscript"/>
              </w:rPr>
              <w:t>(1)</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139"/>
              <w:spacing w:after="0" w:line="172" w:lineRule="exact"/>
              <w:rPr>
                <w:sz w:val="20"/>
                <w:szCs w:val="20"/>
                <w:color w:val="auto"/>
              </w:rPr>
            </w:pPr>
            <w:r>
              <w:rPr>
                <w:rFonts w:ascii="Arial" w:cs="Arial" w:eastAsia="Arial" w:hAnsi="Arial"/>
                <w:sz w:val="14"/>
                <w:szCs w:val="14"/>
                <w:i w:val="1"/>
                <w:iCs w:val="1"/>
                <w:color w:val="auto"/>
                <w:w w:val="89"/>
              </w:rPr>
              <w:t>(restated)</w:t>
            </w:r>
            <w:r>
              <w:rPr>
                <w:rFonts w:ascii="Arial" w:cs="Arial" w:eastAsia="Arial" w:hAnsi="Arial"/>
                <w:sz w:val="17"/>
                <w:szCs w:val="17"/>
                <w:color w:val="auto"/>
                <w:w w:val="89"/>
                <w:vertAlign w:val="superscript"/>
              </w:rPr>
              <w:t>(1)</w:t>
            </w: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5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9</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97,205</w:t>
            </w:r>
          </w:p>
        </w:tc>
        <w:tc>
          <w:tcPr>
            <w:tcW w:w="24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96,485</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288,626</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282,175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Net pool allocation</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780</w:t>
            </w:r>
          </w:p>
        </w:tc>
        <w:tc>
          <w:tcPr>
            <w:tcW w:w="240" w:type="dxa"/>
            <w:vAlign w:val="bottom"/>
          </w:tcPr>
          <w:p>
            <w:pPr>
              <w:spacing w:after="0"/>
              <w:rPr>
                <w:sz w:val="17"/>
                <w:szCs w:val="17"/>
                <w:color w:val="auto"/>
              </w:rPr>
            </w:pPr>
          </w:p>
        </w:tc>
        <w:tc>
          <w:tcPr>
            <w:tcW w:w="1540" w:type="dxa"/>
            <w:vAlign w:val="bottom"/>
            <w:gridSpan w:val="2"/>
          </w:tcPr>
          <w:p>
            <w:pPr>
              <w:jc w:val="right"/>
              <w:ind w:right="139"/>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423</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5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(3,550)</w:t>
            </w:r>
          </w:p>
        </w:tc>
        <w:tc>
          <w:tcPr>
            <w:tcW w:w="154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(1,673)</w:t>
            </w:r>
          </w:p>
        </w:tc>
        <w:tc>
          <w:tcPr>
            <w:tcW w:w="152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(6,609)</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(5,547)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Vessel operating costs</w:t>
            </w:r>
          </w:p>
        </w:tc>
        <w:tc>
          <w:tcPr>
            <w:tcW w:w="500" w:type="dxa"/>
            <w:vAlign w:val="bottom"/>
          </w:tcPr>
          <w:p>
            <w:pPr>
              <w:jc w:val="center"/>
              <w:spacing w:after="0"/>
              <w:rPr>
                <w:sz w:val="20"/>
                <w:szCs w:val="20"/>
                <w:color w:val="auto"/>
              </w:rPr>
            </w:pPr>
            <w:r>
              <w:rPr>
                <w:rFonts w:ascii="Arial" w:cs="Arial" w:eastAsia="Arial" w:hAnsi="Arial"/>
                <w:sz w:val="16"/>
                <w:szCs w:val="16"/>
                <w:color w:val="auto"/>
                <w:w w:val="78"/>
              </w:rPr>
              <w:t>11</w:t>
            </w:r>
          </w:p>
        </w:tc>
        <w:tc>
          <w:tcPr>
            <w:tcW w:w="220" w:type="dxa"/>
            <w:vAlign w:val="bottom"/>
          </w:tcPr>
          <w:p>
            <w:pPr>
              <w:spacing w:after="0"/>
              <w:rPr>
                <w:sz w:val="17"/>
                <w:szCs w:val="17"/>
                <w:color w:val="auto"/>
              </w:rPr>
            </w:pPr>
          </w:p>
        </w:tc>
        <w:tc>
          <w:tcPr>
            <w:tcW w:w="1560" w:type="dxa"/>
            <w:vAlign w:val="bottom"/>
            <w:gridSpan w:val="2"/>
          </w:tcPr>
          <w:p>
            <w:pPr>
              <w:jc w:val="right"/>
              <w:ind w:right="99"/>
              <w:spacing w:after="0"/>
              <w:rPr>
                <w:sz w:val="20"/>
                <w:szCs w:val="20"/>
                <w:color w:val="auto"/>
              </w:rPr>
            </w:pPr>
            <w:r>
              <w:rPr>
                <w:rFonts w:ascii="Arial" w:cs="Arial" w:eastAsia="Arial" w:hAnsi="Arial"/>
                <w:sz w:val="16"/>
                <w:szCs w:val="16"/>
                <w:color w:val="auto"/>
              </w:rPr>
              <w:t>(18,597)</w:t>
            </w:r>
          </w:p>
        </w:tc>
        <w:tc>
          <w:tcPr>
            <w:tcW w:w="1540" w:type="dxa"/>
            <w:vAlign w:val="bottom"/>
            <w:gridSpan w:val="2"/>
          </w:tcPr>
          <w:p>
            <w:pPr>
              <w:jc w:val="right"/>
              <w:ind w:right="79"/>
              <w:spacing w:after="0"/>
              <w:rPr>
                <w:sz w:val="20"/>
                <w:szCs w:val="20"/>
                <w:color w:val="auto"/>
              </w:rPr>
            </w:pPr>
            <w:r>
              <w:rPr>
                <w:rFonts w:ascii="Arial" w:cs="Arial" w:eastAsia="Arial" w:hAnsi="Arial"/>
                <w:sz w:val="16"/>
                <w:szCs w:val="16"/>
                <w:color w:val="auto"/>
              </w:rPr>
              <w:t>(18,116)</w:t>
            </w:r>
          </w:p>
        </w:tc>
        <w:tc>
          <w:tcPr>
            <w:tcW w:w="1520" w:type="dxa"/>
            <w:vAlign w:val="bottom"/>
            <w:gridSpan w:val="2"/>
          </w:tcPr>
          <w:p>
            <w:pPr>
              <w:jc w:val="right"/>
              <w:ind w:right="79"/>
              <w:spacing w:after="0"/>
              <w:rPr>
                <w:sz w:val="20"/>
                <w:szCs w:val="20"/>
                <w:color w:val="auto"/>
              </w:rPr>
            </w:pPr>
            <w:r>
              <w:rPr>
                <w:rFonts w:ascii="Arial" w:cs="Arial" w:eastAsia="Arial" w:hAnsi="Arial"/>
                <w:sz w:val="16"/>
                <w:szCs w:val="16"/>
                <w:color w:val="auto"/>
              </w:rPr>
              <w:t>(56,930)</w:t>
            </w:r>
          </w:p>
        </w:tc>
        <w:tc>
          <w:tcPr>
            <w:tcW w:w="1320" w:type="dxa"/>
            <w:vAlign w:val="bottom"/>
          </w:tcPr>
          <w:p>
            <w:pPr>
              <w:jc w:val="right"/>
              <w:spacing w:after="0"/>
              <w:rPr>
                <w:sz w:val="20"/>
                <w:szCs w:val="20"/>
                <w:color w:val="auto"/>
              </w:rPr>
            </w:pPr>
            <w:r>
              <w:rPr>
                <w:rFonts w:ascii="Arial" w:cs="Arial" w:eastAsia="Arial" w:hAnsi="Arial"/>
                <w:sz w:val="16"/>
                <w:szCs w:val="16"/>
                <w:color w:val="auto"/>
              </w:rPr>
              <w:t>(55,295)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5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8"/>
              </w:rPr>
              <w:t>4,5</w:t>
            </w:r>
          </w:p>
        </w:tc>
        <w:tc>
          <w:tcPr>
            <w:tcW w:w="22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(22,133)</w:t>
            </w:r>
          </w:p>
        </w:tc>
        <w:tc>
          <w:tcPr>
            <w:tcW w:w="154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(22,819)</w:t>
            </w:r>
          </w:p>
        </w:tc>
        <w:tc>
          <w:tcPr>
            <w:tcW w:w="152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(65,458)</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(66,826)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500" w:type="dxa"/>
            <w:vAlign w:val="bottom"/>
          </w:tcPr>
          <w:p>
            <w:pPr>
              <w:jc w:val="center"/>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7"/>
                <w:szCs w:val="17"/>
                <w:color w:val="auto"/>
              </w:rPr>
            </w:pPr>
          </w:p>
        </w:tc>
        <w:tc>
          <w:tcPr>
            <w:tcW w:w="1560" w:type="dxa"/>
            <w:vAlign w:val="bottom"/>
            <w:gridSpan w:val="2"/>
          </w:tcPr>
          <w:p>
            <w:pPr>
              <w:jc w:val="right"/>
              <w:ind w:right="99"/>
              <w:spacing w:after="0"/>
              <w:rPr>
                <w:sz w:val="20"/>
                <w:szCs w:val="20"/>
                <w:color w:val="auto"/>
              </w:rPr>
            </w:pPr>
            <w:r>
              <w:rPr>
                <w:rFonts w:ascii="Arial" w:cs="Arial" w:eastAsia="Arial" w:hAnsi="Arial"/>
                <w:sz w:val="16"/>
                <w:szCs w:val="16"/>
                <w:color w:val="auto"/>
              </w:rPr>
              <w:t>(4,882)</w:t>
            </w:r>
          </w:p>
        </w:tc>
        <w:tc>
          <w:tcPr>
            <w:tcW w:w="1540" w:type="dxa"/>
            <w:vAlign w:val="bottom"/>
            <w:gridSpan w:val="2"/>
          </w:tcPr>
          <w:p>
            <w:pPr>
              <w:jc w:val="right"/>
              <w:ind w:right="79"/>
              <w:spacing w:after="0"/>
              <w:rPr>
                <w:sz w:val="20"/>
                <w:szCs w:val="20"/>
                <w:color w:val="auto"/>
              </w:rPr>
            </w:pPr>
            <w:r>
              <w:rPr>
                <w:rFonts w:ascii="Arial" w:cs="Arial" w:eastAsia="Arial" w:hAnsi="Arial"/>
                <w:sz w:val="16"/>
                <w:szCs w:val="16"/>
                <w:color w:val="auto"/>
              </w:rPr>
              <w:t>(4,917)</w:t>
            </w:r>
          </w:p>
        </w:tc>
        <w:tc>
          <w:tcPr>
            <w:tcW w:w="1520" w:type="dxa"/>
            <w:vAlign w:val="bottom"/>
            <w:gridSpan w:val="2"/>
          </w:tcPr>
          <w:p>
            <w:pPr>
              <w:jc w:val="right"/>
              <w:ind w:right="79"/>
              <w:spacing w:after="0"/>
              <w:rPr>
                <w:sz w:val="20"/>
                <w:szCs w:val="20"/>
                <w:color w:val="auto"/>
              </w:rPr>
            </w:pPr>
            <w:r>
              <w:rPr>
                <w:rFonts w:ascii="Arial" w:cs="Arial" w:eastAsia="Arial" w:hAnsi="Arial"/>
                <w:sz w:val="16"/>
                <w:szCs w:val="16"/>
                <w:color w:val="auto"/>
              </w:rPr>
              <w:t>(14,668)</w:t>
            </w:r>
          </w:p>
        </w:tc>
        <w:tc>
          <w:tcPr>
            <w:tcW w:w="1320" w:type="dxa"/>
            <w:vAlign w:val="bottom"/>
          </w:tcPr>
          <w:p>
            <w:pPr>
              <w:jc w:val="right"/>
              <w:spacing w:after="0"/>
              <w:rPr>
                <w:sz w:val="20"/>
                <w:szCs w:val="20"/>
                <w:color w:val="auto"/>
              </w:rPr>
            </w:pPr>
            <w:r>
              <w:rPr>
                <w:rFonts w:ascii="Arial" w:cs="Arial" w:eastAsia="Arial" w:hAnsi="Arial"/>
                <w:sz w:val="16"/>
                <w:szCs w:val="16"/>
                <w:color w:val="auto"/>
              </w:rPr>
              <w:t>(14,352)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50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48,823</w:t>
            </w:r>
          </w:p>
        </w:tc>
        <w:tc>
          <w:tcPr>
            <w:tcW w:w="24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48,960</w:t>
            </w:r>
          </w:p>
        </w:tc>
        <w:tc>
          <w:tcPr>
            <w:tcW w:w="22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145,384</w:t>
            </w:r>
          </w:p>
        </w:tc>
        <w:tc>
          <w:tcPr>
            <w:tcW w:w="2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141,213</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Financial costs</w:t>
            </w:r>
          </w:p>
        </w:tc>
        <w:tc>
          <w:tcPr>
            <w:tcW w:w="500" w:type="dxa"/>
            <w:vAlign w:val="bottom"/>
          </w:tcPr>
          <w:p>
            <w:pPr>
              <w:jc w:val="center"/>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(18,470</w:t>
            </w:r>
          </w:p>
        </w:tc>
        <w:tc>
          <w:tcPr>
            <w:tcW w:w="240" w:type="dxa"/>
            <w:vAlign w:val="bottom"/>
          </w:tcPr>
          <w:p>
            <w:pPr>
              <w:jc w:val="right"/>
              <w:ind w:right="99"/>
              <w:spacing w:after="0"/>
              <w:rPr>
                <w:sz w:val="20"/>
                <w:szCs w:val="20"/>
                <w:color w:val="auto"/>
              </w:rPr>
            </w:pPr>
            <w:r>
              <w:rPr>
                <w:rFonts w:ascii="Arial" w:cs="Arial" w:eastAsia="Arial" w:hAnsi="Arial"/>
                <w:sz w:val="16"/>
                <w:szCs w:val="16"/>
                <w:color w:val="auto"/>
                <w:w w:val="74"/>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(17,534)</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(54,113</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(55,650</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5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593</w:t>
            </w:r>
          </w:p>
        </w:tc>
        <w:tc>
          <w:tcPr>
            <w:tcW w:w="24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393</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1,718</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Gain/(loss) on derivatives</w:t>
            </w:r>
          </w:p>
        </w:tc>
        <w:tc>
          <w:tcPr>
            <w:tcW w:w="500" w:type="dxa"/>
            <w:vAlign w:val="bottom"/>
          </w:tcPr>
          <w:p>
            <w:pPr>
              <w:jc w:val="center"/>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2,082</w:t>
            </w:r>
          </w:p>
        </w:tc>
        <w:tc>
          <w:tcPr>
            <w:tcW w:w="240" w:type="dxa"/>
            <w:vAlign w:val="bottom"/>
          </w:tcPr>
          <w:p>
            <w:pPr>
              <w:spacing w:after="0"/>
              <w:rPr>
                <w:sz w:val="17"/>
                <w:szCs w:val="17"/>
                <w:color w:val="auto"/>
              </w:rPr>
            </w:pPr>
          </w:p>
        </w:tc>
        <w:tc>
          <w:tcPr>
            <w:tcW w:w="1540" w:type="dxa"/>
            <w:vAlign w:val="bottom"/>
            <w:gridSpan w:val="2"/>
          </w:tcPr>
          <w:p>
            <w:pPr>
              <w:jc w:val="right"/>
              <w:ind w:right="79"/>
              <w:spacing w:after="0"/>
              <w:rPr>
                <w:sz w:val="20"/>
                <w:szCs w:val="20"/>
                <w:color w:val="auto"/>
              </w:rPr>
            </w:pPr>
            <w:r>
              <w:rPr>
                <w:rFonts w:ascii="Arial" w:cs="Arial" w:eastAsia="Arial" w:hAnsi="Arial"/>
                <w:sz w:val="16"/>
                <w:szCs w:val="16"/>
                <w:color w:val="auto"/>
              </w:rPr>
              <w:t>(2,385)</w:t>
            </w:r>
          </w:p>
        </w:tc>
        <w:tc>
          <w:tcPr>
            <w:tcW w:w="1300" w:type="dxa"/>
            <w:vAlign w:val="bottom"/>
          </w:tcPr>
          <w:p>
            <w:pPr>
              <w:jc w:val="right"/>
              <w:spacing w:after="0"/>
              <w:rPr>
                <w:sz w:val="20"/>
                <w:szCs w:val="20"/>
                <w:color w:val="auto"/>
              </w:rPr>
            </w:pPr>
            <w:r>
              <w:rPr>
                <w:rFonts w:ascii="Arial" w:cs="Arial" w:eastAsia="Arial" w:hAnsi="Arial"/>
                <w:sz w:val="16"/>
                <w:szCs w:val="16"/>
                <w:color w:val="auto"/>
              </w:rPr>
              <w:t>9,997</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(15,528)</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50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(15,795</w:t>
            </w:r>
          </w:p>
        </w:tc>
        <w:tc>
          <w:tcPr>
            <w:tcW w:w="240" w:type="dxa"/>
            <w:vAlign w:val="bottom"/>
            <w:tcBorders>
              <w:top w:val="single" w:sz="8" w:color="E5FFFF"/>
            </w:tcBorders>
            <w:shd w:val="clear" w:color="auto" w:fill="E5FFFF"/>
          </w:tcPr>
          <w:p>
            <w:pPr>
              <w:jc w:val="right"/>
              <w:ind w:right="99"/>
              <w:spacing w:after="0"/>
              <w:rPr>
                <w:sz w:val="20"/>
                <w:szCs w:val="20"/>
                <w:color w:val="auto"/>
              </w:rPr>
            </w:pPr>
            <w:r>
              <w:rPr>
                <w:rFonts w:ascii="Arial" w:cs="Arial" w:eastAsia="Arial" w:hAnsi="Arial"/>
                <w:sz w:val="16"/>
                <w:szCs w:val="16"/>
                <w:b w:val="1"/>
                <w:bCs w:val="1"/>
                <w:color w:val="auto"/>
                <w:w w:val="74"/>
              </w:rPr>
              <w:t>)</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(19,526</w:t>
            </w:r>
          </w:p>
        </w:tc>
        <w:tc>
          <w:tcPr>
            <w:tcW w:w="220" w:type="dxa"/>
            <w:vAlign w:val="bottom"/>
            <w:tcBorders>
              <w:top w:val="single" w:sz="8" w:color="E5FFFF"/>
            </w:tcBorders>
            <w:shd w:val="clear" w:color="auto" w:fill="E5FFFF"/>
          </w:tcPr>
          <w:p>
            <w:pPr>
              <w:jc w:val="right"/>
              <w:ind w:right="79"/>
              <w:spacing w:after="0"/>
              <w:rPr>
                <w:sz w:val="20"/>
                <w:szCs w:val="20"/>
                <w:color w:val="auto"/>
              </w:rPr>
            </w:pPr>
            <w:r>
              <w:rPr>
                <w:rFonts w:ascii="Arial" w:cs="Arial" w:eastAsia="Arial" w:hAnsi="Arial"/>
                <w:sz w:val="16"/>
                <w:szCs w:val="16"/>
                <w:color w:val="auto"/>
                <w:w w:val="74"/>
              </w:rPr>
              <w:t>)</w:t>
            </w: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(42,398</w:t>
            </w:r>
          </w:p>
        </w:tc>
        <w:tc>
          <w:tcPr>
            <w:tcW w:w="220" w:type="dxa"/>
            <w:vAlign w:val="bottom"/>
            <w:tcBorders>
              <w:top w:val="single" w:sz="8" w:color="E5FFFF"/>
            </w:tcBorders>
            <w:shd w:val="clear" w:color="auto" w:fill="E5FF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(69,620</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and total comprehensive income for the period</w:t>
            </w:r>
          </w:p>
        </w:tc>
        <w:tc>
          <w:tcPr>
            <w:tcW w:w="500" w:type="dxa"/>
            <w:vAlign w:val="bottom"/>
            <w:tcBorders>
              <w:bottom w:val="single" w:sz="8" w:color="E5FFFF"/>
            </w:tcBorders>
          </w:tcPr>
          <w:p>
            <w:pPr>
              <w:spacing w:after="0"/>
              <w:rPr>
                <w:sz w:val="20"/>
                <w:szCs w:val="20"/>
                <w:color w:val="auto"/>
              </w:rPr>
            </w:pPr>
          </w:p>
        </w:tc>
        <w:tc>
          <w:tcPr>
            <w:tcW w:w="220" w:type="dxa"/>
            <w:vAlign w:val="bottom"/>
            <w:tcBorders>
              <w:bottom w:val="single" w:sz="8" w:color="E5FF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33,028</w:t>
            </w:r>
          </w:p>
        </w:tc>
        <w:tc>
          <w:tcPr>
            <w:tcW w:w="240" w:type="dxa"/>
            <w:vAlign w:val="bottom"/>
            <w:tcBorders>
              <w:bottom w:val="single" w:sz="8" w:color="E5FF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29,434</w:t>
            </w:r>
          </w:p>
        </w:tc>
        <w:tc>
          <w:tcPr>
            <w:tcW w:w="220" w:type="dxa"/>
            <w:vAlign w:val="bottom"/>
            <w:tcBorders>
              <w:bottom w:val="single" w:sz="8" w:color="E5FFFF"/>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102,986</w:t>
            </w:r>
          </w:p>
        </w:tc>
        <w:tc>
          <w:tcPr>
            <w:tcW w:w="220" w:type="dxa"/>
            <w:vAlign w:val="bottom"/>
            <w:tcBorders>
              <w:bottom w:val="single" w:sz="8" w:color="E5FF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71,593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40" w:type="dxa"/>
            <w:vAlign w:val="bottom"/>
            <w:shd w:val="clear" w:color="auto" w:fill="E5FFFF"/>
          </w:tcPr>
          <w:p>
            <w:pPr>
              <w:spacing w:after="0"/>
              <w:rPr>
                <w:sz w:val="15"/>
                <w:szCs w:val="15"/>
                <w:color w:val="auto"/>
              </w:rPr>
            </w:pPr>
          </w:p>
        </w:tc>
        <w:tc>
          <w:tcPr>
            <w:tcW w:w="5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32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13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3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320" w:type="dxa"/>
            <w:vAlign w:val="bottom"/>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Earnings per unit attributable to the Partnership, basic and</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Arial" w:cs="Arial" w:eastAsia="Arial" w:hAnsi="Arial"/>
                <w:sz w:val="16"/>
                <w:szCs w:val="16"/>
                <w:b w:val="1"/>
                <w:bCs w:val="1"/>
                <w:color w:val="auto"/>
              </w:rPr>
              <w:t>diluted:</w:t>
            </w:r>
          </w:p>
        </w:tc>
        <w:tc>
          <w:tcPr>
            <w:tcW w:w="500" w:type="dxa"/>
            <w:vAlign w:val="bottom"/>
          </w:tcPr>
          <w:p>
            <w:pPr>
              <w:jc w:val="center"/>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6"/>
                <w:szCs w:val="16"/>
                <w:color w:val="auto"/>
              </w:rPr>
              <w:t>Common unit, basic</w:t>
            </w:r>
          </w:p>
        </w:tc>
        <w:tc>
          <w:tcPr>
            <w:tcW w:w="5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0.49</w:t>
            </w:r>
          </w:p>
        </w:tc>
        <w:tc>
          <w:tcPr>
            <w:tcW w:w="24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0.45</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1.48</w:t>
            </w:r>
          </w:p>
        </w:tc>
        <w:tc>
          <w:tcPr>
            <w:tcW w:w="220" w:type="dxa"/>
            <w:vAlign w:val="bottom"/>
            <w:shd w:val="clear" w:color="auto" w:fill="E5FFFF"/>
          </w:tcPr>
          <w:p>
            <w:pPr>
              <w:spacing w:after="0"/>
              <w:rPr>
                <w:sz w:val="18"/>
                <w:szCs w:val="18"/>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Common unit, diluted</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0.49</w:t>
            </w:r>
          </w:p>
        </w:tc>
        <w:tc>
          <w:tcPr>
            <w:tcW w:w="240" w:type="dxa"/>
            <w:vAlign w:val="bottom"/>
          </w:tcPr>
          <w:p>
            <w:pPr>
              <w:spacing w:after="0"/>
              <w:rPr>
                <w:sz w:val="17"/>
                <w:szCs w:val="17"/>
                <w:color w:val="auto"/>
              </w:rPr>
            </w:pPr>
          </w:p>
        </w:tc>
        <w:tc>
          <w:tcPr>
            <w:tcW w:w="1540" w:type="dxa"/>
            <w:vAlign w:val="bottom"/>
            <w:gridSpan w:val="2"/>
          </w:tcPr>
          <w:p>
            <w:pPr>
              <w:jc w:val="right"/>
              <w:ind w:right="139"/>
              <w:spacing w:after="0"/>
              <w:rPr>
                <w:sz w:val="20"/>
                <w:szCs w:val="20"/>
                <w:color w:val="auto"/>
              </w:rPr>
            </w:pPr>
            <w:r>
              <w:rPr>
                <w:rFonts w:ascii="Arial" w:cs="Arial" w:eastAsia="Arial" w:hAnsi="Arial"/>
                <w:sz w:val="16"/>
                <w:szCs w:val="16"/>
                <w:color w:val="auto"/>
              </w:rPr>
              <w:t>0.43</w:t>
            </w:r>
          </w:p>
        </w:tc>
        <w:tc>
          <w:tcPr>
            <w:tcW w:w="1300" w:type="dxa"/>
            <w:vAlign w:val="bottom"/>
          </w:tcPr>
          <w:p>
            <w:pPr>
              <w:jc w:val="right"/>
              <w:spacing w:after="0"/>
              <w:rPr>
                <w:sz w:val="20"/>
                <w:szCs w:val="20"/>
                <w:color w:val="auto"/>
              </w:rPr>
            </w:pPr>
            <w:r>
              <w:rPr>
                <w:rFonts w:ascii="Arial" w:cs="Arial" w:eastAsia="Arial" w:hAnsi="Arial"/>
                <w:sz w:val="16"/>
                <w:szCs w:val="16"/>
                <w:color w:val="auto"/>
              </w:rPr>
              <w:t>1.48</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w:t>
            </w:r>
          </w:p>
        </w:tc>
        <w:tc>
          <w:tcPr>
            <w:tcW w:w="5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0.50</w:t>
            </w:r>
          </w:p>
        </w:tc>
        <w:tc>
          <w:tcPr>
            <w:tcW w:w="24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0.45</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1.54</w:t>
            </w:r>
          </w:p>
        </w:tc>
        <w:tc>
          <w:tcPr>
            <w:tcW w:w="2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left="460" w:right="200" w:hanging="322"/>
        <w:spacing w:after="0" w:line="212" w:lineRule="auto"/>
        <w:tabs>
          <w:tab w:leader="none" w:pos="457"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Restated so as to reflect the historical financial statements of GAS-twenty seven Ltd. and GAS-twelve Ltd. acquired on November 14, 2018 and April 1, 2019, respectively, from GasLog (Note 1).</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GasLog Partners LP</w:t>
      </w:r>
    </w:p>
    <w:p>
      <w:pPr>
        <w:spacing w:after="0" w:line="221" w:lineRule="exact"/>
        <w:rPr>
          <w:sz w:val="20"/>
          <w:szCs w:val="20"/>
          <w:color w:val="auto"/>
        </w:rPr>
      </w:pPr>
    </w:p>
    <w:p>
      <w:pPr>
        <w:ind w:right="5480"/>
        <w:spacing w:after="0" w:line="287" w:lineRule="auto"/>
        <w:rPr>
          <w:sz w:val="20"/>
          <w:szCs w:val="20"/>
          <w:color w:val="auto"/>
        </w:rPr>
      </w:pPr>
      <w:r>
        <w:rPr>
          <w:rFonts w:ascii="Arial" w:cs="Arial" w:eastAsia="Arial" w:hAnsi="Arial"/>
          <w:sz w:val="15"/>
          <w:szCs w:val="15"/>
          <w:b w:val="1"/>
          <w:bCs w:val="1"/>
          <w:color w:val="auto"/>
        </w:rPr>
        <w:t>Unaudited condensed consolidated statements of changes in owners’/partners’ equity For the nine months ended September 30, 2018 and 2019</w:t>
      </w: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jc w:val="center"/>
              <w:ind w:left="157"/>
              <w:spacing w:after="0"/>
              <w:rPr>
                <w:sz w:val="20"/>
                <w:szCs w:val="20"/>
                <w:color w:val="auto"/>
              </w:rPr>
            </w:pPr>
            <w:r>
              <w:rPr>
                <w:rFonts w:ascii="Arial" w:cs="Arial" w:eastAsia="Arial" w:hAnsi="Arial"/>
                <w:sz w:val="13"/>
                <w:szCs w:val="13"/>
                <w:b w:val="1"/>
                <w:bCs w:val="1"/>
                <w:color w:val="auto"/>
                <w:w w:val="83"/>
              </w:rPr>
              <w:t>Class B</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Total</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center"/>
              <w:ind w:left="177"/>
              <w:spacing w:after="0" w:line="135" w:lineRule="exact"/>
              <w:rPr>
                <w:sz w:val="20"/>
                <w:szCs w:val="20"/>
                <w:color w:val="auto"/>
              </w:rPr>
            </w:pPr>
            <w:r>
              <w:rPr>
                <w:rFonts w:ascii="Arial" w:cs="Arial" w:eastAsia="Arial" w:hAnsi="Arial"/>
                <w:sz w:val="13"/>
                <w:szCs w:val="13"/>
                <w:b w:val="1"/>
                <w:bCs w:val="1"/>
                <w:color w:val="auto"/>
                <w:w w:val="87"/>
              </w:rPr>
              <w:t>unitholders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left="377"/>
              <w:spacing w:after="0" w:line="135" w:lineRule="exact"/>
              <w:rPr>
                <w:sz w:val="20"/>
                <w:szCs w:val="20"/>
                <w:color w:val="auto"/>
              </w:rPr>
            </w:pPr>
            <w:r>
              <w:rPr>
                <w:rFonts w:ascii="Arial" w:cs="Arial" w:eastAsia="Arial" w:hAnsi="Arial"/>
                <w:sz w:val="13"/>
                <w:szCs w:val="13"/>
                <w:b w:val="1"/>
                <w:bCs w:val="1"/>
                <w:color w:val="auto"/>
                <w:w w:val="86"/>
              </w:rPr>
              <w:t>Preference</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Partners’</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Owners’</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6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General partner</w:t>
            </w:r>
          </w:p>
        </w:tc>
        <w:tc>
          <w:tcPr>
            <w:tcW w:w="170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Common unitholders</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IDRs</w:t>
            </w:r>
          </w:p>
        </w:tc>
        <w:tc>
          <w:tcPr>
            <w:tcW w:w="1060" w:type="dxa"/>
            <w:vAlign w:val="bottom"/>
            <w:gridSpan w:val="3"/>
          </w:tcPr>
          <w:p>
            <w:pPr>
              <w:jc w:val="center"/>
              <w:ind w:left="157"/>
              <w:spacing w:after="0"/>
              <w:rPr>
                <w:sz w:val="20"/>
                <w:szCs w:val="20"/>
                <w:color w:val="auto"/>
              </w:rPr>
            </w:pPr>
            <w:r>
              <w:rPr>
                <w:rFonts w:ascii="Arial" w:cs="Arial" w:eastAsia="Arial" w:hAnsi="Arial"/>
                <w:sz w:val="13"/>
                <w:szCs w:val="13"/>
                <w:b w:val="1"/>
                <w:bCs w:val="1"/>
                <w:color w:val="auto"/>
                <w:w w:val="90"/>
              </w:rPr>
              <w:t>(Note 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left="377"/>
              <w:spacing w:after="0"/>
              <w:rPr>
                <w:sz w:val="20"/>
                <w:szCs w:val="20"/>
                <w:color w:val="auto"/>
              </w:rPr>
            </w:pPr>
            <w:r>
              <w:rPr>
                <w:rFonts w:ascii="Arial" w:cs="Arial" w:eastAsia="Arial" w:hAnsi="Arial"/>
                <w:sz w:val="13"/>
                <w:szCs w:val="13"/>
                <w:b w:val="1"/>
                <w:bCs w:val="1"/>
                <w:color w:val="auto"/>
                <w:w w:val="87"/>
              </w:rPr>
              <w:t>unitholders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equity</w:t>
            </w: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capital</w:t>
            </w: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76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3"/>
                <w:szCs w:val="13"/>
                <w:b w:val="1"/>
                <w:bCs w:val="1"/>
                <w:color w:val="auto"/>
              </w:rPr>
              <w:t>Units</w:t>
            </w: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rPr>
              <w:t>Units</w:t>
            </w: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top w:val="single" w:sz="8" w:color="auto"/>
            </w:tcBorders>
            <w:gridSpan w:val="3"/>
          </w:tcPr>
          <w:p>
            <w:pPr>
              <w:ind w:left="160"/>
              <w:spacing w:after="0" w:line="129" w:lineRule="exact"/>
              <w:rPr>
                <w:sz w:val="20"/>
                <w:szCs w:val="20"/>
                <w:color w:val="auto"/>
              </w:rPr>
            </w:pPr>
            <w:r>
              <w:rPr>
                <w:rFonts w:ascii="Arial" w:cs="Arial" w:eastAsia="Arial" w:hAnsi="Arial"/>
                <w:sz w:val="13"/>
                <w:szCs w:val="13"/>
                <w:b w:val="1"/>
                <w:bCs w:val="1"/>
                <w:color w:val="auto"/>
              </w:rPr>
              <w:t>Units</w:t>
            </w:r>
          </w:p>
        </w:tc>
        <w:tc>
          <w:tcPr>
            <w:tcW w:w="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top w:val="single" w:sz="8" w:color="auto"/>
            </w:tcBorders>
            <w:gridSpan w:val="3"/>
          </w:tcPr>
          <w:p>
            <w:pPr>
              <w:ind w:left="260"/>
              <w:spacing w:after="0" w:line="129" w:lineRule="exact"/>
              <w:rPr>
                <w:sz w:val="20"/>
                <w:szCs w:val="20"/>
                <w:color w:val="auto"/>
              </w:rPr>
            </w:pPr>
            <w:r>
              <w:rPr>
                <w:rFonts w:ascii="Arial" w:cs="Arial" w:eastAsia="Arial" w:hAnsi="Arial"/>
                <w:sz w:val="13"/>
                <w:szCs w:val="13"/>
                <w:b w:val="1"/>
                <w:bCs w:val="1"/>
                <w:color w:val="auto"/>
              </w:rPr>
              <w:t>Units</w:t>
            </w: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740" w:type="dxa"/>
            <w:vAlign w:val="bottom"/>
            <w:tcBorders>
              <w:top w:val="single" w:sz="8" w:color="E5FFFF"/>
            </w:tcBorders>
            <w:shd w:val="clear" w:color="auto" w:fill="E5FFFF"/>
          </w:tcPr>
          <w:p>
            <w:pPr>
              <w:spacing w:after="0" w:line="89" w:lineRule="exact"/>
              <w:rPr>
                <w:sz w:val="20"/>
                <w:szCs w:val="20"/>
                <w:color w:val="auto"/>
              </w:rPr>
            </w:pPr>
            <w:r>
              <w:rPr>
                <w:rFonts w:ascii="Arial" w:cs="Arial" w:eastAsia="Arial" w:hAnsi="Arial"/>
                <w:sz w:val="9"/>
                <w:szCs w:val="9"/>
                <w:b w:val="1"/>
                <w:bCs w:val="1"/>
                <w:color w:val="auto"/>
              </w:rPr>
              <w:t>Balance as of January 1, 2018</w:t>
            </w:r>
          </w:p>
        </w:tc>
        <w:tc>
          <w:tcPr>
            <w:tcW w:w="640" w:type="dxa"/>
            <w:vAlign w:val="bottom"/>
            <w:tcBorders>
              <w:top w:val="single" w:sz="8" w:color="auto"/>
            </w:tcBorders>
            <w:shd w:val="clear" w:color="auto" w:fill="E5FFFF"/>
          </w:tcPr>
          <w:p>
            <w:pPr>
              <w:spacing w:after="0"/>
              <w:rPr>
                <w:sz w:val="7"/>
                <w:szCs w:val="7"/>
                <w:color w:val="auto"/>
              </w:rPr>
            </w:pPr>
          </w:p>
        </w:tc>
        <w:tc>
          <w:tcPr>
            <w:tcW w:w="120" w:type="dxa"/>
            <w:vAlign w:val="bottom"/>
            <w:tcBorders>
              <w:top w:val="single" w:sz="8" w:color="E5FFFF"/>
            </w:tcBorders>
            <w:shd w:val="clear" w:color="auto" w:fill="E5FFFF"/>
          </w:tcPr>
          <w:p>
            <w:pPr>
              <w:spacing w:after="0"/>
              <w:rPr>
                <w:sz w:val="7"/>
                <w:szCs w:val="7"/>
                <w:color w:val="auto"/>
              </w:rPr>
            </w:pPr>
          </w:p>
        </w:tc>
        <w:tc>
          <w:tcPr>
            <w:tcW w:w="580" w:type="dxa"/>
            <w:vAlign w:val="bottom"/>
            <w:tcBorders>
              <w:top w:val="single" w:sz="8" w:color="auto"/>
            </w:tcBorders>
            <w:shd w:val="clear" w:color="auto" w:fill="E5FFFF"/>
          </w:tcPr>
          <w:p>
            <w:pPr>
              <w:spacing w:after="0"/>
              <w:rPr>
                <w:sz w:val="7"/>
                <w:szCs w:val="7"/>
                <w:color w:val="auto"/>
              </w:rPr>
            </w:pPr>
          </w:p>
        </w:tc>
        <w:tc>
          <w:tcPr>
            <w:tcW w:w="120" w:type="dxa"/>
            <w:vAlign w:val="bottom"/>
            <w:tcBorders>
              <w:top w:val="single" w:sz="8" w:color="E5FFFF"/>
            </w:tcBorders>
            <w:shd w:val="clear" w:color="auto" w:fill="E5FFFF"/>
          </w:tcPr>
          <w:p>
            <w:pPr>
              <w:spacing w:after="0"/>
              <w:rPr>
                <w:sz w:val="7"/>
                <w:szCs w:val="7"/>
                <w:color w:val="auto"/>
              </w:rPr>
            </w:pPr>
          </w:p>
        </w:tc>
        <w:tc>
          <w:tcPr>
            <w:tcW w:w="820" w:type="dxa"/>
            <w:vAlign w:val="bottom"/>
            <w:tcBorders>
              <w:top w:val="single" w:sz="8" w:color="auto"/>
            </w:tcBorders>
            <w:shd w:val="clear" w:color="auto" w:fill="E5FFFF"/>
          </w:tcPr>
          <w:p>
            <w:pPr>
              <w:spacing w:after="0"/>
              <w:rPr>
                <w:sz w:val="7"/>
                <w:szCs w:val="7"/>
                <w:color w:val="auto"/>
              </w:rPr>
            </w:pPr>
          </w:p>
        </w:tc>
        <w:tc>
          <w:tcPr>
            <w:tcW w:w="120" w:type="dxa"/>
            <w:vAlign w:val="bottom"/>
            <w:tcBorders>
              <w:top w:val="single" w:sz="8" w:color="E5FFFF"/>
            </w:tcBorders>
            <w:shd w:val="clear" w:color="auto" w:fill="E5FFFF"/>
          </w:tcPr>
          <w:p>
            <w:pPr>
              <w:spacing w:after="0"/>
              <w:rPr>
                <w:sz w:val="7"/>
                <w:szCs w:val="7"/>
                <w:color w:val="auto"/>
              </w:rPr>
            </w:pPr>
          </w:p>
        </w:tc>
        <w:tc>
          <w:tcPr>
            <w:tcW w:w="640" w:type="dxa"/>
            <w:vAlign w:val="bottom"/>
            <w:tcBorders>
              <w:top w:val="single" w:sz="8" w:color="auto"/>
            </w:tcBorders>
            <w:shd w:val="clear" w:color="auto" w:fill="E5FFFF"/>
          </w:tcPr>
          <w:p>
            <w:pPr>
              <w:spacing w:after="0"/>
              <w:rPr>
                <w:sz w:val="7"/>
                <w:szCs w:val="7"/>
                <w:color w:val="auto"/>
              </w:rPr>
            </w:pPr>
          </w:p>
        </w:tc>
        <w:tc>
          <w:tcPr>
            <w:tcW w:w="120" w:type="dxa"/>
            <w:vAlign w:val="bottom"/>
            <w:tcBorders>
              <w:top w:val="single" w:sz="8" w:color="E5FFFF"/>
            </w:tcBorders>
            <w:shd w:val="clear" w:color="auto" w:fill="E5FFFF"/>
          </w:tcPr>
          <w:p>
            <w:pPr>
              <w:spacing w:after="0"/>
              <w:rPr>
                <w:sz w:val="7"/>
                <w:szCs w:val="7"/>
                <w:color w:val="auto"/>
              </w:rPr>
            </w:pPr>
          </w:p>
        </w:tc>
        <w:tc>
          <w:tcPr>
            <w:tcW w:w="820" w:type="dxa"/>
            <w:vAlign w:val="bottom"/>
            <w:tcBorders>
              <w:top w:val="single" w:sz="8" w:color="auto"/>
            </w:tcBorders>
            <w:shd w:val="clear" w:color="auto" w:fill="E5FFFF"/>
          </w:tcPr>
          <w:p>
            <w:pPr>
              <w:spacing w:after="0"/>
              <w:rPr>
                <w:sz w:val="7"/>
                <w:szCs w:val="7"/>
                <w:color w:val="auto"/>
              </w:rPr>
            </w:pPr>
          </w:p>
        </w:tc>
        <w:tc>
          <w:tcPr>
            <w:tcW w:w="120" w:type="dxa"/>
            <w:vAlign w:val="bottom"/>
            <w:tcBorders>
              <w:top w:val="single" w:sz="8" w:color="E5FFFF"/>
            </w:tcBorders>
            <w:shd w:val="clear" w:color="auto" w:fill="E5FFFF"/>
          </w:tcPr>
          <w:p>
            <w:pPr>
              <w:spacing w:after="0"/>
              <w:rPr>
                <w:sz w:val="7"/>
                <w:szCs w:val="7"/>
                <w:color w:val="auto"/>
              </w:rPr>
            </w:pPr>
          </w:p>
        </w:tc>
        <w:tc>
          <w:tcPr>
            <w:tcW w:w="620" w:type="dxa"/>
            <w:vAlign w:val="bottom"/>
            <w:tcBorders>
              <w:top w:val="single" w:sz="8" w:color="auto"/>
            </w:tcBorders>
            <w:shd w:val="clear" w:color="auto" w:fill="E5FFFF"/>
          </w:tcPr>
          <w:p>
            <w:pPr>
              <w:spacing w:after="0"/>
              <w:rPr>
                <w:sz w:val="7"/>
                <w:szCs w:val="7"/>
                <w:color w:val="auto"/>
              </w:rPr>
            </w:pPr>
          </w:p>
        </w:tc>
        <w:tc>
          <w:tcPr>
            <w:tcW w:w="100" w:type="dxa"/>
            <w:vAlign w:val="bottom"/>
            <w:tcBorders>
              <w:top w:val="single" w:sz="8" w:color="E5FFFF"/>
            </w:tcBorders>
            <w:shd w:val="clear" w:color="auto" w:fill="E5FFFF"/>
          </w:tcPr>
          <w:p>
            <w:pPr>
              <w:spacing w:after="0"/>
              <w:rPr>
                <w:sz w:val="7"/>
                <w:szCs w:val="7"/>
                <w:color w:val="auto"/>
              </w:rPr>
            </w:pPr>
          </w:p>
        </w:tc>
        <w:tc>
          <w:tcPr>
            <w:tcW w:w="340" w:type="dxa"/>
            <w:vAlign w:val="bottom"/>
            <w:tcBorders>
              <w:top w:val="single" w:sz="8" w:color="auto"/>
            </w:tcBorders>
            <w:shd w:val="clear" w:color="auto" w:fill="E5FFFF"/>
          </w:tcPr>
          <w:p>
            <w:pPr>
              <w:spacing w:after="0"/>
              <w:rPr>
                <w:sz w:val="7"/>
                <w:szCs w:val="7"/>
                <w:color w:val="auto"/>
              </w:rPr>
            </w:pPr>
          </w:p>
        </w:tc>
        <w:tc>
          <w:tcPr>
            <w:tcW w:w="240" w:type="dxa"/>
            <w:vAlign w:val="bottom"/>
            <w:tcBorders>
              <w:top w:val="single" w:sz="8" w:color="auto"/>
            </w:tcBorders>
            <w:shd w:val="clear" w:color="auto" w:fill="E5FFFF"/>
          </w:tcPr>
          <w:p>
            <w:pPr>
              <w:spacing w:after="0"/>
              <w:rPr>
                <w:sz w:val="7"/>
                <w:szCs w:val="7"/>
                <w:color w:val="auto"/>
              </w:rPr>
            </w:pPr>
          </w:p>
        </w:tc>
        <w:tc>
          <w:tcPr>
            <w:tcW w:w="100" w:type="dxa"/>
            <w:vAlign w:val="bottom"/>
            <w:tcBorders>
              <w:top w:val="single" w:sz="8" w:color="E5FFFF"/>
            </w:tcBorders>
            <w:shd w:val="clear" w:color="auto" w:fill="E5FFFF"/>
          </w:tcPr>
          <w:p>
            <w:pPr>
              <w:spacing w:after="0"/>
              <w:rPr>
                <w:sz w:val="7"/>
                <w:szCs w:val="7"/>
                <w:color w:val="auto"/>
              </w:rPr>
            </w:pPr>
          </w:p>
        </w:tc>
        <w:tc>
          <w:tcPr>
            <w:tcW w:w="800" w:type="dxa"/>
            <w:vAlign w:val="bottom"/>
            <w:tcBorders>
              <w:top w:val="single" w:sz="8" w:color="auto"/>
            </w:tcBorders>
            <w:shd w:val="clear" w:color="auto" w:fill="E5FFFF"/>
          </w:tcPr>
          <w:p>
            <w:pPr>
              <w:spacing w:after="0"/>
              <w:rPr>
                <w:sz w:val="7"/>
                <w:szCs w:val="7"/>
                <w:color w:val="auto"/>
              </w:rPr>
            </w:pPr>
          </w:p>
        </w:tc>
        <w:tc>
          <w:tcPr>
            <w:tcW w:w="100" w:type="dxa"/>
            <w:vAlign w:val="bottom"/>
            <w:tcBorders>
              <w:top w:val="single" w:sz="8" w:color="E5FFFF"/>
            </w:tcBorders>
            <w:shd w:val="clear" w:color="auto" w:fill="E5FFFF"/>
          </w:tcPr>
          <w:p>
            <w:pPr>
              <w:spacing w:after="0"/>
              <w:rPr>
                <w:sz w:val="7"/>
                <w:szCs w:val="7"/>
                <w:color w:val="auto"/>
              </w:rPr>
            </w:pPr>
          </w:p>
        </w:tc>
        <w:tc>
          <w:tcPr>
            <w:tcW w:w="240" w:type="dxa"/>
            <w:vAlign w:val="bottom"/>
            <w:tcBorders>
              <w:top w:val="single" w:sz="8" w:color="auto"/>
            </w:tcBorders>
            <w:shd w:val="clear" w:color="auto" w:fill="E5FFFF"/>
          </w:tcPr>
          <w:p>
            <w:pPr>
              <w:spacing w:after="0"/>
              <w:rPr>
                <w:sz w:val="7"/>
                <w:szCs w:val="7"/>
                <w:color w:val="auto"/>
              </w:rPr>
            </w:pPr>
          </w:p>
        </w:tc>
        <w:tc>
          <w:tcPr>
            <w:tcW w:w="440" w:type="dxa"/>
            <w:vAlign w:val="bottom"/>
            <w:tcBorders>
              <w:top w:val="single" w:sz="8" w:color="auto"/>
            </w:tcBorders>
            <w:shd w:val="clear" w:color="auto" w:fill="E5FFFF"/>
          </w:tcPr>
          <w:p>
            <w:pPr>
              <w:spacing w:after="0"/>
              <w:rPr>
                <w:sz w:val="7"/>
                <w:szCs w:val="7"/>
                <w:color w:val="auto"/>
              </w:rPr>
            </w:pPr>
          </w:p>
        </w:tc>
        <w:tc>
          <w:tcPr>
            <w:tcW w:w="100" w:type="dxa"/>
            <w:vAlign w:val="bottom"/>
            <w:tcBorders>
              <w:top w:val="single" w:sz="8" w:color="E5FFFF"/>
            </w:tcBorders>
            <w:shd w:val="clear" w:color="auto" w:fill="E5FFFF"/>
          </w:tcPr>
          <w:p>
            <w:pPr>
              <w:spacing w:after="0"/>
              <w:rPr>
                <w:sz w:val="7"/>
                <w:szCs w:val="7"/>
                <w:color w:val="auto"/>
              </w:rPr>
            </w:pPr>
          </w:p>
        </w:tc>
        <w:tc>
          <w:tcPr>
            <w:tcW w:w="800" w:type="dxa"/>
            <w:vAlign w:val="bottom"/>
            <w:tcBorders>
              <w:top w:val="single" w:sz="8" w:color="auto"/>
            </w:tcBorders>
            <w:shd w:val="clear" w:color="auto" w:fill="E5FFFF"/>
          </w:tcPr>
          <w:p>
            <w:pPr>
              <w:spacing w:after="0"/>
              <w:rPr>
                <w:sz w:val="7"/>
                <w:szCs w:val="7"/>
                <w:color w:val="auto"/>
              </w:rPr>
            </w:pPr>
          </w:p>
        </w:tc>
        <w:tc>
          <w:tcPr>
            <w:tcW w:w="120" w:type="dxa"/>
            <w:vAlign w:val="bottom"/>
            <w:tcBorders>
              <w:top w:val="single" w:sz="8" w:color="E5FFFF"/>
            </w:tcBorders>
            <w:shd w:val="clear" w:color="auto" w:fill="E5FFFF"/>
          </w:tcPr>
          <w:p>
            <w:pPr>
              <w:spacing w:after="0"/>
              <w:rPr>
                <w:sz w:val="7"/>
                <w:szCs w:val="7"/>
                <w:color w:val="auto"/>
              </w:rPr>
            </w:pPr>
          </w:p>
        </w:tc>
        <w:tc>
          <w:tcPr>
            <w:tcW w:w="660" w:type="dxa"/>
            <w:vAlign w:val="bottom"/>
            <w:tcBorders>
              <w:top w:val="single" w:sz="8" w:color="auto"/>
            </w:tcBorders>
            <w:shd w:val="clear" w:color="auto" w:fill="E5FFFF"/>
          </w:tcPr>
          <w:p>
            <w:pPr>
              <w:spacing w:after="0"/>
              <w:rPr>
                <w:sz w:val="7"/>
                <w:szCs w:val="7"/>
                <w:color w:val="auto"/>
              </w:rPr>
            </w:pPr>
          </w:p>
        </w:tc>
        <w:tc>
          <w:tcPr>
            <w:tcW w:w="120" w:type="dxa"/>
            <w:vAlign w:val="bottom"/>
            <w:tcBorders>
              <w:top w:val="single" w:sz="8" w:color="E5FFFF"/>
            </w:tcBorders>
            <w:shd w:val="clear" w:color="auto" w:fill="E5FFFF"/>
          </w:tcPr>
          <w:p>
            <w:pPr>
              <w:spacing w:after="0"/>
              <w:rPr>
                <w:sz w:val="7"/>
                <w:szCs w:val="7"/>
                <w:color w:val="auto"/>
              </w:rPr>
            </w:pPr>
          </w:p>
        </w:tc>
        <w:tc>
          <w:tcPr>
            <w:tcW w:w="680" w:type="dxa"/>
            <w:vAlign w:val="bottom"/>
            <w:tcBorders>
              <w:top w:val="single" w:sz="8" w:color="auto"/>
            </w:tcBorders>
            <w:shd w:val="clear" w:color="auto" w:fill="E5FF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40" w:type="dxa"/>
            <w:vAlign w:val="bottom"/>
            <w:shd w:val="clear" w:color="auto" w:fill="E5FFFF"/>
          </w:tcPr>
          <w:p>
            <w:pPr>
              <w:ind w:left="140"/>
              <w:spacing w:after="0" w:line="161" w:lineRule="exact"/>
              <w:rPr>
                <w:sz w:val="20"/>
                <w:szCs w:val="20"/>
                <w:color w:val="auto"/>
              </w:rPr>
            </w:pPr>
            <w:r>
              <w:rPr>
                <w:rFonts w:ascii="Arial" w:cs="Arial" w:eastAsia="Arial" w:hAnsi="Arial"/>
                <w:sz w:val="13"/>
                <w:szCs w:val="13"/>
                <w:b w:val="1"/>
                <w:bCs w:val="1"/>
                <w:color w:val="auto"/>
              </w:rPr>
              <w:t>(as restated</w:t>
            </w:r>
            <w:r>
              <w:rPr>
                <w:rFonts w:ascii="Arial" w:cs="Arial" w:eastAsia="Arial" w:hAnsi="Arial"/>
                <w:sz w:val="16"/>
                <w:szCs w:val="16"/>
                <w:b w:val="1"/>
                <w:bCs w:val="1"/>
                <w:color w:val="auto"/>
                <w:vertAlign w:val="superscript"/>
              </w:rPr>
              <w:t>(1)</w:t>
            </w:r>
            <w:r>
              <w:rPr>
                <w:rFonts w:ascii="Arial" w:cs="Arial" w:eastAsia="Arial" w:hAnsi="Arial"/>
                <w:sz w:val="13"/>
                <w:szCs w:val="13"/>
                <w:b w:val="1"/>
                <w:bCs w:val="1"/>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b w:val="1"/>
                <w:bCs w:val="1"/>
                <w:color w:val="auto"/>
              </w:rPr>
              <w:t>836,779</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b w:val="1"/>
                <w:bCs w:val="1"/>
                <w:color w:val="auto"/>
              </w:rPr>
              <w:t>11,781</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b w:val="1"/>
                <w:bCs w:val="1"/>
                <w:color w:val="auto"/>
              </w:rPr>
              <w:t>41,002,121</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b w:val="1"/>
                <w:bCs w:val="1"/>
                <w:color w:val="auto"/>
              </w:rPr>
              <w:t>752,456</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b w:val="1"/>
                <w:bCs w:val="1"/>
                <w:color w:val="auto"/>
              </w:rPr>
              <w:t>6,596</w:t>
            </w:r>
          </w:p>
        </w:tc>
        <w:tc>
          <w:tcPr>
            <w:tcW w:w="1060" w:type="dxa"/>
            <w:vAlign w:val="bottom"/>
            <w:gridSpan w:val="3"/>
            <w:shd w:val="clear" w:color="auto" w:fill="E5FFFF"/>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b w:val="1"/>
                <w:bCs w:val="1"/>
                <w:color w:val="auto"/>
              </w:rPr>
              <w:t>5,750,000</w:t>
            </w:r>
          </w:p>
        </w:tc>
        <w:tc>
          <w:tcPr>
            <w:tcW w:w="240" w:type="dxa"/>
            <w:vAlign w:val="bottom"/>
            <w:shd w:val="clear" w:color="auto" w:fill="E5FFFF"/>
          </w:tcPr>
          <w:p>
            <w:pPr>
              <w:spacing w:after="0"/>
              <w:rPr>
                <w:sz w:val="14"/>
                <w:szCs w:val="14"/>
                <w:color w:val="auto"/>
              </w:rPr>
            </w:pP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b w:val="1"/>
                <w:bCs w:val="1"/>
                <w:color w:val="auto"/>
                <w:w w:val="89"/>
              </w:rPr>
              <w:t>139,321</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b w:val="1"/>
                <w:bCs w:val="1"/>
                <w:color w:val="auto"/>
              </w:rPr>
              <w:t>910,154</w:t>
            </w:r>
          </w:p>
        </w:tc>
        <w:tc>
          <w:tcPr>
            <w:tcW w:w="660" w:type="dxa"/>
            <w:vAlign w:val="bottom"/>
            <w:shd w:val="clear" w:color="auto" w:fill="E5FFFF"/>
          </w:tcPr>
          <w:p>
            <w:pPr>
              <w:jc w:val="right"/>
              <w:spacing w:after="0"/>
              <w:rPr>
                <w:sz w:val="20"/>
                <w:szCs w:val="20"/>
                <w:color w:val="auto"/>
              </w:rPr>
            </w:pPr>
            <w:r>
              <w:rPr>
                <w:rFonts w:ascii="Arial" w:cs="Arial" w:eastAsia="Arial" w:hAnsi="Arial"/>
                <w:sz w:val="13"/>
                <w:szCs w:val="13"/>
                <w:b w:val="1"/>
                <w:bCs w:val="1"/>
                <w:color w:val="auto"/>
              </w:rPr>
              <w:t>216,155</w:t>
            </w:r>
          </w:p>
        </w:tc>
        <w:tc>
          <w:tcPr>
            <w:tcW w:w="120" w:type="dxa"/>
            <w:vAlign w:val="bottom"/>
            <w:shd w:val="clear" w:color="auto" w:fill="E5FFFF"/>
          </w:tcPr>
          <w:p>
            <w:pPr>
              <w:spacing w:after="0"/>
              <w:rPr>
                <w:sz w:val="14"/>
                <w:szCs w:val="14"/>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3"/>
                <w:szCs w:val="13"/>
                <w:b w:val="1"/>
                <w:bCs w:val="1"/>
                <w:color w:val="auto"/>
              </w:rPr>
              <w:t>1,126,309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tcPr>
          <w:p>
            <w:pPr>
              <w:spacing w:after="0" w:line="121" w:lineRule="exact"/>
              <w:rPr>
                <w:sz w:val="20"/>
                <w:szCs w:val="20"/>
                <w:color w:val="auto"/>
              </w:rPr>
            </w:pPr>
            <w:r>
              <w:rPr>
                <w:rFonts w:ascii="Arial" w:cs="Arial" w:eastAsia="Arial" w:hAnsi="Arial"/>
                <w:sz w:val="13"/>
                <w:szCs w:val="13"/>
                <w:color w:val="auto"/>
                <w:w w:val="97"/>
              </w:rPr>
              <w:t>Profit and total comprehensive</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ind w:left="140"/>
              <w:spacing w:after="0" w:line="135" w:lineRule="exact"/>
              <w:rPr>
                <w:sz w:val="20"/>
                <w:szCs w:val="20"/>
                <w:color w:val="auto"/>
              </w:rPr>
            </w:pPr>
            <w:r>
              <w:rPr>
                <w:rFonts w:ascii="Arial" w:cs="Arial" w:eastAsia="Arial" w:hAnsi="Arial"/>
                <w:sz w:val="13"/>
                <w:szCs w:val="13"/>
                <w:color w:val="auto"/>
              </w:rPr>
              <w:t>income attributable to</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ind w:left="140"/>
              <w:spacing w:after="0" w:line="135" w:lineRule="exact"/>
              <w:rPr>
                <w:sz w:val="20"/>
                <w:szCs w:val="20"/>
                <w:color w:val="auto"/>
              </w:rPr>
            </w:pPr>
            <w:r>
              <w:rPr>
                <w:rFonts w:ascii="Arial" w:cs="Arial" w:eastAsia="Arial" w:hAnsi="Arial"/>
                <w:sz w:val="13"/>
                <w:szCs w:val="13"/>
                <w:color w:val="auto"/>
              </w:rPr>
              <w:t>GasLog’s operations (Note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gridSpan w:val="2"/>
          </w:tcPr>
          <w:p>
            <w:pPr>
              <w:ind w:left="160"/>
              <w:spacing w:after="0"/>
              <w:rPr>
                <w:sz w:val="20"/>
                <w:szCs w:val="20"/>
                <w:color w:val="auto"/>
              </w:rPr>
            </w:pPr>
            <w:r>
              <w:rPr>
                <w:rFonts w:ascii="Arial" w:cs="Arial" w:eastAsia="Arial" w:hAnsi="Arial"/>
                <w:sz w:val="13"/>
                <w:szCs w:val="13"/>
                <w:color w:val="auto"/>
              </w:rPr>
              <w:t>16)</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20,813</w:t>
            </w:r>
          </w:p>
        </w:tc>
        <w:tc>
          <w:tcPr>
            <w:tcW w:w="680" w:type="dxa"/>
            <w:vAlign w:val="bottom"/>
          </w:tcPr>
          <w:p>
            <w:pPr>
              <w:jc w:val="right"/>
              <w:spacing w:after="0"/>
              <w:rPr>
                <w:sz w:val="20"/>
                <w:szCs w:val="20"/>
                <w:color w:val="auto"/>
              </w:rPr>
            </w:pPr>
            <w:r>
              <w:rPr>
                <w:rFonts w:ascii="Arial" w:cs="Arial" w:eastAsia="Arial" w:hAnsi="Arial"/>
                <w:sz w:val="13"/>
                <w:szCs w:val="13"/>
                <w:color w:val="auto"/>
              </w:rPr>
              <w:t>20,813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shd w:val="clear" w:color="auto" w:fill="E5FFFF"/>
          </w:tcPr>
          <w:p>
            <w:pPr>
              <w:spacing w:after="0" w:line="121" w:lineRule="exact"/>
              <w:rPr>
                <w:sz w:val="20"/>
                <w:szCs w:val="20"/>
                <w:color w:val="auto"/>
              </w:rPr>
            </w:pPr>
            <w:r>
              <w:rPr>
                <w:rFonts w:ascii="Arial" w:cs="Arial" w:eastAsia="Arial" w:hAnsi="Arial"/>
                <w:sz w:val="13"/>
                <w:szCs w:val="13"/>
                <w:color w:val="auto"/>
              </w:rPr>
              <w:t>Net proceeds from public</w:t>
            </w: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offerings and issuances of</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common units and general</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3"/>
                <w:szCs w:val="13"/>
                <w:color w:val="auto"/>
              </w:rPr>
              <w:t>partner units</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85,465</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2,044</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2,294,795</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53,956</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E5FFFF"/>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56,000</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3"/>
                <w:szCs w:val="13"/>
                <w:color w:val="auto"/>
              </w:rPr>
              <w:t>56,000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tcPr>
          <w:p>
            <w:pPr>
              <w:spacing w:after="0" w:line="121" w:lineRule="exact"/>
              <w:rPr>
                <w:sz w:val="20"/>
                <w:szCs w:val="20"/>
                <w:color w:val="auto"/>
              </w:rPr>
            </w:pPr>
            <w:r>
              <w:rPr>
                <w:rFonts w:ascii="Arial" w:cs="Arial" w:eastAsia="Arial" w:hAnsi="Arial"/>
                <w:sz w:val="13"/>
                <w:szCs w:val="13"/>
                <w:color w:val="auto"/>
              </w:rPr>
              <w:t>Settlement of awards vested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rPr>
                <w:sz w:val="20"/>
                <w:szCs w:val="20"/>
                <w:color w:val="auto"/>
              </w:rPr>
            </w:pPr>
            <w:r>
              <w:rPr>
                <w:rFonts w:ascii="Arial" w:cs="Arial" w:eastAsia="Arial" w:hAnsi="Arial"/>
                <w:sz w:val="13"/>
                <w:szCs w:val="13"/>
                <w:color w:val="auto"/>
              </w:rPr>
              <w:t>during the period</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33,998</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shd w:val="clear" w:color="auto" w:fill="E5FFFF"/>
          </w:tcPr>
          <w:p>
            <w:pPr>
              <w:spacing w:after="0" w:line="121" w:lineRule="exact"/>
              <w:rPr>
                <w:sz w:val="20"/>
                <w:szCs w:val="20"/>
                <w:color w:val="auto"/>
              </w:rPr>
            </w:pPr>
            <w:r>
              <w:rPr>
                <w:rFonts w:ascii="Arial" w:cs="Arial" w:eastAsia="Arial" w:hAnsi="Arial"/>
                <w:sz w:val="13"/>
                <w:szCs w:val="13"/>
                <w:color w:val="auto"/>
              </w:rPr>
              <w:t>Net proceeds from public</w:t>
            </w: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offering and issuance of</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3"/>
                <w:szCs w:val="13"/>
                <w:color w:val="auto"/>
              </w:rPr>
              <w:t>preference units</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E5FFFF"/>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rPr>
              <w:t>4,600,000</w:t>
            </w:r>
          </w:p>
        </w:tc>
        <w:tc>
          <w:tcPr>
            <w:tcW w:w="240" w:type="dxa"/>
            <w:vAlign w:val="bottom"/>
            <w:shd w:val="clear" w:color="auto" w:fill="E5FFFF"/>
          </w:tcPr>
          <w:p>
            <w:pPr>
              <w:spacing w:after="0"/>
              <w:rPr>
                <w:sz w:val="12"/>
                <w:szCs w:val="12"/>
                <w:color w:val="auto"/>
              </w:rPr>
            </w:pP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w w:val="89"/>
              </w:rPr>
              <w:t>111,194</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111,194</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3"/>
                <w:szCs w:val="13"/>
                <w:color w:val="auto"/>
              </w:rPr>
              <w:t>111,194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tcPr>
          <w:p>
            <w:pPr>
              <w:spacing w:after="0" w:line="121" w:lineRule="exact"/>
              <w:rPr>
                <w:sz w:val="20"/>
                <w:szCs w:val="20"/>
                <w:color w:val="auto"/>
              </w:rPr>
            </w:pPr>
            <w:r>
              <w:rPr>
                <w:rFonts w:ascii="Arial" w:cs="Arial" w:eastAsia="Arial" w:hAnsi="Arial"/>
                <w:sz w:val="13"/>
                <w:szCs w:val="13"/>
                <w:color w:val="auto"/>
              </w:rPr>
              <w:t>Issuance of common units to</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ind w:left="140"/>
              <w:spacing w:after="0" w:line="135" w:lineRule="exact"/>
              <w:rPr>
                <w:sz w:val="20"/>
                <w:szCs w:val="20"/>
                <w:color w:val="auto"/>
              </w:rPr>
            </w:pPr>
            <w:r>
              <w:rPr>
                <w:rFonts w:ascii="Arial" w:cs="Arial" w:eastAsia="Arial" w:hAnsi="Arial"/>
                <w:sz w:val="13"/>
                <w:szCs w:val="13"/>
                <w:color w:val="auto"/>
                <w:w w:val="98"/>
              </w:rPr>
              <w:t>GasLog in exchange for net</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ind w:left="140"/>
              <w:spacing w:after="0" w:line="135" w:lineRule="exact"/>
              <w:rPr>
                <w:sz w:val="20"/>
                <w:szCs w:val="20"/>
                <w:color w:val="auto"/>
              </w:rPr>
            </w:pPr>
            <w:r>
              <w:rPr>
                <w:rFonts w:ascii="Arial" w:cs="Arial" w:eastAsia="Arial" w:hAnsi="Arial"/>
                <w:sz w:val="13"/>
                <w:szCs w:val="13"/>
                <w:color w:val="auto"/>
              </w:rPr>
              <w:t>assets contribution to the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rPr>
                <w:sz w:val="20"/>
                <w:szCs w:val="20"/>
                <w:color w:val="auto"/>
              </w:rPr>
            </w:pPr>
            <w:r>
              <w:rPr>
                <w:rFonts w:ascii="Arial" w:cs="Arial" w:eastAsia="Arial" w:hAnsi="Arial"/>
                <w:sz w:val="13"/>
                <w:szCs w:val="13"/>
                <w:color w:val="auto"/>
              </w:rPr>
              <w:t>Partnership</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1,858,975</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45,000</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45,000</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(45,000)</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shd w:val="clear" w:color="auto" w:fill="E5FFFF"/>
          </w:tcPr>
          <w:p>
            <w:pPr>
              <w:spacing w:after="0" w:line="121" w:lineRule="exact"/>
              <w:rPr>
                <w:sz w:val="20"/>
                <w:szCs w:val="20"/>
                <w:color w:val="auto"/>
              </w:rPr>
            </w:pPr>
            <w:r>
              <w:rPr>
                <w:rFonts w:ascii="Arial" w:cs="Arial" w:eastAsia="Arial" w:hAnsi="Arial"/>
                <w:sz w:val="13"/>
                <w:szCs w:val="13"/>
                <w:color w:val="auto"/>
                <w:w w:val="98"/>
              </w:rPr>
              <w:t>Cash distribution to GasLog in</w:t>
            </w: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exchange for net assets</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contribution to the</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3"/>
                <w:szCs w:val="13"/>
                <w:color w:val="auto"/>
              </w:rPr>
              <w:t>Partnership</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E5FFFF"/>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E5FFFF"/>
          </w:tcPr>
          <w:p>
            <w:pPr>
              <w:jc w:val="right"/>
              <w:ind w:right="60"/>
              <w:spacing w:after="0"/>
              <w:rPr>
                <w:sz w:val="20"/>
                <w:szCs w:val="20"/>
                <w:color w:val="auto"/>
              </w:rPr>
            </w:pPr>
            <w:r>
              <w:rPr>
                <w:rFonts w:ascii="Arial" w:cs="Arial" w:eastAsia="Arial" w:hAnsi="Arial"/>
                <w:sz w:val="13"/>
                <w:szCs w:val="13"/>
                <w:color w:val="auto"/>
              </w:rPr>
              <w:t>(19,086)</w:t>
            </w:r>
          </w:p>
        </w:tc>
        <w:tc>
          <w:tcPr>
            <w:tcW w:w="680" w:type="dxa"/>
            <w:vAlign w:val="bottom"/>
            <w:shd w:val="clear" w:color="auto" w:fill="E5FFFF"/>
          </w:tcPr>
          <w:p>
            <w:pPr>
              <w:jc w:val="right"/>
              <w:spacing w:after="0"/>
              <w:rPr>
                <w:sz w:val="20"/>
                <w:szCs w:val="20"/>
                <w:color w:val="auto"/>
              </w:rPr>
            </w:pPr>
            <w:r>
              <w:rPr>
                <w:rFonts w:ascii="Arial" w:cs="Arial" w:eastAsia="Arial" w:hAnsi="Arial"/>
                <w:sz w:val="13"/>
                <w:szCs w:val="13"/>
                <w:color w:val="auto"/>
              </w:rPr>
              <w:t>(19,086)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tcPr>
          <w:p>
            <w:pPr>
              <w:spacing w:after="0" w:line="121" w:lineRule="exact"/>
              <w:rPr>
                <w:sz w:val="20"/>
                <w:szCs w:val="20"/>
                <w:color w:val="auto"/>
              </w:rPr>
            </w:pPr>
            <w:r>
              <w:rPr>
                <w:rFonts w:ascii="Arial" w:cs="Arial" w:eastAsia="Arial" w:hAnsi="Arial"/>
                <w:sz w:val="13"/>
                <w:szCs w:val="13"/>
                <w:color w:val="auto"/>
              </w:rPr>
              <w:t>Difference between net book</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ind w:left="140"/>
              <w:spacing w:after="0" w:line="135" w:lineRule="exact"/>
              <w:rPr>
                <w:sz w:val="20"/>
                <w:szCs w:val="20"/>
                <w:color w:val="auto"/>
              </w:rPr>
            </w:pPr>
            <w:r>
              <w:rPr>
                <w:rFonts w:ascii="Arial" w:cs="Arial" w:eastAsia="Arial" w:hAnsi="Arial"/>
                <w:sz w:val="13"/>
                <w:szCs w:val="13"/>
                <w:color w:val="auto"/>
                <w:w w:val="94"/>
              </w:rPr>
              <w:t>values of acquired subsidiary</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rPr>
                <w:sz w:val="20"/>
                <w:szCs w:val="20"/>
                <w:color w:val="auto"/>
              </w:rPr>
            </w:pPr>
            <w:r>
              <w:rPr>
                <w:rFonts w:ascii="Arial" w:cs="Arial" w:eastAsia="Arial" w:hAnsi="Arial"/>
                <w:sz w:val="13"/>
                <w:szCs w:val="13"/>
                <w:color w:val="auto"/>
              </w:rPr>
              <w:t>and consideration paid</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(486)</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(6,573)</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(7,059)</w:t>
            </w:r>
          </w:p>
        </w:tc>
        <w:tc>
          <w:tcPr>
            <w:tcW w:w="660" w:type="dxa"/>
            <w:vAlign w:val="bottom"/>
          </w:tcPr>
          <w:p>
            <w:pPr>
              <w:jc w:val="right"/>
              <w:spacing w:after="0"/>
              <w:rPr>
                <w:sz w:val="20"/>
                <w:szCs w:val="20"/>
                <w:color w:val="auto"/>
              </w:rPr>
            </w:pPr>
            <w:r>
              <w:rPr>
                <w:rFonts w:ascii="Arial" w:cs="Arial" w:eastAsia="Arial" w:hAnsi="Arial"/>
                <w:sz w:val="13"/>
                <w:szCs w:val="13"/>
                <w:color w:val="auto"/>
              </w:rPr>
              <w:t>7,059</w:t>
            </w:r>
          </w:p>
        </w:tc>
        <w:tc>
          <w:tcPr>
            <w:tcW w:w="12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spacing w:after="0" w:line="135" w:lineRule="exact"/>
              <w:rPr>
                <w:sz w:val="20"/>
                <w:szCs w:val="20"/>
                <w:color w:val="auto"/>
              </w:rPr>
            </w:pPr>
            <w:r>
              <w:rPr>
                <w:rFonts w:ascii="Arial" w:cs="Arial" w:eastAsia="Arial" w:hAnsi="Arial"/>
                <w:sz w:val="13"/>
                <w:szCs w:val="13"/>
                <w:color w:val="auto"/>
              </w:rPr>
              <w:t>Distributions declared</w:t>
            </w:r>
          </w:p>
        </w:tc>
        <w:tc>
          <w:tcPr>
            <w:tcW w:w="760" w:type="dxa"/>
            <w:vAlign w:val="bottom"/>
            <w:gridSpan w:val="2"/>
            <w:shd w:val="clear" w:color="auto" w:fill="E5FF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E5FFFF"/>
          </w:tcPr>
          <w:p>
            <w:pPr>
              <w:jc w:val="right"/>
              <w:ind w:right="80"/>
              <w:spacing w:after="0" w:line="135" w:lineRule="exact"/>
              <w:rPr>
                <w:sz w:val="20"/>
                <w:szCs w:val="20"/>
                <w:color w:val="auto"/>
              </w:rPr>
            </w:pPr>
            <w:r>
              <w:rPr>
                <w:rFonts w:ascii="Arial" w:cs="Arial" w:eastAsia="Arial" w:hAnsi="Arial"/>
                <w:sz w:val="13"/>
                <w:szCs w:val="13"/>
                <w:color w:val="auto"/>
              </w:rPr>
              <w:t>(1,428)</w:t>
            </w:r>
          </w:p>
        </w:tc>
        <w:tc>
          <w:tcPr>
            <w:tcW w:w="940" w:type="dxa"/>
            <w:vAlign w:val="bottom"/>
            <w:gridSpan w:val="2"/>
            <w:shd w:val="clear" w:color="auto" w:fill="E5FF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5FFFF"/>
          </w:tcPr>
          <w:p>
            <w:pPr>
              <w:jc w:val="right"/>
              <w:ind w:right="80"/>
              <w:spacing w:after="0" w:line="135" w:lineRule="exact"/>
              <w:rPr>
                <w:sz w:val="20"/>
                <w:szCs w:val="20"/>
                <w:color w:val="auto"/>
              </w:rPr>
            </w:pPr>
            <w:r>
              <w:rPr>
                <w:rFonts w:ascii="Arial" w:cs="Arial" w:eastAsia="Arial" w:hAnsi="Arial"/>
                <w:sz w:val="13"/>
                <w:szCs w:val="13"/>
                <w:color w:val="auto"/>
              </w:rPr>
              <w:t>(66,934)</w:t>
            </w:r>
          </w:p>
        </w:tc>
        <w:tc>
          <w:tcPr>
            <w:tcW w:w="940" w:type="dxa"/>
            <w:vAlign w:val="bottom"/>
            <w:gridSpan w:val="2"/>
            <w:shd w:val="clear" w:color="auto" w:fill="E5FFFF"/>
          </w:tcPr>
          <w:p>
            <w:pPr>
              <w:jc w:val="right"/>
              <w:ind w:right="80"/>
              <w:spacing w:after="0" w:line="135" w:lineRule="exact"/>
              <w:rPr>
                <w:sz w:val="20"/>
                <w:szCs w:val="20"/>
                <w:color w:val="auto"/>
              </w:rPr>
            </w:pPr>
            <w:r>
              <w:rPr>
                <w:rFonts w:ascii="Arial" w:cs="Arial" w:eastAsia="Arial" w:hAnsi="Arial"/>
                <w:sz w:val="13"/>
                <w:szCs w:val="13"/>
                <w:color w:val="auto"/>
              </w:rPr>
              <w:t>(3,027)</w:t>
            </w:r>
          </w:p>
        </w:tc>
        <w:tc>
          <w:tcPr>
            <w:tcW w:w="1060" w:type="dxa"/>
            <w:vAlign w:val="bottom"/>
            <w:gridSpan w:val="3"/>
            <w:shd w:val="clear" w:color="auto" w:fill="E5FFFF"/>
          </w:tcPr>
          <w:p>
            <w:pPr>
              <w:jc w:val="right"/>
              <w:ind w:right="440"/>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E5FFFF"/>
          </w:tcPr>
          <w:p>
            <w:pPr>
              <w:jc w:val="right"/>
              <w:ind w:right="60"/>
              <w:spacing w:after="0" w:line="135" w:lineRule="exact"/>
              <w:rPr>
                <w:sz w:val="20"/>
                <w:szCs w:val="20"/>
                <w:color w:val="auto"/>
              </w:rPr>
            </w:pPr>
            <w:r>
              <w:rPr>
                <w:rFonts w:ascii="Arial" w:cs="Arial" w:eastAsia="Arial" w:hAnsi="Arial"/>
                <w:sz w:val="13"/>
                <w:szCs w:val="13"/>
                <w:color w:val="auto"/>
                <w:w w:val="94"/>
              </w:rPr>
              <w:t>(15,533)</w:t>
            </w:r>
          </w:p>
        </w:tc>
        <w:tc>
          <w:tcPr>
            <w:tcW w:w="920" w:type="dxa"/>
            <w:vAlign w:val="bottom"/>
            <w:gridSpan w:val="2"/>
            <w:shd w:val="clear" w:color="auto" w:fill="E5FFFF"/>
          </w:tcPr>
          <w:p>
            <w:pPr>
              <w:jc w:val="right"/>
              <w:ind w:right="80"/>
              <w:spacing w:after="0" w:line="135" w:lineRule="exact"/>
              <w:rPr>
                <w:sz w:val="20"/>
                <w:szCs w:val="20"/>
                <w:color w:val="auto"/>
              </w:rPr>
            </w:pPr>
            <w:r>
              <w:rPr>
                <w:rFonts w:ascii="Arial" w:cs="Arial" w:eastAsia="Arial" w:hAnsi="Arial"/>
                <w:sz w:val="13"/>
                <w:szCs w:val="13"/>
                <w:color w:val="auto"/>
              </w:rPr>
              <w:t>(86,922)</w:t>
            </w:r>
          </w:p>
        </w:tc>
        <w:tc>
          <w:tcPr>
            <w:tcW w:w="780" w:type="dxa"/>
            <w:vAlign w:val="bottom"/>
            <w:gridSpan w:val="2"/>
            <w:shd w:val="clear" w:color="auto" w:fill="E5FF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E5FFFF"/>
          </w:tcPr>
          <w:p>
            <w:pPr>
              <w:jc w:val="right"/>
              <w:spacing w:after="0" w:line="135" w:lineRule="exact"/>
              <w:rPr>
                <w:sz w:val="20"/>
                <w:szCs w:val="20"/>
                <w:color w:val="auto"/>
              </w:rPr>
            </w:pPr>
            <w:r>
              <w:rPr>
                <w:rFonts w:ascii="Arial" w:cs="Arial" w:eastAsia="Arial" w:hAnsi="Arial"/>
                <w:sz w:val="13"/>
                <w:szCs w:val="13"/>
                <w:color w:val="auto"/>
              </w:rPr>
              <w:t>(86,922)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tcPr>
          <w:p>
            <w:pPr>
              <w:spacing w:after="0" w:line="121" w:lineRule="exact"/>
              <w:rPr>
                <w:sz w:val="20"/>
                <w:szCs w:val="20"/>
                <w:color w:val="auto"/>
              </w:rPr>
            </w:pPr>
            <w:r>
              <w:rPr>
                <w:rFonts w:ascii="Arial" w:cs="Arial" w:eastAsia="Arial" w:hAnsi="Arial"/>
                <w:sz w:val="13"/>
                <w:szCs w:val="13"/>
                <w:color w:val="auto"/>
                <w:w w:val="93"/>
              </w:rPr>
              <w:t>Share-based compensation, net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rPr>
                <w:sz w:val="20"/>
                <w:szCs w:val="20"/>
                <w:color w:val="auto"/>
              </w:rPr>
            </w:pPr>
            <w:r>
              <w:rPr>
                <w:rFonts w:ascii="Arial" w:cs="Arial" w:eastAsia="Arial" w:hAnsi="Arial"/>
                <w:sz w:val="13"/>
                <w:szCs w:val="13"/>
                <w:color w:val="auto"/>
              </w:rPr>
              <w:t>of accrued distribution</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11</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422</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103</w:t>
            </w: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536</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shd w:val="clear" w:color="auto" w:fill="E5FFFF"/>
          </w:tcPr>
          <w:p>
            <w:pPr>
              <w:spacing w:after="0" w:line="121" w:lineRule="exact"/>
              <w:rPr>
                <w:sz w:val="20"/>
                <w:szCs w:val="20"/>
                <w:color w:val="auto"/>
              </w:rPr>
            </w:pPr>
            <w:r>
              <w:rPr>
                <w:rFonts w:ascii="Arial" w:cs="Arial" w:eastAsia="Arial" w:hAnsi="Arial"/>
                <w:sz w:val="13"/>
                <w:szCs w:val="13"/>
                <w:color w:val="auto"/>
              </w:rPr>
              <w:t>Partnership’s profit and total</w:t>
            </w: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comprehensive income</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3"/>
                <w:szCs w:val="13"/>
                <w:color w:val="auto"/>
              </w:rPr>
              <w:t>(Note 16)</w:t>
            </w:r>
          </w:p>
        </w:tc>
        <w:tc>
          <w:tcPr>
            <w:tcW w:w="640" w:type="dxa"/>
            <w:vAlign w:val="bottom"/>
            <w:shd w:val="clear" w:color="auto" w:fill="E5FF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5FFFF"/>
          </w:tcPr>
          <w:p>
            <w:pPr>
              <w:spacing w:after="0"/>
              <w:rPr>
                <w:sz w:val="12"/>
                <w:szCs w:val="12"/>
                <w:color w:val="auto"/>
              </w:rPr>
            </w:pP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1,324</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62,279</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2,618</w:t>
            </w:r>
          </w:p>
        </w:tc>
        <w:tc>
          <w:tcPr>
            <w:tcW w:w="1060" w:type="dxa"/>
            <w:vAlign w:val="bottom"/>
            <w:gridSpan w:val="3"/>
            <w:shd w:val="clear" w:color="auto" w:fill="E5FFFF"/>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rPr>
              <w:t>15,952</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82,173</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3"/>
                <w:szCs w:val="13"/>
                <w:color w:val="auto"/>
              </w:rPr>
              <w:t>82,173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vMerge w:val="restart"/>
          </w:tcPr>
          <w:p>
            <w:pPr>
              <w:spacing w:after="0" w:line="109" w:lineRule="exact"/>
              <w:rPr>
                <w:sz w:val="20"/>
                <w:szCs w:val="20"/>
                <w:color w:val="auto"/>
              </w:rPr>
            </w:pPr>
            <w:r>
              <w:rPr>
                <w:rFonts w:ascii="Arial" w:cs="Arial" w:eastAsia="Arial" w:hAnsi="Arial"/>
                <w:sz w:val="12"/>
                <w:szCs w:val="12"/>
                <w:b w:val="1"/>
                <w:bCs w:val="1"/>
                <w:color w:val="auto"/>
              </w:rPr>
              <w:t>Balance as of September 30,</w:t>
            </w: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922,244</w:t>
            </w:r>
          </w:p>
        </w:tc>
        <w:tc>
          <w:tcPr>
            <w:tcW w:w="120" w:type="dxa"/>
            <w:vAlign w:val="bottom"/>
            <w:vMerge w:val="restart"/>
          </w:tcPr>
          <w:p>
            <w:pPr>
              <w:spacing w:after="0"/>
              <w:rPr>
                <w:sz w:val="7"/>
                <w:szCs w:val="7"/>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13,246</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45,189,889</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840,606</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6,290</w:t>
            </w:r>
          </w:p>
        </w:tc>
        <w:tc>
          <w:tcPr>
            <w:tcW w:w="1060" w:type="dxa"/>
            <w:vAlign w:val="bottom"/>
            <w:gridSpan w:val="3"/>
            <w:vMerge w:val="restart"/>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vMerge w:val="restart"/>
          </w:tcPr>
          <w:p>
            <w:pPr>
              <w:ind w:left="10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10,350,000</w:t>
            </w:r>
          </w:p>
        </w:tc>
        <w:tc>
          <w:tcPr>
            <w:tcW w:w="240" w:type="dxa"/>
            <w:vAlign w:val="bottom"/>
          </w:tcPr>
          <w:p>
            <w:pPr>
              <w:spacing w:after="0"/>
              <w:rPr>
                <w:sz w:val="7"/>
                <w:szCs w:val="7"/>
                <w:color w:val="auto"/>
              </w:rPr>
            </w:pP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w w:val="89"/>
              </w:rPr>
              <w:t>250,934</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1,111,076</w:t>
            </w: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179,941</w:t>
            </w:r>
          </w:p>
        </w:tc>
        <w:tc>
          <w:tcPr>
            <w:tcW w:w="12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1,291,017</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740" w:type="dxa"/>
            <w:vAlign w:val="bottom"/>
          </w:tcPr>
          <w:p>
            <w:pPr>
              <w:ind w:left="140"/>
              <w:spacing w:after="0" w:line="148" w:lineRule="exact"/>
              <w:rPr>
                <w:sz w:val="20"/>
                <w:szCs w:val="20"/>
                <w:color w:val="auto"/>
              </w:rPr>
            </w:pPr>
            <w:r>
              <w:rPr>
                <w:rFonts w:ascii="Arial" w:cs="Arial" w:eastAsia="Arial" w:hAnsi="Arial"/>
                <w:sz w:val="13"/>
                <w:szCs w:val="13"/>
                <w:b w:val="1"/>
                <w:bCs w:val="1"/>
                <w:color w:val="auto"/>
              </w:rPr>
              <w:t>2018 (as restated</w:t>
            </w:r>
            <w:r>
              <w:rPr>
                <w:rFonts w:ascii="Arial" w:cs="Arial" w:eastAsia="Arial" w:hAnsi="Arial"/>
                <w:sz w:val="16"/>
                <w:szCs w:val="16"/>
                <w:b w:val="1"/>
                <w:bCs w:val="1"/>
                <w:color w:val="auto"/>
                <w:vertAlign w:val="superscript"/>
              </w:rPr>
              <w:t>(1)</w:t>
            </w:r>
            <w:r>
              <w:rPr>
                <w:rFonts w:ascii="Arial" w:cs="Arial" w:eastAsia="Arial" w:hAnsi="Arial"/>
                <w:sz w:val="13"/>
                <w:szCs w:val="13"/>
                <w:b w:val="1"/>
                <w:bCs w:val="1"/>
                <w:color w:val="auto"/>
              </w:rPr>
              <w:t>)</w:t>
            </w:r>
          </w:p>
        </w:tc>
        <w:tc>
          <w:tcPr>
            <w:tcW w:w="6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740" w:type="dxa"/>
            <w:vAlign w:val="bottom"/>
            <w:tcBorders>
              <w:top w:val="single" w:sz="8" w:color="E5FFFF"/>
            </w:tcBorders>
            <w:shd w:val="clear" w:color="auto" w:fill="E5FFFF"/>
          </w:tcPr>
          <w:p>
            <w:pPr>
              <w:spacing w:after="0"/>
              <w:rPr>
                <w:sz w:val="10"/>
                <w:szCs w:val="10"/>
                <w:color w:val="auto"/>
              </w:rPr>
            </w:pPr>
          </w:p>
        </w:tc>
        <w:tc>
          <w:tcPr>
            <w:tcW w:w="64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58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82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64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82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620" w:type="dxa"/>
            <w:vAlign w:val="bottom"/>
            <w:tcBorders>
              <w:top w:val="single" w:sz="8" w:color="auto"/>
            </w:tcBorders>
            <w:shd w:val="clear" w:color="auto" w:fill="E5FFFF"/>
          </w:tcPr>
          <w:p>
            <w:pPr>
              <w:spacing w:after="0"/>
              <w:rPr>
                <w:sz w:val="10"/>
                <w:szCs w:val="10"/>
                <w:color w:val="auto"/>
              </w:rPr>
            </w:pPr>
          </w:p>
        </w:tc>
        <w:tc>
          <w:tcPr>
            <w:tcW w:w="100" w:type="dxa"/>
            <w:vAlign w:val="bottom"/>
            <w:tcBorders>
              <w:top w:val="single" w:sz="8" w:color="E5FFFF"/>
            </w:tcBorders>
            <w:shd w:val="clear" w:color="auto" w:fill="E5FFFF"/>
          </w:tcPr>
          <w:p>
            <w:pPr>
              <w:spacing w:after="0"/>
              <w:rPr>
                <w:sz w:val="10"/>
                <w:szCs w:val="10"/>
                <w:color w:val="auto"/>
              </w:rPr>
            </w:pPr>
          </w:p>
        </w:tc>
        <w:tc>
          <w:tcPr>
            <w:tcW w:w="340" w:type="dxa"/>
            <w:vAlign w:val="bottom"/>
            <w:tcBorders>
              <w:top w:val="single" w:sz="8" w:color="auto"/>
            </w:tcBorders>
            <w:shd w:val="clear" w:color="auto" w:fill="E5FFFF"/>
          </w:tcPr>
          <w:p>
            <w:pPr>
              <w:spacing w:after="0"/>
              <w:rPr>
                <w:sz w:val="10"/>
                <w:szCs w:val="10"/>
                <w:color w:val="auto"/>
              </w:rPr>
            </w:pPr>
          </w:p>
        </w:tc>
        <w:tc>
          <w:tcPr>
            <w:tcW w:w="240" w:type="dxa"/>
            <w:vAlign w:val="bottom"/>
            <w:tcBorders>
              <w:top w:val="single" w:sz="8" w:color="auto"/>
            </w:tcBorders>
            <w:shd w:val="clear" w:color="auto" w:fill="E5FFFF"/>
          </w:tcPr>
          <w:p>
            <w:pPr>
              <w:spacing w:after="0"/>
              <w:rPr>
                <w:sz w:val="10"/>
                <w:szCs w:val="10"/>
                <w:color w:val="auto"/>
              </w:rPr>
            </w:pPr>
          </w:p>
        </w:tc>
        <w:tc>
          <w:tcPr>
            <w:tcW w:w="100" w:type="dxa"/>
            <w:vAlign w:val="bottom"/>
            <w:tcBorders>
              <w:top w:val="single" w:sz="8" w:color="E5FFFF"/>
            </w:tcBorders>
            <w:shd w:val="clear" w:color="auto" w:fill="E5FFFF"/>
          </w:tcPr>
          <w:p>
            <w:pPr>
              <w:spacing w:after="0"/>
              <w:rPr>
                <w:sz w:val="10"/>
                <w:szCs w:val="10"/>
                <w:color w:val="auto"/>
              </w:rPr>
            </w:pPr>
          </w:p>
        </w:tc>
        <w:tc>
          <w:tcPr>
            <w:tcW w:w="800" w:type="dxa"/>
            <w:vAlign w:val="bottom"/>
            <w:tcBorders>
              <w:top w:val="single" w:sz="8" w:color="auto"/>
            </w:tcBorders>
            <w:shd w:val="clear" w:color="auto" w:fill="E5FFFF"/>
          </w:tcPr>
          <w:p>
            <w:pPr>
              <w:spacing w:after="0"/>
              <w:rPr>
                <w:sz w:val="10"/>
                <w:szCs w:val="10"/>
                <w:color w:val="auto"/>
              </w:rPr>
            </w:pPr>
          </w:p>
        </w:tc>
        <w:tc>
          <w:tcPr>
            <w:tcW w:w="100" w:type="dxa"/>
            <w:vAlign w:val="bottom"/>
            <w:tcBorders>
              <w:top w:val="single" w:sz="8" w:color="E5FFFF"/>
            </w:tcBorders>
            <w:shd w:val="clear" w:color="auto" w:fill="E5FFFF"/>
          </w:tcPr>
          <w:p>
            <w:pPr>
              <w:spacing w:after="0"/>
              <w:rPr>
                <w:sz w:val="10"/>
                <w:szCs w:val="10"/>
                <w:color w:val="auto"/>
              </w:rPr>
            </w:pPr>
          </w:p>
        </w:tc>
        <w:tc>
          <w:tcPr>
            <w:tcW w:w="240" w:type="dxa"/>
            <w:vAlign w:val="bottom"/>
            <w:tcBorders>
              <w:top w:val="single" w:sz="8" w:color="auto"/>
            </w:tcBorders>
            <w:shd w:val="clear" w:color="auto" w:fill="E5FFFF"/>
          </w:tcPr>
          <w:p>
            <w:pPr>
              <w:spacing w:after="0"/>
              <w:rPr>
                <w:sz w:val="10"/>
                <w:szCs w:val="10"/>
                <w:color w:val="auto"/>
              </w:rPr>
            </w:pPr>
          </w:p>
        </w:tc>
        <w:tc>
          <w:tcPr>
            <w:tcW w:w="440" w:type="dxa"/>
            <w:vAlign w:val="bottom"/>
            <w:tcBorders>
              <w:top w:val="single" w:sz="8" w:color="auto"/>
            </w:tcBorders>
            <w:shd w:val="clear" w:color="auto" w:fill="E5FFFF"/>
          </w:tcPr>
          <w:p>
            <w:pPr>
              <w:spacing w:after="0"/>
              <w:rPr>
                <w:sz w:val="10"/>
                <w:szCs w:val="10"/>
                <w:color w:val="auto"/>
              </w:rPr>
            </w:pPr>
          </w:p>
        </w:tc>
        <w:tc>
          <w:tcPr>
            <w:tcW w:w="100" w:type="dxa"/>
            <w:vAlign w:val="bottom"/>
            <w:tcBorders>
              <w:top w:val="single" w:sz="8" w:color="E5FFFF"/>
            </w:tcBorders>
            <w:shd w:val="clear" w:color="auto" w:fill="E5FFFF"/>
          </w:tcPr>
          <w:p>
            <w:pPr>
              <w:spacing w:after="0"/>
              <w:rPr>
                <w:sz w:val="10"/>
                <w:szCs w:val="10"/>
                <w:color w:val="auto"/>
              </w:rPr>
            </w:pPr>
          </w:p>
        </w:tc>
        <w:tc>
          <w:tcPr>
            <w:tcW w:w="80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660" w:type="dxa"/>
            <w:vAlign w:val="bottom"/>
            <w:tcBorders>
              <w:top w:val="single" w:sz="8" w:color="auto"/>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680" w:type="dxa"/>
            <w:vAlign w:val="bottom"/>
            <w:tcBorders>
              <w:top w:val="single" w:sz="8" w:color="auto"/>
            </w:tcBorders>
            <w:shd w:val="clear" w:color="auto" w:fill="E5FF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1740" w:type="dxa"/>
            <w:vAlign w:val="bottom"/>
          </w:tcPr>
          <w:p>
            <w:pPr>
              <w:spacing w:after="0" w:line="109" w:lineRule="exact"/>
              <w:rPr>
                <w:sz w:val="20"/>
                <w:szCs w:val="20"/>
                <w:color w:val="auto"/>
              </w:rPr>
            </w:pPr>
            <w:r>
              <w:rPr>
                <w:rFonts w:ascii="Arial" w:cs="Arial" w:eastAsia="Arial" w:hAnsi="Arial"/>
                <w:sz w:val="12"/>
                <w:szCs w:val="12"/>
                <w:b w:val="1"/>
                <w:bCs w:val="1"/>
                <w:color w:val="auto"/>
              </w:rPr>
              <w:t>Balance as of December 31,</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40" w:type="dxa"/>
            <w:vAlign w:val="bottom"/>
          </w:tcPr>
          <w:p>
            <w:pPr>
              <w:ind w:left="140"/>
              <w:spacing w:after="0" w:line="161" w:lineRule="exact"/>
              <w:rPr>
                <w:sz w:val="20"/>
                <w:szCs w:val="20"/>
                <w:color w:val="auto"/>
              </w:rPr>
            </w:pPr>
            <w:r>
              <w:rPr>
                <w:rFonts w:ascii="Arial" w:cs="Arial" w:eastAsia="Arial" w:hAnsi="Arial"/>
                <w:sz w:val="13"/>
                <w:szCs w:val="13"/>
                <w:b w:val="1"/>
                <w:bCs w:val="1"/>
                <w:color w:val="auto"/>
              </w:rPr>
              <w:t>2018 (as restated</w:t>
            </w:r>
            <w:r>
              <w:rPr>
                <w:rFonts w:ascii="Arial" w:cs="Arial" w:eastAsia="Arial" w:hAnsi="Arial"/>
                <w:sz w:val="16"/>
                <w:szCs w:val="16"/>
                <w:b w:val="1"/>
                <w:bCs w:val="1"/>
                <w:color w:val="auto"/>
                <w:vertAlign w:val="superscript"/>
              </w:rPr>
              <w:t>(2)</w:t>
            </w:r>
            <w:r>
              <w:rPr>
                <w:rFonts w:ascii="Arial" w:cs="Arial" w:eastAsia="Arial" w:hAnsi="Arial"/>
                <w:sz w:val="13"/>
                <w:szCs w:val="13"/>
                <w:b w:val="1"/>
                <w:bCs w:val="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927,532</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13,289</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45,448,993</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812,863</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5,176</w:t>
            </w: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14,350,000</w:t>
            </w:r>
          </w:p>
        </w:tc>
        <w:tc>
          <w:tcPr>
            <w:tcW w:w="24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9"/>
              </w:rPr>
              <w:t>348,331</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1,179,659</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73,134</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1,252,793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40" w:type="dxa"/>
            <w:vAlign w:val="bottom"/>
            <w:shd w:val="clear" w:color="auto" w:fill="E5FFFF"/>
          </w:tcPr>
          <w:p>
            <w:pPr>
              <w:spacing w:after="0" w:line="111" w:lineRule="exact"/>
              <w:rPr>
                <w:sz w:val="20"/>
                <w:szCs w:val="20"/>
                <w:color w:val="auto"/>
              </w:rPr>
            </w:pPr>
            <w:r>
              <w:rPr>
                <w:rFonts w:ascii="Arial" w:cs="Arial" w:eastAsia="Arial" w:hAnsi="Arial"/>
                <w:sz w:val="12"/>
                <w:szCs w:val="12"/>
                <w:color w:val="auto"/>
              </w:rPr>
              <w:t>IFRS 16 adjustment (as</w:t>
            </w:r>
          </w:p>
        </w:tc>
        <w:tc>
          <w:tcPr>
            <w:tcW w:w="64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58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8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4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82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2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340" w:type="dxa"/>
            <w:vAlign w:val="bottom"/>
            <w:shd w:val="clear" w:color="auto" w:fill="E5FFFF"/>
          </w:tcPr>
          <w:p>
            <w:pPr>
              <w:spacing w:after="0"/>
              <w:rPr>
                <w:sz w:val="9"/>
                <w:szCs w:val="9"/>
                <w:color w:val="auto"/>
              </w:rPr>
            </w:pPr>
          </w:p>
        </w:tc>
        <w:tc>
          <w:tcPr>
            <w:tcW w:w="24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80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240" w:type="dxa"/>
            <w:vAlign w:val="bottom"/>
            <w:shd w:val="clear" w:color="auto" w:fill="E5FFFF"/>
          </w:tcPr>
          <w:p>
            <w:pPr>
              <w:spacing w:after="0"/>
              <w:rPr>
                <w:sz w:val="9"/>
                <w:szCs w:val="9"/>
                <w:color w:val="auto"/>
              </w:rPr>
            </w:pPr>
          </w:p>
        </w:tc>
        <w:tc>
          <w:tcPr>
            <w:tcW w:w="44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80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6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680" w:type="dxa"/>
            <w:vAlign w:val="bottom"/>
            <w:shd w:val="clear" w:color="auto" w:fill="E5FF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40" w:type="dxa"/>
            <w:vAlign w:val="bottom"/>
            <w:shd w:val="clear" w:color="auto" w:fill="E5FFFF"/>
          </w:tcPr>
          <w:p>
            <w:pPr>
              <w:ind w:left="140"/>
              <w:spacing w:after="0" w:line="159" w:lineRule="exact"/>
              <w:rPr>
                <w:sz w:val="20"/>
                <w:szCs w:val="20"/>
                <w:color w:val="auto"/>
              </w:rPr>
            </w:pPr>
            <w:r>
              <w:rPr>
                <w:rFonts w:ascii="Arial" w:cs="Arial" w:eastAsia="Arial" w:hAnsi="Arial"/>
                <w:sz w:val="13"/>
                <w:szCs w:val="13"/>
                <w:color w:val="auto"/>
              </w:rPr>
              <w:t>restated</w:t>
            </w:r>
            <w:r>
              <w:rPr>
                <w:rFonts w:ascii="Arial" w:cs="Arial" w:eastAsia="Arial" w:hAnsi="Arial"/>
                <w:sz w:val="16"/>
                <w:szCs w:val="16"/>
                <w:color w:val="auto"/>
                <w:vertAlign w:val="superscript"/>
              </w:rPr>
              <w:t>(3)</w:t>
            </w:r>
            <w:r>
              <w:rPr>
                <w:rFonts w:ascii="Arial" w:cs="Arial" w:eastAsia="Arial" w:hAnsi="Arial"/>
                <w:sz w:val="13"/>
                <w:szCs w:val="13"/>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4</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173</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E5FFFF"/>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177</w:t>
            </w:r>
          </w:p>
        </w:tc>
        <w:tc>
          <w:tcPr>
            <w:tcW w:w="660" w:type="dxa"/>
            <w:vAlign w:val="bottom"/>
            <w:shd w:val="clear" w:color="auto" w:fill="E5FF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E5FFFF"/>
          </w:tcPr>
          <w:p>
            <w:pPr>
              <w:spacing w:after="0"/>
              <w:rPr>
                <w:sz w:val="13"/>
                <w:szCs w:val="13"/>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3"/>
                <w:szCs w:val="13"/>
                <w:color w:val="auto"/>
              </w:rPr>
              <w:t>192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740" w:type="dxa"/>
            <w:vAlign w:val="bottom"/>
          </w:tcPr>
          <w:p>
            <w:pPr>
              <w:spacing w:after="0" w:line="109" w:lineRule="exact"/>
              <w:rPr>
                <w:sz w:val="20"/>
                <w:szCs w:val="20"/>
                <w:color w:val="auto"/>
              </w:rPr>
            </w:pPr>
            <w:r>
              <w:rPr>
                <w:rFonts w:ascii="Arial" w:cs="Arial" w:eastAsia="Arial" w:hAnsi="Arial"/>
                <w:sz w:val="12"/>
                <w:szCs w:val="12"/>
                <w:b w:val="1"/>
                <w:bCs w:val="1"/>
                <w:color w:val="auto"/>
              </w:rPr>
              <w:t>Balance at January 1, 2019</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40" w:type="dxa"/>
            <w:vAlign w:val="bottom"/>
          </w:tcPr>
          <w:p>
            <w:pPr>
              <w:ind w:left="140"/>
              <w:spacing w:after="0" w:line="161" w:lineRule="exact"/>
              <w:rPr>
                <w:sz w:val="20"/>
                <w:szCs w:val="20"/>
                <w:color w:val="auto"/>
              </w:rPr>
            </w:pPr>
            <w:r>
              <w:rPr>
                <w:rFonts w:ascii="Arial" w:cs="Arial" w:eastAsia="Arial" w:hAnsi="Arial"/>
                <w:sz w:val="13"/>
                <w:szCs w:val="13"/>
                <w:b w:val="1"/>
                <w:bCs w:val="1"/>
                <w:color w:val="auto"/>
              </w:rPr>
              <w:t>(as restated</w:t>
            </w:r>
            <w:r>
              <w:rPr>
                <w:rFonts w:ascii="Arial" w:cs="Arial" w:eastAsia="Arial" w:hAnsi="Arial"/>
                <w:sz w:val="16"/>
                <w:szCs w:val="16"/>
                <w:b w:val="1"/>
                <w:bCs w:val="1"/>
                <w:color w:val="auto"/>
                <w:vertAlign w:val="superscript"/>
              </w:rPr>
              <w:t>(2)(3)</w:t>
            </w:r>
            <w:r>
              <w:rPr>
                <w:rFonts w:ascii="Arial" w:cs="Arial" w:eastAsia="Arial" w:hAnsi="Arial"/>
                <w:sz w:val="13"/>
                <w:szCs w:val="13"/>
                <w:b w:val="1"/>
                <w:bCs w:val="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927,532</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13,293</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45,448,993</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813,036</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5,176</w:t>
            </w: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14,350,000</w:t>
            </w:r>
          </w:p>
        </w:tc>
        <w:tc>
          <w:tcPr>
            <w:tcW w:w="24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9"/>
              </w:rPr>
              <w:t>348,331</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1,179,836</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73,149</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1,252,985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shd w:val="clear" w:color="auto" w:fill="E5FFFF"/>
          </w:tcPr>
          <w:p>
            <w:pPr>
              <w:spacing w:after="0" w:line="121" w:lineRule="exact"/>
              <w:rPr>
                <w:sz w:val="20"/>
                <w:szCs w:val="20"/>
                <w:color w:val="auto"/>
              </w:rPr>
            </w:pPr>
            <w:r>
              <w:rPr>
                <w:rFonts w:ascii="Arial" w:cs="Arial" w:eastAsia="Arial" w:hAnsi="Arial"/>
                <w:sz w:val="13"/>
                <w:szCs w:val="13"/>
                <w:color w:val="auto"/>
                <w:w w:val="97"/>
              </w:rPr>
              <w:t>Profit and total comprehensive</w:t>
            </w: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income attributable to</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GasLog’s operations (Note</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3"/>
                <w:szCs w:val="13"/>
                <w:color w:val="auto"/>
              </w:rPr>
              <w:t>16)</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E5FFFF"/>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3"/>
                <w:szCs w:val="13"/>
                <w:color w:val="auto"/>
              </w:rPr>
              <w:t>2,650</w:t>
            </w: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3"/>
                <w:szCs w:val="13"/>
                <w:color w:val="auto"/>
              </w:rPr>
              <w:t>2,650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5" w:lineRule="exact"/>
              <w:rPr>
                <w:sz w:val="20"/>
                <w:szCs w:val="20"/>
                <w:color w:val="auto"/>
              </w:rPr>
            </w:pPr>
            <w:r>
              <w:rPr>
                <w:rFonts w:ascii="Arial" w:cs="Arial" w:eastAsia="Arial" w:hAnsi="Arial"/>
                <w:sz w:val="13"/>
                <w:szCs w:val="13"/>
                <w:color w:val="auto"/>
              </w:rPr>
              <w:t>Equity offering costs</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(217)</w:t>
            </w: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40"/>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266</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49</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shd w:val="clear" w:color="auto" w:fill="E5FFFF"/>
          </w:tcPr>
          <w:p>
            <w:pPr>
              <w:spacing w:after="0" w:line="121" w:lineRule="exact"/>
              <w:rPr>
                <w:sz w:val="20"/>
                <w:szCs w:val="20"/>
                <w:color w:val="auto"/>
              </w:rPr>
            </w:pPr>
            <w:r>
              <w:rPr>
                <w:rFonts w:ascii="Arial" w:cs="Arial" w:eastAsia="Arial" w:hAnsi="Arial"/>
                <w:sz w:val="13"/>
                <w:szCs w:val="13"/>
                <w:color w:val="auto"/>
              </w:rPr>
              <w:t>Settlement of awards vested</w:t>
            </w: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3"/>
                <w:szCs w:val="13"/>
                <w:color w:val="auto"/>
              </w:rPr>
              <w:t>during the period (Note 6)</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49,850</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E5FFFF"/>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tcPr>
          <w:p>
            <w:pPr>
              <w:spacing w:after="0" w:line="121" w:lineRule="exact"/>
              <w:rPr>
                <w:sz w:val="20"/>
                <w:szCs w:val="20"/>
                <w:color w:val="auto"/>
              </w:rPr>
            </w:pPr>
            <w:r>
              <w:rPr>
                <w:rFonts w:ascii="Arial" w:cs="Arial" w:eastAsia="Arial" w:hAnsi="Arial"/>
                <w:sz w:val="13"/>
                <w:szCs w:val="13"/>
                <w:color w:val="auto"/>
                <w:w w:val="97"/>
              </w:rPr>
              <w:t>Repurchases of common units</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rPr>
                <w:sz w:val="20"/>
                <w:szCs w:val="20"/>
                <w:color w:val="auto"/>
              </w:rPr>
            </w:pPr>
            <w:r>
              <w:rPr>
                <w:rFonts w:ascii="Arial" w:cs="Arial" w:eastAsia="Arial" w:hAnsi="Arial"/>
                <w:sz w:val="13"/>
                <w:szCs w:val="13"/>
                <w:color w:val="auto"/>
              </w:rPr>
              <w:t>(Note 6)</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(985,259)</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(20,030)</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(20,030)</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(20,030)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shd w:val="clear" w:color="auto" w:fill="E5FFFF"/>
          </w:tcPr>
          <w:p>
            <w:pPr>
              <w:spacing w:after="0" w:line="121" w:lineRule="exact"/>
              <w:rPr>
                <w:sz w:val="20"/>
                <w:szCs w:val="20"/>
                <w:color w:val="auto"/>
              </w:rPr>
            </w:pPr>
            <w:r>
              <w:rPr>
                <w:rFonts w:ascii="Arial" w:cs="Arial" w:eastAsia="Arial" w:hAnsi="Arial"/>
                <w:sz w:val="13"/>
                <w:szCs w:val="13"/>
                <w:color w:val="auto"/>
              </w:rPr>
              <w:t>Elimination of IDRs and</w:t>
            </w: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issuance of common and</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3"/>
                <w:szCs w:val="13"/>
                <w:color w:val="auto"/>
              </w:rPr>
              <w:t>Class B units (Note 6)</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2,532,911</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1,807</w:t>
            </w:r>
          </w:p>
        </w:tc>
        <w:tc>
          <w:tcPr>
            <w:tcW w:w="940" w:type="dxa"/>
            <w:vAlign w:val="bottom"/>
            <w:gridSpan w:val="2"/>
            <w:shd w:val="clear" w:color="auto" w:fill="E5FFFF"/>
          </w:tcPr>
          <w:p>
            <w:pPr>
              <w:jc w:val="right"/>
              <w:ind w:right="80"/>
              <w:spacing w:after="0"/>
              <w:rPr>
                <w:sz w:val="20"/>
                <w:szCs w:val="20"/>
                <w:color w:val="auto"/>
              </w:rPr>
            </w:pPr>
            <w:r>
              <w:rPr>
                <w:rFonts w:ascii="Arial" w:cs="Arial" w:eastAsia="Arial" w:hAnsi="Arial"/>
                <w:sz w:val="13"/>
                <w:szCs w:val="13"/>
                <w:color w:val="auto"/>
              </w:rPr>
              <w:t>(2,391)</w:t>
            </w:r>
          </w:p>
        </w:tc>
        <w:tc>
          <w:tcPr>
            <w:tcW w:w="620" w:type="dxa"/>
            <w:vAlign w:val="bottom"/>
            <w:shd w:val="clear" w:color="auto" w:fill="E5FFFF"/>
          </w:tcPr>
          <w:p>
            <w:pPr>
              <w:jc w:val="right"/>
              <w:spacing w:after="0"/>
              <w:rPr>
                <w:sz w:val="20"/>
                <w:szCs w:val="20"/>
                <w:color w:val="auto"/>
              </w:rPr>
            </w:pPr>
            <w:r>
              <w:rPr>
                <w:rFonts w:ascii="Arial" w:cs="Arial" w:eastAsia="Arial" w:hAnsi="Arial"/>
                <w:sz w:val="13"/>
                <w:szCs w:val="13"/>
                <w:color w:val="auto"/>
              </w:rPr>
              <w:t>2,490,000</w:t>
            </w:r>
          </w:p>
        </w:tc>
        <w:tc>
          <w:tcPr>
            <w:tcW w:w="10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5FFFF"/>
          </w:tcPr>
          <w:p>
            <w:pPr>
              <w:jc w:val="right"/>
              <w:ind w:right="80"/>
              <w:spacing w:after="0"/>
              <w:rPr>
                <w:sz w:val="20"/>
                <w:szCs w:val="20"/>
                <w:color w:val="auto"/>
              </w:rPr>
            </w:pPr>
            <w:r>
              <w:rPr>
                <w:rFonts w:ascii="Arial" w:cs="Arial" w:eastAsia="Arial" w:hAnsi="Arial"/>
                <w:sz w:val="13"/>
                <w:szCs w:val="13"/>
                <w:color w:val="auto"/>
              </w:rPr>
              <w:t>(584)</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3"/>
                <w:szCs w:val="13"/>
                <w:color w:val="auto"/>
              </w:rPr>
              <w:t>(584)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tcPr>
          <w:p>
            <w:pPr>
              <w:spacing w:after="0" w:line="121" w:lineRule="exact"/>
              <w:rPr>
                <w:sz w:val="20"/>
                <w:szCs w:val="20"/>
                <w:color w:val="auto"/>
              </w:rPr>
            </w:pPr>
            <w:r>
              <w:rPr>
                <w:rFonts w:ascii="Arial" w:cs="Arial" w:eastAsia="Arial" w:hAnsi="Arial"/>
                <w:sz w:val="13"/>
                <w:szCs w:val="13"/>
                <w:color w:val="auto"/>
              </w:rPr>
              <w:t>Issuance of general partner</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rPr>
                <w:sz w:val="20"/>
                <w:szCs w:val="20"/>
                <w:color w:val="auto"/>
              </w:rPr>
            </w:pPr>
            <w:r>
              <w:rPr>
                <w:rFonts w:ascii="Arial" w:cs="Arial" w:eastAsia="Arial" w:hAnsi="Arial"/>
                <w:sz w:val="13"/>
                <w:szCs w:val="13"/>
                <w:color w:val="auto"/>
              </w:rPr>
              <w:t>units (Note 6)</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93,804</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1,996</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1,996</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shd w:val="clear" w:color="auto" w:fill="E5FFFF"/>
          </w:tcPr>
          <w:p>
            <w:pPr>
              <w:spacing w:after="0" w:line="121" w:lineRule="exact"/>
              <w:rPr>
                <w:sz w:val="20"/>
                <w:szCs w:val="20"/>
                <w:color w:val="auto"/>
              </w:rPr>
            </w:pPr>
            <w:r>
              <w:rPr>
                <w:rFonts w:ascii="Arial" w:cs="Arial" w:eastAsia="Arial" w:hAnsi="Arial"/>
                <w:sz w:val="13"/>
                <w:szCs w:val="13"/>
                <w:color w:val="auto"/>
                <w:w w:val="98"/>
              </w:rPr>
              <w:t>Cash distribution to GasLog in</w:t>
            </w: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exchange for net assets</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contribution to the</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3"/>
                <w:szCs w:val="13"/>
                <w:color w:val="auto"/>
              </w:rPr>
              <w:t>Partnership</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E5FFFF"/>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E5FFFF"/>
          </w:tcPr>
          <w:p>
            <w:pPr>
              <w:jc w:val="right"/>
              <w:ind w:right="60"/>
              <w:spacing w:after="0"/>
              <w:rPr>
                <w:sz w:val="20"/>
                <w:szCs w:val="20"/>
                <w:color w:val="auto"/>
              </w:rPr>
            </w:pPr>
            <w:r>
              <w:rPr>
                <w:rFonts w:ascii="Arial" w:cs="Arial" w:eastAsia="Arial" w:hAnsi="Arial"/>
                <w:sz w:val="13"/>
                <w:szCs w:val="13"/>
                <w:color w:val="auto"/>
              </w:rPr>
              <w:t>(93,646)</w:t>
            </w:r>
          </w:p>
        </w:tc>
        <w:tc>
          <w:tcPr>
            <w:tcW w:w="680" w:type="dxa"/>
            <w:vAlign w:val="bottom"/>
            <w:shd w:val="clear" w:color="auto" w:fill="E5FFFF"/>
          </w:tcPr>
          <w:p>
            <w:pPr>
              <w:jc w:val="right"/>
              <w:spacing w:after="0"/>
              <w:rPr>
                <w:sz w:val="20"/>
                <w:szCs w:val="20"/>
                <w:color w:val="auto"/>
              </w:rPr>
            </w:pPr>
            <w:r>
              <w:rPr>
                <w:rFonts w:ascii="Arial" w:cs="Arial" w:eastAsia="Arial" w:hAnsi="Arial"/>
                <w:sz w:val="13"/>
                <w:szCs w:val="13"/>
                <w:color w:val="auto"/>
              </w:rPr>
              <w:t>(93,646)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tcPr>
          <w:p>
            <w:pPr>
              <w:spacing w:after="0" w:line="121" w:lineRule="exact"/>
              <w:rPr>
                <w:sz w:val="20"/>
                <w:szCs w:val="20"/>
                <w:color w:val="auto"/>
              </w:rPr>
            </w:pPr>
            <w:r>
              <w:rPr>
                <w:rFonts w:ascii="Arial" w:cs="Arial" w:eastAsia="Arial" w:hAnsi="Arial"/>
                <w:sz w:val="13"/>
                <w:szCs w:val="13"/>
                <w:color w:val="auto"/>
              </w:rPr>
              <w:t>Difference between net book</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ind w:left="140"/>
              <w:spacing w:after="0" w:line="135" w:lineRule="exact"/>
              <w:rPr>
                <w:sz w:val="20"/>
                <w:szCs w:val="20"/>
                <w:color w:val="auto"/>
              </w:rPr>
            </w:pPr>
            <w:r>
              <w:rPr>
                <w:rFonts w:ascii="Arial" w:cs="Arial" w:eastAsia="Arial" w:hAnsi="Arial"/>
                <w:sz w:val="13"/>
                <w:szCs w:val="13"/>
                <w:color w:val="auto"/>
                <w:w w:val="94"/>
              </w:rPr>
              <w:t>values of acquired subsidiary</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rPr>
                <w:sz w:val="20"/>
                <w:szCs w:val="20"/>
                <w:color w:val="auto"/>
              </w:rPr>
            </w:pPr>
            <w:r>
              <w:rPr>
                <w:rFonts w:ascii="Arial" w:cs="Arial" w:eastAsia="Arial" w:hAnsi="Arial"/>
                <w:sz w:val="13"/>
                <w:szCs w:val="13"/>
                <w:color w:val="auto"/>
              </w:rPr>
              <w:t>and consideration paid</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(357)</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(17,490)</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(17,847)</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17,847</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spacing w:after="0" w:line="135" w:lineRule="exact"/>
              <w:rPr>
                <w:sz w:val="20"/>
                <w:szCs w:val="20"/>
                <w:color w:val="auto"/>
              </w:rPr>
            </w:pPr>
            <w:r>
              <w:rPr>
                <w:rFonts w:ascii="Arial" w:cs="Arial" w:eastAsia="Arial" w:hAnsi="Arial"/>
                <w:sz w:val="13"/>
                <w:szCs w:val="13"/>
                <w:color w:val="auto"/>
                <w:w w:val="94"/>
              </w:rPr>
              <w:t>Distributions declared (Note 15)</w:t>
            </w:r>
          </w:p>
        </w:tc>
        <w:tc>
          <w:tcPr>
            <w:tcW w:w="760" w:type="dxa"/>
            <w:vAlign w:val="bottom"/>
            <w:gridSpan w:val="2"/>
            <w:shd w:val="clear" w:color="auto" w:fill="E5FF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E5FFFF"/>
          </w:tcPr>
          <w:p>
            <w:pPr>
              <w:jc w:val="right"/>
              <w:ind w:right="80"/>
              <w:spacing w:after="0" w:line="135" w:lineRule="exact"/>
              <w:rPr>
                <w:sz w:val="20"/>
                <w:szCs w:val="20"/>
                <w:color w:val="auto"/>
              </w:rPr>
            </w:pPr>
            <w:r>
              <w:rPr>
                <w:rFonts w:ascii="Arial" w:cs="Arial" w:eastAsia="Arial" w:hAnsi="Arial"/>
                <w:sz w:val="13"/>
                <w:szCs w:val="13"/>
                <w:color w:val="auto"/>
              </w:rPr>
              <w:t>(1,639)</w:t>
            </w:r>
          </w:p>
        </w:tc>
        <w:tc>
          <w:tcPr>
            <w:tcW w:w="940" w:type="dxa"/>
            <w:vAlign w:val="bottom"/>
            <w:gridSpan w:val="2"/>
            <w:shd w:val="clear" w:color="auto" w:fill="E5FF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5FFFF"/>
          </w:tcPr>
          <w:p>
            <w:pPr>
              <w:jc w:val="right"/>
              <w:ind w:right="80"/>
              <w:spacing w:after="0" w:line="135" w:lineRule="exact"/>
              <w:rPr>
                <w:sz w:val="20"/>
                <w:szCs w:val="20"/>
                <w:color w:val="auto"/>
              </w:rPr>
            </w:pPr>
            <w:r>
              <w:rPr>
                <w:rFonts w:ascii="Arial" w:cs="Arial" w:eastAsia="Arial" w:hAnsi="Arial"/>
                <w:sz w:val="13"/>
                <w:szCs w:val="13"/>
                <w:color w:val="auto"/>
              </w:rPr>
              <w:t>(76,056)</w:t>
            </w:r>
          </w:p>
        </w:tc>
        <w:tc>
          <w:tcPr>
            <w:tcW w:w="940" w:type="dxa"/>
            <w:vAlign w:val="bottom"/>
            <w:gridSpan w:val="2"/>
            <w:shd w:val="clear" w:color="auto" w:fill="E5FFFF"/>
          </w:tcPr>
          <w:p>
            <w:pPr>
              <w:jc w:val="right"/>
              <w:ind w:right="80"/>
              <w:spacing w:after="0" w:line="135" w:lineRule="exact"/>
              <w:rPr>
                <w:sz w:val="20"/>
                <w:szCs w:val="20"/>
                <w:color w:val="auto"/>
              </w:rPr>
            </w:pPr>
            <w:r>
              <w:rPr>
                <w:rFonts w:ascii="Arial" w:cs="Arial" w:eastAsia="Arial" w:hAnsi="Arial"/>
                <w:sz w:val="13"/>
                <w:szCs w:val="13"/>
                <w:color w:val="auto"/>
              </w:rPr>
              <w:t>(2,785)</w:t>
            </w:r>
          </w:p>
        </w:tc>
        <w:tc>
          <w:tcPr>
            <w:tcW w:w="1060" w:type="dxa"/>
            <w:vAlign w:val="bottom"/>
            <w:gridSpan w:val="3"/>
            <w:shd w:val="clear" w:color="auto" w:fill="E5FFFF"/>
          </w:tcPr>
          <w:p>
            <w:pPr>
              <w:jc w:val="right"/>
              <w:ind w:right="440"/>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E5FFFF"/>
          </w:tcPr>
          <w:p>
            <w:pPr>
              <w:jc w:val="right"/>
              <w:ind w:right="60"/>
              <w:spacing w:after="0" w:line="135" w:lineRule="exact"/>
              <w:rPr>
                <w:sz w:val="20"/>
                <w:szCs w:val="20"/>
                <w:color w:val="auto"/>
              </w:rPr>
            </w:pPr>
            <w:r>
              <w:rPr>
                <w:rFonts w:ascii="Arial" w:cs="Arial" w:eastAsia="Arial" w:hAnsi="Arial"/>
                <w:sz w:val="13"/>
                <w:szCs w:val="13"/>
                <w:color w:val="auto"/>
                <w:w w:val="94"/>
              </w:rPr>
              <w:t>(23,454)</w:t>
            </w:r>
          </w:p>
        </w:tc>
        <w:tc>
          <w:tcPr>
            <w:tcW w:w="920" w:type="dxa"/>
            <w:vAlign w:val="bottom"/>
            <w:gridSpan w:val="2"/>
            <w:shd w:val="clear" w:color="auto" w:fill="E5FFFF"/>
          </w:tcPr>
          <w:p>
            <w:pPr>
              <w:jc w:val="right"/>
              <w:ind w:right="80"/>
              <w:spacing w:after="0" w:line="135" w:lineRule="exact"/>
              <w:rPr>
                <w:sz w:val="20"/>
                <w:szCs w:val="20"/>
                <w:color w:val="auto"/>
              </w:rPr>
            </w:pPr>
            <w:r>
              <w:rPr>
                <w:rFonts w:ascii="Arial" w:cs="Arial" w:eastAsia="Arial" w:hAnsi="Arial"/>
                <w:sz w:val="13"/>
                <w:szCs w:val="13"/>
                <w:color w:val="auto"/>
              </w:rPr>
              <w:t>(103,934)</w:t>
            </w:r>
          </w:p>
        </w:tc>
        <w:tc>
          <w:tcPr>
            <w:tcW w:w="780" w:type="dxa"/>
            <w:vAlign w:val="bottom"/>
            <w:gridSpan w:val="2"/>
            <w:shd w:val="clear" w:color="auto" w:fill="E5FF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E5FFFF"/>
          </w:tcPr>
          <w:p>
            <w:pPr>
              <w:jc w:val="right"/>
              <w:spacing w:after="0" w:line="135" w:lineRule="exact"/>
              <w:rPr>
                <w:sz w:val="20"/>
                <w:szCs w:val="20"/>
                <w:color w:val="auto"/>
              </w:rPr>
            </w:pPr>
            <w:r>
              <w:rPr>
                <w:rFonts w:ascii="Arial" w:cs="Arial" w:eastAsia="Arial" w:hAnsi="Arial"/>
                <w:sz w:val="13"/>
                <w:szCs w:val="13"/>
                <w:color w:val="auto"/>
              </w:rPr>
              <w:t>(103,934)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tcPr>
          <w:p>
            <w:pPr>
              <w:spacing w:after="0" w:line="121" w:lineRule="exact"/>
              <w:rPr>
                <w:sz w:val="20"/>
                <w:szCs w:val="20"/>
                <w:color w:val="auto"/>
              </w:rPr>
            </w:pPr>
            <w:r>
              <w:rPr>
                <w:rFonts w:ascii="Arial" w:cs="Arial" w:eastAsia="Arial" w:hAnsi="Arial"/>
                <w:sz w:val="13"/>
                <w:szCs w:val="13"/>
                <w:color w:val="auto"/>
                <w:w w:val="93"/>
              </w:rPr>
              <w:t>Share-based compensation, net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rPr>
                <w:sz w:val="20"/>
                <w:szCs w:val="20"/>
                <w:color w:val="auto"/>
              </w:rPr>
            </w:pPr>
            <w:r>
              <w:rPr>
                <w:rFonts w:ascii="Arial" w:cs="Arial" w:eastAsia="Arial" w:hAnsi="Arial"/>
                <w:sz w:val="13"/>
                <w:szCs w:val="13"/>
                <w:color w:val="auto"/>
              </w:rPr>
              <w:t>of accrued distribution</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11</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527</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538</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40" w:type="dxa"/>
            <w:vAlign w:val="bottom"/>
            <w:shd w:val="clear" w:color="auto" w:fill="E5FFFF"/>
          </w:tcPr>
          <w:p>
            <w:pPr>
              <w:spacing w:after="0" w:line="121" w:lineRule="exact"/>
              <w:rPr>
                <w:sz w:val="20"/>
                <w:szCs w:val="20"/>
                <w:color w:val="auto"/>
              </w:rPr>
            </w:pPr>
            <w:r>
              <w:rPr>
                <w:rFonts w:ascii="Arial" w:cs="Arial" w:eastAsia="Arial" w:hAnsi="Arial"/>
                <w:sz w:val="13"/>
                <w:szCs w:val="13"/>
                <w:color w:val="auto"/>
              </w:rPr>
              <w:t>Partnership’s profit and total</w:t>
            </w: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E5FFFF"/>
          </w:tcPr>
          <w:p>
            <w:pPr>
              <w:ind w:left="140"/>
              <w:spacing w:after="0" w:line="135" w:lineRule="exact"/>
              <w:rPr>
                <w:sz w:val="20"/>
                <w:szCs w:val="20"/>
                <w:color w:val="auto"/>
              </w:rPr>
            </w:pPr>
            <w:r>
              <w:rPr>
                <w:rFonts w:ascii="Arial" w:cs="Arial" w:eastAsia="Arial" w:hAnsi="Arial"/>
                <w:sz w:val="13"/>
                <w:szCs w:val="13"/>
                <w:color w:val="auto"/>
              </w:rPr>
              <w:t>comprehensive income</w:t>
            </w: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5FFFF"/>
          </w:tcPr>
          <w:p>
            <w:pPr>
              <w:ind w:left="140"/>
              <w:spacing w:after="0"/>
              <w:rPr>
                <w:sz w:val="20"/>
                <w:szCs w:val="20"/>
                <w:color w:val="auto"/>
              </w:rPr>
            </w:pPr>
            <w:r>
              <w:rPr>
                <w:rFonts w:ascii="Arial" w:cs="Arial" w:eastAsia="Arial" w:hAnsi="Arial"/>
                <w:sz w:val="13"/>
                <w:szCs w:val="13"/>
                <w:color w:val="auto"/>
              </w:rPr>
              <w:t>(Note 16)</w:t>
            </w:r>
          </w:p>
        </w:tc>
        <w:tc>
          <w:tcPr>
            <w:tcW w:w="640" w:type="dxa"/>
            <w:vAlign w:val="bottom"/>
            <w:shd w:val="clear" w:color="auto" w:fill="E5FF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5FFFF"/>
          </w:tcPr>
          <w:p>
            <w:pPr>
              <w:spacing w:after="0"/>
              <w:rPr>
                <w:sz w:val="12"/>
                <w:szCs w:val="12"/>
                <w:color w:val="auto"/>
              </w:rPr>
            </w:pP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951</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45,246</w:t>
            </w:r>
          </w:p>
        </w:tc>
        <w:tc>
          <w:tcPr>
            <w:tcW w:w="94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E5FFFF"/>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E5FFFF"/>
          </w:tcPr>
          <w:p>
            <w:pPr>
              <w:ind w:left="10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E5FFFF"/>
          </w:tcPr>
          <w:p>
            <w:pPr>
              <w:jc w:val="right"/>
              <w:ind w:right="3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3"/>
                <w:szCs w:val="13"/>
                <w:color w:val="auto"/>
              </w:rPr>
              <w:t>22,746</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68,943</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3"/>
                <w:szCs w:val="13"/>
                <w:color w:val="auto"/>
              </w:rPr>
              <w:t>68,943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vMerge w:val="restart"/>
          </w:tcPr>
          <w:p>
            <w:pPr>
              <w:spacing w:after="0" w:line="117" w:lineRule="exact"/>
              <w:rPr>
                <w:sz w:val="20"/>
                <w:szCs w:val="20"/>
                <w:color w:val="auto"/>
              </w:rPr>
            </w:pPr>
            <w:r>
              <w:rPr>
                <w:rFonts w:ascii="Arial" w:cs="Arial" w:eastAsia="Arial" w:hAnsi="Arial"/>
                <w:sz w:val="13"/>
                <w:szCs w:val="13"/>
                <w:b w:val="1"/>
                <w:bCs w:val="1"/>
                <w:color w:val="auto"/>
                <w:w w:val="97"/>
              </w:rPr>
              <w:t>Balance as of September 30,</w:t>
            </w: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1,021,336</w:t>
            </w:r>
          </w:p>
        </w:tc>
        <w:tc>
          <w:tcPr>
            <w:tcW w:w="120" w:type="dxa"/>
            <w:vAlign w:val="bottom"/>
          </w:tcPr>
          <w:p>
            <w:pPr>
              <w:spacing w:after="0"/>
              <w:rPr>
                <w:sz w:val="8"/>
                <w:szCs w:val="8"/>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14,255</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47,046,495</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746,823</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2,490,000</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gridSpan w:val="2"/>
            <w:vMerge w:val="restart"/>
          </w:tcPr>
          <w:p>
            <w:pPr>
              <w:ind w:left="10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14,350,000</w:t>
            </w:r>
          </w:p>
        </w:tc>
        <w:tc>
          <w:tcPr>
            <w:tcW w:w="240" w:type="dxa"/>
            <w:vAlign w:val="bottom"/>
          </w:tcPr>
          <w:p>
            <w:pPr>
              <w:spacing w:after="0"/>
              <w:rPr>
                <w:sz w:val="8"/>
                <w:szCs w:val="8"/>
                <w:color w:val="auto"/>
              </w:rPr>
            </w:pP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w w:val="89"/>
              </w:rPr>
              <w:t>347,889</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1,108,967</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1,108,967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760" w:type="dxa"/>
            <w:vAlign w:val="bottom"/>
            <w:gridSpan w:val="2"/>
          </w:tcPr>
          <w:p>
            <w:pPr>
              <w:ind w:left="160"/>
              <w:spacing w:after="0" w:line="140" w:lineRule="exact"/>
              <w:rPr>
                <w:sz w:val="20"/>
                <w:szCs w:val="20"/>
                <w:color w:val="auto"/>
              </w:rPr>
            </w:pPr>
            <w:r>
              <w:rPr>
                <w:rFonts w:ascii="Arial" w:cs="Arial" w:eastAsia="Arial" w:hAnsi="Arial"/>
                <w:sz w:val="13"/>
                <w:szCs w:val="13"/>
                <w:b w:val="1"/>
                <w:bCs w:val="1"/>
                <w:color w:val="auto"/>
              </w:rPr>
              <w:t>2019</w:t>
            </w: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340" w:right="180" w:hanging="332"/>
        <w:spacing w:after="0" w:line="201" w:lineRule="auto"/>
        <w:tabs>
          <w:tab w:leader="none" w:pos="337"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Restated so as to reflect the historical financial statements of GAS-fourteen Ltd., GAS-twenty seven Ltd. and GAS-twelve Ltd. acquired on April 26, 2018, November 14, 2018 and April 1, 2019, respectively, from GasLog (Note 1).</w:t>
      </w:r>
    </w:p>
    <w:p>
      <w:pPr>
        <w:ind w:left="320" w:hanging="312"/>
        <w:spacing w:after="0" w:line="182" w:lineRule="auto"/>
        <w:tabs>
          <w:tab w:leader="none" w:pos="320" w:val="left"/>
        </w:tabs>
        <w:numPr>
          <w:ilvl w:val="0"/>
          <w:numId w:val="16"/>
        </w:numPr>
        <w:rPr>
          <w:rFonts w:ascii="Arial" w:cs="Arial" w:eastAsia="Arial" w:hAnsi="Arial"/>
          <w:sz w:val="17"/>
          <w:szCs w:val="17"/>
          <w:color w:val="auto"/>
          <w:vertAlign w:val="superscript"/>
        </w:rPr>
      </w:pPr>
      <w:r>
        <w:rPr>
          <w:rFonts w:ascii="Arial" w:cs="Arial" w:eastAsia="Arial" w:hAnsi="Arial"/>
          <w:sz w:val="14"/>
          <w:szCs w:val="14"/>
          <w:color w:val="auto"/>
        </w:rPr>
        <w:t>Restated so as to reflect the historical financial statements of GAS-twelve Ltd. acquired on April 1, 2019 from GasLog (Note 1).</w:t>
      </w:r>
    </w:p>
    <w:p>
      <w:pPr>
        <w:ind w:left="320" w:hanging="312"/>
        <w:spacing w:after="0" w:line="197" w:lineRule="auto"/>
        <w:tabs>
          <w:tab w:leader="none" w:pos="3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 xml:space="preserve">Restated so as to reflect an adjustment introduced due to the adoption of International Financial Reporting Standard (“IFRS”) 16 </w:t>
      </w:r>
      <w:r>
        <w:rPr>
          <w:rFonts w:ascii="Arial" w:cs="Arial" w:eastAsia="Arial" w:hAnsi="Arial"/>
          <w:sz w:val="14"/>
          <w:szCs w:val="14"/>
          <w:i w:val="1"/>
          <w:iCs w:val="1"/>
          <w:color w:val="auto"/>
        </w:rPr>
        <w:t>Leases</w:t>
      </w:r>
      <w:r>
        <w:rPr>
          <w:rFonts w:ascii="Arial" w:cs="Arial" w:eastAsia="Arial" w:hAnsi="Arial"/>
          <w:sz w:val="14"/>
          <w:szCs w:val="14"/>
          <w:color w:val="auto"/>
        </w:rPr>
        <w:t xml:space="preserve"> on January 1, 2019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0"/>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GasLog Partners LP</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For the nine months ended September 30, 2018 and 2019</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(All amounts expressed in thousands of U.S. Dollars)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6"/>
                <w:szCs w:val="16"/>
                <w:b w:val="1"/>
                <w:bCs w:val="1"/>
                <w:color w:val="auto"/>
              </w:rPr>
              <w:t>Note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5"/>
              </w:rPr>
              <w:t>2018</w:t>
            </w:r>
          </w:p>
        </w:tc>
        <w:tc>
          <w:tcPr>
            <w:tcW w:w="320" w:type="dxa"/>
            <w:vAlign w:val="bottom"/>
          </w:tcPr>
          <w:p>
            <w:pPr>
              <w:spacing w:after="0"/>
              <w:rPr>
                <w:sz w:val="18"/>
                <w:szCs w:val="18"/>
                <w:color w:val="auto"/>
              </w:rPr>
            </w:pP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i w:val="1"/>
                <w:iCs w:val="1"/>
                <w:color w:val="auto"/>
                <w:w w:val="89"/>
              </w:rPr>
              <w:t>(restated)</w:t>
            </w:r>
            <w:r>
              <w:rPr>
                <w:rFonts w:ascii="Arial" w:cs="Arial" w:eastAsia="Arial" w:hAnsi="Arial"/>
                <w:sz w:val="17"/>
                <w:szCs w:val="17"/>
                <w:color w:val="auto"/>
                <w:w w:val="89"/>
                <w:vertAlign w:val="superscript"/>
              </w:rPr>
              <w:t>(1)</w:t>
            </w:r>
          </w:p>
        </w:tc>
        <w:tc>
          <w:tcPr>
            <w:tcW w:w="3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Profit for the period</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102,986</w:t>
            </w:r>
          </w:p>
        </w:tc>
        <w:tc>
          <w:tcPr>
            <w:tcW w:w="32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71,593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Depreciation</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65,458</w:t>
            </w:r>
          </w:p>
        </w:tc>
        <w:tc>
          <w:tcPr>
            <w:tcW w:w="32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66,826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13</w:t>
            </w:r>
          </w:p>
        </w:tc>
        <w:tc>
          <w:tcPr>
            <w:tcW w:w="28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54,113</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55,650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Financial income</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6"/>
                <w:szCs w:val="16"/>
                <w:color w:val="auto"/>
              </w:rPr>
              <w:t>(1,718)</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Unrealized (gain)/loss on derivatives held for trading, net</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13</w:t>
            </w:r>
          </w:p>
        </w:tc>
        <w:tc>
          <w:tcPr>
            <w:tcW w:w="28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(9,024)</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16,698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766</w:t>
            </w:r>
          </w:p>
        </w:tc>
        <w:tc>
          <w:tcPr>
            <w:tcW w:w="32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Realized foreign exchange losses</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4</w:t>
            </w:r>
          </w:p>
        </w:tc>
        <w:tc>
          <w:tcPr>
            <w:tcW w:w="28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tcBorders>
              <w:bottom w:val="single" w:sz="8" w:color="E5FFFF"/>
            </w:tcBorders>
          </w:tcPr>
          <w:p>
            <w:pPr>
              <w:spacing w:after="0"/>
              <w:rPr>
                <w:sz w:val="17"/>
                <w:szCs w:val="17"/>
                <w:color w:val="auto"/>
              </w:rPr>
            </w:pPr>
          </w:p>
        </w:tc>
        <w:tc>
          <w:tcPr>
            <w:tcW w:w="68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212,581</w:t>
            </w:r>
          </w:p>
        </w:tc>
        <w:tc>
          <w:tcPr>
            <w:tcW w:w="32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210,510</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26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Movements in working capital</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6"/>
                <w:szCs w:val="16"/>
                <w:color w:val="auto"/>
              </w:rPr>
              <w:t>(21,564)</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(7,425)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provided by operations</w:t>
            </w:r>
          </w:p>
        </w:tc>
        <w:tc>
          <w:tcPr>
            <w:tcW w:w="68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191,017</w:t>
            </w:r>
          </w:p>
        </w:tc>
        <w:tc>
          <w:tcPr>
            <w:tcW w:w="32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203,085</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Interest paid</w:t>
            </w:r>
          </w:p>
        </w:tc>
        <w:tc>
          <w:tcPr>
            <w:tcW w:w="68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(48,909)</w:t>
            </w:r>
          </w:p>
        </w:tc>
        <w:tc>
          <w:tcPr>
            <w:tcW w:w="32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(54,197)</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142,108</w:t>
            </w:r>
          </w:p>
        </w:tc>
        <w:tc>
          <w:tcPr>
            <w:tcW w:w="32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148,888</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Payments for vessels’ additions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(17,725)</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(8,637)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Return of capital expenditures (Note 4)</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7,465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 received</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1,518</w:t>
            </w:r>
          </w:p>
        </w:tc>
        <w:tc>
          <w:tcPr>
            <w:tcW w:w="3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Maturity of short-term investments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18,000</w:t>
            </w:r>
          </w:p>
        </w:tc>
        <w:tc>
          <w:tcPr>
            <w:tcW w:w="32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34,000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Purchase of short-term investments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(28,000)</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(33,000)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in)/provided by investing activities</w:t>
            </w:r>
          </w:p>
        </w:tc>
        <w:tc>
          <w:tcPr>
            <w:tcW w:w="68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(26,207)</w:t>
            </w:r>
          </w:p>
        </w:tc>
        <w:tc>
          <w:tcPr>
            <w:tcW w:w="32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1,436</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68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Borrowings drawdowns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435,000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Borrowings repayments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(160,017)</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(430,085)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Payment of loan issuance costs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6"/>
                <w:szCs w:val="16"/>
                <w:color w:val="auto"/>
              </w:rPr>
              <w:t>(79)</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(5,185)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Proceeds from public offerings and issuances of common units and general partner units (net of</w:t>
            </w:r>
          </w:p>
        </w:tc>
        <w:tc>
          <w:tcPr>
            <w:tcW w:w="6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60" w:type="dxa"/>
            <w:vAlign w:val="bottom"/>
            <w:shd w:val="clear" w:color="auto" w:fill="E5FFFF"/>
          </w:tcPr>
          <w:p>
            <w:pPr>
              <w:ind w:left="160"/>
              <w:spacing w:after="0"/>
              <w:rPr>
                <w:sz w:val="20"/>
                <w:szCs w:val="20"/>
                <w:color w:val="auto"/>
              </w:rPr>
            </w:pPr>
            <w:r>
              <w:rPr>
                <w:rFonts w:ascii="Arial" w:cs="Arial" w:eastAsia="Arial" w:hAnsi="Arial"/>
                <w:sz w:val="16"/>
                <w:szCs w:val="16"/>
                <w:color w:val="auto"/>
              </w:rPr>
              <w:t>underwriting discounts and commissions)</w:t>
            </w:r>
          </w:p>
        </w:tc>
        <w:tc>
          <w:tcPr>
            <w:tcW w:w="6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56,381</w:t>
            </w:r>
          </w:p>
        </w:tc>
        <w:tc>
          <w:tcPr>
            <w:tcW w:w="32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1,996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Proceeds from public offering of preference units (net of underwriting discounts and commissions)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111,544</w:t>
            </w:r>
          </w:p>
        </w:tc>
        <w:tc>
          <w:tcPr>
            <w:tcW w:w="32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Repurchases of common units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(20,030)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Payment of offering costs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6"/>
                <w:szCs w:val="16"/>
                <w:color w:val="auto"/>
              </w:rPr>
              <w:t>(929)</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Cash distribution to GasLog in exchange for contribution of net assets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(19,086)</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(93,646)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Distributions paid</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6"/>
                <w:szCs w:val="16"/>
                <w:color w:val="auto"/>
              </w:rPr>
              <w:t>(86,922)</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(103,934)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Payments for lease liabilities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68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(99,108)</w:t>
            </w:r>
          </w:p>
        </w:tc>
        <w:tc>
          <w:tcPr>
            <w:tcW w:w="32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(217,871)</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Increase/(decrease) in cash and cash equivalents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16,793</w:t>
            </w:r>
          </w:p>
        </w:tc>
        <w:tc>
          <w:tcPr>
            <w:tcW w:w="32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(67,547)</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68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153,675</w:t>
            </w:r>
          </w:p>
        </w:tc>
        <w:tc>
          <w:tcPr>
            <w:tcW w:w="32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133,370</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68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170,468</w:t>
            </w:r>
          </w:p>
        </w:tc>
        <w:tc>
          <w:tcPr>
            <w:tcW w:w="32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65,823</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Capital expenditures included in liabilities at the end of the period</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14,459</w:t>
            </w:r>
          </w:p>
        </w:tc>
        <w:tc>
          <w:tcPr>
            <w:tcW w:w="32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8,256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Financing costs included in liabilities at the end of the period</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Offering costs included in liabilities at the end of the period</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166</w:t>
            </w:r>
          </w:p>
        </w:tc>
        <w:tc>
          <w:tcPr>
            <w:tcW w:w="32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Issuance of common units to GasLog in exchange for contribution of net assets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45,000</w:t>
            </w:r>
          </w:p>
        </w:tc>
        <w:tc>
          <w:tcPr>
            <w:tcW w:w="3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Liabilities related to leases at the end of the period</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40" w:right="20" w:hanging="332"/>
        <w:spacing w:after="0" w:line="215" w:lineRule="auto"/>
        <w:tabs>
          <w:tab w:leader="none" w:pos="337"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Restated so as to reflect the historical financial statements of GAS-twenty seven Ltd. and GAS-twelve Ltd. acquired on November 14, 2018 and April 1, 2019, respectively, from GasLog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GasLog Partners 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nine months ended September 30, 2018 and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144" w:lineRule="exact"/>
        <w:rPr>
          <w:sz w:val="20"/>
          <w:szCs w:val="20"/>
          <w:color w:val="auto"/>
        </w:rPr>
      </w:pPr>
    </w:p>
    <w:p>
      <w:pPr>
        <w:ind w:right="420" w:firstLine="396"/>
        <w:spacing w:after="0" w:line="278" w:lineRule="auto"/>
        <w:rPr>
          <w:sz w:val="20"/>
          <w:szCs w:val="20"/>
          <w:color w:val="auto"/>
        </w:rPr>
      </w:pPr>
      <w:r>
        <w:rPr>
          <w:rFonts w:ascii="Arial" w:cs="Arial" w:eastAsia="Arial" w:hAnsi="Arial"/>
          <w:sz w:val="16"/>
          <w:szCs w:val="16"/>
          <w:color w:val="auto"/>
        </w:rPr>
        <w:t>GasLog Partners LP (“GasLog Partners” or the “Partnership”) was formed as a limited partnership under the laws of the Marshall Islands on January 23, 2014, as a wholly owned subsidiary of GasLog for the purpose of initially acquiring the interests in three liquefied natural gas (“LNG”) carriers (or the “Initial Fleet”) that were contributed to the Partnership by GasLog in connection with the initial public offering of its common units (the “IPO”).</w:t>
      </w:r>
    </w:p>
    <w:p>
      <w:pPr>
        <w:spacing w:after="0" w:line="90" w:lineRule="exact"/>
        <w:rPr>
          <w:sz w:val="20"/>
          <w:szCs w:val="20"/>
          <w:color w:val="auto"/>
        </w:rPr>
      </w:pPr>
    </w:p>
    <w:p>
      <w:pPr>
        <w:ind w:right="160" w:firstLine="396"/>
        <w:spacing w:after="0" w:line="297" w:lineRule="auto"/>
        <w:rPr>
          <w:sz w:val="20"/>
          <w:szCs w:val="20"/>
          <w:color w:val="auto"/>
        </w:rPr>
      </w:pPr>
      <w:r>
        <w:rPr>
          <w:rFonts w:ascii="Arial" w:cs="Arial" w:eastAsia="Arial" w:hAnsi="Arial"/>
          <w:sz w:val="15"/>
          <w:szCs w:val="15"/>
          <w:color w:val="auto"/>
        </w:rPr>
        <w:t xml:space="preserve">On April 26, 2018, GasLog Partners acquired 100% of the ownership interests in GAS-fourteen Ltd., the entity that owns a 174,000 cbm LNG carrier,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Gibraltar</w:t>
      </w:r>
      <w:r>
        <w:rPr>
          <w:rFonts w:ascii="Arial" w:cs="Arial" w:eastAsia="Arial" w:hAnsi="Arial"/>
          <w:sz w:val="15"/>
          <w:szCs w:val="15"/>
          <w:color w:val="auto"/>
        </w:rPr>
        <w:t>, for an aggregate purchase price of $207,000. On November 14, 2018, GasLog Partners acquired 100% of the ownership interests in GAS-twenty seven Ltd.,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entity that owns a 170,000 cbm LNG carrier, the </w:t>
      </w:r>
      <w:r>
        <w:rPr>
          <w:rFonts w:ascii="Arial" w:cs="Arial" w:eastAsia="Arial" w:hAnsi="Arial"/>
          <w:sz w:val="15"/>
          <w:szCs w:val="15"/>
          <w:i w:val="1"/>
          <w:iCs w:val="1"/>
          <w:color w:val="auto"/>
        </w:rPr>
        <w:t>Methane Becki Anne</w:t>
      </w:r>
      <w:r>
        <w:rPr>
          <w:rFonts w:ascii="Arial" w:cs="Arial" w:eastAsia="Arial" w:hAnsi="Arial"/>
          <w:sz w:val="15"/>
          <w:szCs w:val="15"/>
          <w:color w:val="auto"/>
        </w:rPr>
        <w:t xml:space="preserve">, for an aggregate purchase price of $207,400. On April 1, 2019, GasLog Partners acquired 100% of the ownership interests in GAS-twelve Ltd., the entity that owns a 174,000 cbm LNG carrier, the </w:t>
      </w:r>
      <w:r>
        <w:rPr>
          <w:rFonts w:ascii="Arial" w:cs="Arial" w:eastAsia="Arial" w:hAnsi="Arial"/>
          <w:sz w:val="15"/>
          <w:szCs w:val="15"/>
          <w:i w:val="1"/>
          <w:iCs w:val="1"/>
          <w:color w:val="auto"/>
        </w:rPr>
        <w:t>GasLog Glasgow</w:t>
      </w:r>
      <w:r>
        <w:rPr>
          <w:rFonts w:ascii="Arial" w:cs="Arial" w:eastAsia="Arial" w:hAnsi="Arial"/>
          <w:sz w:val="15"/>
          <w:szCs w:val="15"/>
          <w:color w:val="auto"/>
        </w:rPr>
        <w:t>, for an aggregate purchase price of $214,000.</w:t>
      </w:r>
    </w:p>
    <w:p>
      <w:pPr>
        <w:spacing w:after="0" w:line="78" w:lineRule="exact"/>
        <w:rPr>
          <w:sz w:val="20"/>
          <w:szCs w:val="20"/>
          <w:color w:val="auto"/>
        </w:rPr>
      </w:pPr>
    </w:p>
    <w:p>
      <w:pPr>
        <w:jc w:val="both"/>
        <w:ind w:right="140" w:firstLine="383"/>
        <w:spacing w:after="0" w:line="278" w:lineRule="auto"/>
        <w:rPr>
          <w:sz w:val="20"/>
          <w:szCs w:val="20"/>
          <w:color w:val="auto"/>
        </w:rPr>
      </w:pPr>
      <w:r>
        <w:rPr>
          <w:rFonts w:ascii="Arial" w:cs="Arial" w:eastAsia="Arial" w:hAnsi="Arial"/>
          <w:sz w:val="16"/>
          <w:szCs w:val="16"/>
          <w:color w:val="auto"/>
        </w:rPr>
        <w:t>The above acquisitions were accounted for as reorganizations of companies under common control. The Partnership’s historical results and net assets were retroactively restated to reflect the historical results of the acquired entities from their respective dates of incorporation by GasLog. The carrying amounts of assets and liabilities included are based on the historical carrying amounts of such assets and liabilities recognized by the subsidiaries.</w:t>
      </w:r>
    </w:p>
    <w:p>
      <w:pPr>
        <w:spacing w:after="0" w:line="90" w:lineRule="exact"/>
        <w:rPr>
          <w:sz w:val="20"/>
          <w:szCs w:val="20"/>
          <w:color w:val="auto"/>
        </w:rPr>
      </w:pPr>
    </w:p>
    <w:p>
      <w:pPr>
        <w:ind w:right="100" w:firstLine="383"/>
        <w:spacing w:after="0" w:line="278" w:lineRule="auto"/>
        <w:rPr>
          <w:sz w:val="20"/>
          <w:szCs w:val="20"/>
          <w:color w:val="auto"/>
        </w:rPr>
      </w:pPr>
      <w:r>
        <w:rPr>
          <w:rFonts w:ascii="Arial" w:cs="Arial" w:eastAsia="Arial" w:hAnsi="Arial"/>
          <w:sz w:val="16"/>
          <w:szCs w:val="16"/>
          <w:color w:val="auto"/>
        </w:rPr>
        <w:t>As of September 30, 2019, GasLog holds a 35.4% interest in the Partnership (including 2.0% through its general partner interest).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90" w:lineRule="exact"/>
        <w:rPr>
          <w:sz w:val="20"/>
          <w:szCs w:val="20"/>
          <w:color w:val="auto"/>
        </w:rPr>
      </w:pPr>
    </w:p>
    <w:p>
      <w:pPr>
        <w:ind w:firstLine="405"/>
        <w:spacing w:after="0" w:line="278" w:lineRule="auto"/>
        <w:rPr>
          <w:sz w:val="20"/>
          <w:szCs w:val="20"/>
          <w:color w:val="auto"/>
        </w:rPr>
      </w:pPr>
      <w:r>
        <w:rPr>
          <w:rFonts w:ascii="Arial" w:cs="Arial" w:eastAsia="Arial" w:hAnsi="Arial"/>
          <w:sz w:val="16"/>
          <w:szCs w:val="16"/>
          <w:color w:val="auto"/>
        </w:rPr>
        <w:t>The Partnership’s principal business is the acquisition and operation of vessels in the LNG market, providing LNG transportation services on a worldwide basis primarily under multi-year charters. GasLog LNG Services Ltd. (“GasLog LNG Services” or the “Manager”), a related party and a wholly owned subsidiary of GasLog, incorporated under the laws of the Bermuda, provides technical services to the Partnership.</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September 30, 2019, the companies listed below were 100% held by the Partnership:</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Place of</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Date of</w:t>
            </w: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 activities</w:t>
            </w: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Vessel</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Cargo Capacity</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Delivery Date</w:t>
            </w: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incorporation</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incorporation</w:t>
            </w:r>
          </w:p>
        </w:tc>
        <w:tc>
          <w:tcPr>
            <w:tcW w:w="184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(cbm)</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shd w:val="clear" w:color="auto" w:fill="E5FFFF"/>
          </w:tcPr>
          <w:p>
            <w:pPr>
              <w:spacing w:after="0" w:line="142" w:lineRule="exact"/>
              <w:rPr>
                <w:sz w:val="20"/>
                <w:szCs w:val="20"/>
                <w:color w:val="auto"/>
              </w:rPr>
            </w:pPr>
            <w:r>
              <w:rPr>
                <w:rFonts w:ascii="Arial" w:cs="Arial" w:eastAsia="Arial" w:hAnsi="Arial"/>
                <w:sz w:val="14"/>
                <w:szCs w:val="14"/>
                <w:color w:val="auto"/>
              </w:rPr>
              <w:t>GAS-three Ltd.</w:t>
            </w:r>
          </w:p>
        </w:tc>
        <w:tc>
          <w:tcPr>
            <w:tcW w:w="120" w:type="dxa"/>
            <w:vAlign w:val="bottom"/>
            <w:tcBorders>
              <w:top w:val="single" w:sz="8" w:color="E5FFFF"/>
            </w:tcBorders>
            <w:shd w:val="clear" w:color="auto" w:fill="E5FFFF"/>
          </w:tcPr>
          <w:p>
            <w:pPr>
              <w:spacing w:after="0"/>
              <w:rPr>
                <w:sz w:val="12"/>
                <w:szCs w:val="12"/>
                <w:color w:val="auto"/>
              </w:rPr>
            </w:pPr>
          </w:p>
        </w:tc>
        <w:tc>
          <w:tcPr>
            <w:tcW w:w="126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4"/>
              </w:rPr>
              <w:t>Bermuda</w:t>
            </w:r>
          </w:p>
        </w:tc>
        <w:tc>
          <w:tcPr>
            <w:tcW w:w="120" w:type="dxa"/>
            <w:vAlign w:val="bottom"/>
            <w:tcBorders>
              <w:top w:val="single" w:sz="8" w:color="E5FFFF"/>
            </w:tcBorders>
            <w:shd w:val="clear" w:color="auto" w:fill="E5FFFF"/>
          </w:tcPr>
          <w:p>
            <w:pPr>
              <w:spacing w:after="0"/>
              <w:rPr>
                <w:sz w:val="12"/>
                <w:szCs w:val="12"/>
                <w:color w:val="auto"/>
              </w:rPr>
            </w:pPr>
          </w:p>
        </w:tc>
        <w:tc>
          <w:tcPr>
            <w:tcW w:w="126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8"/>
              </w:rPr>
              <w:t>April 2010</w:t>
            </w:r>
          </w:p>
        </w:tc>
        <w:tc>
          <w:tcPr>
            <w:tcW w:w="120" w:type="dxa"/>
            <w:vAlign w:val="bottom"/>
            <w:tcBorders>
              <w:top w:val="single" w:sz="8" w:color="E5FFFF"/>
            </w:tcBorders>
            <w:shd w:val="clear" w:color="auto" w:fill="E5FFFF"/>
          </w:tcPr>
          <w:p>
            <w:pPr>
              <w:spacing w:after="0"/>
              <w:rPr>
                <w:sz w:val="12"/>
                <w:szCs w:val="12"/>
                <w:color w:val="auto"/>
              </w:rPr>
            </w:pPr>
          </w:p>
        </w:tc>
        <w:tc>
          <w:tcPr>
            <w:tcW w:w="172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2"/>
              </w:rPr>
              <w:t>Vessel-owning company</w:t>
            </w:r>
          </w:p>
        </w:tc>
        <w:tc>
          <w:tcPr>
            <w:tcW w:w="120" w:type="dxa"/>
            <w:vAlign w:val="bottom"/>
            <w:tcBorders>
              <w:top w:val="single" w:sz="8" w:color="E5FFFF"/>
            </w:tcBorders>
            <w:shd w:val="clear" w:color="auto" w:fill="E5FFFF"/>
          </w:tcPr>
          <w:p>
            <w:pPr>
              <w:spacing w:after="0"/>
              <w:rPr>
                <w:sz w:val="12"/>
                <w:szCs w:val="12"/>
                <w:color w:val="auto"/>
              </w:rPr>
            </w:pPr>
          </w:p>
        </w:tc>
        <w:tc>
          <w:tcPr>
            <w:tcW w:w="182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i w:val="1"/>
                <w:iCs w:val="1"/>
                <w:color w:val="auto"/>
                <w:w w:val="92"/>
              </w:rPr>
              <w:t>GasLog Shanghai</w:t>
            </w:r>
          </w:p>
        </w:tc>
        <w:tc>
          <w:tcPr>
            <w:tcW w:w="100" w:type="dxa"/>
            <w:vAlign w:val="bottom"/>
            <w:tcBorders>
              <w:top w:val="single" w:sz="8" w:color="E5FFFF"/>
            </w:tcBorders>
            <w:shd w:val="clear" w:color="auto" w:fill="E5FFFF"/>
          </w:tcPr>
          <w:p>
            <w:pPr>
              <w:spacing w:after="0"/>
              <w:rPr>
                <w:sz w:val="12"/>
                <w:szCs w:val="12"/>
                <w:color w:val="auto"/>
              </w:rPr>
            </w:pPr>
          </w:p>
        </w:tc>
        <w:tc>
          <w:tcPr>
            <w:tcW w:w="124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0"/>
              </w:rPr>
              <w:t>155,000</w:t>
            </w:r>
          </w:p>
        </w:tc>
        <w:tc>
          <w:tcPr>
            <w:tcW w:w="120" w:type="dxa"/>
            <w:vAlign w:val="bottom"/>
            <w:tcBorders>
              <w:top w:val="single" w:sz="8" w:color="E5FFFF"/>
            </w:tcBorders>
            <w:shd w:val="clear" w:color="auto" w:fill="E5FFFF"/>
          </w:tcPr>
          <w:p>
            <w:pPr>
              <w:spacing w:after="0"/>
              <w:rPr>
                <w:sz w:val="12"/>
                <w:szCs w:val="12"/>
                <w:color w:val="auto"/>
              </w:rPr>
            </w:pPr>
          </w:p>
        </w:tc>
        <w:tc>
          <w:tcPr>
            <w:tcW w:w="124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89"/>
              </w:rPr>
              <w:t>January 2013</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GAS-four Ltd.</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April 2010</w:t>
            </w: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Vessel-owning company</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GasLog Santiago</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2013</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GAS-five Ltd.</w:t>
            </w:r>
          </w:p>
        </w:tc>
        <w:tc>
          <w:tcPr>
            <w:tcW w:w="138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38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0"/>
              </w:rPr>
              <w:t>February 2011</w:t>
            </w:r>
          </w:p>
        </w:tc>
        <w:tc>
          <w:tcPr>
            <w:tcW w:w="184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2"/>
              </w:rPr>
              <w:t>Vessel-owning company</w:t>
            </w:r>
          </w:p>
        </w:tc>
        <w:tc>
          <w:tcPr>
            <w:tcW w:w="192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0"/>
              </w:rPr>
              <w:t>GasLog Sydney</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20" w:type="dxa"/>
            <w:vAlign w:val="bottom"/>
            <w:shd w:val="clear" w:color="auto" w:fill="E5FFFF"/>
          </w:tcPr>
          <w:p>
            <w:pPr>
              <w:spacing w:after="0"/>
              <w:rPr>
                <w:sz w:val="12"/>
                <w:szCs w:val="12"/>
                <w:color w:val="auto"/>
              </w:rPr>
            </w:pP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7"/>
              </w:rPr>
              <w:t>May 2013</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GAS-seven Ltd.</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March 2011</w:t>
            </w: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Vessel-owning company</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1"/>
              </w:rPr>
              <w:t>GasLog Seattle</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2"/>
              </w:rPr>
              <w:t>December 2013</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GAS-eight Ltd.</w:t>
            </w:r>
          </w:p>
        </w:tc>
        <w:tc>
          <w:tcPr>
            <w:tcW w:w="138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38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4"/>
              </w:rPr>
              <w:t>March 2011</w:t>
            </w:r>
          </w:p>
        </w:tc>
        <w:tc>
          <w:tcPr>
            <w:tcW w:w="184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2"/>
              </w:rPr>
              <w:t>Vessel-owning company</w:t>
            </w:r>
          </w:p>
        </w:tc>
        <w:tc>
          <w:tcPr>
            <w:tcW w:w="192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8"/>
              </w:rPr>
              <w:t>Solaris</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20" w:type="dxa"/>
            <w:vAlign w:val="bottom"/>
            <w:shd w:val="clear" w:color="auto" w:fill="E5FFFF"/>
          </w:tcPr>
          <w:p>
            <w:pPr>
              <w:spacing w:after="0"/>
              <w:rPr>
                <w:sz w:val="12"/>
                <w:szCs w:val="12"/>
                <w:color w:val="auto"/>
              </w:rPr>
            </w:pP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June 2014</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GAS-eleven Ltd.</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December 2012</w:t>
            </w: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Vessel-owning company</w:t>
            </w: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1"/>
              </w:rPr>
              <w:t>GasLog Greece</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2016</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GAS-twelve Ltd.</w:t>
            </w:r>
          </w:p>
        </w:tc>
        <w:tc>
          <w:tcPr>
            <w:tcW w:w="138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38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0"/>
              </w:rPr>
              <w:t>December 2012</w:t>
            </w:r>
          </w:p>
        </w:tc>
        <w:tc>
          <w:tcPr>
            <w:tcW w:w="184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2"/>
              </w:rPr>
              <w:t>Vessel-owning company</w:t>
            </w:r>
          </w:p>
        </w:tc>
        <w:tc>
          <w:tcPr>
            <w:tcW w:w="192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3"/>
              </w:rPr>
              <w:t>GasLog Glasgow</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120" w:type="dxa"/>
            <w:vAlign w:val="bottom"/>
            <w:shd w:val="clear" w:color="auto" w:fill="E5FFFF"/>
          </w:tcPr>
          <w:p>
            <w:pPr>
              <w:spacing w:after="0"/>
              <w:rPr>
                <w:sz w:val="12"/>
                <w:szCs w:val="12"/>
                <w:color w:val="auto"/>
              </w:rPr>
            </w:pP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June 2016</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GAS-thirteen Ltd.</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July 2013</w:t>
            </w: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Vessel-owning company</w:t>
            </w: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2"/>
              </w:rPr>
              <w:t>GasLog Geneva</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0"/>
              </w:rPr>
              <w:t>September 2016</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GAS-fourteen Ltd.</w:t>
            </w:r>
          </w:p>
        </w:tc>
        <w:tc>
          <w:tcPr>
            <w:tcW w:w="138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38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6"/>
              </w:rPr>
              <w:t>July 2013</w:t>
            </w:r>
          </w:p>
        </w:tc>
        <w:tc>
          <w:tcPr>
            <w:tcW w:w="184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2"/>
              </w:rPr>
              <w:t>Vessel-owning company</w:t>
            </w:r>
          </w:p>
        </w:tc>
        <w:tc>
          <w:tcPr>
            <w:tcW w:w="192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7"/>
              </w:rPr>
              <w:t>GasLog Gibraltar</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120" w:type="dxa"/>
            <w:vAlign w:val="bottom"/>
            <w:shd w:val="clear" w:color="auto" w:fill="E5FFFF"/>
          </w:tcPr>
          <w:p>
            <w:pPr>
              <w:spacing w:after="0"/>
              <w:rPr>
                <w:sz w:val="12"/>
                <w:szCs w:val="12"/>
                <w:color w:val="auto"/>
              </w:rPr>
            </w:pP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October 2016</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GAS-sixteen Ltd.</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January 2014</w:t>
            </w: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Vessel-owning company</w:t>
            </w: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2"/>
              </w:rPr>
              <w:t>Methane Rita Andrea</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April 2014</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GAS-seventeen Ltd.</w:t>
            </w:r>
          </w:p>
        </w:tc>
        <w:tc>
          <w:tcPr>
            <w:tcW w:w="138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38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1"/>
              </w:rPr>
              <w:t>January 2014</w:t>
            </w:r>
          </w:p>
        </w:tc>
        <w:tc>
          <w:tcPr>
            <w:tcW w:w="184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2"/>
              </w:rPr>
              <w:t>Vessel-owning company</w:t>
            </w:r>
          </w:p>
        </w:tc>
        <w:tc>
          <w:tcPr>
            <w:tcW w:w="192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1"/>
              </w:rPr>
              <w:t>Methane Jane Elizabeth</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120" w:type="dxa"/>
            <w:vAlign w:val="bottom"/>
            <w:shd w:val="clear" w:color="auto" w:fill="E5FFFF"/>
          </w:tcPr>
          <w:p>
            <w:pPr>
              <w:spacing w:after="0"/>
              <w:rPr>
                <w:sz w:val="12"/>
                <w:szCs w:val="12"/>
                <w:color w:val="auto"/>
              </w:rPr>
            </w:pP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April 2014</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GAS-nineteen Ltd.</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April 2014</w:t>
            </w: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Vessel-owning company</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5"/>
              </w:rPr>
              <w:t>Methane Alison Victoria</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1"/>
              </w:rPr>
              <w:t>June 2014</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GAS-twenty Ltd.</w:t>
            </w:r>
          </w:p>
        </w:tc>
        <w:tc>
          <w:tcPr>
            <w:tcW w:w="138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38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8"/>
              </w:rPr>
              <w:t>April 2014</w:t>
            </w:r>
          </w:p>
        </w:tc>
        <w:tc>
          <w:tcPr>
            <w:tcW w:w="184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2"/>
              </w:rPr>
              <w:t>Vessel-owning company</w:t>
            </w:r>
          </w:p>
        </w:tc>
        <w:tc>
          <w:tcPr>
            <w:tcW w:w="192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4"/>
              </w:rPr>
              <w:t>Methane Shirley Elisabeth</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120" w:type="dxa"/>
            <w:vAlign w:val="bottom"/>
            <w:shd w:val="clear" w:color="auto" w:fill="E5FFFF"/>
          </w:tcPr>
          <w:p>
            <w:pPr>
              <w:spacing w:after="0"/>
              <w:rPr>
                <w:sz w:val="12"/>
                <w:szCs w:val="12"/>
                <w:color w:val="auto"/>
              </w:rPr>
            </w:pP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June 2014</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GAS-twenty one Ltd.</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April 2014</w:t>
            </w: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Vessel-owning company</w:t>
            </w: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4"/>
              </w:rPr>
              <w:t>Methane Heather Sally</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1"/>
              </w:rPr>
              <w:t>June 2014</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GAS-twenty seven Ltd.</w:t>
            </w:r>
          </w:p>
        </w:tc>
        <w:tc>
          <w:tcPr>
            <w:tcW w:w="138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38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1"/>
              </w:rPr>
              <w:t>January 2015</w:t>
            </w:r>
          </w:p>
        </w:tc>
        <w:tc>
          <w:tcPr>
            <w:tcW w:w="184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2"/>
              </w:rPr>
              <w:t>Vessel-owning company</w:t>
            </w:r>
          </w:p>
        </w:tc>
        <w:tc>
          <w:tcPr>
            <w:tcW w:w="192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1"/>
              </w:rPr>
              <w:t>Methane Becki Anne</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170,000</w:t>
            </w:r>
          </w:p>
        </w:tc>
        <w:tc>
          <w:tcPr>
            <w:tcW w:w="120" w:type="dxa"/>
            <w:vAlign w:val="bottom"/>
            <w:shd w:val="clear" w:color="auto" w:fill="E5FFFF"/>
          </w:tcPr>
          <w:p>
            <w:pPr>
              <w:spacing w:after="0"/>
              <w:rPr>
                <w:sz w:val="12"/>
                <w:szCs w:val="12"/>
                <w:color w:val="auto"/>
              </w:rPr>
            </w:pP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March 2015</w:t>
            </w:r>
          </w:p>
        </w:tc>
        <w:tc>
          <w:tcPr>
            <w:tcW w:w="0" w:type="dxa"/>
            <w:vAlign w:val="bottom"/>
          </w:tcPr>
          <w:p>
            <w:pPr>
              <w:spacing w:after="0"/>
              <w:rPr>
                <w:sz w:val="1"/>
                <w:szCs w:val="1"/>
                <w:color w:val="auto"/>
              </w:rPr>
            </w:pPr>
          </w:p>
        </w:tc>
      </w:tr>
      <w:tr>
        <w:trPr>
          <w:trHeight w:val="182"/>
        </w:trPr>
        <w:tc>
          <w:tcPr>
            <w:tcW w:w="2300" w:type="dxa"/>
            <w:vAlign w:val="bottom"/>
            <w:gridSpan w:val="2"/>
          </w:tcPr>
          <w:p>
            <w:pPr>
              <w:spacing w:after="0"/>
              <w:rPr>
                <w:sz w:val="20"/>
                <w:szCs w:val="20"/>
                <w:color w:val="auto"/>
              </w:rPr>
            </w:pPr>
            <w:r>
              <w:rPr>
                <w:rFonts w:ascii="Arial" w:cs="Arial" w:eastAsia="Arial" w:hAnsi="Arial"/>
                <w:sz w:val="14"/>
                <w:szCs w:val="14"/>
                <w:color w:val="auto"/>
              </w:rPr>
              <w:t>GasLog Partners Holdings LLC</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Marshall Islands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April 2014</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Holding company</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144" w:lineRule="exact"/>
        <w:rPr>
          <w:sz w:val="20"/>
          <w:szCs w:val="20"/>
          <w:color w:val="auto"/>
        </w:rPr>
      </w:pPr>
    </w:p>
    <w:p>
      <w:pPr>
        <w:ind w:right="60" w:firstLine="396"/>
        <w:spacing w:after="0" w:line="271" w:lineRule="auto"/>
        <w:rPr>
          <w:sz w:val="20"/>
          <w:szCs w:val="20"/>
          <w:color w:val="auto"/>
        </w:rPr>
      </w:pPr>
      <w:r>
        <w:rPr>
          <w:rFonts w:ascii="Arial" w:cs="Arial" w:eastAsia="Arial" w:hAnsi="Arial"/>
          <w:sz w:val="16"/>
          <w:szCs w:val="16"/>
          <w:color w:val="auto"/>
        </w:rPr>
        <w:t xml:space="preserve">These unaudited condensed consolidated financial statements have been prepared in accordance with International Accounting Standard (“IAS”) 34 </w:t>
      </w:r>
      <w:r>
        <w:rPr>
          <w:rFonts w:ascii="Arial" w:cs="Arial" w:eastAsia="Arial" w:hAnsi="Arial"/>
          <w:sz w:val="16"/>
          <w:szCs w:val="16"/>
          <w:i w:val="1"/>
          <w:iCs w:val="1"/>
          <w:color w:val="auto"/>
        </w:rPr>
        <w:t>Interim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as issued by the International Accounting Standards Board (“IASB”). Certain information and footnote disclosures required by IFRS for a complete set of annual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have been omitted, and therefore, these unaudited condensed consolidated financial statements should be read in conjunction with the Partnership’s annual consolidated financial statements for the year ended December 31, 2018, filed on an Annual Report on Form 20-F with the Securities Exchange Commission on February 26, 2019.</w:t>
      </w:r>
    </w:p>
    <w:p>
      <w:pPr>
        <w:spacing w:after="0" w:line="96" w:lineRule="exact"/>
        <w:rPr>
          <w:sz w:val="20"/>
          <w:szCs w:val="20"/>
          <w:color w:val="auto"/>
        </w:rPr>
      </w:pPr>
    </w:p>
    <w:p>
      <w:pPr>
        <w:ind w:right="860" w:firstLine="396"/>
        <w:spacing w:after="0" w:line="293" w:lineRule="auto"/>
        <w:rPr>
          <w:sz w:val="20"/>
          <w:szCs w:val="20"/>
          <w:color w:val="auto"/>
        </w:rPr>
      </w:pPr>
      <w:r>
        <w:rPr>
          <w:rFonts w:ascii="Arial" w:cs="Arial" w:eastAsia="Arial" w:hAnsi="Arial"/>
          <w:sz w:val="16"/>
          <w:szCs w:val="16"/>
          <w:color w:val="auto"/>
        </w:rPr>
        <w:t>The accompanying unaudited condensed consolidated financial statements include the accounts of the Partnership and its subsidiaries assuming that they are consolidated for all periods presented, as they were under the common control of GasLog.</w:t>
      </w:r>
    </w:p>
    <w:p>
      <w:pPr>
        <w:spacing w:after="0" w:line="77" w:lineRule="exact"/>
        <w:rPr>
          <w:sz w:val="20"/>
          <w:szCs w:val="20"/>
          <w:color w:val="auto"/>
        </w:rPr>
      </w:pPr>
    </w:p>
    <w:p>
      <w:pPr>
        <w:jc w:val="both"/>
        <w:ind w:right="160" w:firstLine="396"/>
        <w:spacing w:after="0" w:line="273" w:lineRule="auto"/>
        <w:rPr>
          <w:sz w:val="20"/>
          <w:szCs w:val="20"/>
          <w:color w:val="auto"/>
        </w:rPr>
      </w:pPr>
      <w:r>
        <w:rPr>
          <w:rFonts w:ascii="Arial" w:cs="Arial" w:eastAsia="Arial" w:hAnsi="Arial"/>
          <w:sz w:val="16"/>
          <w:szCs w:val="16"/>
          <w:color w:val="auto"/>
        </w:rPr>
        <w:t xml:space="preserve">The unaudited condensed consolidated financial statements have been prepared on the historical cost basis. The same accounting policies and methods of computation have been followed in these unaudited condensed consolidated financial statements as applied in the preparation of the Partnership’s consolidated financial statements for the year ended December 31, 2018, except for the changes resulting from the adoption of 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 discussed below). On October 30, 2019, the Partnership’s board of directors authorized the unaudited condensed consolidated financial statements for issuance.</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critical accounting judgments and key sources of estimation uncertainty were disclosed in the Partnership’s annual consolidated financial</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statements for the year ended December 31, 2018 and remain unchanged.</w:t>
      </w:r>
    </w:p>
    <w:p>
      <w:pPr>
        <w:spacing w:after="0" w:line="140" w:lineRule="exact"/>
        <w:rPr>
          <w:sz w:val="20"/>
          <w:szCs w:val="20"/>
          <w:color w:val="auto"/>
        </w:rPr>
      </w:pPr>
    </w:p>
    <w:p>
      <w:pPr>
        <w:jc w:val="both"/>
        <w:ind w:firstLine="396"/>
        <w:spacing w:after="0" w:line="278" w:lineRule="auto"/>
        <w:rPr>
          <w:sz w:val="20"/>
          <w:szCs w:val="20"/>
          <w:color w:val="auto"/>
        </w:rPr>
      </w:pPr>
      <w:r>
        <w:rPr>
          <w:rFonts w:ascii="Arial" w:cs="Arial" w:eastAsia="Arial" w:hAnsi="Arial"/>
          <w:sz w:val="16"/>
          <w:szCs w:val="16"/>
          <w:color w:val="auto"/>
        </w:rPr>
        <w:t>The unaudited condensed consolidated financial statements are expressed in thousands of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90" w:lineRule="exact"/>
        <w:rPr>
          <w:sz w:val="20"/>
          <w:szCs w:val="20"/>
          <w:color w:val="auto"/>
        </w:rPr>
      </w:pPr>
    </w:p>
    <w:p>
      <w:pPr>
        <w:ind w:right="40" w:firstLine="396"/>
        <w:spacing w:after="0" w:line="297" w:lineRule="auto"/>
        <w:rPr>
          <w:sz w:val="20"/>
          <w:szCs w:val="20"/>
          <w:color w:val="auto"/>
        </w:rPr>
      </w:pPr>
      <w:r>
        <w:rPr>
          <w:rFonts w:ascii="Arial" w:cs="Arial" w:eastAsia="Arial" w:hAnsi="Arial"/>
          <w:sz w:val="15"/>
          <w:szCs w:val="15"/>
          <w:color w:val="auto"/>
        </w:rPr>
        <w:t>Management anticipates that the Partnership’s primary sources of funds will be available cash, cash from operations, borrowings under existing debt and future debt and equity financings, if any. Management believes that these sources of funds will be sufficient for the Partnership to meet its liquidity needs and comply with its banking covenants for at least twelve months from the end of the reporting period and therefore it is appropriate to prepare the financial statements on a going concern basis, although there can be no assurance that the Partnership will be able to obtain future debt and equity financing on acceptable terms.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and revised IFRS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Standards and interpretations adopted in the current period</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standards and amendments relevant to the Partnership were effective in the current period:</w:t>
      </w:r>
    </w:p>
    <w:p>
      <w:pPr>
        <w:spacing w:after="0" w:line="235" w:lineRule="exact"/>
        <w:rPr>
          <w:sz w:val="20"/>
          <w:szCs w:val="20"/>
          <w:color w:val="auto"/>
        </w:rPr>
      </w:pPr>
    </w:p>
    <w:p>
      <w:pPr>
        <w:ind w:right="20" w:firstLine="324"/>
        <w:spacing w:after="0" w:line="291" w:lineRule="auto"/>
        <w:rPr>
          <w:sz w:val="20"/>
          <w:szCs w:val="20"/>
          <w:color w:val="auto"/>
        </w:rPr>
      </w:pPr>
      <w:r>
        <w:rPr>
          <w:rFonts w:ascii="Arial" w:cs="Arial" w:eastAsia="Arial" w:hAnsi="Arial"/>
          <w:sz w:val="15"/>
          <w:szCs w:val="15"/>
          <w:color w:val="auto"/>
        </w:rPr>
        <w:t xml:space="preserve">In January 2016, the IASB issued IFRS 16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recognize: (a) assets and liabilities for all leases with a term of more than 12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w:t>
      </w:r>
      <w:r>
        <w:rPr>
          <w:rFonts w:ascii="Arial" w:cs="Arial" w:eastAsia="Arial" w:hAnsi="Arial"/>
          <w:sz w:val="15"/>
          <w:szCs w:val="15"/>
          <w:i w:val="1"/>
          <w:iCs w:val="1"/>
          <w:color w:val="auto"/>
        </w:rPr>
        <w:t>Leases</w:t>
      </w:r>
      <w:r>
        <w:rPr>
          <w:rFonts w:ascii="Arial" w:cs="Arial" w:eastAsia="Arial" w:hAnsi="Arial"/>
          <w:sz w:val="15"/>
          <w:szCs w:val="15"/>
          <w:color w:val="auto"/>
        </w:rPr>
        <w:t xml:space="preserve"> supersedes the previous leases Standard, IAS 17 </w:t>
      </w:r>
      <w:r>
        <w:rPr>
          <w:rFonts w:ascii="Arial" w:cs="Arial" w:eastAsia="Arial" w:hAnsi="Arial"/>
          <w:sz w:val="15"/>
          <w:szCs w:val="15"/>
          <w:i w:val="1"/>
          <w:iCs w:val="1"/>
          <w:color w:val="auto"/>
        </w:rPr>
        <w:t>Leases</w:t>
      </w:r>
      <w:r>
        <w:rPr>
          <w:rFonts w:ascii="Arial" w:cs="Arial" w:eastAsia="Arial" w:hAnsi="Arial"/>
          <w:sz w:val="15"/>
          <w:szCs w:val="15"/>
          <w:color w:val="auto"/>
        </w:rPr>
        <w:t>, and related Interpretations. The standard is effective from January 1, 2019.</w:t>
      </w:r>
    </w:p>
    <w:p>
      <w:pPr>
        <w:spacing w:after="0" w:line="177" w:lineRule="exact"/>
        <w:rPr>
          <w:sz w:val="20"/>
          <w:szCs w:val="20"/>
          <w:color w:val="auto"/>
        </w:rPr>
      </w:pPr>
    </w:p>
    <w:p>
      <w:pPr>
        <w:ind w:right="80" w:firstLine="324"/>
        <w:spacing w:after="0" w:line="293" w:lineRule="auto"/>
        <w:rPr>
          <w:sz w:val="20"/>
          <w:szCs w:val="20"/>
          <w:color w:val="auto"/>
        </w:rPr>
      </w:pPr>
      <w:r>
        <w:rPr>
          <w:rFonts w:ascii="Arial" w:cs="Arial" w:eastAsia="Arial" w:hAnsi="Arial"/>
          <w:sz w:val="15"/>
          <w:szCs w:val="15"/>
          <w:color w:val="auto"/>
        </w:rPr>
        <w:t>The Partnership leases various types of vessels’ equipment. Rental contracts are typically made for fixed periods but may have extension options. Lease terms are negotiated on an individual basis and contain a wide range of different terms and conditions. Following the implementation of IFRS 16, a lease is recognized as a right-of-use asset and a corresponding liability on the date when the leased asset is available for use by the Partnership. Each lease payment is allocated between the liability and finance cost. The finance cost is charged to profit or loss over the lease period to produce a constant periodic rate of interest on the remaining balance of the liability for each period. The right-of-use asset is depreciated over the shorter of the asset’s useful life and the lease term on a straight-line basis.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Assets and liabilities arising from a lease are initially measured on a present value basis. Lease liabilities include the net present value of the following lease payments:</w:t>
      </w:r>
    </w:p>
    <w:p>
      <w:pPr>
        <w:spacing w:after="0" w:line="45"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fixed payments (including in-substance fixed payments), less any lease incentives receivable, (b) variable lease payments that are based on an index or a rate (if any),</w:t>
      </w:r>
    </w:p>
    <w:p>
      <w:pPr>
        <w:spacing w:after="0" w:line="30" w:lineRule="exact"/>
        <w:rPr>
          <w:rFonts w:ascii="Arial" w:cs="Arial" w:eastAsia="Arial" w:hAnsi="Arial"/>
          <w:sz w:val="15"/>
          <w:szCs w:val="15"/>
          <w:color w:val="auto"/>
        </w:rPr>
      </w:pPr>
    </w:p>
    <w:p>
      <w:pPr>
        <w:ind w:firstLine="8"/>
        <w:spacing w:after="0" w:line="301" w:lineRule="auto"/>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expected to be payable by the lessee under residual value guarantees (if any), (d) the exercise price of a purchase option if the lessee is reasonably certain to exercise that option, and (e) payments of penalties for terminating the lease, if the lease term reflects the lessee exercising that option. The lease payments are discounted using the interest rate implicit in the lease, if that rate can be determined, or the Partnership’s incremental borrowing rate. Right-of-use assets are measured at cost comprising the following: (a) the amount of the initial measurement of lease liability, (b) any lease payments made at or before the commencement date less any lease incentives received,</w:t>
      </w:r>
    </w:p>
    <w:p>
      <w:pPr>
        <w:spacing w:after="0" w:line="2" w:lineRule="exact"/>
        <w:rPr>
          <w:rFonts w:ascii="Arial" w:cs="Arial" w:eastAsia="Arial" w:hAnsi="Arial"/>
          <w:sz w:val="14"/>
          <w:szCs w:val="14"/>
          <w:color w:val="auto"/>
        </w:rPr>
      </w:pPr>
    </w:p>
    <w:p>
      <w:pPr>
        <w:ind w:right="60" w:firstLine="8"/>
        <w:spacing w:after="0" w:line="288" w:lineRule="auto"/>
        <w:tabs>
          <w:tab w:leader="none" w:pos="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initial direct costs, and (d) any restoration costs. Payments associated with short-term leases and leases of low-value assets are recognized on a straight-line basis as an expense in profit or loss. Short-term leases are leases with a lease term of 12 months or less.</w:t>
      </w:r>
    </w:p>
    <w:p>
      <w:pPr>
        <w:spacing w:after="0" w:line="176" w:lineRule="exact"/>
        <w:rPr>
          <w:sz w:val="20"/>
          <w:szCs w:val="20"/>
          <w:color w:val="auto"/>
        </w:rPr>
      </w:pPr>
    </w:p>
    <w:p>
      <w:pPr>
        <w:ind w:right="80" w:firstLine="324"/>
        <w:spacing w:after="0" w:line="278" w:lineRule="auto"/>
        <w:rPr>
          <w:sz w:val="20"/>
          <w:szCs w:val="20"/>
          <w:color w:val="auto"/>
        </w:rPr>
      </w:pPr>
      <w:r>
        <w:rPr>
          <w:rFonts w:ascii="Arial" w:cs="Arial" w:eastAsia="Arial" w:hAnsi="Arial"/>
          <w:sz w:val="16"/>
          <w:szCs w:val="16"/>
          <w:color w:val="auto"/>
        </w:rPr>
        <w:t xml:space="preserve">For leases where the Partnership is the lessee, the Partnership has elected to apply the simplified approach, by which comparative information is not restated and any adjustment is recognized at the date of initial application of IFRS 16 </w:t>
      </w:r>
      <w:r>
        <w:rPr>
          <w:rFonts w:ascii="Arial" w:cs="Arial" w:eastAsia="Arial" w:hAnsi="Arial"/>
          <w:sz w:val="16"/>
          <w:szCs w:val="16"/>
          <w:i w:val="1"/>
          <w:iCs w:val="1"/>
          <w:color w:val="auto"/>
        </w:rPr>
        <w:t>Leases</w:t>
      </w:r>
      <w:r>
        <w:rPr>
          <w:rFonts w:ascii="Arial" w:cs="Arial" w:eastAsia="Arial" w:hAnsi="Arial"/>
          <w:sz w:val="16"/>
          <w:szCs w:val="16"/>
          <w:color w:val="auto"/>
        </w:rPr>
        <w:t>. The adoption of the standard on January 1, 2019, resulted in an increase in total assets of $1,585, an increase in retained earnings of $192 and an increase in total liabilities of $1,393.</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Standards and amendments in issue not yet adopted</w:t>
      </w:r>
    </w:p>
    <w:p>
      <w:pPr>
        <w:spacing w:after="0" w:line="239" w:lineRule="exact"/>
        <w:rPr>
          <w:sz w:val="20"/>
          <w:szCs w:val="20"/>
          <w:color w:val="auto"/>
        </w:rPr>
      </w:pPr>
    </w:p>
    <w:p>
      <w:pPr>
        <w:ind w:right="200" w:firstLine="356"/>
        <w:spacing w:after="0" w:line="293" w:lineRule="auto"/>
        <w:rPr>
          <w:sz w:val="20"/>
          <w:szCs w:val="20"/>
          <w:color w:val="auto"/>
        </w:rPr>
      </w:pPr>
      <w:r>
        <w:rPr>
          <w:rFonts w:ascii="Arial" w:cs="Arial" w:eastAsia="Arial" w:hAnsi="Arial"/>
          <w:sz w:val="16"/>
          <w:szCs w:val="16"/>
          <w:color w:val="auto"/>
        </w:rPr>
        <w:t>At the date of authorization of these unaudited condensed consolidated financial statements, there were no IFRS standards and amendments issued but not yet adopted with an expected material effect on the Partnership’s financial statements.</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Related Party Transactions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Partnership has the following balances with related parties, which have been included in the unaudited condensed consolidated statements of financial position: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160" w:type="dxa"/>
            <w:vAlign w:val="bottom"/>
          </w:tcPr>
          <w:p>
            <w:pPr>
              <w:spacing w:after="0"/>
              <w:rPr>
                <w:sz w:val="20"/>
                <w:szCs w:val="20"/>
                <w:color w:val="auto"/>
              </w:rPr>
            </w:pPr>
            <w:r>
              <w:rPr>
                <w:rFonts w:ascii="Arial" w:cs="Arial" w:eastAsia="Arial" w:hAnsi="Arial"/>
                <w:sz w:val="16"/>
                <w:szCs w:val="16"/>
                <w:b w:val="1"/>
                <w:bCs w:val="1"/>
                <w:i w:val="1"/>
                <w:iCs w:val="1"/>
                <w:color w:val="auto"/>
              </w:rPr>
              <w:t>Amounts due from related parties</w:t>
            </w: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43"/>
        </w:trPr>
        <w:tc>
          <w:tcPr>
            <w:tcW w:w="7160" w:type="dxa"/>
            <w:vAlign w:val="bottom"/>
          </w:tcPr>
          <w:p>
            <w:pPr>
              <w:spacing w:after="0"/>
              <w:rPr>
                <w:sz w:val="21"/>
                <w:szCs w:val="21"/>
                <w:color w:val="auto"/>
              </w:rPr>
            </w:pPr>
          </w:p>
        </w:tc>
        <w:tc>
          <w:tcPr>
            <w:tcW w:w="20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2018</w:t>
            </w:r>
          </w:p>
        </w:tc>
        <w:tc>
          <w:tcPr>
            <w:tcW w:w="1700" w:type="dxa"/>
            <w:vAlign w:val="bottom"/>
          </w:tcPr>
          <w:p>
            <w:pPr>
              <w:ind w:left="160"/>
              <w:spacing w:after="0"/>
              <w:rPr>
                <w:sz w:val="20"/>
                <w:szCs w:val="20"/>
                <w:color w:val="auto"/>
              </w:rPr>
            </w:pPr>
            <w:r>
              <w:rPr>
                <w:rFonts w:ascii="Arial" w:cs="Arial" w:eastAsia="Arial" w:hAnsi="Arial"/>
                <w:sz w:val="16"/>
                <w:szCs w:val="16"/>
                <w:b w:val="1"/>
                <w:bCs w:val="1"/>
                <w:color w:val="auto"/>
              </w:rPr>
              <w:t>September 30, 2019</w:t>
            </w:r>
          </w:p>
        </w:tc>
      </w:tr>
      <w:tr>
        <w:trPr>
          <w:trHeight w:val="202"/>
        </w:trPr>
        <w:tc>
          <w:tcPr>
            <w:tcW w:w="7160" w:type="dxa"/>
            <w:vAlign w:val="bottom"/>
            <w:tcBorders>
              <w:top w:val="single" w:sz="8" w:color="E5FFFF"/>
            </w:tcBorders>
            <w:shd w:val="clear" w:color="auto" w:fill="E5FFFF"/>
          </w:tcPr>
          <w:p>
            <w:pPr>
              <w:spacing w:after="0" w:line="202" w:lineRule="exact"/>
              <w:rPr>
                <w:sz w:val="20"/>
                <w:szCs w:val="20"/>
                <w:color w:val="auto"/>
              </w:rPr>
            </w:pPr>
            <w:r>
              <w:rPr>
                <w:rFonts w:ascii="Arial" w:cs="Arial" w:eastAsia="Arial" w:hAnsi="Arial"/>
                <w:sz w:val="16"/>
                <w:szCs w:val="16"/>
                <w:color w:val="auto"/>
              </w:rPr>
              <w:t xml:space="preserve">Due from GasLog Carriers Ltd. (“GasLog Carriers”) </w:t>
            </w:r>
            <w:r>
              <w:rPr>
                <w:rFonts w:ascii="Arial" w:cs="Arial" w:eastAsia="Arial" w:hAnsi="Arial"/>
                <w:sz w:val="21"/>
                <w:szCs w:val="21"/>
                <w:color w:val="auto"/>
                <w:vertAlign w:val="superscript"/>
              </w:rPr>
              <w:t>(a)</w:t>
            </w: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9,259</w:t>
            </w: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ind w:left="1540"/>
              <w:spacing w:after="0"/>
              <w:rPr>
                <w:sz w:val="20"/>
                <w:szCs w:val="20"/>
                <w:color w:val="auto"/>
              </w:rPr>
            </w:pPr>
            <w:r>
              <w:rPr>
                <w:rFonts w:ascii="Arial" w:cs="Arial" w:eastAsia="Arial" w:hAnsi="Arial"/>
                <w:sz w:val="16"/>
                <w:szCs w:val="16"/>
                <w:color w:val="auto"/>
                <w:w w:val="87"/>
              </w:rPr>
              <w:t>—</w:t>
            </w:r>
          </w:p>
        </w:tc>
      </w:tr>
      <w:tr>
        <w:trPr>
          <w:trHeight w:val="203"/>
        </w:trPr>
        <w:tc>
          <w:tcPr>
            <w:tcW w:w="7160" w:type="dxa"/>
            <w:vAlign w:val="bottom"/>
            <w:tcBorders>
              <w:bottom w:val="single" w:sz="8" w:color="E5FFFF"/>
            </w:tcBorders>
          </w:tcPr>
          <w:p>
            <w:pPr>
              <w:spacing w:after="0" w:line="203" w:lineRule="exact"/>
              <w:rPr>
                <w:sz w:val="20"/>
                <w:szCs w:val="20"/>
                <w:color w:val="auto"/>
              </w:rPr>
            </w:pPr>
            <w:r>
              <w:rPr>
                <w:rFonts w:ascii="Arial" w:cs="Arial" w:eastAsia="Arial" w:hAnsi="Arial"/>
                <w:sz w:val="16"/>
                <w:szCs w:val="16"/>
                <w:color w:val="auto"/>
              </w:rPr>
              <w:t xml:space="preserve">Due from the Cool Pool </w:t>
            </w:r>
            <w:r>
              <w:rPr>
                <w:rFonts w:ascii="Arial" w:cs="Arial" w:eastAsia="Arial" w:hAnsi="Arial"/>
                <w:sz w:val="21"/>
                <w:szCs w:val="21"/>
                <w:color w:val="auto"/>
                <w:vertAlign w:val="superscript"/>
              </w:rPr>
              <w:t>(b)</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5,281</w:t>
            </w:r>
          </w:p>
        </w:tc>
        <w:tc>
          <w:tcPr>
            <w:tcW w:w="300" w:type="dxa"/>
            <w:vAlign w:val="bottom"/>
            <w:tcBorders>
              <w:bottom w:val="single" w:sz="8" w:color="E5FFFF"/>
            </w:tcBorders>
          </w:tcPr>
          <w:p>
            <w:pPr>
              <w:spacing w:after="0"/>
              <w:rPr>
                <w:sz w:val="17"/>
                <w:szCs w:val="17"/>
                <w:color w:val="auto"/>
              </w:rPr>
            </w:pPr>
          </w:p>
        </w:tc>
        <w:tc>
          <w:tcPr>
            <w:tcW w:w="1700" w:type="dxa"/>
            <w:vAlign w:val="bottom"/>
            <w:tcBorders>
              <w:bottom w:val="single" w:sz="8" w:color="auto"/>
            </w:tcBorders>
          </w:tcPr>
          <w:p>
            <w:pPr>
              <w:ind w:left="1540"/>
              <w:spacing w:after="0"/>
              <w:rPr>
                <w:sz w:val="20"/>
                <w:szCs w:val="20"/>
                <w:color w:val="auto"/>
              </w:rPr>
            </w:pPr>
            <w:r>
              <w:rPr>
                <w:rFonts w:ascii="Arial" w:cs="Arial" w:eastAsia="Arial" w:hAnsi="Arial"/>
                <w:sz w:val="16"/>
                <w:szCs w:val="16"/>
                <w:color w:val="auto"/>
                <w:w w:val="87"/>
              </w:rPr>
              <w:t>—</w:t>
            </w:r>
          </w:p>
        </w:tc>
      </w:tr>
      <w:tr>
        <w:trPr>
          <w:trHeight w:val="196"/>
        </w:trPr>
        <w:tc>
          <w:tcPr>
            <w:tcW w:w="71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14,540</w:t>
            </w:r>
          </w:p>
        </w:tc>
        <w:tc>
          <w:tcPr>
            <w:tcW w:w="300" w:type="dxa"/>
            <w:vAlign w:val="bottom"/>
            <w:tcBorders>
              <w:bottom w:val="single" w:sz="8" w:color="E5FFFF"/>
            </w:tcBorders>
            <w:shd w:val="clear" w:color="auto" w:fill="E5FFFF"/>
          </w:tcPr>
          <w:p>
            <w:pPr>
              <w:spacing w:after="0"/>
              <w:rPr>
                <w:sz w:val="17"/>
                <w:szCs w:val="17"/>
                <w:color w:val="auto"/>
              </w:rPr>
            </w:pPr>
          </w:p>
        </w:tc>
        <w:tc>
          <w:tcPr>
            <w:tcW w:w="1700" w:type="dxa"/>
            <w:vAlign w:val="bottom"/>
            <w:tcBorders>
              <w:bottom w:val="single" w:sz="8" w:color="auto"/>
            </w:tcBorders>
            <w:shd w:val="clear" w:color="auto" w:fill="E5FFFF"/>
          </w:tcPr>
          <w:p>
            <w:pPr>
              <w:ind w:left="1540"/>
              <w:spacing w:after="0"/>
              <w:rPr>
                <w:sz w:val="20"/>
                <w:szCs w:val="20"/>
                <w:color w:val="auto"/>
              </w:rPr>
            </w:pPr>
            <w:r>
              <w:rPr>
                <w:rFonts w:ascii="Arial" w:cs="Arial" w:eastAsia="Arial" w:hAnsi="Arial"/>
                <w:sz w:val="16"/>
                <w:szCs w:val="16"/>
                <w:b w:val="1"/>
                <w:bCs w:val="1"/>
                <w:color w:val="auto"/>
                <w:w w:val="87"/>
              </w:rPr>
              <w:t>—</w:t>
            </w:r>
          </w:p>
        </w:tc>
      </w:tr>
      <w:tr>
        <w:trPr>
          <w:trHeight w:val="20"/>
        </w:trPr>
        <w:tc>
          <w:tcPr>
            <w:tcW w:w="71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6" w:right="2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6"/>
        </w:trPr>
        <w:tc>
          <w:tcPr>
            <w:tcW w:w="7160" w:type="dxa"/>
            <w:vAlign w:val="bottom"/>
          </w:tcPr>
          <w:p>
            <w:pPr>
              <w:spacing w:after="0"/>
              <w:rPr>
                <w:sz w:val="20"/>
                <w:szCs w:val="20"/>
                <w:color w:val="auto"/>
              </w:rPr>
            </w:pPr>
            <w:r>
              <w:rPr>
                <w:rFonts w:ascii="Arial" w:cs="Arial" w:eastAsia="Arial" w:hAnsi="Arial"/>
                <w:sz w:val="16"/>
                <w:szCs w:val="16"/>
                <w:b w:val="1"/>
                <w:bCs w:val="1"/>
                <w:i w:val="1"/>
                <w:iCs w:val="1"/>
                <w:color w:val="auto"/>
              </w:rPr>
              <w:t>Amounts due to related parties</w:t>
            </w: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43"/>
        </w:trPr>
        <w:tc>
          <w:tcPr>
            <w:tcW w:w="7160" w:type="dxa"/>
            <w:vAlign w:val="bottom"/>
          </w:tcPr>
          <w:p>
            <w:pPr>
              <w:spacing w:after="0"/>
              <w:rPr>
                <w:sz w:val="21"/>
                <w:szCs w:val="21"/>
                <w:color w:val="auto"/>
              </w:rPr>
            </w:pPr>
          </w:p>
        </w:tc>
        <w:tc>
          <w:tcPr>
            <w:tcW w:w="20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2018</w:t>
            </w:r>
          </w:p>
        </w:tc>
        <w:tc>
          <w:tcPr>
            <w:tcW w:w="170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 2019</w:t>
            </w:r>
          </w:p>
        </w:tc>
      </w:tr>
      <w:tr>
        <w:trPr>
          <w:trHeight w:val="202"/>
        </w:trPr>
        <w:tc>
          <w:tcPr>
            <w:tcW w:w="7160" w:type="dxa"/>
            <w:vAlign w:val="bottom"/>
            <w:tcBorders>
              <w:top w:val="single" w:sz="8" w:color="E5FFFF"/>
            </w:tcBorders>
            <w:shd w:val="clear" w:color="auto" w:fill="E5FFFF"/>
          </w:tcPr>
          <w:p>
            <w:pPr>
              <w:spacing w:after="0" w:line="202" w:lineRule="exact"/>
              <w:rPr>
                <w:sz w:val="20"/>
                <w:szCs w:val="20"/>
                <w:color w:val="auto"/>
              </w:rPr>
            </w:pPr>
            <w:r>
              <w:rPr>
                <w:rFonts w:ascii="Arial" w:cs="Arial" w:eastAsia="Arial" w:hAnsi="Arial"/>
                <w:sz w:val="16"/>
                <w:szCs w:val="16"/>
                <w:color w:val="auto"/>
              </w:rPr>
              <w:t xml:space="preserve">Due to GasLog LNG Services </w:t>
            </w:r>
            <w:r>
              <w:rPr>
                <w:rFonts w:ascii="Arial" w:cs="Arial" w:eastAsia="Arial" w:hAnsi="Arial"/>
                <w:sz w:val="21"/>
                <w:szCs w:val="21"/>
                <w:color w:val="auto"/>
                <w:vertAlign w:val="superscript"/>
              </w:rPr>
              <w:t>(c)</w:t>
            </w: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1,969</w:t>
            </w: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1,533</w:t>
            </w:r>
          </w:p>
        </w:tc>
      </w:tr>
      <w:tr>
        <w:trPr>
          <w:trHeight w:val="203"/>
        </w:trPr>
        <w:tc>
          <w:tcPr>
            <w:tcW w:w="7160" w:type="dxa"/>
            <w:vAlign w:val="bottom"/>
            <w:tcBorders>
              <w:bottom w:val="single" w:sz="8" w:color="E5FFFF"/>
            </w:tcBorders>
          </w:tcPr>
          <w:p>
            <w:pPr>
              <w:spacing w:after="0" w:line="203" w:lineRule="exact"/>
              <w:rPr>
                <w:sz w:val="20"/>
                <w:szCs w:val="20"/>
                <w:color w:val="auto"/>
              </w:rPr>
            </w:pPr>
            <w:r>
              <w:rPr>
                <w:rFonts w:ascii="Arial" w:cs="Arial" w:eastAsia="Arial" w:hAnsi="Arial"/>
                <w:sz w:val="16"/>
                <w:szCs w:val="16"/>
                <w:color w:val="auto"/>
              </w:rPr>
              <w:t xml:space="preserve">Due to GasLog </w:t>
            </w:r>
            <w:r>
              <w:rPr>
                <w:rFonts w:ascii="Arial" w:cs="Arial" w:eastAsia="Arial" w:hAnsi="Arial"/>
                <w:sz w:val="21"/>
                <w:szCs w:val="21"/>
                <w:color w:val="auto"/>
                <w:vertAlign w:val="superscript"/>
              </w:rPr>
              <w:t>(d)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w:t>
            </w:r>
          </w:p>
        </w:tc>
        <w:tc>
          <w:tcPr>
            <w:tcW w:w="300" w:type="dxa"/>
            <w:vAlign w:val="bottom"/>
            <w:tcBorders>
              <w:bottom w:val="single" w:sz="8" w:color="E5FFFF"/>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r>
      <w:tr>
        <w:trPr>
          <w:trHeight w:val="196"/>
        </w:trPr>
        <w:tc>
          <w:tcPr>
            <w:tcW w:w="71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2,623</w:t>
            </w:r>
          </w:p>
        </w:tc>
        <w:tc>
          <w:tcPr>
            <w:tcW w:w="300" w:type="dxa"/>
            <w:vAlign w:val="bottom"/>
            <w:tcBorders>
              <w:bottom w:val="single" w:sz="8" w:color="E5FFFF"/>
            </w:tcBorders>
            <w:shd w:val="clear" w:color="auto" w:fill="E5FFFF"/>
          </w:tcPr>
          <w:p>
            <w:pPr>
              <w:spacing w:after="0"/>
              <w:rPr>
                <w:sz w:val="17"/>
                <w:szCs w:val="17"/>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1,930</w:t>
            </w:r>
          </w:p>
        </w:tc>
      </w:tr>
      <w:tr>
        <w:trPr>
          <w:trHeight w:val="20"/>
        </w:trPr>
        <w:tc>
          <w:tcPr>
            <w:tcW w:w="71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right="20" w:hanging="328"/>
        <w:spacing w:after="0" w:line="189" w:lineRule="auto"/>
        <w:tabs>
          <w:tab w:leader="none" w:pos="655" w:val="left"/>
        </w:tabs>
        <w:numPr>
          <w:ilvl w:val="0"/>
          <w:numId w:val="21"/>
        </w:numPr>
        <w:rPr>
          <w:rFonts w:ascii="Arial" w:cs="Arial" w:eastAsia="Arial" w:hAnsi="Arial"/>
          <w:sz w:val="21"/>
          <w:szCs w:val="21"/>
          <w:color w:val="auto"/>
          <w:vertAlign w:val="superscript"/>
        </w:rPr>
      </w:pPr>
      <w:r>
        <w:rPr>
          <w:rFonts w:ascii="Arial" w:cs="Arial" w:eastAsia="Arial" w:hAnsi="Arial"/>
          <w:sz w:val="13"/>
          <w:szCs w:val="13"/>
          <w:color w:val="auto"/>
        </w:rPr>
        <w:t>As of December 31, 2018, the balance due from GasLog Carriers, the parent company of GAS-twelve Ltd. prior to its acquisition by the Partnership on April 1, 2019, represented mainly net amounts advanced to GasLog Carriers to cover future operating expenses. As of September 30, 2019, the outstanding balance had been fully collected.</w:t>
      </w:r>
    </w:p>
    <w:p>
      <w:pPr>
        <w:spacing w:after="0" w:line="1" w:lineRule="exact"/>
        <w:rPr>
          <w:rFonts w:ascii="Arial" w:cs="Arial" w:eastAsia="Arial" w:hAnsi="Arial"/>
          <w:sz w:val="21"/>
          <w:szCs w:val="21"/>
          <w:color w:val="auto"/>
          <w:vertAlign w:val="superscript"/>
        </w:rPr>
      </w:pPr>
    </w:p>
    <w:p>
      <w:pPr>
        <w:ind w:left="660" w:right="80" w:hanging="328"/>
        <w:spacing w:after="0" w:line="196" w:lineRule="auto"/>
        <w:tabs>
          <w:tab w:leader="none" w:pos="648" w:val="left"/>
        </w:tabs>
        <w:numPr>
          <w:ilvl w:val="0"/>
          <w:numId w:val="21"/>
        </w:numPr>
        <w:rPr>
          <w:rFonts w:ascii="Arial" w:cs="Arial" w:eastAsia="Arial" w:hAnsi="Arial"/>
          <w:sz w:val="23"/>
          <w:szCs w:val="23"/>
          <w:color w:val="auto"/>
          <w:vertAlign w:val="superscript"/>
        </w:rPr>
      </w:pPr>
      <w:r>
        <w:rPr>
          <w:rFonts w:ascii="Arial" w:cs="Arial" w:eastAsia="Arial" w:hAnsi="Arial"/>
          <w:sz w:val="14"/>
          <w:szCs w:val="14"/>
          <w:color w:val="auto"/>
        </w:rPr>
        <w:t xml:space="preserve">In May 2018, the Partnership, through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entered the Cool Pool, an LNG carrier pooling arrangement operated by GasLog and Golar LNG Ltd. (“Golar”) (the “Cool Pool”) to market their vessels operating in the LNG shipping spot market. The receivable balance as of December 31, 2018 comprised outstanding pool distributions. On June 23, 2019,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exited the pool following a termination agreement dated June 6, 2019 which GasLog entered into with the Cool Pool and Golar in order to assume commercial control of GasLog’s and GasLog Partners’ vessels operating in the spot market. As of September 30, 2019, the receivable balance from the Cool Pool of $528 was included under Trade and other receivables.</w:t>
      </w:r>
    </w:p>
    <w:p>
      <w:pPr>
        <w:ind w:left="660" w:hanging="328"/>
        <w:spacing w:after="0" w:line="182" w:lineRule="auto"/>
        <w:tabs>
          <w:tab w:leader="none" w:pos="660" w:val="left"/>
        </w:tabs>
        <w:numPr>
          <w:ilvl w:val="0"/>
          <w:numId w:val="21"/>
        </w:numPr>
        <w:rPr>
          <w:rFonts w:ascii="Arial" w:cs="Arial" w:eastAsia="Arial" w:hAnsi="Arial"/>
          <w:sz w:val="17"/>
          <w:szCs w:val="17"/>
          <w:color w:val="auto"/>
          <w:vertAlign w:val="superscript"/>
        </w:rPr>
      </w:pPr>
      <w:r>
        <w:rPr>
          <w:rFonts w:ascii="Arial" w:cs="Arial" w:eastAsia="Arial" w:hAnsi="Arial"/>
          <w:sz w:val="11"/>
          <w:szCs w:val="11"/>
          <w:color w:val="auto"/>
        </w:rPr>
        <w:t>The balances as of December 31, 2018 and September 30, 2019 represent mainly payments made by the Manager on behalf of the Partnership.</w:t>
      </w:r>
    </w:p>
    <w:p>
      <w:pPr>
        <w:ind w:left="640" w:hanging="308"/>
        <w:spacing w:after="0" w:line="187" w:lineRule="auto"/>
        <w:tabs>
          <w:tab w:leader="none" w:pos="640" w:val="left"/>
        </w:tabs>
        <w:numPr>
          <w:ilvl w:val="0"/>
          <w:numId w:val="21"/>
        </w:numPr>
        <w:rPr>
          <w:rFonts w:ascii="Arial" w:cs="Arial" w:eastAsia="Arial" w:hAnsi="Arial"/>
          <w:sz w:val="19"/>
          <w:szCs w:val="19"/>
          <w:color w:val="auto"/>
          <w:vertAlign w:val="superscript"/>
        </w:rPr>
      </w:pPr>
      <w:r>
        <w:rPr>
          <w:rFonts w:ascii="Arial" w:cs="Arial" w:eastAsia="Arial" w:hAnsi="Arial"/>
          <w:sz w:val="12"/>
          <w:szCs w:val="12"/>
          <w:color w:val="auto"/>
        </w:rPr>
        <w:t>The balances represent mainly payments made by GasLog on behalf of the Partnership.</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Loans due to related parties</w:t>
      </w:r>
    </w:p>
    <w:p>
      <w:pPr>
        <w:spacing w:after="0" w:line="235" w:lineRule="exact"/>
        <w:rPr>
          <w:sz w:val="20"/>
          <w:szCs w:val="20"/>
          <w:color w:val="auto"/>
        </w:rPr>
      </w:pPr>
    </w:p>
    <w:p>
      <w:pPr>
        <w:ind w:right="600" w:firstLine="405"/>
        <w:spacing w:after="0" w:line="293" w:lineRule="auto"/>
        <w:rPr>
          <w:sz w:val="20"/>
          <w:szCs w:val="20"/>
          <w:color w:val="auto"/>
        </w:rPr>
      </w:pPr>
      <w:r>
        <w:rPr>
          <w:rFonts w:ascii="Arial" w:cs="Arial" w:eastAsia="Arial" w:hAnsi="Arial"/>
          <w:sz w:val="16"/>
          <w:szCs w:val="16"/>
          <w:color w:val="auto"/>
        </w:rPr>
        <w:t>The main terms of the revolving credit facility of $30,000 with GasLog (the “Sponsor Credit Facility”) have been disclosed in the annual consolidated financial statements for the year ended December 31, 2018. Refer to Note 6 “Borrowings”.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2018 and September 30, 2019, the amount outstanding under the Sponsor Credit Facility was nil.</w:t>
      </w:r>
    </w:p>
    <w:p>
      <w:pPr>
        <w:spacing w:after="0" w:line="235" w:lineRule="exact"/>
        <w:rPr>
          <w:sz w:val="20"/>
          <w:szCs w:val="20"/>
          <w:color w:val="auto"/>
        </w:rPr>
      </w:pPr>
    </w:p>
    <w:p>
      <w:pPr>
        <w:ind w:right="40" w:firstLine="324"/>
        <w:spacing w:after="0" w:line="282" w:lineRule="auto"/>
        <w:rPr>
          <w:sz w:val="20"/>
          <w:szCs w:val="20"/>
          <w:color w:val="auto"/>
        </w:rPr>
      </w:pPr>
      <w:r>
        <w:rPr>
          <w:rFonts w:ascii="Arial" w:cs="Arial" w:eastAsia="Arial" w:hAnsi="Arial"/>
          <w:sz w:val="16"/>
          <w:szCs w:val="16"/>
          <w:color w:val="auto"/>
        </w:rPr>
        <w:t>The Partnership had the following transactions with related parties, which have been included in the unaudited condensed consolidated statements of profit or loss for the three and nine months ended September 30, 2018 and 2019:</w:t>
      </w: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gridSpan w:val="4"/>
          </w:tcPr>
          <w:p>
            <w:pPr>
              <w:jc w:val="right"/>
              <w:ind w:right="520"/>
              <w:spacing w:after="0" w:line="149" w:lineRule="exact"/>
              <w:rPr>
                <w:sz w:val="20"/>
                <w:szCs w:val="20"/>
                <w:color w:val="auto"/>
              </w:rPr>
            </w:pPr>
            <w:r>
              <w:rPr>
                <w:rFonts w:ascii="Arial" w:cs="Arial" w:eastAsia="Arial" w:hAnsi="Arial"/>
                <w:sz w:val="14"/>
                <w:szCs w:val="14"/>
                <w:b w:val="1"/>
                <w:bCs w:val="1"/>
                <w:color w:val="auto"/>
              </w:rPr>
              <w:t>For the three months ended</w:t>
            </w:r>
          </w:p>
        </w:tc>
        <w:tc>
          <w:tcPr>
            <w:tcW w:w="246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49"/>
        </w:trPr>
        <w:tc>
          <w:tcPr>
            <w:tcW w:w="19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Company</w:t>
            </w:r>
          </w:p>
        </w:tc>
        <w:tc>
          <w:tcPr>
            <w:tcW w:w="21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Details</w:t>
            </w:r>
          </w:p>
        </w:tc>
        <w:tc>
          <w:tcPr>
            <w:tcW w:w="140" w:type="dxa"/>
            <w:vAlign w:val="bottom"/>
          </w:tcPr>
          <w:p>
            <w:pPr>
              <w:spacing w:after="0"/>
              <w:rPr>
                <w:sz w:val="12"/>
                <w:szCs w:val="12"/>
                <w:color w:val="auto"/>
              </w:rPr>
            </w:pPr>
          </w:p>
        </w:tc>
        <w:tc>
          <w:tcPr>
            <w:tcW w:w="210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Account</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2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September 30,</w:t>
            </w:r>
          </w:p>
        </w:tc>
        <w:tc>
          <w:tcPr>
            <w:tcW w:w="12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September 30,</w:t>
            </w:r>
          </w:p>
        </w:tc>
        <w:tc>
          <w:tcPr>
            <w:tcW w:w="11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1900" w:type="dxa"/>
            <w:vAlign w:val="bottom"/>
            <w:gridSpan w:val="2"/>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1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1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760" w:type="dxa"/>
            <w:vAlign w:val="bottom"/>
            <w:tcBorders>
              <w:top w:val="single" w:sz="8" w:color="auto"/>
            </w:tcBorders>
            <w:shd w:val="clear" w:color="auto" w:fill="E5FFFF"/>
          </w:tcPr>
          <w:p>
            <w:pPr>
              <w:spacing w:after="0" w:line="123" w:lineRule="exact"/>
              <w:rPr>
                <w:sz w:val="20"/>
                <w:szCs w:val="20"/>
                <w:color w:val="auto"/>
              </w:rPr>
            </w:pPr>
            <w:r>
              <w:rPr>
                <w:rFonts w:ascii="Arial" w:cs="Arial" w:eastAsia="Arial" w:hAnsi="Arial"/>
                <w:sz w:val="14"/>
                <w:szCs w:val="14"/>
                <w:color w:val="auto"/>
              </w:rPr>
              <w:t>GasLog</w:t>
            </w:r>
          </w:p>
        </w:tc>
        <w:tc>
          <w:tcPr>
            <w:tcW w:w="140" w:type="dxa"/>
            <w:vAlign w:val="bottom"/>
            <w:tcBorders>
              <w:top w:val="single" w:sz="8" w:color="E5FFFF"/>
            </w:tcBorders>
            <w:shd w:val="clear" w:color="auto" w:fill="E5FFFF"/>
          </w:tcPr>
          <w:p>
            <w:pPr>
              <w:spacing w:after="0"/>
              <w:rPr>
                <w:sz w:val="10"/>
                <w:szCs w:val="10"/>
                <w:color w:val="auto"/>
              </w:rPr>
            </w:pPr>
          </w:p>
        </w:tc>
        <w:tc>
          <w:tcPr>
            <w:tcW w:w="2180" w:type="dxa"/>
            <w:vAlign w:val="bottom"/>
            <w:tcBorders>
              <w:top w:val="single" w:sz="8" w:color="auto"/>
            </w:tcBorders>
            <w:shd w:val="clear" w:color="auto" w:fill="E5FFFF"/>
          </w:tcPr>
          <w:p>
            <w:pPr>
              <w:spacing w:after="0" w:line="123" w:lineRule="exact"/>
              <w:rPr>
                <w:sz w:val="20"/>
                <w:szCs w:val="20"/>
                <w:color w:val="auto"/>
              </w:rPr>
            </w:pPr>
            <w:r>
              <w:rPr>
                <w:rFonts w:ascii="Arial" w:cs="Arial" w:eastAsia="Arial" w:hAnsi="Arial"/>
                <w:sz w:val="12"/>
                <w:szCs w:val="12"/>
                <w:color w:val="auto"/>
              </w:rPr>
              <w:t>Commercial management fee</w:t>
            </w:r>
            <w:r>
              <w:rPr>
                <w:rFonts w:ascii="Arial" w:cs="Arial" w:eastAsia="Arial" w:hAnsi="Arial"/>
                <w:sz w:val="14"/>
                <w:szCs w:val="14"/>
                <w:color w:val="auto"/>
                <w:vertAlign w:val="superscript"/>
              </w:rPr>
              <w:t>(i)</w:t>
            </w:r>
          </w:p>
        </w:tc>
        <w:tc>
          <w:tcPr>
            <w:tcW w:w="140" w:type="dxa"/>
            <w:vAlign w:val="bottom"/>
            <w:tcBorders>
              <w:top w:val="single" w:sz="8" w:color="E5FFFF"/>
            </w:tcBorders>
            <w:shd w:val="clear" w:color="auto" w:fill="E5FFFF"/>
          </w:tcPr>
          <w:p>
            <w:pPr>
              <w:spacing w:after="0"/>
              <w:rPr>
                <w:sz w:val="10"/>
                <w:szCs w:val="10"/>
                <w:color w:val="auto"/>
              </w:rPr>
            </w:pPr>
          </w:p>
        </w:tc>
        <w:tc>
          <w:tcPr>
            <w:tcW w:w="1940" w:type="dxa"/>
            <w:vAlign w:val="bottom"/>
            <w:tcBorders>
              <w:top w:val="single" w:sz="8" w:color="auto"/>
            </w:tcBorders>
            <w:shd w:val="clear" w:color="auto" w:fill="E5FFFF"/>
          </w:tcPr>
          <w:p>
            <w:pPr>
              <w:spacing w:after="0" w:line="123" w:lineRule="exact"/>
              <w:rPr>
                <w:sz w:val="20"/>
                <w:szCs w:val="20"/>
                <w:color w:val="auto"/>
              </w:rPr>
            </w:pPr>
            <w:r>
              <w:rPr>
                <w:rFonts w:ascii="Arial" w:cs="Arial" w:eastAsia="Arial" w:hAnsi="Arial"/>
                <w:sz w:val="14"/>
                <w:szCs w:val="14"/>
                <w:color w:val="auto"/>
              </w:rPr>
              <w:t>General and administrative</w:t>
            </w:r>
          </w:p>
        </w:tc>
        <w:tc>
          <w:tcPr>
            <w:tcW w:w="160" w:type="dxa"/>
            <w:vAlign w:val="bottom"/>
            <w:tcBorders>
              <w:top w:val="single" w:sz="8" w:color="E5FFFF"/>
            </w:tcBorders>
            <w:shd w:val="clear" w:color="auto" w:fill="E5FFFF"/>
          </w:tcPr>
          <w:p>
            <w:pPr>
              <w:spacing w:after="0"/>
              <w:rPr>
                <w:sz w:val="10"/>
                <w:szCs w:val="10"/>
                <w:color w:val="auto"/>
              </w:rPr>
            </w:pPr>
          </w:p>
        </w:tc>
        <w:tc>
          <w:tcPr>
            <w:tcW w:w="1140" w:type="dxa"/>
            <w:vAlign w:val="bottom"/>
            <w:tcBorders>
              <w:top w:val="single" w:sz="8" w:color="auto"/>
            </w:tcBorders>
            <w:shd w:val="clear" w:color="auto" w:fill="E5FFFF"/>
          </w:tcPr>
          <w:p>
            <w:pPr>
              <w:spacing w:after="0"/>
              <w:rPr>
                <w:sz w:val="10"/>
                <w:szCs w:val="10"/>
                <w:color w:val="auto"/>
              </w:rPr>
            </w:pPr>
          </w:p>
        </w:tc>
        <w:tc>
          <w:tcPr>
            <w:tcW w:w="160" w:type="dxa"/>
            <w:vAlign w:val="bottom"/>
            <w:tcBorders>
              <w:top w:val="single" w:sz="8" w:color="E5FFFF"/>
            </w:tcBorders>
            <w:shd w:val="clear" w:color="auto" w:fill="E5FFFF"/>
          </w:tcPr>
          <w:p>
            <w:pPr>
              <w:spacing w:after="0"/>
              <w:rPr>
                <w:sz w:val="10"/>
                <w:szCs w:val="10"/>
                <w:color w:val="auto"/>
              </w:rPr>
            </w:pPr>
          </w:p>
        </w:tc>
        <w:tc>
          <w:tcPr>
            <w:tcW w:w="1140" w:type="dxa"/>
            <w:vAlign w:val="bottom"/>
            <w:tcBorders>
              <w:top w:val="single" w:sz="8" w:color="auto"/>
            </w:tcBorders>
            <w:shd w:val="clear" w:color="auto" w:fill="E5FFFF"/>
          </w:tcPr>
          <w:p>
            <w:pPr>
              <w:spacing w:after="0"/>
              <w:rPr>
                <w:sz w:val="10"/>
                <w:szCs w:val="10"/>
                <w:color w:val="auto"/>
              </w:rPr>
            </w:pPr>
          </w:p>
        </w:tc>
        <w:tc>
          <w:tcPr>
            <w:tcW w:w="140" w:type="dxa"/>
            <w:vAlign w:val="bottom"/>
            <w:tcBorders>
              <w:top w:val="single" w:sz="8" w:color="E5FFFF"/>
            </w:tcBorders>
            <w:shd w:val="clear" w:color="auto" w:fill="E5FFFF"/>
          </w:tcPr>
          <w:p>
            <w:pPr>
              <w:spacing w:after="0"/>
              <w:rPr>
                <w:sz w:val="10"/>
                <w:szCs w:val="10"/>
                <w:color w:val="auto"/>
              </w:rPr>
            </w:pPr>
          </w:p>
        </w:tc>
        <w:tc>
          <w:tcPr>
            <w:tcW w:w="1140" w:type="dxa"/>
            <w:vAlign w:val="bottom"/>
            <w:tcBorders>
              <w:top w:val="single" w:sz="8" w:color="auto"/>
            </w:tcBorders>
            <w:shd w:val="clear" w:color="auto" w:fill="E5FFFF"/>
          </w:tcPr>
          <w:p>
            <w:pPr>
              <w:spacing w:after="0"/>
              <w:rPr>
                <w:sz w:val="10"/>
                <w:szCs w:val="10"/>
                <w:color w:val="auto"/>
              </w:rPr>
            </w:pPr>
          </w:p>
        </w:tc>
        <w:tc>
          <w:tcPr>
            <w:tcW w:w="140" w:type="dxa"/>
            <w:vAlign w:val="bottom"/>
            <w:tcBorders>
              <w:top w:val="single" w:sz="8" w:color="E5FFFF"/>
            </w:tcBorders>
            <w:shd w:val="clear" w:color="auto" w:fill="E5FFFF"/>
          </w:tcPr>
          <w:p>
            <w:pPr>
              <w:spacing w:after="0"/>
              <w:rPr>
                <w:sz w:val="10"/>
                <w:szCs w:val="10"/>
                <w:color w:val="auto"/>
              </w:rPr>
            </w:pPr>
          </w:p>
        </w:tc>
        <w:tc>
          <w:tcPr>
            <w:tcW w:w="1140" w:type="dxa"/>
            <w:vAlign w:val="bottom"/>
            <w:tcBorders>
              <w:top w:val="single" w:sz="8" w:color="auto"/>
            </w:tcBorders>
            <w:shd w:val="clear" w:color="auto" w:fill="E5FF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2180" w:type="dxa"/>
            <w:vAlign w:val="bottom"/>
            <w:shd w:val="clear" w:color="auto" w:fill="E5FFFF"/>
          </w:tcPr>
          <w:p>
            <w:pPr>
              <w:spacing w:after="0"/>
              <w:rPr>
                <w:sz w:val="14"/>
                <w:szCs w:val="14"/>
                <w:color w:val="auto"/>
              </w:rPr>
            </w:pPr>
          </w:p>
        </w:tc>
        <w:tc>
          <w:tcPr>
            <w:tcW w:w="2240" w:type="dxa"/>
            <w:vAlign w:val="bottom"/>
            <w:gridSpan w:val="3"/>
            <w:shd w:val="clear" w:color="auto" w:fill="E5FFFF"/>
          </w:tcPr>
          <w:p>
            <w:pPr>
              <w:ind w:left="140"/>
              <w:spacing w:after="0"/>
              <w:rPr>
                <w:sz w:val="20"/>
                <w:szCs w:val="20"/>
                <w:color w:val="auto"/>
              </w:rPr>
            </w:pPr>
            <w:r>
              <w:rPr>
                <w:rFonts w:ascii="Arial" w:cs="Arial" w:eastAsia="Arial" w:hAnsi="Arial"/>
                <w:sz w:val="14"/>
                <w:szCs w:val="14"/>
                <w:color w:val="auto"/>
              </w:rPr>
              <w:t>expenses</w:t>
            </w:r>
          </w:p>
        </w:tc>
        <w:tc>
          <w:tcPr>
            <w:tcW w:w="13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1,350</w:t>
            </w:r>
          </w:p>
        </w:tc>
        <w:tc>
          <w:tcPr>
            <w:tcW w:w="128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1,350</w:t>
            </w:r>
          </w:p>
        </w:tc>
        <w:tc>
          <w:tcPr>
            <w:tcW w:w="128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4,050</w:t>
            </w:r>
          </w:p>
        </w:tc>
        <w:tc>
          <w:tcPr>
            <w:tcW w:w="1140" w:type="dxa"/>
            <w:vAlign w:val="bottom"/>
            <w:shd w:val="clear" w:color="auto" w:fill="E5FFFF"/>
          </w:tcPr>
          <w:p>
            <w:pPr>
              <w:jc w:val="right"/>
              <w:spacing w:after="0"/>
              <w:rPr>
                <w:sz w:val="20"/>
                <w:szCs w:val="20"/>
                <w:color w:val="auto"/>
              </w:rPr>
            </w:pPr>
            <w:r>
              <w:rPr>
                <w:rFonts w:ascii="Arial" w:cs="Arial" w:eastAsia="Arial" w:hAnsi="Arial"/>
                <w:sz w:val="14"/>
                <w:szCs w:val="14"/>
                <w:color w:val="auto"/>
              </w:rPr>
              <w:t>4,050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GasLog</w:t>
            </w:r>
          </w:p>
        </w:tc>
        <w:tc>
          <w:tcPr>
            <w:tcW w:w="2180" w:type="dxa"/>
            <w:vAlign w:val="bottom"/>
          </w:tcPr>
          <w:p>
            <w:pPr>
              <w:spacing w:after="0" w:line="130" w:lineRule="exact"/>
              <w:rPr>
                <w:sz w:val="20"/>
                <w:szCs w:val="20"/>
                <w:color w:val="auto"/>
              </w:rPr>
            </w:pPr>
            <w:r>
              <w:rPr>
                <w:rFonts w:ascii="Arial" w:cs="Arial" w:eastAsia="Arial" w:hAnsi="Arial"/>
                <w:sz w:val="13"/>
                <w:szCs w:val="13"/>
                <w:color w:val="auto"/>
              </w:rPr>
              <w:t>Administrative services fee</w:t>
            </w:r>
            <w:r>
              <w:rPr>
                <w:rFonts w:ascii="Arial" w:cs="Arial" w:eastAsia="Arial" w:hAnsi="Arial"/>
                <w:sz w:val="15"/>
                <w:szCs w:val="15"/>
                <w:color w:val="auto"/>
                <w:vertAlign w:val="superscript"/>
              </w:rPr>
              <w:t>(ii)</w:t>
            </w:r>
          </w:p>
        </w:tc>
        <w:tc>
          <w:tcPr>
            <w:tcW w:w="2240" w:type="dxa"/>
            <w:vAlign w:val="bottom"/>
            <w:gridSpan w:val="3"/>
          </w:tcPr>
          <w:p>
            <w:pPr>
              <w:ind w:left="140"/>
              <w:spacing w:after="0" w:line="130" w:lineRule="exact"/>
              <w:rPr>
                <w:sz w:val="20"/>
                <w:szCs w:val="20"/>
                <w:color w:val="auto"/>
              </w:rPr>
            </w:pPr>
            <w:r>
              <w:rPr>
                <w:rFonts w:ascii="Arial" w:cs="Arial" w:eastAsia="Arial" w:hAnsi="Arial"/>
                <w:sz w:val="14"/>
                <w:szCs w:val="14"/>
                <w:color w:val="auto"/>
              </w:rPr>
              <w:t>General and administrative</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40" w:type="dxa"/>
            <w:vAlign w:val="bottom"/>
            <w:gridSpan w:val="3"/>
          </w:tcPr>
          <w:p>
            <w:pPr>
              <w:ind w:left="140"/>
              <w:spacing w:after="0"/>
              <w:rPr>
                <w:sz w:val="20"/>
                <w:szCs w:val="20"/>
                <w:color w:val="auto"/>
              </w:rPr>
            </w:pPr>
            <w:r>
              <w:rPr>
                <w:rFonts w:ascii="Arial" w:cs="Arial" w:eastAsia="Arial" w:hAnsi="Arial"/>
                <w:sz w:val="14"/>
                <w:szCs w:val="14"/>
                <w:color w:val="auto"/>
              </w:rPr>
              <w:t>expenses</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2,638</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2,278</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7,654</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6,684</w:t>
            </w:r>
          </w:p>
        </w:tc>
        <w:tc>
          <w:tcPr>
            <w:tcW w:w="0" w:type="dxa"/>
            <w:vAlign w:val="bottom"/>
          </w:tcPr>
          <w:p>
            <w:pPr>
              <w:spacing w:after="0"/>
              <w:rPr>
                <w:sz w:val="1"/>
                <w:szCs w:val="1"/>
                <w:color w:val="auto"/>
              </w:rPr>
            </w:pPr>
          </w:p>
        </w:tc>
      </w:tr>
      <w:tr>
        <w:trPr>
          <w:trHeight w:val="149"/>
        </w:trPr>
        <w:tc>
          <w:tcPr>
            <w:tcW w:w="19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GasLog LNG Services</w:t>
            </w:r>
          </w:p>
        </w:tc>
        <w:tc>
          <w:tcPr>
            <w:tcW w:w="2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Management fees</w:t>
            </w:r>
            <w:r>
              <w:rPr>
                <w:rFonts w:ascii="Arial" w:cs="Arial" w:eastAsia="Arial" w:hAnsi="Arial"/>
                <w:sz w:val="17"/>
                <w:szCs w:val="17"/>
                <w:color w:val="auto"/>
                <w:vertAlign w:val="superscript"/>
              </w:rPr>
              <w:t>(iii)</w:t>
            </w:r>
          </w:p>
        </w:tc>
        <w:tc>
          <w:tcPr>
            <w:tcW w:w="22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Vessel operating costs</w:t>
            </w:r>
          </w:p>
        </w:tc>
        <w:tc>
          <w:tcPr>
            <w:tcW w:w="130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1,932</w:t>
            </w:r>
          </w:p>
        </w:tc>
        <w:tc>
          <w:tcPr>
            <w:tcW w:w="1280" w:type="dxa"/>
            <w:vAlign w:val="bottom"/>
            <w:gridSpan w:val="2"/>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1,932</w:t>
            </w:r>
          </w:p>
        </w:tc>
        <w:tc>
          <w:tcPr>
            <w:tcW w:w="1280" w:type="dxa"/>
            <w:vAlign w:val="bottom"/>
            <w:gridSpan w:val="2"/>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5,796</w:t>
            </w:r>
          </w:p>
        </w:tc>
        <w:tc>
          <w:tcPr>
            <w:tcW w:w="114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5,796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GasLog LNG Services</w:t>
            </w: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Other vessel operating costs</w:t>
            </w:r>
          </w:p>
        </w:tc>
        <w:tc>
          <w:tcPr>
            <w:tcW w:w="22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Vessel operating costs</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80</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0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GasLog</w:t>
            </w:r>
          </w:p>
        </w:tc>
        <w:tc>
          <w:tcPr>
            <w:tcW w:w="218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Interest expense under Sponsor</w:t>
            </w:r>
          </w:p>
        </w:tc>
        <w:tc>
          <w:tcPr>
            <w:tcW w:w="2240" w:type="dxa"/>
            <w:vAlign w:val="bottom"/>
            <w:gridSpan w:val="3"/>
            <w:shd w:val="clear" w:color="auto" w:fill="E5FFFF"/>
          </w:tcPr>
          <w:p>
            <w:pPr>
              <w:ind w:left="140"/>
              <w:spacing w:after="0" w:line="130" w:lineRule="exact"/>
              <w:rPr>
                <w:sz w:val="20"/>
                <w:szCs w:val="20"/>
                <w:color w:val="auto"/>
              </w:rPr>
            </w:pPr>
            <w:r>
              <w:rPr>
                <w:rFonts w:ascii="Arial" w:cs="Arial" w:eastAsia="Arial" w:hAnsi="Arial"/>
                <w:sz w:val="14"/>
                <w:szCs w:val="14"/>
                <w:color w:val="auto"/>
              </w:rPr>
              <w:t>Financial costs</w:t>
            </w:r>
          </w:p>
        </w:tc>
        <w:tc>
          <w:tcPr>
            <w:tcW w:w="11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14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14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14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2180" w:type="dxa"/>
            <w:vAlign w:val="bottom"/>
            <w:shd w:val="clear" w:color="auto" w:fill="E5FFFF"/>
          </w:tcPr>
          <w:p>
            <w:pPr>
              <w:spacing w:after="0"/>
              <w:rPr>
                <w:sz w:val="20"/>
                <w:szCs w:val="20"/>
                <w:color w:val="auto"/>
              </w:rPr>
            </w:pPr>
            <w:r>
              <w:rPr>
                <w:rFonts w:ascii="Arial" w:cs="Arial" w:eastAsia="Arial" w:hAnsi="Arial"/>
                <w:sz w:val="14"/>
                <w:szCs w:val="14"/>
                <w:color w:val="auto"/>
              </w:rPr>
              <w:t>Credit Facility</w:t>
            </w:r>
          </w:p>
        </w:tc>
        <w:tc>
          <w:tcPr>
            <w:tcW w:w="140" w:type="dxa"/>
            <w:vAlign w:val="bottom"/>
            <w:shd w:val="clear" w:color="auto" w:fill="E5FFFF"/>
          </w:tcPr>
          <w:p>
            <w:pPr>
              <w:spacing w:after="0"/>
              <w:rPr>
                <w:sz w:val="14"/>
                <w:szCs w:val="14"/>
                <w:color w:val="auto"/>
              </w:rPr>
            </w:pPr>
          </w:p>
        </w:tc>
        <w:tc>
          <w:tcPr>
            <w:tcW w:w="194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3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4"/>
                <w:szCs w:val="14"/>
                <w:color w:val="auto"/>
              </w:rPr>
              <w:t>935</w:t>
            </w:r>
          </w:p>
        </w:tc>
        <w:tc>
          <w:tcPr>
            <w:tcW w:w="140" w:type="dxa"/>
            <w:vAlign w:val="bottom"/>
            <w:shd w:val="clear" w:color="auto" w:fill="E5FFFF"/>
          </w:tcPr>
          <w:p>
            <w:pPr>
              <w:spacing w:after="0"/>
              <w:rPr>
                <w:sz w:val="14"/>
                <w:szCs w:val="14"/>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GasLog</w:t>
            </w:r>
          </w:p>
        </w:tc>
        <w:tc>
          <w:tcPr>
            <w:tcW w:w="2180" w:type="dxa"/>
            <w:vAlign w:val="bottom"/>
          </w:tcPr>
          <w:p>
            <w:pPr>
              <w:spacing w:after="0" w:line="130" w:lineRule="exact"/>
              <w:rPr>
                <w:sz w:val="20"/>
                <w:szCs w:val="20"/>
                <w:color w:val="auto"/>
              </w:rPr>
            </w:pPr>
            <w:r>
              <w:rPr>
                <w:rFonts w:ascii="Arial" w:cs="Arial" w:eastAsia="Arial" w:hAnsi="Arial"/>
                <w:sz w:val="14"/>
                <w:szCs w:val="14"/>
                <w:color w:val="auto"/>
              </w:rPr>
              <w:t>Commitment fee under Sponsor</w:t>
            </w:r>
          </w:p>
        </w:tc>
        <w:tc>
          <w:tcPr>
            <w:tcW w:w="2240" w:type="dxa"/>
            <w:vAlign w:val="bottom"/>
            <w:gridSpan w:val="3"/>
          </w:tcPr>
          <w:p>
            <w:pPr>
              <w:ind w:left="140"/>
              <w:spacing w:after="0" w:line="130" w:lineRule="exact"/>
              <w:rPr>
                <w:sz w:val="20"/>
                <w:szCs w:val="20"/>
                <w:color w:val="auto"/>
              </w:rPr>
            </w:pPr>
            <w:r>
              <w:rPr>
                <w:rFonts w:ascii="Arial" w:cs="Arial" w:eastAsia="Arial" w:hAnsi="Arial"/>
                <w:sz w:val="14"/>
                <w:szCs w:val="14"/>
                <w:color w:val="auto"/>
              </w:rPr>
              <w:t>Financial costs</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Credit Facility</w:t>
            </w: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76</w:t>
            </w:r>
          </w:p>
        </w:tc>
        <w:tc>
          <w:tcPr>
            <w:tcW w:w="1140" w:type="dxa"/>
            <w:vAlign w:val="bottom"/>
          </w:tcPr>
          <w:p>
            <w:pPr>
              <w:jc w:val="right"/>
              <w:spacing w:after="0"/>
              <w:rPr>
                <w:sz w:val="20"/>
                <w:szCs w:val="20"/>
                <w:color w:val="auto"/>
              </w:rPr>
            </w:pPr>
            <w:r>
              <w:rPr>
                <w:rFonts w:ascii="Arial" w:cs="Arial" w:eastAsia="Arial" w:hAnsi="Arial"/>
                <w:sz w:val="14"/>
                <w:szCs w:val="14"/>
                <w:color w:val="auto"/>
              </w:rPr>
              <w:t>77</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227</w:t>
            </w:r>
          </w:p>
        </w:tc>
        <w:tc>
          <w:tcPr>
            <w:tcW w:w="14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30"/>
        </w:trPr>
        <w:tc>
          <w:tcPr>
            <w:tcW w:w="190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GasLog</w:t>
            </w:r>
          </w:p>
        </w:tc>
        <w:tc>
          <w:tcPr>
            <w:tcW w:w="218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w w:val="95"/>
              </w:rPr>
              <w:t>Realized gain on interest rate swaps</w:t>
            </w:r>
          </w:p>
        </w:tc>
        <w:tc>
          <w:tcPr>
            <w:tcW w:w="2240" w:type="dxa"/>
            <w:vAlign w:val="bottom"/>
            <w:gridSpan w:val="3"/>
            <w:shd w:val="clear" w:color="auto" w:fill="E5FFFF"/>
          </w:tcPr>
          <w:p>
            <w:pPr>
              <w:ind w:left="140"/>
              <w:spacing w:after="0" w:line="130" w:lineRule="exact"/>
              <w:rPr>
                <w:sz w:val="20"/>
                <w:szCs w:val="20"/>
                <w:color w:val="auto"/>
              </w:rPr>
            </w:pPr>
            <w:r>
              <w:rPr>
                <w:rFonts w:ascii="Arial" w:cs="Arial" w:eastAsia="Arial" w:hAnsi="Arial"/>
                <w:sz w:val="14"/>
                <w:szCs w:val="14"/>
                <w:color w:val="auto"/>
              </w:rPr>
              <w:t>Gain/(loss) on derivatives</w:t>
            </w:r>
          </w:p>
        </w:tc>
        <w:tc>
          <w:tcPr>
            <w:tcW w:w="11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14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14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14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2180" w:type="dxa"/>
            <w:vAlign w:val="bottom"/>
            <w:shd w:val="clear" w:color="auto" w:fill="E5FFFF"/>
          </w:tcPr>
          <w:p>
            <w:pPr>
              <w:spacing w:after="0"/>
              <w:rPr>
                <w:sz w:val="20"/>
                <w:szCs w:val="20"/>
                <w:color w:val="auto"/>
              </w:rPr>
            </w:pPr>
            <w:r>
              <w:rPr>
                <w:rFonts w:ascii="Arial" w:cs="Arial" w:eastAsia="Arial" w:hAnsi="Arial"/>
                <w:sz w:val="14"/>
                <w:szCs w:val="14"/>
                <w:color w:val="auto"/>
              </w:rPr>
              <w:t>(Note 13)</w:t>
            </w:r>
          </w:p>
        </w:tc>
        <w:tc>
          <w:tcPr>
            <w:tcW w:w="140" w:type="dxa"/>
            <w:vAlign w:val="bottom"/>
            <w:shd w:val="clear" w:color="auto" w:fill="E5FFFF"/>
          </w:tcPr>
          <w:p>
            <w:pPr>
              <w:spacing w:after="0"/>
              <w:rPr>
                <w:sz w:val="14"/>
                <w:szCs w:val="14"/>
                <w:color w:val="auto"/>
              </w:rPr>
            </w:pPr>
          </w:p>
        </w:tc>
        <w:tc>
          <w:tcPr>
            <w:tcW w:w="194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3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(566)</w:t>
            </w:r>
          </w:p>
        </w:tc>
        <w:tc>
          <w:tcPr>
            <w:tcW w:w="12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(406)</w:t>
            </w:r>
          </w:p>
        </w:tc>
        <w:tc>
          <w:tcPr>
            <w:tcW w:w="1280" w:type="dxa"/>
            <w:vAlign w:val="bottom"/>
            <w:gridSpan w:val="2"/>
            <w:shd w:val="clear" w:color="auto" w:fill="E5FFFF"/>
          </w:tcPr>
          <w:p>
            <w:pPr>
              <w:jc w:val="right"/>
              <w:ind w:right="80"/>
              <w:spacing w:after="0"/>
              <w:rPr>
                <w:sz w:val="20"/>
                <w:szCs w:val="20"/>
                <w:color w:val="auto"/>
              </w:rPr>
            </w:pPr>
            <w:r>
              <w:rPr>
                <w:rFonts w:ascii="Arial" w:cs="Arial" w:eastAsia="Arial" w:hAnsi="Arial"/>
                <w:sz w:val="14"/>
                <w:szCs w:val="14"/>
                <w:color w:val="auto"/>
              </w:rPr>
              <w:t>(1,110)</w:t>
            </w:r>
          </w:p>
        </w:tc>
        <w:tc>
          <w:tcPr>
            <w:tcW w:w="1140" w:type="dxa"/>
            <w:vAlign w:val="bottom"/>
            <w:shd w:val="clear" w:color="auto" w:fill="E5FFFF"/>
          </w:tcPr>
          <w:p>
            <w:pPr>
              <w:jc w:val="right"/>
              <w:spacing w:after="0"/>
              <w:rPr>
                <w:sz w:val="20"/>
                <w:szCs w:val="20"/>
                <w:color w:val="auto"/>
              </w:rPr>
            </w:pPr>
            <w:r>
              <w:rPr>
                <w:rFonts w:ascii="Arial" w:cs="Arial" w:eastAsia="Arial" w:hAnsi="Arial"/>
                <w:sz w:val="14"/>
                <w:szCs w:val="14"/>
                <w:color w:val="auto"/>
              </w:rPr>
              <w:t>(2,334)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GasLog</w:t>
            </w:r>
          </w:p>
        </w:tc>
        <w:tc>
          <w:tcPr>
            <w:tcW w:w="2180" w:type="dxa"/>
            <w:vAlign w:val="bottom"/>
          </w:tcPr>
          <w:p>
            <w:pPr>
              <w:spacing w:after="0" w:line="130" w:lineRule="exact"/>
              <w:rPr>
                <w:sz w:val="20"/>
                <w:szCs w:val="20"/>
                <w:color w:val="auto"/>
              </w:rPr>
            </w:pPr>
            <w:r>
              <w:rPr>
                <w:rFonts w:ascii="Arial" w:cs="Arial" w:eastAsia="Arial" w:hAnsi="Arial"/>
                <w:sz w:val="14"/>
                <w:szCs w:val="14"/>
                <w:color w:val="auto"/>
              </w:rPr>
              <w:t>Realized loss on forward foreign</w:t>
            </w:r>
          </w:p>
        </w:tc>
        <w:tc>
          <w:tcPr>
            <w:tcW w:w="2240" w:type="dxa"/>
            <w:vAlign w:val="bottom"/>
            <w:gridSpan w:val="3"/>
          </w:tcPr>
          <w:p>
            <w:pPr>
              <w:ind w:left="140"/>
              <w:spacing w:after="0" w:line="130" w:lineRule="exact"/>
              <w:rPr>
                <w:sz w:val="20"/>
                <w:szCs w:val="20"/>
                <w:color w:val="auto"/>
              </w:rPr>
            </w:pPr>
            <w:r>
              <w:rPr>
                <w:rFonts w:ascii="Arial" w:cs="Arial" w:eastAsia="Arial" w:hAnsi="Arial"/>
                <w:sz w:val="14"/>
                <w:szCs w:val="14"/>
                <w:color w:val="auto"/>
              </w:rPr>
              <w:t>Gain/(loss) on derivatives</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w w:val="98"/>
              </w:rPr>
              <w:t>exchange contracts held for trading</w:t>
            </w: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(Note 13)</w:t>
            </w: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137</w:t>
            </w:r>
          </w:p>
        </w:tc>
        <w:tc>
          <w:tcPr>
            <w:tcW w:w="1140" w:type="dxa"/>
            <w:vAlign w:val="bottom"/>
          </w:tcPr>
          <w:p>
            <w:pPr>
              <w:jc w:val="right"/>
              <w:spacing w:after="0"/>
              <w:rPr>
                <w:sz w:val="20"/>
                <w:szCs w:val="20"/>
                <w:color w:val="auto"/>
              </w:rPr>
            </w:pPr>
            <w:r>
              <w:rPr>
                <w:rFonts w:ascii="Arial" w:cs="Arial" w:eastAsia="Arial" w:hAnsi="Arial"/>
                <w:sz w:val="14"/>
                <w:szCs w:val="14"/>
                <w:color w:val="auto"/>
              </w:rPr>
              <w:t>346</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137</w:t>
            </w:r>
          </w:p>
        </w:tc>
        <w:tc>
          <w:tcPr>
            <w:tcW w:w="14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149"/>
        </w:trPr>
        <w:tc>
          <w:tcPr>
            <w:tcW w:w="19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Cool Pool</w:t>
            </w:r>
          </w:p>
        </w:tc>
        <w:tc>
          <w:tcPr>
            <w:tcW w:w="2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Adjustment for net pool allocation</w:t>
            </w:r>
          </w:p>
        </w:tc>
        <w:tc>
          <w:tcPr>
            <w:tcW w:w="22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Net pool allocation</w:t>
            </w:r>
          </w:p>
        </w:tc>
        <w:tc>
          <w:tcPr>
            <w:tcW w:w="130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(780)</w:t>
            </w:r>
          </w:p>
        </w:tc>
        <w:tc>
          <w:tcPr>
            <w:tcW w:w="1280" w:type="dxa"/>
            <w:vAlign w:val="bottom"/>
            <w:gridSpan w:val="2"/>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E5FFFF"/>
          </w:tcPr>
          <w:p>
            <w:pPr>
              <w:jc w:val="right"/>
              <w:ind w:right="80"/>
              <w:spacing w:after="0" w:line="149" w:lineRule="exact"/>
              <w:rPr>
                <w:sz w:val="20"/>
                <w:szCs w:val="20"/>
                <w:color w:val="auto"/>
              </w:rPr>
            </w:pPr>
            <w:r>
              <w:rPr>
                <w:rFonts w:ascii="Arial" w:cs="Arial" w:eastAsia="Arial" w:hAnsi="Arial"/>
                <w:sz w:val="14"/>
                <w:szCs w:val="14"/>
                <w:color w:val="auto"/>
              </w:rPr>
              <w:t>(423)</w:t>
            </w:r>
          </w:p>
        </w:tc>
        <w:tc>
          <w:tcPr>
            <w:tcW w:w="114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(1,058)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340" w:hanging="202"/>
        <w:spacing w:after="0"/>
        <w:tabs>
          <w:tab w:leader="none" w:pos="3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Commercial Management Agreements</w:t>
      </w:r>
    </w:p>
    <w:p>
      <w:pPr>
        <w:spacing w:after="0" w:line="87" w:lineRule="exact"/>
        <w:rPr>
          <w:rFonts w:ascii="Arial" w:cs="Arial" w:eastAsia="Arial" w:hAnsi="Arial"/>
          <w:sz w:val="18"/>
          <w:szCs w:val="18"/>
          <w:color w:val="auto"/>
          <w:vertAlign w:val="superscript"/>
        </w:rPr>
      </w:pPr>
    </w:p>
    <w:p>
      <w:pPr>
        <w:ind w:left="340" w:right="80"/>
        <w:spacing w:after="0" w:line="229" w:lineRule="auto"/>
        <w:rPr>
          <w:rFonts w:ascii="Arial" w:cs="Arial" w:eastAsia="Arial" w:hAnsi="Arial"/>
          <w:sz w:val="18"/>
          <w:szCs w:val="18"/>
          <w:color w:val="auto"/>
          <w:vertAlign w:val="superscript"/>
        </w:rPr>
      </w:pPr>
      <w:r>
        <w:rPr>
          <w:rFonts w:ascii="Arial" w:cs="Arial" w:eastAsia="Arial" w:hAnsi="Arial"/>
          <w:sz w:val="14"/>
          <w:szCs w:val="14"/>
          <w:color w:val="auto"/>
        </w:rPr>
        <w:t>Upon completion of the IPO on May 12, 2014, GAS-three Ltd., GAS-four Ltd. and GAS-five Ltd. entered into amended commercial management agreements with GasLog (the “Amended Commercial Management Agreements”), pursuant to which GasLog provides certain commercial management services, including chartering services, consultancy services on market issues and invoicing and collection of hire payables, to the Partnership. The annual commercial management fee under the amended agreements is $360 for each vessel payable quarterly in advance in lump sum amounts. In December 2013, GAS-seven Ltd. entered into a commercial management agreement with GasLog for an annual commercial management fee of $540 that was amended to $360 when the vessel was acquired by the Partnership on November 1, 2016. Additionally, in June 2015, GAS-eight Ltd. entered into a commercial management agreement with GasLog for an annual commercial management fee of $360.</w:t>
      </w:r>
    </w:p>
    <w:p>
      <w:pPr>
        <w:spacing w:after="0" w:line="91" w:lineRule="exact"/>
        <w:rPr>
          <w:rFonts w:ascii="Arial" w:cs="Arial" w:eastAsia="Arial" w:hAnsi="Arial"/>
          <w:sz w:val="18"/>
          <w:szCs w:val="18"/>
          <w:color w:val="auto"/>
          <w:vertAlign w:val="superscript"/>
        </w:rPr>
      </w:pPr>
    </w:p>
    <w:p>
      <w:pPr>
        <w:ind w:left="340"/>
        <w:spacing w:after="0" w:line="229" w:lineRule="auto"/>
        <w:rPr>
          <w:rFonts w:ascii="Arial" w:cs="Arial" w:eastAsia="Arial" w:hAnsi="Arial"/>
          <w:sz w:val="18"/>
          <w:szCs w:val="18"/>
          <w:color w:val="auto"/>
          <w:vertAlign w:val="superscript"/>
        </w:rPr>
      </w:pPr>
      <w:r>
        <w:rPr>
          <w:rFonts w:ascii="Arial" w:cs="Arial" w:eastAsia="Arial" w:hAnsi="Arial"/>
          <w:sz w:val="14"/>
          <w:szCs w:val="14"/>
          <w:color w:val="auto"/>
        </w:rPr>
        <w:t xml:space="preserve">The same provisions are included in the commercial management agreements that GAS-eleven Ltd., GAS-twelve Ltd., GAS-thirteen Ltd., GAS-fourteen Ltd., GAS-sixteen Ltd., GAS-seventeen Ltd., GAS-nineteen Ltd., GAS-twenty Ltd., GAS-twenty one Ltd. and GAS-twenty seven Ltd. entered into with GasLog upon the deliveries of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w:t>
      </w:r>
      <w:r>
        <w:rPr>
          <w:rFonts w:ascii="Arial" w:cs="Arial" w:eastAsia="Arial" w:hAnsi="Arial"/>
          <w:sz w:val="14"/>
          <w:szCs w:val="14"/>
          <w:color w:val="auto"/>
        </w:rPr>
        <w:t xml:space="preserve"> </w:t>
      </w:r>
      <w:r>
        <w:rPr>
          <w:rFonts w:ascii="Arial" w:cs="Arial" w:eastAsia="Arial" w:hAnsi="Arial"/>
          <w:sz w:val="14"/>
          <w:szCs w:val="14"/>
          <w:i w:val="1"/>
          <w:iCs w:val="1"/>
          <w:color w:val="auto"/>
        </w:rPr>
        <w:t>Glasgow</w:t>
      </w:r>
      <w:r>
        <w:rPr>
          <w:rFonts w:ascii="Arial" w:cs="Arial" w:eastAsia="Arial" w:hAnsi="Arial"/>
          <w:sz w:val="14"/>
          <w:szCs w:val="14"/>
          <w:color w:val="auto"/>
        </w:rPr>
        <w:t>, the</w:t>
      </w:r>
      <w:r>
        <w:rPr>
          <w:rFonts w:ascii="Arial" w:cs="Arial" w:eastAsia="Arial" w:hAnsi="Arial"/>
          <w:sz w:val="14"/>
          <w:szCs w:val="14"/>
          <w:i w:val="1"/>
          <w:iCs w:val="1"/>
          <w:color w:val="auto"/>
        </w:rPr>
        <w:t xml:space="preserve"> GasLog Geneva</w:t>
      </w:r>
      <w:r>
        <w:rPr>
          <w:rFonts w:ascii="Arial" w:cs="Arial" w:eastAsia="Arial" w:hAnsi="Arial"/>
          <w:sz w:val="14"/>
          <w:szCs w:val="14"/>
          <w:color w:val="auto"/>
        </w:rPr>
        <w:t>, the</w:t>
      </w:r>
      <w:r>
        <w:rPr>
          <w:rFonts w:ascii="Arial" w:cs="Arial" w:eastAsia="Arial" w:hAnsi="Arial"/>
          <w:sz w:val="14"/>
          <w:szCs w:val="14"/>
          <w:i w:val="1"/>
          <w:iCs w:val="1"/>
          <w:color w:val="auto"/>
        </w:rPr>
        <w:t xml:space="preserve"> GasLog Gibraltar</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Rita Andrea</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Jane Elizabeth</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Alison Victoria</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Shirley Elisabeth</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Heather Sally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Methane Becki Anne</w:t>
      </w:r>
      <w:r>
        <w:rPr>
          <w:rFonts w:ascii="Arial" w:cs="Arial" w:eastAsia="Arial" w:hAnsi="Arial"/>
          <w:sz w:val="14"/>
          <w:szCs w:val="14"/>
          <w:color w:val="auto"/>
        </w:rPr>
        <w:t>, respectively, into GasLog’s fleet in March 2016, June 2016, September 2016, October 2016, April 2014, June 2014 and March 2015 (together with the</w:t>
      </w:r>
      <w:r>
        <w:rPr>
          <w:rFonts w:ascii="Arial" w:cs="Arial" w:eastAsia="Arial" w:hAnsi="Arial"/>
          <w:sz w:val="14"/>
          <w:szCs w:val="14"/>
          <w:i w:val="1"/>
          <w:iCs w:val="1"/>
          <w:color w:val="auto"/>
        </w:rPr>
        <w:t xml:space="preserve"> </w:t>
      </w:r>
      <w:r>
        <w:rPr>
          <w:rFonts w:ascii="Arial" w:cs="Arial" w:eastAsia="Arial" w:hAnsi="Arial"/>
          <w:sz w:val="14"/>
          <w:szCs w:val="14"/>
          <w:color w:val="auto"/>
        </w:rPr>
        <w:t>Amended Commercial Management Agreements and the commercial management agreements entered into by GAS-seven Ltd. and GAS-eight Ltd. with GasLog, the “Commercial Management Agreements”).</w:t>
      </w:r>
    </w:p>
    <w:p>
      <w:pPr>
        <w:spacing w:after="0" w:line="66" w:lineRule="exact"/>
        <w:rPr>
          <w:rFonts w:ascii="Arial" w:cs="Arial" w:eastAsia="Arial" w:hAnsi="Arial"/>
          <w:sz w:val="18"/>
          <w:szCs w:val="18"/>
          <w:color w:val="auto"/>
          <w:vertAlign w:val="superscript"/>
        </w:rPr>
      </w:pPr>
    </w:p>
    <w:p>
      <w:pPr>
        <w:ind w:left="320" w:hanging="182"/>
        <w:spacing w:after="0"/>
        <w:tabs>
          <w:tab w:leader="none" w:pos="32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Administrative Services Agreement</w:t>
      </w:r>
    </w:p>
    <w:p>
      <w:pPr>
        <w:spacing w:after="0" w:line="87" w:lineRule="exact"/>
        <w:rPr>
          <w:rFonts w:ascii="Arial" w:cs="Arial" w:eastAsia="Arial" w:hAnsi="Arial"/>
          <w:sz w:val="18"/>
          <w:szCs w:val="18"/>
          <w:color w:val="auto"/>
          <w:vertAlign w:val="superscript"/>
        </w:rPr>
      </w:pPr>
    </w:p>
    <w:p>
      <w:pPr>
        <w:ind w:left="340" w:right="20"/>
        <w:spacing w:after="0" w:line="249" w:lineRule="auto"/>
        <w:rPr>
          <w:rFonts w:ascii="Arial" w:cs="Arial" w:eastAsia="Arial" w:hAnsi="Arial"/>
          <w:sz w:val="18"/>
          <w:szCs w:val="18"/>
          <w:color w:val="auto"/>
          <w:vertAlign w:val="superscript"/>
        </w:rPr>
      </w:pPr>
      <w:r>
        <w:rPr>
          <w:rFonts w:ascii="Arial" w:cs="Arial" w:eastAsia="Arial" w:hAnsi="Arial"/>
          <w:sz w:val="13"/>
          <w:szCs w:val="13"/>
          <w:color w:val="auto"/>
        </w:rPr>
        <w:t>Upon completion of the IPO on May 12, 2014, the Partnership entered into an administrative services agreement (the “Administrative Services Agreement”) with GasLog, pursuant to which GasLog will provide certain management and administrative services. The services provided under the Administrative Services Agreement are provided as the Partnership may direct, and include bookkeeping, audit, legal, insurance, administrative, clerical, banking, financial, advisory, client and investor relations services. The Administrative Services Agreement will continue indefinitely until terminated by the Partnership upon 90 days’ notice for any reason in the sole discretion of the Partnership’s board of directors. Until December 31, 2016, GasLog received a service fee of $588 per vessel per year in connection with providing services under this agreement. For the years ended December 31, 2017 and December 31, 2018, the annual service fee was $632 and $812 per vessel per year, respectively. With effect from January 1, 2019, the service fee was amended to $608 per vessel per year.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6" w:right="299" w:bottom="1440" w:gutter="0" w:footer="0" w:header="0"/>
        </w:sectPr>
      </w:pPr>
    </w:p>
    <w:bookmarkStart w:id="33" w:name="page34"/>
    <w:bookmarkEnd w:id="33"/>
    <w:p>
      <w:pPr>
        <w:ind w:left="320" w:hanging="182"/>
        <w:spacing w:after="0"/>
        <w:tabs>
          <w:tab w:leader="none" w:pos="320" w:val="left"/>
        </w:tabs>
        <w:numPr>
          <w:ilvl w:val="1"/>
          <w:numId w:val="23"/>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Ship Management Agreements</w:t>
      </w:r>
    </w:p>
    <w:p>
      <w:pPr>
        <w:spacing w:after="0" w:line="87" w:lineRule="exact"/>
        <w:rPr>
          <w:rFonts w:ascii="Arial" w:cs="Arial" w:eastAsia="Arial" w:hAnsi="Arial"/>
          <w:sz w:val="18"/>
          <w:szCs w:val="18"/>
          <w:color w:val="auto"/>
          <w:vertAlign w:val="superscript"/>
        </w:rPr>
      </w:pPr>
    </w:p>
    <w:p>
      <w:pPr>
        <w:ind w:left="340" w:right="20"/>
        <w:spacing w:after="0" w:line="242" w:lineRule="auto"/>
        <w:rPr>
          <w:rFonts w:ascii="Arial" w:cs="Arial" w:eastAsia="Arial" w:hAnsi="Arial"/>
          <w:sz w:val="18"/>
          <w:szCs w:val="18"/>
          <w:color w:val="auto"/>
          <w:vertAlign w:val="superscript"/>
        </w:rPr>
      </w:pPr>
      <w:r>
        <w:rPr>
          <w:rFonts w:ascii="Arial" w:cs="Arial" w:eastAsia="Arial" w:hAnsi="Arial"/>
          <w:sz w:val="13"/>
          <w:szCs w:val="13"/>
          <w:color w:val="auto"/>
        </w:rPr>
        <w:t xml:space="preserve">Upon completion of the IPO on May 12, 2014, GAS-three Ltd., GAS-four Ltd. and GAS-five Ltd. entered into an amended ship management agreement (collectively, the “Amended Ship Management Agreements”) under which the vessel owning subsidiaries pay a management fee of $46 per month to the Manager and reimburse the Manager for all expenses incurred on their behalf. The Amended Ship Management Agreements also provide for superintendent fees of $1 per day payable to the Manager for each day in excess of 25 days per calendar year for which a superintendent performed visits to the vessels, an annual incentive bonus of up to $72 based on key performance indicators predetermined annually and contain clauses for decreased management fees in case of a vessel’s lay-up. The management fees are subject to an annual adjustment, agreed between the parties in good faith, on the basis of general inflation and proof of increases in actual costs incurred by the Manager. Each Amended Ship Management Agreement continues indefinitely until terminated by either party. The same provisions are included in the ship management agreements that GAS-sixteen Ltd., GAS-seventeen Ltd., GAS-nineteen Ltd., GAS-twenty Ltd., GAS-twenty one Ltd. and GAS-twenty seven Ltd. entered into with the Manager upon the deliveries of the </w:t>
      </w:r>
      <w:r>
        <w:rPr>
          <w:rFonts w:ascii="Arial" w:cs="Arial" w:eastAsia="Arial" w:hAnsi="Arial"/>
          <w:sz w:val="13"/>
          <w:szCs w:val="13"/>
          <w:i w:val="1"/>
          <w:iCs w:val="1"/>
          <w:color w:val="auto"/>
        </w:rPr>
        <w:t>Methane Rita Andrea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Alison Victoria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Shirley Elisabeth</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Heather Sally</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w:t>
      </w:r>
      <w:r>
        <w:rPr>
          <w:rFonts w:ascii="Arial" w:cs="Arial" w:eastAsia="Arial" w:hAnsi="Arial"/>
          <w:sz w:val="13"/>
          <w:szCs w:val="13"/>
          <w:color w:val="auto"/>
        </w:rPr>
        <w:t xml:space="preserve"> </w:t>
      </w:r>
      <w:r>
        <w:rPr>
          <w:rFonts w:ascii="Arial" w:cs="Arial" w:eastAsia="Arial" w:hAnsi="Arial"/>
          <w:sz w:val="13"/>
          <w:szCs w:val="13"/>
          <w:i w:val="1"/>
          <w:iCs w:val="1"/>
          <w:color w:val="auto"/>
        </w:rPr>
        <w:t>Becki Anne</w:t>
      </w:r>
      <w:r>
        <w:rPr>
          <w:rFonts w:ascii="Arial" w:cs="Arial" w:eastAsia="Arial" w:hAnsi="Arial"/>
          <w:sz w:val="13"/>
          <w:szCs w:val="13"/>
          <w:color w:val="auto"/>
        </w:rPr>
        <w:t>, respectively, into GasLog’s fleet in April 2014, June 2014 and March 2015 (together with the Amended Ship Management Agreements and the ship management agreement that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GAS-seven Ltd. entered into with the Manager upon its vessel’s delivery from the shipyard in 2013, the “Ship Management Agreements”). In May 2015, the Ship Management Agreements were further amended to delete the annual incentive bonus and superintendent fees clauses and, in the case of GAS-seven Ltd., to also increase the fixed monthly charge to $46 with effect from April 1, 2015. In April 2016, the Ship Management Agreements were amended to consolidate all ship management related fees into a single fee structure. This single fee structure was already provided for in the ship management agreements that GAS-eleven Ltd., GAS-twelve Ltd., GAS-thirteen Ltd. and GAS-fourteen Ltd. had entered into with GasLog upon the deliveries of the </w:t>
      </w:r>
      <w:r>
        <w:rPr>
          <w:rFonts w:ascii="Arial" w:cs="Arial" w:eastAsia="Arial" w:hAnsi="Arial"/>
          <w:sz w:val="13"/>
          <w:szCs w:val="13"/>
          <w:i w:val="1"/>
          <w:iCs w:val="1"/>
          <w:color w:val="auto"/>
        </w:rPr>
        <w:t xml:space="preserve">GasLog Greece </w:t>
      </w:r>
      <w:r>
        <w:rPr>
          <w:rFonts w:ascii="Arial" w:cs="Arial" w:eastAsia="Arial" w:hAnsi="Arial"/>
          <w:sz w:val="13"/>
          <w:szCs w:val="13"/>
          <w:color w:val="auto"/>
        </w:rPr>
        <w:t>in March 2016, the</w:t>
      </w:r>
      <w:r>
        <w:rPr>
          <w:rFonts w:ascii="Arial" w:cs="Arial" w:eastAsia="Arial" w:hAnsi="Arial"/>
          <w:sz w:val="13"/>
          <w:szCs w:val="13"/>
          <w:i w:val="1"/>
          <w:iCs w:val="1"/>
          <w:color w:val="auto"/>
        </w:rPr>
        <w:t xml:space="preserve"> GasLog Glasgow </w:t>
      </w:r>
      <w:r>
        <w:rPr>
          <w:rFonts w:ascii="Arial" w:cs="Arial" w:eastAsia="Arial" w:hAnsi="Arial"/>
          <w:sz w:val="13"/>
          <w:szCs w:val="13"/>
          <w:color w:val="auto"/>
        </w:rPr>
        <w:t>in June 2016, the</w:t>
      </w:r>
      <w:r>
        <w:rPr>
          <w:rFonts w:ascii="Arial" w:cs="Arial" w:eastAsia="Arial" w:hAnsi="Arial"/>
          <w:sz w:val="13"/>
          <w:szCs w:val="13"/>
          <w:i w:val="1"/>
          <w:iCs w:val="1"/>
          <w:color w:val="auto"/>
        </w:rPr>
        <w:t xml:space="preserve"> GasLog Geneva </w:t>
      </w:r>
      <w:r>
        <w:rPr>
          <w:rFonts w:ascii="Arial" w:cs="Arial" w:eastAsia="Arial" w:hAnsi="Arial"/>
          <w:sz w:val="13"/>
          <w:szCs w:val="13"/>
          <w:color w:val="auto"/>
        </w:rPr>
        <w:t>in September 2016 and the</w:t>
      </w:r>
      <w:r>
        <w:rPr>
          <w:rFonts w:ascii="Arial" w:cs="Arial" w:eastAsia="Arial" w:hAnsi="Arial"/>
          <w:sz w:val="13"/>
          <w:szCs w:val="13"/>
          <w:i w:val="1"/>
          <w:iCs w:val="1"/>
          <w:color w:val="auto"/>
        </w:rPr>
        <w:t xml:space="preserve"> GasLog Gibraltar </w:t>
      </w:r>
      <w:r>
        <w:rPr>
          <w:rFonts w:ascii="Arial" w:cs="Arial" w:eastAsia="Arial" w:hAnsi="Arial"/>
          <w:sz w:val="13"/>
          <w:szCs w:val="13"/>
          <w:color w:val="auto"/>
        </w:rPr>
        <w:t>in October 2016, respectively (with a fixed monthly</w:t>
      </w:r>
      <w:r>
        <w:rPr>
          <w:rFonts w:ascii="Arial" w:cs="Arial" w:eastAsia="Arial" w:hAnsi="Arial"/>
          <w:sz w:val="13"/>
          <w:szCs w:val="13"/>
          <w:i w:val="1"/>
          <w:iCs w:val="1"/>
          <w:color w:val="auto"/>
        </w:rPr>
        <w:t xml:space="preserve"> </w:t>
      </w:r>
      <w:r>
        <w:rPr>
          <w:rFonts w:ascii="Arial" w:cs="Arial" w:eastAsia="Arial" w:hAnsi="Arial"/>
          <w:sz w:val="13"/>
          <w:szCs w:val="13"/>
          <w:color w:val="auto"/>
        </w:rPr>
        <w:t>charge of $46).</w:t>
      </w:r>
    </w:p>
    <w:p>
      <w:pPr>
        <w:spacing w:after="0" w:line="200" w:lineRule="exact"/>
        <w:rPr>
          <w:rFonts w:ascii="Arial" w:cs="Arial" w:eastAsia="Arial" w:hAnsi="Arial"/>
          <w:sz w:val="18"/>
          <w:szCs w:val="18"/>
          <w:color w:val="auto"/>
          <w:vertAlign w:val="superscript"/>
        </w:rPr>
      </w:pPr>
    </w:p>
    <w:p>
      <w:pPr>
        <w:spacing w:after="0" w:line="204"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Vessels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0" w:type="dxa"/>
            <w:vAlign w:val="bottom"/>
          </w:tcPr>
          <w:p>
            <w:pPr>
              <w:ind w:left="80"/>
              <w:spacing w:after="0"/>
              <w:rPr>
                <w:sz w:val="20"/>
                <w:szCs w:val="20"/>
                <w:color w:val="auto"/>
              </w:rPr>
            </w:pPr>
            <w:r>
              <w:rPr>
                <w:rFonts w:ascii="Arial" w:cs="Arial" w:eastAsia="Arial" w:hAnsi="Arial"/>
                <w:sz w:val="16"/>
                <w:szCs w:val="16"/>
                <w:color w:val="auto"/>
              </w:rPr>
              <w:t>The movement in vessels is reported in the following table:</w:t>
            </w: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170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Vessels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700" w:type="dxa"/>
            <w:vAlign w:val="bottom"/>
            <w:tcBorders>
              <w:top w:val="single" w:sz="8" w:color="E5FFFF"/>
            </w:tcBorders>
            <w:gridSpan w:val="2"/>
            <w:shd w:val="clear" w:color="auto" w:fill="E5FFFF"/>
          </w:tcPr>
          <w:p>
            <w:pPr>
              <w:spacing w:after="0" w:line="148" w:lineRule="exact"/>
              <w:rPr>
                <w:sz w:val="20"/>
                <w:szCs w:val="20"/>
                <w:color w:val="auto"/>
              </w:rPr>
            </w:pPr>
            <w:r>
              <w:rPr>
                <w:rFonts w:ascii="Arial" w:cs="Arial" w:eastAsia="Arial" w:hAnsi="Arial"/>
                <w:sz w:val="16"/>
                <w:szCs w:val="16"/>
                <w:b w:val="1"/>
                <w:bCs w:val="1"/>
                <w:color w:val="auto"/>
              </w:rPr>
              <w:t>Cost</w:t>
            </w:r>
          </w:p>
        </w:tc>
        <w:tc>
          <w:tcPr>
            <w:tcW w:w="1600" w:type="dxa"/>
            <w:vAlign w:val="bottom"/>
            <w:tcBorders>
              <w:top w:val="single" w:sz="8" w:color="auto"/>
            </w:tcBorders>
            <w:shd w:val="clear" w:color="auto" w:fill="E5FFFF"/>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shd w:val="clear" w:color="auto" w:fill="E5FFFF"/>
          </w:tcPr>
          <w:p>
            <w:pPr>
              <w:spacing w:after="0" w:line="20" w:lineRule="exact"/>
              <w:rPr>
                <w:sz w:val="1"/>
                <w:szCs w:val="1"/>
                <w:color w:val="auto"/>
              </w:rPr>
            </w:pPr>
          </w:p>
        </w:tc>
        <w:tc>
          <w:tcPr>
            <w:tcW w:w="9400" w:type="dxa"/>
            <w:vAlign w:val="bottom"/>
            <w:tcBorders>
              <w:top w:val="single" w:sz="8" w:color="E5FFFF"/>
            </w:tcBorders>
            <w:shd w:val="clear" w:color="auto" w:fill="E5FFFF"/>
          </w:tcPr>
          <w:p>
            <w:pPr>
              <w:spacing w:after="0" w:line="20" w:lineRule="exact"/>
              <w:rPr>
                <w:sz w:val="1"/>
                <w:szCs w:val="1"/>
                <w:color w:val="auto"/>
              </w:rPr>
            </w:pPr>
          </w:p>
        </w:tc>
        <w:tc>
          <w:tcPr>
            <w:tcW w:w="1600" w:type="dxa"/>
            <w:vAlign w:val="bottom"/>
            <w:tcBorders>
              <w:top w:val="single" w:sz="8" w:color="E5FFFF"/>
            </w:tcBorders>
            <w:shd w:val="clear" w:color="auto" w:fill="E5FF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700" w:type="dxa"/>
            <w:vAlign w:val="bottom"/>
            <w:gridSpan w:val="2"/>
          </w:tcPr>
          <w:p>
            <w:pPr>
              <w:spacing w:after="0"/>
              <w:rPr>
                <w:sz w:val="20"/>
                <w:szCs w:val="20"/>
                <w:color w:val="auto"/>
              </w:rPr>
            </w:pPr>
            <w:r>
              <w:rPr>
                <w:rFonts w:ascii="Arial" w:cs="Arial" w:eastAsia="Arial" w:hAnsi="Arial"/>
                <w:sz w:val="16"/>
                <w:szCs w:val="16"/>
                <w:color w:val="auto"/>
              </w:rPr>
              <w:t>As of January 1, 2019</w:t>
            </w:r>
          </w:p>
        </w:tc>
        <w:tc>
          <w:tcPr>
            <w:tcW w:w="1600" w:type="dxa"/>
            <w:vAlign w:val="bottom"/>
          </w:tcPr>
          <w:p>
            <w:pPr>
              <w:jc w:val="right"/>
              <w:spacing w:after="0"/>
              <w:rPr>
                <w:sz w:val="20"/>
                <w:szCs w:val="20"/>
                <w:color w:val="auto"/>
              </w:rPr>
            </w:pPr>
            <w:r>
              <w:rPr>
                <w:rFonts w:ascii="Arial" w:cs="Arial" w:eastAsia="Arial" w:hAnsi="Arial"/>
                <w:sz w:val="16"/>
                <w:szCs w:val="16"/>
                <w:color w:val="auto"/>
              </w:rPr>
              <w:t>2,859,265</w:t>
            </w: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Additions</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5,451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tcPr>
          <w:p>
            <w:pPr>
              <w:spacing w:after="0"/>
              <w:rPr>
                <w:sz w:val="20"/>
                <w:szCs w:val="20"/>
                <w:color w:val="auto"/>
              </w:rPr>
            </w:pPr>
            <w:r>
              <w:rPr>
                <w:rFonts w:ascii="Arial" w:cs="Arial" w:eastAsia="Arial" w:hAnsi="Arial"/>
                <w:sz w:val="16"/>
                <w:szCs w:val="16"/>
                <w:color w:val="auto"/>
              </w:rPr>
              <w:t>Return of capital expenditures</w:t>
            </w:r>
          </w:p>
        </w:tc>
        <w:tc>
          <w:tcPr>
            <w:tcW w:w="1600" w:type="dxa"/>
            <w:vAlign w:val="bottom"/>
          </w:tcPr>
          <w:p>
            <w:pPr>
              <w:jc w:val="right"/>
              <w:spacing w:after="0"/>
              <w:rPr>
                <w:sz w:val="20"/>
                <w:szCs w:val="20"/>
                <w:color w:val="auto"/>
              </w:rPr>
            </w:pPr>
            <w:r>
              <w:rPr>
                <w:rFonts w:ascii="Arial" w:cs="Arial" w:eastAsia="Arial" w:hAnsi="Arial"/>
                <w:sz w:val="16"/>
                <w:szCs w:val="16"/>
                <w:color w:val="auto"/>
              </w:rPr>
              <w:t>(8,007</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Fully amortized dry-docking component</w:t>
            </w: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0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b w:val="1"/>
                <w:bCs w:val="1"/>
                <w:color w:val="auto"/>
              </w:rPr>
              <w:t>As of September 30, 2019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2,854,209</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940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700" w:type="dxa"/>
            <w:vAlign w:val="bottom"/>
            <w:gridSpan w:val="2"/>
          </w:tcPr>
          <w:p>
            <w:pPr>
              <w:spacing w:after="0"/>
              <w:rPr>
                <w:sz w:val="20"/>
                <w:szCs w:val="20"/>
                <w:color w:val="auto"/>
              </w:rPr>
            </w:pPr>
            <w:r>
              <w:rPr>
                <w:rFonts w:ascii="Arial" w:cs="Arial" w:eastAsia="Arial" w:hAnsi="Arial"/>
                <w:sz w:val="16"/>
                <w:szCs w:val="16"/>
                <w:b w:val="1"/>
                <w:bCs w:val="1"/>
                <w:color w:val="auto"/>
              </w:rPr>
              <w:t>Accumulated depreciation</w:t>
            </w: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As of January 1, 2019</w:t>
            </w:r>
          </w:p>
        </w:tc>
        <w:tc>
          <w:tcPr>
            <w:tcW w:w="16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349,982</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tcPr>
          <w:p>
            <w:pPr>
              <w:spacing w:after="0"/>
              <w:rPr>
                <w:sz w:val="20"/>
                <w:szCs w:val="20"/>
                <w:color w:val="auto"/>
              </w:rPr>
            </w:pPr>
            <w:r>
              <w:rPr>
                <w:rFonts w:ascii="Arial" w:cs="Arial" w:eastAsia="Arial" w:hAnsi="Arial"/>
                <w:sz w:val="16"/>
                <w:szCs w:val="16"/>
                <w:color w:val="auto"/>
              </w:rPr>
              <w:t>Depreciation expense</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66,413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Fully amortized dry-docking component</w:t>
            </w:r>
          </w:p>
        </w:tc>
        <w:tc>
          <w:tcPr>
            <w:tcW w:w="170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0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b w:val="1"/>
                <w:bCs w:val="1"/>
                <w:color w:val="auto"/>
              </w:rPr>
              <w:t>As of September 30, 2019</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413,895</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940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70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b w:val="1"/>
                <w:bCs w:val="1"/>
                <w:color w:val="auto"/>
              </w:rPr>
              <w:t>Net book value</w:t>
            </w:r>
          </w:p>
        </w:tc>
        <w:tc>
          <w:tcPr>
            <w:tcW w:w="1600" w:type="dxa"/>
            <w:vAlign w:val="bottom"/>
            <w:tcBorders>
              <w:bottom w:val="single" w:sz="8" w:color="auto"/>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0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As of December 31, 2018</w:t>
            </w: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2,509,283</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00" w:type="dxa"/>
            <w:vAlign w:val="bottom"/>
            <w:gridSpan w:val="2"/>
          </w:tcPr>
          <w:p>
            <w:pPr>
              <w:spacing w:after="0"/>
              <w:rPr>
                <w:sz w:val="20"/>
                <w:szCs w:val="20"/>
                <w:color w:val="auto"/>
              </w:rPr>
            </w:pPr>
            <w:r>
              <w:rPr>
                <w:rFonts w:ascii="Arial" w:cs="Arial" w:eastAsia="Arial" w:hAnsi="Arial"/>
                <w:sz w:val="16"/>
                <w:szCs w:val="16"/>
                <w:b w:val="1"/>
                <w:bCs w:val="1"/>
                <w:color w:val="auto"/>
              </w:rPr>
              <w:t>As of September 30, 2019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2,440,314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All vessels have been pledged as collateral under the terms of the Partnership’s bank loan agreements.</w:t>
      </w:r>
    </w:p>
    <w:p>
      <w:pPr>
        <w:spacing w:after="0" w:line="235" w:lineRule="exact"/>
        <w:rPr>
          <w:sz w:val="20"/>
          <w:szCs w:val="20"/>
          <w:color w:val="auto"/>
        </w:rPr>
      </w:pPr>
    </w:p>
    <w:p>
      <w:pPr>
        <w:ind w:right="260" w:firstLine="383"/>
        <w:spacing w:after="0" w:line="297" w:lineRule="auto"/>
        <w:rPr>
          <w:sz w:val="20"/>
          <w:szCs w:val="20"/>
          <w:color w:val="auto"/>
        </w:rPr>
      </w:pPr>
      <w:r>
        <w:rPr>
          <w:rFonts w:ascii="Arial" w:cs="Arial" w:eastAsia="Arial" w:hAnsi="Arial"/>
          <w:sz w:val="15"/>
          <w:szCs w:val="15"/>
          <w:color w:val="auto"/>
        </w:rPr>
        <w:t>In April and May 2017, GasLog LNG Services entered into agreements in relation to investments in certain of the Partnership’s and GasLog’s vessels, with the aim of enhancing their operational performance. On March 7, 2019, GasLog LNG Services and one of its suppliers signed an interim agreement regarding the reimbursement of amounts already paid by the Partnership in respect of the aforementioned enhancements, which were not timely delivered. In accordance with the terms of this agreement, $7,465 was reimbursed to the Partnership, with realized foreign exchange losses of $542 recognized in profit or loss (Note 14).</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Leases</w:t>
      </w:r>
    </w:p>
    <w:p>
      <w:pPr>
        <w:spacing w:after="0" w:line="239" w:lineRule="exact"/>
        <w:rPr>
          <w:sz w:val="20"/>
          <w:szCs w:val="20"/>
          <w:color w:val="auto"/>
        </w:rPr>
      </w:pPr>
    </w:p>
    <w:p>
      <w:pPr>
        <w:ind w:right="40" w:firstLine="396"/>
        <w:spacing w:after="0" w:line="278" w:lineRule="auto"/>
        <w:rPr>
          <w:sz w:val="20"/>
          <w:szCs w:val="20"/>
          <w:color w:val="auto"/>
        </w:rPr>
      </w:pPr>
      <w:r>
        <w:rPr>
          <w:rFonts w:ascii="Arial" w:cs="Arial" w:eastAsia="Arial" w:hAnsi="Arial"/>
          <w:sz w:val="16"/>
          <w:szCs w:val="16"/>
          <w:color w:val="auto"/>
        </w:rPr>
        <w:t xml:space="preserve">On adoption of IFRS 16, the Partnership recognised lease liabilities in relation to leases of vessel communication equipment which had previously been classified as operating leases under IAS 17 </w:t>
      </w:r>
      <w:r>
        <w:rPr>
          <w:rFonts w:ascii="Arial" w:cs="Arial" w:eastAsia="Arial" w:hAnsi="Arial"/>
          <w:sz w:val="16"/>
          <w:szCs w:val="16"/>
          <w:i w:val="1"/>
          <w:iCs w:val="1"/>
          <w:color w:val="auto"/>
        </w:rPr>
        <w:t>Leases</w:t>
      </w:r>
      <w:r>
        <w:rPr>
          <w:rFonts w:ascii="Arial" w:cs="Arial" w:eastAsia="Arial" w:hAnsi="Arial"/>
          <w:sz w:val="16"/>
          <w:szCs w:val="16"/>
          <w:color w:val="auto"/>
        </w:rPr>
        <w:t>. As of January 1, 2019, these liabilities were measured at the present value of the remaining lease payments, discounted using a weighted average incremental borrowing rate of 4.8%.</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movements in right-of use assets and lease liabilities are reported in the following tables: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640" w:type="dxa"/>
            <w:vAlign w:val="bottom"/>
            <w:gridSpan w:val="3"/>
          </w:tcPr>
          <w:p>
            <w:pPr>
              <w:ind w:left="200"/>
              <w:spacing w:after="0"/>
              <w:rPr>
                <w:sz w:val="20"/>
                <w:szCs w:val="20"/>
                <w:color w:val="auto"/>
              </w:rPr>
            </w:pPr>
            <w:r>
              <w:rPr>
                <w:rFonts w:ascii="Arial" w:cs="Arial" w:eastAsia="Arial" w:hAnsi="Arial"/>
                <w:sz w:val="16"/>
                <w:szCs w:val="16"/>
                <w:b w:val="1"/>
                <w:bCs w:val="1"/>
                <w:color w:val="auto"/>
              </w:rPr>
              <w:t>Vessel equipment</w:t>
            </w:r>
          </w:p>
        </w:tc>
      </w:tr>
      <w:tr>
        <w:trPr>
          <w:trHeight w:val="169"/>
        </w:trPr>
        <w:tc>
          <w:tcPr>
            <w:tcW w:w="20" w:type="dxa"/>
            <w:vAlign w:val="bottom"/>
          </w:tcPr>
          <w:p>
            <w:pPr>
              <w:spacing w:after="0"/>
              <w:rPr>
                <w:sz w:val="14"/>
                <w:szCs w:val="14"/>
                <w:color w:val="auto"/>
              </w:rPr>
            </w:pPr>
          </w:p>
        </w:tc>
        <w:tc>
          <w:tcPr>
            <w:tcW w:w="1280" w:type="dxa"/>
            <w:vAlign w:val="bottom"/>
            <w:tcBorders>
              <w:top w:val="single" w:sz="8" w:color="E5FFFF"/>
              <w:bottom w:val="single" w:sz="8" w:color="auto"/>
            </w:tcBorders>
            <w:shd w:val="clear" w:color="auto" w:fill="E5FFFF"/>
          </w:tcPr>
          <w:p>
            <w:pPr>
              <w:spacing w:after="0" w:line="148" w:lineRule="exact"/>
              <w:rPr>
                <w:sz w:val="20"/>
                <w:szCs w:val="20"/>
                <w:color w:val="auto"/>
              </w:rPr>
            </w:pPr>
            <w:r>
              <w:rPr>
                <w:rFonts w:ascii="Arial" w:cs="Arial" w:eastAsia="Arial" w:hAnsi="Arial"/>
                <w:sz w:val="16"/>
                <w:szCs w:val="16"/>
                <w:b w:val="1"/>
                <w:bCs w:val="1"/>
                <w:color w:val="auto"/>
                <w:w w:val="84"/>
              </w:rPr>
              <w:t>Right-of-use assets</w:t>
            </w:r>
          </w:p>
        </w:tc>
        <w:tc>
          <w:tcPr>
            <w:tcW w:w="8420" w:type="dxa"/>
            <w:vAlign w:val="bottom"/>
            <w:tcBorders>
              <w:top w:val="single" w:sz="8" w:color="E5FFFF"/>
              <w:bottom w:val="single" w:sz="8" w:color="E5FFFF"/>
            </w:tcBorders>
            <w:shd w:val="clear" w:color="auto" w:fill="E5FFFF"/>
          </w:tcPr>
          <w:p>
            <w:pPr>
              <w:spacing w:after="0"/>
              <w:rPr>
                <w:sz w:val="14"/>
                <w:szCs w:val="14"/>
                <w:color w:val="auto"/>
              </w:rPr>
            </w:pPr>
          </w:p>
        </w:tc>
        <w:tc>
          <w:tcPr>
            <w:tcW w:w="1600" w:type="dxa"/>
            <w:vAlign w:val="bottom"/>
            <w:tcBorders>
              <w:top w:val="single" w:sz="8" w:color="auto"/>
              <w:bottom w:val="single" w:sz="8" w:color="E5FFFF"/>
            </w:tcBorders>
            <w:shd w:val="clear" w:color="auto" w:fill="E5FFFF"/>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tcPr>
          <w:p>
            <w:pPr>
              <w:spacing w:after="0"/>
              <w:rPr>
                <w:sz w:val="20"/>
                <w:szCs w:val="20"/>
                <w:color w:val="auto"/>
              </w:rPr>
            </w:pPr>
            <w:r>
              <w:rPr>
                <w:rFonts w:ascii="Arial" w:cs="Arial" w:eastAsia="Arial" w:hAnsi="Arial"/>
                <w:sz w:val="16"/>
                <w:szCs w:val="16"/>
                <w:color w:val="auto"/>
              </w:rPr>
              <w:t>As of January 1, 2019</w:t>
            </w:r>
          </w:p>
        </w:tc>
        <w:tc>
          <w:tcPr>
            <w:tcW w:w="1600" w:type="dxa"/>
            <w:vAlign w:val="bottom"/>
          </w:tcPr>
          <w:p>
            <w:pPr>
              <w:jc w:val="right"/>
              <w:spacing w:after="0"/>
              <w:rPr>
                <w:sz w:val="20"/>
                <w:szCs w:val="20"/>
                <w:color w:val="auto"/>
              </w:rPr>
            </w:pPr>
            <w:r>
              <w:rPr>
                <w:rFonts w:ascii="Arial" w:cs="Arial" w:eastAsia="Arial" w:hAnsi="Arial"/>
                <w:sz w:val="16"/>
                <w:szCs w:val="16"/>
                <w:color w:val="auto"/>
              </w:rPr>
              <w:t>1,585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Depreciation expense</w:t>
            </w: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700" w:type="dxa"/>
            <w:vAlign w:val="bottom"/>
            <w:gridSpan w:val="2"/>
          </w:tcPr>
          <w:p>
            <w:pPr>
              <w:spacing w:after="0"/>
              <w:rPr>
                <w:sz w:val="20"/>
                <w:szCs w:val="20"/>
                <w:color w:val="auto"/>
              </w:rPr>
            </w:pPr>
            <w:r>
              <w:rPr>
                <w:rFonts w:ascii="Arial" w:cs="Arial" w:eastAsia="Arial" w:hAnsi="Arial"/>
                <w:sz w:val="16"/>
                <w:szCs w:val="16"/>
                <w:b w:val="1"/>
                <w:bCs w:val="1"/>
                <w:color w:val="auto"/>
              </w:rPr>
              <w:t>As of September 30, 2019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1,172</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060" w:type="dxa"/>
            <w:vAlign w:val="bottom"/>
            <w:tcBorders>
              <w:bottom w:val="single" w:sz="8" w:color="auto"/>
            </w:tcBorders>
            <w:shd w:val="clear" w:color="auto" w:fill="E5FFFF"/>
          </w:tcPr>
          <w:p>
            <w:pPr>
              <w:spacing w:after="0"/>
              <w:rPr>
                <w:sz w:val="20"/>
                <w:szCs w:val="20"/>
                <w:color w:val="auto"/>
              </w:rPr>
            </w:pPr>
            <w:r>
              <w:rPr>
                <w:rFonts w:ascii="Arial" w:cs="Arial" w:eastAsia="Arial" w:hAnsi="Arial"/>
                <w:sz w:val="16"/>
                <w:szCs w:val="16"/>
                <w:b w:val="1"/>
                <w:bCs w:val="1"/>
                <w:color w:val="auto"/>
                <w:w w:val="87"/>
              </w:rPr>
              <w:t>Lease liabilities</w:t>
            </w:r>
          </w:p>
        </w:tc>
        <w:tc>
          <w:tcPr>
            <w:tcW w:w="8640" w:type="dxa"/>
            <w:vAlign w:val="bottom"/>
            <w:tcBorders>
              <w:bottom w:val="single" w:sz="8" w:color="E5FFFF"/>
            </w:tcBorders>
            <w:shd w:val="clear" w:color="auto" w:fill="E5FFFF"/>
          </w:tcPr>
          <w:p>
            <w:pPr>
              <w:spacing w:after="0"/>
              <w:rPr>
                <w:sz w:val="17"/>
                <w:szCs w:val="17"/>
                <w:color w:val="auto"/>
              </w:rPr>
            </w:pPr>
          </w:p>
        </w:tc>
        <w:tc>
          <w:tcPr>
            <w:tcW w:w="1600" w:type="dxa"/>
            <w:vAlign w:val="bottom"/>
            <w:tcBorders>
              <w:bottom w:val="single" w:sz="8" w:color="E5FFFF"/>
            </w:tcBorders>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tcPr>
          <w:p>
            <w:pPr>
              <w:spacing w:after="0"/>
              <w:rPr>
                <w:sz w:val="20"/>
                <w:szCs w:val="20"/>
                <w:color w:val="auto"/>
              </w:rPr>
            </w:pPr>
            <w:r>
              <w:rPr>
                <w:rFonts w:ascii="Arial" w:cs="Arial" w:eastAsia="Arial" w:hAnsi="Arial"/>
                <w:sz w:val="16"/>
                <w:szCs w:val="16"/>
                <w:color w:val="auto"/>
              </w:rPr>
              <w:t>As of January 1, 2019</w:t>
            </w:r>
          </w:p>
        </w:tc>
        <w:tc>
          <w:tcPr>
            <w:tcW w:w="1600" w:type="dxa"/>
            <w:vAlign w:val="bottom"/>
          </w:tcPr>
          <w:p>
            <w:pPr>
              <w:jc w:val="right"/>
              <w:spacing w:after="0"/>
              <w:rPr>
                <w:sz w:val="20"/>
                <w:szCs w:val="20"/>
                <w:color w:val="auto"/>
              </w:rPr>
            </w:pPr>
            <w:r>
              <w:rPr>
                <w:rFonts w:ascii="Arial" w:cs="Arial" w:eastAsia="Arial" w:hAnsi="Arial"/>
                <w:sz w:val="16"/>
                <w:szCs w:val="16"/>
                <w:color w:val="auto"/>
              </w:rPr>
              <w:t>1,393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Lease expense (Note 13)</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70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color w:val="auto"/>
              </w:rPr>
              <w:t>Payments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70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As of September 30, 2019</w:t>
            </w: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700" w:type="dxa"/>
            <w:vAlign w:val="bottom"/>
            <w:gridSpan w:val="2"/>
          </w:tcPr>
          <w:p>
            <w:pPr>
              <w:spacing w:after="0"/>
              <w:rPr>
                <w:sz w:val="20"/>
                <w:szCs w:val="20"/>
                <w:color w:val="auto"/>
              </w:rPr>
            </w:pPr>
            <w:r>
              <w:rPr>
                <w:rFonts w:ascii="Arial" w:cs="Arial" w:eastAsia="Arial" w:hAnsi="Arial"/>
                <w:sz w:val="16"/>
                <w:szCs w:val="16"/>
                <w:color w:val="auto"/>
              </w:rPr>
              <w:t>Lease liabilities, current portion</w:t>
            </w:r>
          </w:p>
        </w:tc>
        <w:tc>
          <w:tcPr>
            <w:tcW w:w="1600" w:type="dxa"/>
            <w:vAlign w:val="bottom"/>
          </w:tcPr>
          <w:p>
            <w:pPr>
              <w:jc w:val="right"/>
              <w:spacing w:after="0"/>
              <w:rPr>
                <w:sz w:val="20"/>
                <w:szCs w:val="20"/>
                <w:color w:val="auto"/>
              </w:rPr>
            </w:pPr>
            <w:r>
              <w:rPr>
                <w:rFonts w:ascii="Arial" w:cs="Arial" w:eastAsia="Arial" w:hAnsi="Arial"/>
                <w:sz w:val="16"/>
                <w:szCs w:val="16"/>
                <w:color w:val="auto"/>
              </w:rPr>
              <w:t>471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Lease liabilities, non-current portion</w:t>
            </w: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531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70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1,002</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Partners’ Equity</w:t>
      </w:r>
    </w:p>
    <w:p>
      <w:pPr>
        <w:spacing w:after="0" w:line="239" w:lineRule="exact"/>
        <w:rPr>
          <w:sz w:val="20"/>
          <w:szCs w:val="20"/>
          <w:color w:val="auto"/>
        </w:rPr>
      </w:pPr>
    </w:p>
    <w:p>
      <w:pPr>
        <w:ind w:right="80" w:firstLine="324"/>
        <w:spacing w:after="0" w:line="273" w:lineRule="auto"/>
        <w:rPr>
          <w:sz w:val="20"/>
          <w:szCs w:val="20"/>
          <w:color w:val="auto"/>
        </w:rPr>
      </w:pPr>
      <w:r>
        <w:rPr>
          <w:rFonts w:ascii="Arial" w:cs="Arial" w:eastAsia="Arial" w:hAnsi="Arial"/>
          <w:sz w:val="16"/>
          <w:szCs w:val="16"/>
          <w:color w:val="auto"/>
        </w:rPr>
        <w:t>On January 29, 2019, the board of directors of GasLog Partners authorized a unit repurchase programme of up to $25,000 covering the period January 31, 2019 to December 31, 2021. Under the terms of the repurchase programme, GasLog Partners may repurchase common units from time to time, at its discretion, on the open market or in privately negotiated transactions. During the nine months ended September 30, 2019, GasLog Partners repurchased and cancelled 985,259 common units at a weighted average price of $20.31 per common unit, for a total cost of $20,030 including commissions.</w:t>
      </w:r>
    </w:p>
    <w:p>
      <w:pPr>
        <w:spacing w:after="0" w:line="189" w:lineRule="exact"/>
        <w:rPr>
          <w:sz w:val="20"/>
          <w:szCs w:val="20"/>
          <w:color w:val="auto"/>
        </w:rPr>
      </w:pPr>
    </w:p>
    <w:p>
      <w:pPr>
        <w:ind w:right="40" w:firstLine="324"/>
        <w:spacing w:after="0" w:line="329" w:lineRule="auto"/>
        <w:rPr>
          <w:sz w:val="20"/>
          <w:szCs w:val="20"/>
          <w:color w:val="auto"/>
        </w:rPr>
      </w:pPr>
      <w:r>
        <w:rPr>
          <w:rFonts w:ascii="Arial" w:cs="Arial" w:eastAsia="Arial" w:hAnsi="Arial"/>
          <w:sz w:val="15"/>
          <w:szCs w:val="15"/>
          <w:color w:val="auto"/>
        </w:rPr>
        <w:t>On February 26, 2019, the Partnership entered into a Third Amended and Restated Equity Distribution Agreement to further increase the size of the ATM common equity offering programme (“ATM Programme”) from $144,000 to $250,000. As of September 30, 2019, the unutilized portion of the ATM Programme is $126,556.</w:t>
      </w:r>
    </w:p>
    <w:p>
      <w:pPr>
        <w:spacing w:after="0" w:line="148"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On April 1, 2019, GasLog Partners issued 49,850 common units in connection with the vesting of 24,925 Restricted Common Units (“RCUs”) and 24,925 Performance Common Units (“PCUs”) under its 2015 Long-Term Incentive Plan (the “2015 Plan”).</w:t>
      </w:r>
    </w:p>
    <w:p>
      <w:pPr>
        <w:spacing w:after="0" w:line="172" w:lineRule="exact"/>
        <w:rPr>
          <w:sz w:val="20"/>
          <w:szCs w:val="20"/>
          <w:color w:val="auto"/>
        </w:rPr>
      </w:pPr>
    </w:p>
    <w:p>
      <w:pPr>
        <w:ind w:firstLine="256"/>
        <w:spacing w:after="0" w:line="315" w:lineRule="auto"/>
        <w:rPr>
          <w:sz w:val="20"/>
          <w:szCs w:val="20"/>
          <w:color w:val="auto"/>
        </w:rPr>
      </w:pPr>
      <w:r>
        <w:rPr>
          <w:rFonts w:ascii="Arial" w:cs="Arial" w:eastAsia="Arial" w:hAnsi="Arial"/>
          <w:sz w:val="14"/>
          <w:szCs w:val="14"/>
          <w:color w:val="auto"/>
        </w:rPr>
        <w:t>On June 24, 2019, the Partnership Agreement was amended to eliminate the IDRs, effective as of June 30, 2019, in exchange for the issuance by the Partnership to GasLog of 2,532,911 common units and 2,490,000 Class B units (of which 415,000 are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distributions until such time as GasLog exercises its right to convert the Class B units to common units. The Class B units will become eligible for conversion on a one-for-one basis into common units at GasLog’s option on July 1, 2020, July 1, 2021, July 1, 2022, July 1, 2023, July 1, 2024 and July 1, 2025 for the Class B-1 units, Class B-2 units, Class B-3 units, Class B-4 units, Class B-5 units and Class B-6 units, respectively (refer also to Note 16).</w:t>
      </w:r>
    </w:p>
    <w:p>
      <w:pPr>
        <w:spacing w:after="0" w:line="164"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With respect to the aforementioned transactions during the period, the Partnership also issued 93,804 general partner units to its general partner in order for GasLog to retain its 2.0% general partner interest. The net proceeds from the issuance of the general partner units were $1,996.</w:t>
      </w:r>
    </w:p>
    <w:p>
      <w:pPr>
        <w:spacing w:after="0" w:line="104" w:lineRule="exact"/>
        <w:rPr>
          <w:sz w:val="20"/>
          <w:szCs w:val="20"/>
          <w:color w:val="auto"/>
        </w:rPr>
      </w:pPr>
    </w:p>
    <w:p>
      <w:pPr>
        <w:ind w:right="440" w:firstLine="324"/>
        <w:spacing w:after="0" w:line="293" w:lineRule="auto"/>
        <w:rPr>
          <w:sz w:val="20"/>
          <w:szCs w:val="20"/>
          <w:color w:val="auto"/>
        </w:rPr>
      </w:pPr>
      <w:r>
        <w:rPr>
          <w:rFonts w:ascii="Arial" w:cs="Arial" w:eastAsia="Arial" w:hAnsi="Arial"/>
          <w:sz w:val="16"/>
          <w:szCs w:val="16"/>
          <w:color w:val="auto"/>
        </w:rPr>
        <w:t>The following table illustrates the percentage allocation of the additional available cash from operating surplus after the payment of preference unit distributions, in respect to such rights, until the IDR elimination on June 30, 2019: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60" w:type="dxa"/>
            <w:vAlign w:val="bottom"/>
          </w:tcPr>
          <w:p>
            <w:pPr>
              <w:spacing w:after="0"/>
              <w:rPr>
                <w:sz w:val="18"/>
                <w:szCs w:val="18"/>
                <w:color w:val="auto"/>
              </w:rPr>
            </w:pPr>
          </w:p>
        </w:tc>
        <w:tc>
          <w:tcPr>
            <w:tcW w:w="5620" w:type="dxa"/>
            <w:vAlign w:val="bottom"/>
            <w:tcBorders>
              <w:bottom w:val="single" w:sz="8" w:color="auto"/>
            </w:tcBorders>
            <w:gridSpan w:val="6"/>
          </w:tcPr>
          <w:p>
            <w:pPr>
              <w:ind w:left="1860"/>
              <w:spacing w:after="0"/>
              <w:rPr>
                <w:sz w:val="20"/>
                <w:szCs w:val="20"/>
                <w:color w:val="auto"/>
              </w:rPr>
            </w:pPr>
            <w:r>
              <w:rPr>
                <w:rFonts w:ascii="Arial" w:cs="Arial" w:eastAsia="Arial" w:hAnsi="Arial"/>
                <w:sz w:val="16"/>
                <w:szCs w:val="16"/>
                <w:b w:val="1"/>
                <w:bCs w:val="1"/>
                <w:color w:val="auto"/>
              </w:rPr>
              <w:t>Marginal Percentage Interest in Distributions</w:t>
            </w:r>
          </w:p>
        </w:tc>
        <w:tc>
          <w:tcPr>
            <w:tcW w:w="1240" w:type="dxa"/>
            <w:vAlign w:val="bottom"/>
            <w:tcBorders>
              <w:bottom w:val="single" w:sz="8" w:color="auto"/>
            </w:tcBorders>
          </w:tcPr>
          <w:p>
            <w:pPr>
              <w:spacing w:after="0"/>
              <w:rPr>
                <w:sz w:val="18"/>
                <w:szCs w:val="18"/>
                <w:color w:val="auto"/>
              </w:rPr>
            </w:pPr>
          </w:p>
        </w:tc>
      </w:tr>
      <w:tr>
        <w:trPr>
          <w:trHeight w:val="185"/>
        </w:trPr>
        <w:tc>
          <w:tcPr>
            <w:tcW w:w="4460" w:type="dxa"/>
            <w:vAlign w:val="bottom"/>
          </w:tcPr>
          <w:p>
            <w:pPr>
              <w:spacing w:after="0"/>
              <w:rPr>
                <w:sz w:val="16"/>
                <w:szCs w:val="16"/>
                <w:color w:val="auto"/>
              </w:rPr>
            </w:pPr>
          </w:p>
        </w:tc>
        <w:tc>
          <w:tcPr>
            <w:tcW w:w="28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Total Quarterly</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3"/>
        </w:trPr>
        <w:tc>
          <w:tcPr>
            <w:tcW w:w="4460" w:type="dxa"/>
            <w:vAlign w:val="bottom"/>
          </w:tcPr>
          <w:p>
            <w:pPr>
              <w:spacing w:after="0"/>
              <w:rPr>
                <w:sz w:val="17"/>
                <w:szCs w:val="17"/>
                <w:color w:val="auto"/>
              </w:rPr>
            </w:pPr>
          </w:p>
        </w:tc>
        <w:tc>
          <w:tcPr>
            <w:tcW w:w="28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Distribution</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Arial" w:cs="Arial" w:eastAsia="Arial" w:hAnsi="Arial"/>
                <w:sz w:val="16"/>
                <w:szCs w:val="16"/>
                <w:b w:val="1"/>
                <w:bCs w:val="1"/>
                <w:color w:val="auto"/>
              </w:rPr>
              <w:t>General</w:t>
            </w: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rPr>
              <w:t>Holders of</w:t>
            </w:r>
          </w:p>
        </w:tc>
      </w:tr>
      <w:tr>
        <w:trPr>
          <w:trHeight w:val="210"/>
        </w:trPr>
        <w:tc>
          <w:tcPr>
            <w:tcW w:w="4460" w:type="dxa"/>
            <w:vAlign w:val="bottom"/>
          </w:tcPr>
          <w:p>
            <w:pPr>
              <w:spacing w:after="0"/>
              <w:rPr>
                <w:sz w:val="18"/>
                <w:szCs w:val="18"/>
                <w:color w:val="auto"/>
              </w:rPr>
            </w:pPr>
          </w:p>
        </w:tc>
        <w:tc>
          <w:tcPr>
            <w:tcW w:w="28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Target Amount</w:t>
            </w:r>
          </w:p>
        </w:tc>
        <w:tc>
          <w:tcPr>
            <w:tcW w:w="1560" w:type="dxa"/>
            <w:vAlign w:val="bottom"/>
            <w:gridSpan w:val="2"/>
          </w:tcPr>
          <w:p>
            <w:pPr>
              <w:ind w:left="280"/>
              <w:spacing w:after="0"/>
              <w:rPr>
                <w:sz w:val="20"/>
                <w:szCs w:val="20"/>
                <w:color w:val="auto"/>
              </w:rPr>
            </w:pPr>
            <w:r>
              <w:rPr>
                <w:rFonts w:ascii="Arial" w:cs="Arial" w:eastAsia="Arial" w:hAnsi="Arial"/>
                <w:sz w:val="16"/>
                <w:szCs w:val="16"/>
                <w:b w:val="1"/>
                <w:bCs w:val="1"/>
                <w:color w:val="auto"/>
              </w:rPr>
              <w:t>Unitholders</w:t>
            </w: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Partner</w:t>
            </w:r>
          </w:p>
        </w:tc>
        <w:tc>
          <w:tcPr>
            <w:tcW w:w="1240" w:type="dxa"/>
            <w:vAlign w:val="bottom"/>
          </w:tcPr>
          <w:p>
            <w:pPr>
              <w:jc w:val="right"/>
              <w:ind w:right="359"/>
              <w:spacing w:after="0"/>
              <w:rPr>
                <w:sz w:val="20"/>
                <w:szCs w:val="20"/>
                <w:color w:val="auto"/>
              </w:rPr>
            </w:pPr>
            <w:r>
              <w:rPr>
                <w:rFonts w:ascii="Arial" w:cs="Arial" w:eastAsia="Arial" w:hAnsi="Arial"/>
                <w:sz w:val="16"/>
                <w:szCs w:val="16"/>
                <w:b w:val="1"/>
                <w:bCs w:val="1"/>
                <w:color w:val="auto"/>
              </w:rPr>
              <w:t>IDRs</w:t>
            </w:r>
          </w:p>
        </w:tc>
      </w:tr>
      <w:tr>
        <w:trPr>
          <w:trHeight w:val="202"/>
        </w:trPr>
        <w:tc>
          <w:tcPr>
            <w:tcW w:w="4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Minimum Quarterly Distribution</w:t>
            </w:r>
          </w:p>
        </w:tc>
        <w:tc>
          <w:tcPr>
            <w:tcW w:w="26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$0.375</w:t>
            </w:r>
          </w:p>
        </w:tc>
        <w:tc>
          <w:tcPr>
            <w:tcW w:w="1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ind w:right="239"/>
              <w:spacing w:after="0"/>
              <w:rPr>
                <w:sz w:val="20"/>
                <w:szCs w:val="20"/>
                <w:color w:val="auto"/>
              </w:rPr>
            </w:pPr>
            <w:r>
              <w:rPr>
                <w:rFonts w:ascii="Arial" w:cs="Arial" w:eastAsia="Arial" w:hAnsi="Arial"/>
                <w:sz w:val="16"/>
                <w:szCs w:val="16"/>
                <w:color w:val="auto"/>
              </w:rPr>
              <w:t>98.0%</w:t>
            </w:r>
          </w:p>
        </w:tc>
        <w:tc>
          <w:tcPr>
            <w:tcW w:w="180" w:type="dxa"/>
            <w:vAlign w:val="bottom"/>
            <w:tcBorders>
              <w:top w:val="single" w:sz="8" w:color="E5FFFF"/>
            </w:tcBorders>
            <w:shd w:val="clear" w:color="auto" w:fill="E5FFFF"/>
          </w:tcPr>
          <w:p>
            <w:pPr>
              <w:spacing w:after="0"/>
              <w:rPr>
                <w:sz w:val="17"/>
                <w:szCs w:val="17"/>
                <w:color w:val="auto"/>
              </w:rPr>
            </w:pPr>
          </w:p>
        </w:tc>
        <w:tc>
          <w:tcPr>
            <w:tcW w:w="1080" w:type="dxa"/>
            <w:vAlign w:val="bottom"/>
            <w:tcBorders>
              <w:top w:val="single" w:sz="8" w:color="auto"/>
            </w:tcBorders>
            <w:shd w:val="clear" w:color="auto" w:fill="E5FFFF"/>
          </w:tcPr>
          <w:p>
            <w:pPr>
              <w:jc w:val="right"/>
              <w:ind w:right="139"/>
              <w:spacing w:after="0"/>
              <w:rPr>
                <w:sz w:val="20"/>
                <w:szCs w:val="20"/>
                <w:color w:val="auto"/>
              </w:rPr>
            </w:pPr>
            <w:r>
              <w:rPr>
                <w:rFonts w:ascii="Arial" w:cs="Arial" w:eastAsia="Arial" w:hAnsi="Arial"/>
                <w:sz w:val="16"/>
                <w:szCs w:val="16"/>
                <w:color w:val="auto"/>
              </w:rPr>
              <w:t>2.0%</w:t>
            </w:r>
          </w:p>
        </w:tc>
        <w:tc>
          <w:tcPr>
            <w:tcW w:w="16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ind w:right="259"/>
              <w:spacing w:after="0"/>
              <w:rPr>
                <w:sz w:val="20"/>
                <w:szCs w:val="20"/>
                <w:color w:val="auto"/>
              </w:rPr>
            </w:pPr>
            <w:r>
              <w:rPr>
                <w:rFonts w:ascii="Arial" w:cs="Arial" w:eastAsia="Arial" w:hAnsi="Arial"/>
                <w:sz w:val="16"/>
                <w:szCs w:val="16"/>
                <w:color w:val="auto"/>
              </w:rPr>
              <w:t>0%</w:t>
            </w:r>
          </w:p>
        </w:tc>
      </w:tr>
      <w:tr>
        <w:trPr>
          <w:trHeight w:val="203"/>
        </w:trPr>
        <w:tc>
          <w:tcPr>
            <w:tcW w:w="4460" w:type="dxa"/>
            <w:vAlign w:val="bottom"/>
          </w:tcPr>
          <w:p>
            <w:pPr>
              <w:spacing w:after="0"/>
              <w:rPr>
                <w:sz w:val="20"/>
                <w:szCs w:val="20"/>
                <w:color w:val="auto"/>
              </w:rPr>
            </w:pPr>
            <w:r>
              <w:rPr>
                <w:rFonts w:ascii="Arial" w:cs="Arial" w:eastAsia="Arial" w:hAnsi="Arial"/>
                <w:sz w:val="16"/>
                <w:szCs w:val="16"/>
                <w:color w:val="auto"/>
              </w:rPr>
              <w:t>First Target Distribution</w:t>
            </w:r>
          </w:p>
        </w:tc>
        <w:tc>
          <w:tcPr>
            <w:tcW w:w="2820" w:type="dxa"/>
            <w:vAlign w:val="bottom"/>
            <w:gridSpan w:val="2"/>
          </w:tcPr>
          <w:p>
            <w:pPr>
              <w:jc w:val="right"/>
              <w:ind w:right="180"/>
              <w:spacing w:after="0"/>
              <w:rPr>
                <w:sz w:val="20"/>
                <w:szCs w:val="20"/>
                <w:color w:val="auto"/>
              </w:rPr>
            </w:pPr>
            <w:r>
              <w:rPr>
                <w:rFonts w:ascii="Arial" w:cs="Arial" w:eastAsia="Arial" w:hAnsi="Arial"/>
                <w:sz w:val="16"/>
                <w:szCs w:val="16"/>
                <w:color w:val="auto"/>
              </w:rPr>
              <w:t>$0.375 up to $0.43125</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98.0%</w:t>
            </w:r>
          </w:p>
        </w:tc>
        <w:tc>
          <w:tcPr>
            <w:tcW w:w="180" w:type="dxa"/>
            <w:vAlign w:val="bottom"/>
          </w:tcPr>
          <w:p>
            <w:pPr>
              <w:spacing w:after="0"/>
              <w:rPr>
                <w:sz w:val="17"/>
                <w:szCs w:val="17"/>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7"/>
                <w:szCs w:val="17"/>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0%</w:t>
            </w:r>
          </w:p>
        </w:tc>
      </w:tr>
      <w:tr>
        <w:trPr>
          <w:trHeight w:val="203"/>
        </w:trPr>
        <w:tc>
          <w:tcPr>
            <w:tcW w:w="4460" w:type="dxa"/>
            <w:vAlign w:val="bottom"/>
            <w:shd w:val="clear" w:color="auto" w:fill="E5FFFF"/>
          </w:tcPr>
          <w:p>
            <w:pPr>
              <w:spacing w:after="0"/>
              <w:rPr>
                <w:sz w:val="20"/>
                <w:szCs w:val="20"/>
                <w:color w:val="auto"/>
              </w:rPr>
            </w:pPr>
            <w:r>
              <w:rPr>
                <w:rFonts w:ascii="Arial" w:cs="Arial" w:eastAsia="Arial" w:hAnsi="Arial"/>
                <w:sz w:val="16"/>
                <w:szCs w:val="16"/>
                <w:color w:val="auto"/>
              </w:rPr>
              <w:t>Second Target Distribution</w:t>
            </w:r>
          </w:p>
        </w:tc>
        <w:tc>
          <w:tcPr>
            <w:tcW w:w="28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$0.43125 up to $0.46875</w:t>
            </w:r>
          </w:p>
        </w:tc>
        <w:tc>
          <w:tcPr>
            <w:tcW w:w="1380" w:type="dxa"/>
            <w:vAlign w:val="bottom"/>
            <w:shd w:val="clear" w:color="auto" w:fill="E5FFFF"/>
          </w:tcPr>
          <w:p>
            <w:pPr>
              <w:jc w:val="right"/>
              <w:ind w:right="239"/>
              <w:spacing w:after="0"/>
              <w:rPr>
                <w:sz w:val="20"/>
                <w:szCs w:val="20"/>
                <w:color w:val="auto"/>
              </w:rPr>
            </w:pPr>
            <w:r>
              <w:rPr>
                <w:rFonts w:ascii="Arial" w:cs="Arial" w:eastAsia="Arial" w:hAnsi="Arial"/>
                <w:sz w:val="16"/>
                <w:szCs w:val="16"/>
                <w:color w:val="auto"/>
              </w:rPr>
              <w:t>85.0%</w:t>
            </w:r>
          </w:p>
        </w:tc>
        <w:tc>
          <w:tcPr>
            <w:tcW w:w="18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2.0%</w:t>
            </w: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259"/>
              <w:spacing w:after="0"/>
              <w:rPr>
                <w:sz w:val="20"/>
                <w:szCs w:val="20"/>
                <w:color w:val="auto"/>
              </w:rPr>
            </w:pPr>
            <w:r>
              <w:rPr>
                <w:rFonts w:ascii="Arial" w:cs="Arial" w:eastAsia="Arial" w:hAnsi="Arial"/>
                <w:sz w:val="16"/>
                <w:szCs w:val="16"/>
                <w:color w:val="auto"/>
              </w:rPr>
              <w:t>13.0%</w:t>
            </w:r>
          </w:p>
        </w:tc>
      </w:tr>
      <w:tr>
        <w:trPr>
          <w:trHeight w:val="206"/>
        </w:trPr>
        <w:tc>
          <w:tcPr>
            <w:tcW w:w="4460" w:type="dxa"/>
            <w:vAlign w:val="bottom"/>
          </w:tcPr>
          <w:p>
            <w:pPr>
              <w:spacing w:after="0"/>
              <w:rPr>
                <w:sz w:val="20"/>
                <w:szCs w:val="20"/>
                <w:color w:val="auto"/>
              </w:rPr>
            </w:pPr>
            <w:r>
              <w:rPr>
                <w:rFonts w:ascii="Arial" w:cs="Arial" w:eastAsia="Arial" w:hAnsi="Arial"/>
                <w:sz w:val="16"/>
                <w:szCs w:val="16"/>
                <w:color w:val="auto"/>
              </w:rPr>
              <w:t>Thereafter</w:t>
            </w:r>
          </w:p>
        </w:tc>
        <w:tc>
          <w:tcPr>
            <w:tcW w:w="2820" w:type="dxa"/>
            <w:vAlign w:val="bottom"/>
            <w:gridSpan w:val="2"/>
          </w:tcPr>
          <w:p>
            <w:pPr>
              <w:jc w:val="right"/>
              <w:ind w:right="180"/>
              <w:spacing w:after="0"/>
              <w:rPr>
                <w:sz w:val="20"/>
                <w:szCs w:val="20"/>
                <w:color w:val="auto"/>
              </w:rPr>
            </w:pPr>
            <w:r>
              <w:rPr>
                <w:rFonts w:ascii="Arial" w:cs="Arial" w:eastAsia="Arial" w:hAnsi="Arial"/>
                <w:sz w:val="16"/>
                <w:szCs w:val="16"/>
                <w:color w:val="auto"/>
              </w:rPr>
              <w:t>Above $0.46875</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75.0%</w:t>
            </w:r>
          </w:p>
        </w:tc>
        <w:tc>
          <w:tcPr>
            <w:tcW w:w="180" w:type="dxa"/>
            <w:vAlign w:val="bottom"/>
          </w:tcPr>
          <w:p>
            <w:pPr>
              <w:spacing w:after="0"/>
              <w:rPr>
                <w:sz w:val="17"/>
                <w:szCs w:val="17"/>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7"/>
                <w:szCs w:val="17"/>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23.0%</w:t>
            </w:r>
          </w:p>
        </w:tc>
      </w:tr>
    </w:tbl>
    <w:p>
      <w:pPr>
        <w:spacing w:after="0" w:line="202" w:lineRule="exact"/>
        <w:rPr>
          <w:sz w:val="20"/>
          <w:szCs w:val="20"/>
          <w:color w:val="auto"/>
        </w:rPr>
      </w:pPr>
    </w:p>
    <w:p>
      <w:pPr>
        <w:jc w:val="both"/>
        <w:ind w:right="340" w:firstLine="324"/>
        <w:spacing w:after="0" w:line="293" w:lineRule="auto"/>
        <w:rPr>
          <w:sz w:val="20"/>
          <w:szCs w:val="20"/>
          <w:color w:val="auto"/>
        </w:rPr>
      </w:pPr>
      <w:r>
        <w:rPr>
          <w:rFonts w:ascii="Arial" w:cs="Arial" w:eastAsia="Arial" w:hAnsi="Arial"/>
          <w:sz w:val="16"/>
          <w:szCs w:val="16"/>
          <w:color w:val="auto"/>
        </w:rPr>
        <w:t>Following the IDR elimination, 98% of the available cash is distributed to the common unitholders and 2% is distributed to the general partner. The updated earnings allocation applies to the Partnership’s earnings for the three months ended June 30, 2019 and onwards (Note 16).</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gridSpan w:val="2"/>
          </w:tcPr>
          <w:p>
            <w:pPr>
              <w:spacing w:after="0"/>
              <w:rPr>
                <w:sz w:val="20"/>
                <w:szCs w:val="20"/>
                <w:color w:val="auto"/>
              </w:rPr>
            </w:pPr>
            <w:r>
              <w:rPr>
                <w:rFonts w:ascii="Arial" w:cs="Arial" w:eastAsia="Arial" w:hAnsi="Arial"/>
                <w:sz w:val="16"/>
                <w:szCs w:val="16"/>
                <w:b w:val="1"/>
                <w:bCs w:val="1"/>
                <w:color w:val="auto"/>
              </w:rPr>
              <w:t>7. Borrowings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62"/>
        </w:trPr>
        <w:tc>
          <w:tcPr>
            <w:tcW w:w="260" w:type="dxa"/>
            <w:vAlign w:val="bottom"/>
          </w:tcPr>
          <w:p>
            <w:pPr>
              <w:spacing w:after="0"/>
              <w:rPr>
                <w:sz w:val="22"/>
                <w:szCs w:val="22"/>
                <w:color w:val="auto"/>
              </w:rPr>
            </w:pPr>
          </w:p>
        </w:tc>
        <w:tc>
          <w:tcPr>
            <w:tcW w:w="7380" w:type="dxa"/>
            <w:vAlign w:val="bottom"/>
          </w:tcPr>
          <w:p>
            <w:pPr>
              <w:spacing w:after="0"/>
              <w:rPr>
                <w:sz w:val="22"/>
                <w:szCs w:val="22"/>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December 31,</w:t>
            </w:r>
          </w:p>
        </w:tc>
        <w:tc>
          <w:tcPr>
            <w:tcW w:w="154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260" w:type="dxa"/>
            <w:vAlign w:val="bottom"/>
          </w:tcPr>
          <w:p>
            <w:pPr>
              <w:spacing w:after="0"/>
              <w:rPr>
                <w:sz w:val="18"/>
                <w:szCs w:val="18"/>
                <w:color w:val="auto"/>
              </w:rPr>
            </w:pPr>
          </w:p>
        </w:tc>
        <w:tc>
          <w:tcPr>
            <w:tcW w:w="738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8"/>
                <w:szCs w:val="18"/>
                <w:color w:val="auto"/>
              </w:rPr>
            </w:pPr>
          </w:p>
        </w:tc>
      </w:tr>
      <w:tr>
        <w:trPr>
          <w:trHeight w:val="199"/>
        </w:trPr>
        <w:tc>
          <w:tcPr>
            <w:tcW w:w="260" w:type="dxa"/>
            <w:vAlign w:val="bottom"/>
          </w:tcPr>
          <w:p>
            <w:pPr>
              <w:spacing w:after="0"/>
              <w:rPr>
                <w:sz w:val="17"/>
                <w:szCs w:val="17"/>
                <w:color w:val="auto"/>
              </w:rPr>
            </w:pPr>
          </w:p>
        </w:tc>
        <w:tc>
          <w:tcPr>
            <w:tcW w:w="7380" w:type="dxa"/>
            <w:vAlign w:val="bottom"/>
            <w:shd w:val="clear" w:color="auto" w:fill="E5FFFF"/>
          </w:tcPr>
          <w:p>
            <w:pPr>
              <w:spacing w:after="0"/>
              <w:rPr>
                <w:sz w:val="20"/>
                <w:szCs w:val="20"/>
                <w:color w:val="auto"/>
              </w:rPr>
            </w:pPr>
            <w:r>
              <w:rPr>
                <w:rFonts w:ascii="Arial" w:cs="Arial" w:eastAsia="Arial" w:hAnsi="Arial"/>
                <w:sz w:val="16"/>
                <w:szCs w:val="16"/>
                <w:color w:val="auto"/>
              </w:rPr>
              <w:t>Amounts due within one year</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446,144</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115,572</w:t>
            </w:r>
          </w:p>
        </w:tc>
        <w:tc>
          <w:tcPr>
            <w:tcW w:w="6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7380" w:type="dxa"/>
            <w:vAlign w:val="bottom"/>
          </w:tcPr>
          <w:p>
            <w:pPr>
              <w:spacing w:after="0"/>
              <w:rPr>
                <w:sz w:val="20"/>
                <w:szCs w:val="20"/>
                <w:color w:val="auto"/>
              </w:rPr>
            </w:pPr>
            <w:r>
              <w:rPr>
                <w:rFonts w:ascii="Arial" w:cs="Arial" w:eastAsia="Arial" w:hAnsi="Arial"/>
                <w:sz w:val="16"/>
                <w:szCs w:val="16"/>
                <w:color w:val="auto"/>
              </w:rPr>
              <w:t>Less: unamortized deferred loan issuance costs</w:t>
            </w: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(5,755)</w:t>
            </w:r>
          </w:p>
        </w:tc>
        <w:tc>
          <w:tcPr>
            <w:tcW w:w="1480" w:type="dxa"/>
            <w:vAlign w:val="bottom"/>
          </w:tcPr>
          <w:p>
            <w:pPr>
              <w:jc w:val="right"/>
              <w:spacing w:after="0"/>
              <w:rPr>
                <w:sz w:val="20"/>
                <w:szCs w:val="20"/>
                <w:color w:val="auto"/>
              </w:rPr>
            </w:pPr>
            <w:r>
              <w:rPr>
                <w:rFonts w:ascii="Arial" w:cs="Arial" w:eastAsia="Arial" w:hAnsi="Arial"/>
                <w:sz w:val="16"/>
                <w:szCs w:val="16"/>
                <w:color w:val="auto"/>
              </w:rPr>
              <w:t>(5,322)</w:t>
            </w:r>
          </w:p>
        </w:tc>
        <w:tc>
          <w:tcPr>
            <w:tcW w:w="6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7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Borrowings – current portion</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440,389</w:t>
            </w:r>
          </w:p>
        </w:tc>
        <w:tc>
          <w:tcPr>
            <w:tcW w:w="28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110,250</w:t>
            </w:r>
          </w:p>
        </w:tc>
        <w:tc>
          <w:tcPr>
            <w:tcW w:w="6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7380" w:type="dxa"/>
            <w:vAlign w:val="bottom"/>
          </w:tcPr>
          <w:p>
            <w:pPr>
              <w:spacing w:after="0"/>
              <w:rPr>
                <w:sz w:val="20"/>
                <w:szCs w:val="20"/>
                <w:color w:val="auto"/>
              </w:rPr>
            </w:pPr>
            <w:r>
              <w:rPr>
                <w:rFonts w:ascii="Arial" w:cs="Arial" w:eastAsia="Arial" w:hAnsi="Arial"/>
                <w:sz w:val="16"/>
                <w:szCs w:val="16"/>
                <w:color w:val="auto"/>
              </w:rPr>
              <w:t>Amounts due after one year</w:t>
            </w:r>
          </w:p>
        </w:tc>
        <w:tc>
          <w:tcPr>
            <w:tcW w:w="1480" w:type="dxa"/>
            <w:vAlign w:val="bottom"/>
          </w:tcPr>
          <w:p>
            <w:pPr>
              <w:jc w:val="right"/>
              <w:spacing w:after="0"/>
              <w:rPr>
                <w:sz w:val="20"/>
                <w:szCs w:val="20"/>
                <w:color w:val="auto"/>
              </w:rPr>
            </w:pPr>
            <w:r>
              <w:rPr>
                <w:rFonts w:ascii="Arial" w:cs="Arial" w:eastAsia="Arial" w:hAnsi="Arial"/>
                <w:sz w:val="16"/>
                <w:szCs w:val="16"/>
                <w:color w:val="auto"/>
              </w:rPr>
              <w:t>939,682</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1,275,169</w:t>
            </w:r>
          </w:p>
        </w:tc>
        <w:tc>
          <w:tcPr>
            <w:tcW w:w="6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7380" w:type="dxa"/>
            <w:vAlign w:val="bottom"/>
            <w:shd w:val="clear" w:color="auto" w:fill="E5FFFF"/>
          </w:tcPr>
          <w:p>
            <w:pPr>
              <w:spacing w:after="0"/>
              <w:rPr>
                <w:sz w:val="20"/>
                <w:szCs w:val="20"/>
                <w:color w:val="auto"/>
              </w:rPr>
            </w:pPr>
            <w:r>
              <w:rPr>
                <w:rFonts w:ascii="Arial" w:cs="Arial" w:eastAsia="Arial" w:hAnsi="Arial"/>
                <w:sz w:val="16"/>
                <w:szCs w:val="16"/>
                <w:color w:val="auto"/>
              </w:rPr>
              <w:t>Less: unamortized deferred loan issuance costs</w:t>
            </w:r>
          </w:p>
        </w:tc>
        <w:tc>
          <w:tcPr>
            <w:tcW w:w="17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(14,271)</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(14,557)</w:t>
            </w:r>
          </w:p>
        </w:tc>
        <w:tc>
          <w:tcPr>
            <w:tcW w:w="6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73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Borrowings – non-current portion</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925,411</w:t>
            </w:r>
          </w:p>
        </w:tc>
        <w:tc>
          <w:tcPr>
            <w:tcW w:w="280" w:type="dxa"/>
            <w:vAlign w:val="bottom"/>
            <w:tcBorders>
              <w:bottom w:val="single" w:sz="8" w:color="E5FF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1,260,612</w:t>
            </w:r>
          </w:p>
        </w:tc>
        <w:tc>
          <w:tcPr>
            <w:tcW w:w="6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73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1,365,800</w:t>
            </w:r>
          </w:p>
        </w:tc>
        <w:tc>
          <w:tcPr>
            <w:tcW w:w="280" w:type="dxa"/>
            <w:vAlign w:val="bottom"/>
            <w:tcBorders>
              <w:bottom w:val="single" w:sz="8" w:color="E5FFFF"/>
            </w:tcBorders>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1,370,862</w:t>
            </w:r>
          </w:p>
        </w:tc>
        <w:tc>
          <w:tcPr>
            <w:tcW w:w="6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35" w:name="page36"/>
    <w:bookmarkEnd w:id="35"/>
    <w:p>
      <w:pPr>
        <w:ind w:right="620" w:firstLine="405"/>
        <w:spacing w:after="0" w:line="293" w:lineRule="auto"/>
        <w:rPr>
          <w:sz w:val="20"/>
          <w:szCs w:val="20"/>
          <w:color w:val="auto"/>
        </w:rPr>
      </w:pPr>
      <w:r>
        <w:rPr>
          <w:rFonts w:ascii="Arial" w:cs="Arial" w:eastAsia="Arial" w:hAnsi="Arial"/>
          <w:sz w:val="16"/>
          <w:szCs w:val="16"/>
          <w:color w:val="auto"/>
        </w:rPr>
        <w:t>The main terms of the bank loan facilities and the Sponsor Credit Facility have been disclosed in the annual consolidated financial statements for the year ended December 31, 2018. Refer to Note 6 “Borrowings”.</w:t>
      </w:r>
    </w:p>
    <w:p>
      <w:pPr>
        <w:spacing w:after="0" w:line="77" w:lineRule="exact"/>
        <w:rPr>
          <w:sz w:val="20"/>
          <w:szCs w:val="20"/>
          <w:color w:val="auto"/>
        </w:rPr>
      </w:pPr>
    </w:p>
    <w:p>
      <w:pPr>
        <w:ind w:right="100" w:firstLine="405"/>
        <w:spacing w:after="0" w:line="270" w:lineRule="auto"/>
        <w:rPr>
          <w:sz w:val="20"/>
          <w:szCs w:val="20"/>
          <w:color w:val="auto"/>
        </w:rPr>
      </w:pPr>
      <w:r>
        <w:rPr>
          <w:rFonts w:ascii="Arial" w:cs="Arial" w:eastAsia="Arial" w:hAnsi="Arial"/>
          <w:sz w:val="16"/>
          <w:szCs w:val="16"/>
          <w:color w:val="auto"/>
        </w:rPr>
        <w:t xml:space="preserve">On February 20, 2019, GAS-three Ltd., GAS-four Ltd., GAS-five Ltd., GAS-sixteen Ltd., GAS-seventeen Ltd., GasLog Partners and GasLog Partners Holdings LLC entered into a loan agreement with Credit Suisse AG, Nordea Bank Abp, filial i Norge and Iyo Bank Ltd., Singapore Branch, each an original lender and Nordea acting as security agent and trustee for and on behalf of the other finance parties mentioned above, for a credit facility for up to $450,000 (the “2019 Partnership Facility”) for the purpose of refinancing in full the existing facility agreement dated November 12, 2014 (the “Existing Partnership Facility”). Subsequently, on the same date, the Development Bank of Japan, Inc. entered the facility as lender via transfer certificate. The vessels covered by the 2019 Partnership Facility are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w:t>
      </w:r>
    </w:p>
    <w:p>
      <w:pPr>
        <w:spacing w:after="0" w:line="95" w:lineRule="exact"/>
        <w:rPr>
          <w:sz w:val="20"/>
          <w:szCs w:val="20"/>
          <w:color w:val="auto"/>
        </w:rPr>
      </w:pPr>
    </w:p>
    <w:p>
      <w:pPr>
        <w:ind w:right="20" w:firstLine="405"/>
        <w:spacing w:after="0" w:line="273" w:lineRule="auto"/>
        <w:rPr>
          <w:sz w:val="20"/>
          <w:szCs w:val="20"/>
          <w:color w:val="auto"/>
        </w:rPr>
      </w:pPr>
      <w:r>
        <w:rPr>
          <w:rFonts w:ascii="Arial" w:cs="Arial" w:eastAsia="Arial" w:hAnsi="Arial"/>
          <w:sz w:val="16"/>
          <w:szCs w:val="16"/>
          <w:color w:val="auto"/>
        </w:rPr>
        <w:t>The agreement provides for an amortizing revolving credit facility which can be repaid and redrawn at any time, subject to the outstanding amount immediately after any drawdown not exceeding (i) 75% of the aggregate of the market values of all vessels under the agreement, or (ii) the total facility amount. The total facility amount reduces in 20 equal quarterly amounts of $7,357, with a final balloon amount of up to $302,860, together with the last quarterly reduction in February 2024. The credit facility bears interest at London Interbank Offered Rate (“LIBOR”) plus a margin.</w:t>
      </w:r>
    </w:p>
    <w:p>
      <w:pPr>
        <w:spacing w:after="0" w:line="95" w:lineRule="exact"/>
        <w:rPr>
          <w:sz w:val="20"/>
          <w:szCs w:val="20"/>
          <w:color w:val="auto"/>
        </w:rPr>
      </w:pPr>
    </w:p>
    <w:p>
      <w:pPr>
        <w:ind w:right="40" w:firstLine="405"/>
        <w:spacing w:after="0" w:line="305" w:lineRule="auto"/>
        <w:rPr>
          <w:sz w:val="20"/>
          <w:szCs w:val="20"/>
          <w:color w:val="auto"/>
        </w:rPr>
      </w:pPr>
      <w:r>
        <w:rPr>
          <w:rFonts w:ascii="Arial" w:cs="Arial" w:eastAsia="Arial" w:hAnsi="Arial"/>
          <w:sz w:val="15"/>
          <w:szCs w:val="15"/>
          <w:color w:val="auto"/>
        </w:rPr>
        <w:t xml:space="preserve">The obligations under the 2019 Partnership Facility are secured by a first priority mortgage over the vessels, a pledge of the share capital of the respective vessel-owning companies and a first priority assignment of earnings related to the vessels (excluding the </w:t>
      </w:r>
      <w:r>
        <w:rPr>
          <w:rFonts w:ascii="Arial" w:cs="Arial" w:eastAsia="Arial" w:hAnsi="Arial"/>
          <w:sz w:val="15"/>
          <w:szCs w:val="15"/>
          <w:i w:val="1"/>
          <w:iCs w:val="1"/>
          <w:color w:val="auto"/>
        </w:rPr>
        <w:t>GasLog Shanghai</w:t>
      </w:r>
      <w:r>
        <w:rPr>
          <w:rFonts w:ascii="Arial" w:cs="Arial" w:eastAsia="Arial" w:hAnsi="Arial"/>
          <w:sz w:val="15"/>
          <w:szCs w:val="15"/>
          <w:color w:val="auto"/>
        </w:rPr>
        <w:t>), including charter revenue, management revenue and any insurance and requisition compensation. The obligations under the facility are guaranteed by the Partnership and GasLog Partners Holdings LLC.</w:t>
      </w:r>
    </w:p>
    <w:p>
      <w:pPr>
        <w:spacing w:after="0" w:line="72" w:lineRule="exact"/>
        <w:rPr>
          <w:sz w:val="20"/>
          <w:szCs w:val="20"/>
          <w:color w:val="auto"/>
        </w:rPr>
      </w:pPr>
    </w:p>
    <w:p>
      <w:pPr>
        <w:ind w:right="300" w:firstLine="405"/>
        <w:spacing w:after="0" w:line="293" w:lineRule="auto"/>
        <w:rPr>
          <w:sz w:val="20"/>
          <w:szCs w:val="20"/>
          <w:color w:val="auto"/>
        </w:rPr>
      </w:pPr>
      <w:r>
        <w:rPr>
          <w:rFonts w:ascii="Arial" w:cs="Arial" w:eastAsia="Arial" w:hAnsi="Arial"/>
          <w:sz w:val="16"/>
          <w:szCs w:val="16"/>
          <w:color w:val="auto"/>
        </w:rPr>
        <w:t>The 2019 Partnership Facility is subject to specified financial covenants that apply to GasLog Partners on a consolidated basis. These financial covenants include the following:</w:t>
      </w:r>
    </w:p>
    <w:p>
      <w:pPr>
        <w:spacing w:after="0" w:line="91" w:lineRule="exact"/>
        <w:rPr>
          <w:sz w:val="20"/>
          <w:szCs w:val="20"/>
          <w:color w:val="auto"/>
        </w:rPr>
      </w:pPr>
    </w:p>
    <w:p>
      <w:pPr>
        <w:ind w:left="380" w:right="220" w:hanging="329"/>
        <w:spacing w:after="0" w:line="251" w:lineRule="auto"/>
        <w:tabs>
          <w:tab w:leader="none" w:pos="386" w:val="left"/>
        </w:tabs>
        <w:numPr>
          <w:ilvl w:val="0"/>
          <w:numId w:val="25"/>
        </w:numPr>
        <w:rPr>
          <w:rFonts w:ascii="Arial" w:cs="Arial" w:eastAsia="Arial" w:hAnsi="Arial"/>
          <w:sz w:val="18"/>
          <w:szCs w:val="18"/>
          <w:color w:val="auto"/>
        </w:rPr>
      </w:pPr>
      <w:r>
        <w:rPr>
          <w:rFonts w:ascii="Arial" w:cs="Arial" w:eastAsia="Arial" w:hAnsi="Arial"/>
          <w:sz w:val="16"/>
          <w:szCs w:val="16"/>
          <w:color w:val="auto"/>
        </w:rPr>
        <w:t>the aggregate amount of cash and cash equivalents, short-term investments and available undrawn facilities with remaining maturities of at least six months (excluding loans from affiliates) must be at least $45,000;</w:t>
      </w:r>
    </w:p>
    <w:p>
      <w:pPr>
        <w:spacing w:after="0" w:line="9" w:lineRule="exact"/>
        <w:rPr>
          <w:rFonts w:ascii="Arial" w:cs="Arial" w:eastAsia="Arial" w:hAnsi="Arial"/>
          <w:sz w:val="18"/>
          <w:szCs w:val="18"/>
          <w:color w:val="auto"/>
        </w:rPr>
      </w:pPr>
    </w:p>
    <w:p>
      <w:pPr>
        <w:ind w:left="380" w:hanging="329"/>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6"/>
          <w:szCs w:val="16"/>
          <w:color w:val="auto"/>
        </w:rPr>
        <w:t>total indebtedness divided by total assets must be less than 65.0%; and</w:t>
      </w:r>
    </w:p>
    <w:p>
      <w:pPr>
        <w:spacing w:after="0" w:line="9" w:lineRule="exact"/>
        <w:rPr>
          <w:rFonts w:ascii="Arial" w:cs="Arial" w:eastAsia="Arial" w:hAnsi="Arial"/>
          <w:sz w:val="18"/>
          <w:szCs w:val="18"/>
          <w:color w:val="auto"/>
        </w:rPr>
      </w:pPr>
    </w:p>
    <w:p>
      <w:pPr>
        <w:ind w:left="380" w:right="100" w:hanging="329"/>
        <w:spacing w:after="0" w:line="263" w:lineRule="auto"/>
        <w:tabs>
          <w:tab w:leader="none" w:pos="386" w:val="left"/>
        </w:tabs>
        <w:numPr>
          <w:ilvl w:val="0"/>
          <w:numId w:val="25"/>
        </w:numPr>
        <w:rPr>
          <w:rFonts w:ascii="Arial" w:cs="Arial" w:eastAsia="Arial" w:hAnsi="Arial"/>
          <w:sz w:val="18"/>
          <w:szCs w:val="18"/>
          <w:color w:val="auto"/>
        </w:rPr>
      </w:pPr>
      <w:r>
        <w:rPr>
          <w:rFonts w:ascii="Arial" w:cs="Arial" w:eastAsia="Arial" w:hAnsi="Arial"/>
          <w:sz w:val="16"/>
          <w:szCs w:val="16"/>
          <w:color w:val="auto"/>
        </w:rPr>
        <w:t>the Partnership is permitted to declare or pay any dividends or distributions, subject to no event of default having occurred or occurring as a consequence of the payment of such dividends or distributions.</w:t>
      </w:r>
    </w:p>
    <w:p>
      <w:pPr>
        <w:spacing w:after="0" w:line="98" w:lineRule="exact"/>
        <w:rPr>
          <w:sz w:val="20"/>
          <w:szCs w:val="20"/>
          <w:color w:val="auto"/>
        </w:rPr>
      </w:pPr>
    </w:p>
    <w:p>
      <w:pPr>
        <w:ind w:right="60" w:firstLine="405"/>
        <w:spacing w:after="0" w:line="289" w:lineRule="auto"/>
        <w:rPr>
          <w:sz w:val="20"/>
          <w:szCs w:val="20"/>
          <w:color w:val="auto"/>
        </w:rPr>
      </w:pPr>
      <w:r>
        <w:rPr>
          <w:rFonts w:ascii="Arial" w:cs="Arial" w:eastAsia="Arial" w:hAnsi="Arial"/>
          <w:sz w:val="15"/>
          <w:szCs w:val="15"/>
          <w:color w:val="auto"/>
        </w:rPr>
        <w:t>The 2019 Partnership Facility contains customary events of default, including non-payment of principal or interest, breach of covenants or material inaccuracy of representations, default under other material indebtedness and bankruptcy as well as an event of default in the event of the cancellation, rescission, frustration or withdrawal of a charter agreement prior to its scheduled expiration, if certain prepayment and security provisions are not met. In addition, the 2019 Partnership Facility contains covenants requiring us and certain of our subsidiaries to maintain the aggregate of (i) the market value, on a charter exclusive basis, of the mortgaged vessel or vessels and (ii) the market value of any additional security provided to the lenders, at a total value not less than 120.0% of the then-outstanding amount under the facility. If GasLog Partners fails to comply with these covenants and is not able to obtain covenant waivers or modifications, its lenders could require it to make prepayments or provide additional collateral sufficient to bring it into compliance with such covenants, and if it fails to do so its lenders could accelerate our indebtedness.</w:t>
      </w:r>
    </w:p>
    <w:p>
      <w:pPr>
        <w:spacing w:after="0" w:line="86"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2019 Partnership Facility also imposes certain restrictions relating to the Partnership, including restrictions that limit its ability to make any substantial change in the nature of its business or to the partnership structure without approval from the lenders.</w:t>
      </w:r>
    </w:p>
    <w:p>
      <w:pPr>
        <w:spacing w:after="0" w:line="77" w:lineRule="exact"/>
        <w:rPr>
          <w:sz w:val="20"/>
          <w:szCs w:val="20"/>
          <w:color w:val="auto"/>
        </w:rPr>
      </w:pPr>
    </w:p>
    <w:p>
      <w:pPr>
        <w:ind w:right="260" w:firstLine="405"/>
        <w:spacing w:after="0" w:line="273" w:lineRule="auto"/>
        <w:rPr>
          <w:sz w:val="20"/>
          <w:szCs w:val="20"/>
          <w:color w:val="auto"/>
        </w:rPr>
      </w:pPr>
      <w:r>
        <w:rPr>
          <w:rFonts w:ascii="Arial" w:cs="Arial" w:eastAsia="Arial" w:hAnsi="Arial"/>
          <w:sz w:val="16"/>
          <w:szCs w:val="16"/>
          <w:color w:val="auto"/>
        </w:rPr>
        <w:t>On March 6, 2019, the Partnership drew down $360,000 under the 2019 Partnership Facility, out of which $354,375 was used to prepay the outstanding debt of GAS-three Ltd., GAS-four Ltd., GAS-five Ltd., GAS-sixteen Ltd. and GAS-seventeen Ltd., which would have been due in November 2019. On March 7, 2019, the Existing Partnership Facility was terminated and the respective unamortized loan fees of $988 were written-off to profit or loss. On April 1, 2019, the Partnership drew down an additional $75,000 under the 2019 Partnership Facility.</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GAS-twelve Ltd. Facility</w:t>
      </w:r>
    </w:p>
    <w:p>
      <w:pPr>
        <w:spacing w:after="0" w:line="144" w:lineRule="exact"/>
        <w:rPr>
          <w:sz w:val="20"/>
          <w:szCs w:val="20"/>
          <w:color w:val="auto"/>
        </w:rPr>
      </w:pPr>
    </w:p>
    <w:p>
      <w:pPr>
        <w:ind w:firstLine="405"/>
        <w:spacing w:after="0" w:line="273" w:lineRule="auto"/>
        <w:rPr>
          <w:sz w:val="20"/>
          <w:szCs w:val="20"/>
          <w:color w:val="auto"/>
        </w:rPr>
      </w:pPr>
      <w:r>
        <w:rPr>
          <w:rFonts w:ascii="Arial" w:cs="Arial" w:eastAsia="Arial" w:hAnsi="Arial"/>
          <w:sz w:val="16"/>
          <w:szCs w:val="16"/>
          <w:color w:val="auto"/>
        </w:rPr>
        <w:t>Following the acquisition of GAS-twelve Ltd., the Partnership assumed $134,107 of outstanding indebtedness of the acquired entity under a debt financing agreement dated October 16, 2015 with 14 international banks, with Citibank N.A. London Branch and Nordea Bank AB, London Branch acting as agents on behalf of the other financing parties. The financing was backed by the Export Import Bank of Korea (“KEXIM”) and the Korea Trade Insurance Corporation (“K-Sure”), who were either directly lending or providing cover for over 60% of the facility.</w:t>
      </w:r>
    </w:p>
    <w:p>
      <w:pPr>
        <w:spacing w:after="0" w:line="95" w:lineRule="exact"/>
        <w:rPr>
          <w:sz w:val="20"/>
          <w:szCs w:val="20"/>
          <w:color w:val="auto"/>
        </w:rPr>
      </w:pPr>
    </w:p>
    <w:p>
      <w:pPr>
        <w:ind w:right="60" w:firstLine="405"/>
        <w:spacing w:after="0" w:line="271" w:lineRule="auto"/>
        <w:rPr>
          <w:sz w:val="20"/>
          <w:szCs w:val="20"/>
          <w:color w:val="auto"/>
        </w:rPr>
      </w:pPr>
      <w:r>
        <w:rPr>
          <w:rFonts w:ascii="Arial" w:cs="Arial" w:eastAsia="Arial" w:hAnsi="Arial"/>
          <w:sz w:val="16"/>
          <w:szCs w:val="16"/>
          <w:color w:val="auto"/>
        </w:rPr>
        <w:t xml:space="preserve">The loan agreement with respect to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provided for four tranches of $51,257, $25,615, $24,991 and $61,104. Under the terms of the agreement, each drawing under the first three tranches will be repaid in 24 consecutive semi-annual equal installments commencing six months after drawdown, according to a 12-year profile. Each drawing under the fourth tranche will be repaid in 20 consecutive semi-annual equal installments commencing six months after drawdown according to a 20-year profile, with a balloon payment together with the final installment. On June 24, 2016, $162,967 was drawn down to partially finance the delivery of the </w:t>
      </w:r>
      <w:r>
        <w:rPr>
          <w:rFonts w:ascii="Arial" w:cs="Arial" w:eastAsia="Arial" w:hAnsi="Arial"/>
          <w:sz w:val="16"/>
          <w:szCs w:val="16"/>
          <w:i w:val="1"/>
          <w:iCs w:val="1"/>
          <w:color w:val="auto"/>
        </w:rPr>
        <w:t>GasLog Glasgow</w:t>
      </w:r>
      <w:r>
        <w:rPr>
          <w:rFonts w:ascii="Arial" w:cs="Arial" w:eastAsia="Arial" w:hAnsi="Arial"/>
          <w:sz w:val="16"/>
          <w:szCs w:val="16"/>
          <w:color w:val="auto"/>
        </w:rPr>
        <w:t>. Amounts drawn per tranche bear interest at LIBOR plus a margin.</w:t>
      </w:r>
    </w:p>
    <w:p>
      <w:pPr>
        <w:spacing w:after="0" w:line="96" w:lineRule="exact"/>
        <w:rPr>
          <w:sz w:val="20"/>
          <w:szCs w:val="20"/>
          <w:color w:val="auto"/>
        </w:rPr>
      </w:pPr>
    </w:p>
    <w:p>
      <w:pPr>
        <w:ind w:right="60" w:firstLine="405"/>
        <w:spacing w:after="0" w:line="271" w:lineRule="auto"/>
        <w:rPr>
          <w:sz w:val="20"/>
          <w:szCs w:val="20"/>
          <w:color w:val="auto"/>
        </w:rPr>
      </w:pPr>
      <w:r>
        <w:rPr>
          <w:rFonts w:ascii="Arial" w:cs="Arial" w:eastAsia="Arial" w:hAnsi="Arial"/>
          <w:sz w:val="16"/>
          <w:szCs w:val="16"/>
          <w:color w:val="auto"/>
        </w:rPr>
        <w:t xml:space="preserve">The obligations under the aforementioned facility are secured by a first priority mortgage over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a pledge of the share capital of the vessel-owning company and a first priority assignment of earnings related to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including charter revenue, management revenue and any insurance and requisition compensation. Obligations under the facility are guaranteed by GasLog, with the Partnership and its subsidiary GasLog Partners Holdings LLC guaranteeing up to the value of the commitments relating to the </w:t>
      </w:r>
      <w:r>
        <w:rPr>
          <w:rFonts w:ascii="Arial" w:cs="Arial" w:eastAsia="Arial" w:hAnsi="Arial"/>
          <w:sz w:val="16"/>
          <w:szCs w:val="16"/>
          <w:i w:val="1"/>
          <w:iCs w:val="1"/>
          <w:color w:val="auto"/>
        </w:rPr>
        <w:t>GasLog Glasgow</w:t>
      </w:r>
      <w:r>
        <w:rPr>
          <w:rFonts w:ascii="Arial" w:cs="Arial" w:eastAsia="Arial" w:hAnsi="Arial"/>
          <w:sz w:val="16"/>
          <w:szCs w:val="16"/>
          <w:color w:val="auto"/>
        </w:rPr>
        <w:t>. The facility includes customary restrictive covenants and, among other restrictions, a fair market value covenant pursuant to which an event of default could occur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36" w:name="page37"/>
    <w:bookmarkEnd w:id="36"/>
    <w:p>
      <w:pPr>
        <w:ind w:right="220"/>
        <w:spacing w:after="0" w:line="293" w:lineRule="auto"/>
        <w:rPr>
          <w:sz w:val="20"/>
          <w:szCs w:val="20"/>
          <w:color w:val="auto"/>
        </w:rPr>
      </w:pPr>
      <w:r>
        <w:rPr>
          <w:rFonts w:ascii="Arial" w:cs="Arial" w:eastAsia="Arial" w:hAnsi="Arial"/>
          <w:sz w:val="16"/>
          <w:szCs w:val="16"/>
          <w:color w:val="auto"/>
        </w:rPr>
        <w:t>under the facility if the aggregate fair market value of the collateral vessel (without taking into account any charter arrangements) were to fall below 120% of the aggregate outstanding principal balance.</w:t>
      </w:r>
    </w:p>
    <w:p>
      <w:pPr>
        <w:spacing w:after="0" w:line="172"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GasLog, as corporate guarantor for the aforementioned facility, is also subject to specified financial covenants on a consolidated basis. The financial covenants include the following:</w:t>
      </w:r>
    </w:p>
    <w:p>
      <w:pPr>
        <w:spacing w:after="0" w:line="185" w:lineRule="exact"/>
        <w:rPr>
          <w:sz w:val="20"/>
          <w:szCs w:val="20"/>
          <w:color w:val="auto"/>
        </w:rPr>
      </w:pPr>
    </w:p>
    <w:p>
      <w:pPr>
        <w:ind w:left="380" w:hanging="329"/>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6"/>
          <w:szCs w:val="16"/>
          <w:color w:val="auto"/>
        </w:rPr>
        <w:t>net working capital (excluding the current portion of long-term debt) must be not less than $0;</w:t>
      </w:r>
    </w:p>
    <w:p>
      <w:pPr>
        <w:spacing w:after="0" w:line="9" w:lineRule="exact"/>
        <w:rPr>
          <w:rFonts w:ascii="Arial" w:cs="Arial" w:eastAsia="Arial" w:hAnsi="Arial"/>
          <w:sz w:val="18"/>
          <w:szCs w:val="18"/>
          <w:color w:val="auto"/>
        </w:rPr>
      </w:pPr>
    </w:p>
    <w:p>
      <w:pPr>
        <w:ind w:left="380" w:hanging="329"/>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6"/>
          <w:szCs w:val="16"/>
          <w:color w:val="auto"/>
        </w:rPr>
        <w:t>total indebtedness divided by total assets must not exceed 75.0%;</w:t>
      </w:r>
    </w:p>
    <w:p>
      <w:pPr>
        <w:spacing w:after="0" w:line="9" w:lineRule="exact"/>
        <w:rPr>
          <w:rFonts w:ascii="Arial" w:cs="Arial" w:eastAsia="Arial" w:hAnsi="Arial"/>
          <w:sz w:val="18"/>
          <w:szCs w:val="18"/>
          <w:color w:val="auto"/>
        </w:rPr>
      </w:pPr>
    </w:p>
    <w:p>
      <w:pPr>
        <w:ind w:left="380" w:hanging="329"/>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6"/>
          <w:szCs w:val="16"/>
          <w:color w:val="auto"/>
        </w:rPr>
        <w:t>the ratio of EBITDA over debt service obligations (including interest and debt repayments) on a trailing 12-month basis must be not less than 110.0%;</w:t>
      </w:r>
    </w:p>
    <w:p>
      <w:pPr>
        <w:spacing w:after="0" w:line="9" w:lineRule="exact"/>
        <w:rPr>
          <w:rFonts w:ascii="Arial" w:cs="Arial" w:eastAsia="Arial" w:hAnsi="Arial"/>
          <w:sz w:val="18"/>
          <w:szCs w:val="18"/>
          <w:color w:val="auto"/>
        </w:rPr>
      </w:pPr>
    </w:p>
    <w:p>
      <w:pPr>
        <w:ind w:left="380" w:hanging="329"/>
        <w:spacing w:after="0"/>
        <w:tabs>
          <w:tab w:leader="none" w:pos="380" w:val="left"/>
        </w:tabs>
        <w:numPr>
          <w:ilvl w:val="0"/>
          <w:numId w:val="26"/>
        </w:numPr>
        <w:rPr>
          <w:rFonts w:ascii="Arial" w:cs="Arial" w:eastAsia="Arial" w:hAnsi="Arial"/>
          <w:sz w:val="16"/>
          <w:szCs w:val="16"/>
          <w:color w:val="auto"/>
        </w:rPr>
      </w:pPr>
      <w:r>
        <w:rPr>
          <w:rFonts w:ascii="Arial" w:cs="Arial" w:eastAsia="Arial" w:hAnsi="Arial"/>
          <w:sz w:val="14"/>
          <w:szCs w:val="14"/>
          <w:color w:val="auto"/>
        </w:rPr>
        <w:t>the aggregate amount of all unencumbered cash and cash equivalents must be not less than the higher of 3% of total indebtedness or $50,000 after the first drawdown;</w:t>
      </w:r>
    </w:p>
    <w:p>
      <w:pPr>
        <w:spacing w:after="0" w:line="32" w:lineRule="exact"/>
        <w:rPr>
          <w:rFonts w:ascii="Arial" w:cs="Arial" w:eastAsia="Arial" w:hAnsi="Arial"/>
          <w:sz w:val="16"/>
          <w:szCs w:val="16"/>
          <w:color w:val="auto"/>
        </w:rPr>
      </w:pPr>
    </w:p>
    <w:p>
      <w:pPr>
        <w:ind w:left="380" w:right="80" w:hanging="329"/>
        <w:spacing w:after="0" w:line="251" w:lineRule="auto"/>
        <w:tabs>
          <w:tab w:leader="none" w:pos="386" w:val="left"/>
        </w:tabs>
        <w:numPr>
          <w:ilvl w:val="0"/>
          <w:numId w:val="26"/>
        </w:numPr>
        <w:rPr>
          <w:rFonts w:ascii="Arial" w:cs="Arial" w:eastAsia="Arial" w:hAnsi="Arial"/>
          <w:sz w:val="18"/>
          <w:szCs w:val="18"/>
          <w:color w:val="auto"/>
        </w:rPr>
      </w:pPr>
      <w:r>
        <w:rPr>
          <w:rFonts w:ascii="Arial" w:cs="Arial" w:eastAsia="Arial" w:hAnsi="Arial"/>
          <w:sz w:val="16"/>
          <w:szCs w:val="16"/>
          <w:color w:val="auto"/>
        </w:rPr>
        <w:t>GasLog is permitted to pay dividends, provided that it holds unencumbered cash and cash equivalents equal to at least 4.0% of its total indebtedness subject to no event of default having occurred or occurring as a consequence of the payment of such dividends; and</w:t>
      </w:r>
    </w:p>
    <w:p>
      <w:pPr>
        <w:spacing w:after="0" w:line="9" w:lineRule="exact"/>
        <w:rPr>
          <w:rFonts w:ascii="Arial" w:cs="Arial" w:eastAsia="Arial" w:hAnsi="Arial"/>
          <w:sz w:val="18"/>
          <w:szCs w:val="18"/>
          <w:color w:val="auto"/>
        </w:rPr>
      </w:pPr>
    </w:p>
    <w:p>
      <w:pPr>
        <w:ind w:left="380" w:hanging="329"/>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6"/>
          <w:szCs w:val="16"/>
          <w:color w:val="auto"/>
        </w:rPr>
        <w:t>the market value adjusted net worth of GasLog must at all times be not less than $350,000.</w:t>
      </w:r>
    </w:p>
    <w:p>
      <w:pPr>
        <w:spacing w:after="0" w:line="212" w:lineRule="exact"/>
        <w:rPr>
          <w:sz w:val="20"/>
          <w:szCs w:val="20"/>
          <w:color w:val="auto"/>
        </w:rPr>
      </w:pPr>
    </w:p>
    <w:p>
      <w:pPr>
        <w:ind w:right="140" w:firstLine="405"/>
        <w:spacing w:after="0" w:line="369" w:lineRule="auto"/>
        <w:rPr>
          <w:sz w:val="20"/>
          <w:szCs w:val="20"/>
          <w:color w:val="auto"/>
        </w:rPr>
      </w:pPr>
      <w:r>
        <w:rPr>
          <w:rFonts w:ascii="Arial" w:cs="Arial" w:eastAsia="Arial" w:hAnsi="Arial"/>
          <w:sz w:val="14"/>
          <w:szCs w:val="14"/>
          <w:color w:val="auto"/>
        </w:rPr>
        <w:t xml:space="preserve">GasLog is in compliance with the above financial covenants as of September 30, 2019. Any failure by GasLog to comply with these financial covenants would permit the lenders under this credit facility to exercise remedies as secured creditors which, if such a default was to occur, could include foreclosing on the </w:t>
      </w:r>
      <w:r>
        <w:rPr>
          <w:rFonts w:ascii="Arial" w:cs="Arial" w:eastAsia="Arial" w:hAnsi="Arial"/>
          <w:sz w:val="14"/>
          <w:szCs w:val="14"/>
          <w:i w:val="1"/>
          <w:iCs w:val="1"/>
          <w:color w:val="auto"/>
        </w:rPr>
        <w:t>GasLog Glasgow</w:t>
      </w:r>
      <w:r>
        <w:rPr>
          <w:rFonts w:ascii="Arial" w:cs="Arial" w:eastAsia="Arial" w:hAnsi="Arial"/>
          <w:sz w:val="14"/>
          <w:szCs w:val="14"/>
          <w:color w:val="auto"/>
        </w:rPr>
        <w:t>.</w:t>
      </w:r>
    </w:p>
    <w:p>
      <w:pPr>
        <w:spacing w:after="0" w:line="126" w:lineRule="exact"/>
        <w:rPr>
          <w:sz w:val="20"/>
          <w:szCs w:val="20"/>
          <w:color w:val="auto"/>
        </w:rPr>
      </w:pPr>
    </w:p>
    <w:p>
      <w:pPr>
        <w:ind w:right="220" w:firstLine="405"/>
        <w:spacing w:after="0" w:line="278" w:lineRule="auto"/>
        <w:rPr>
          <w:sz w:val="20"/>
          <w:szCs w:val="20"/>
          <w:color w:val="auto"/>
        </w:rPr>
      </w:pPr>
      <w:r>
        <w:rPr>
          <w:rFonts w:ascii="Arial" w:cs="Arial" w:eastAsia="Arial" w:hAnsi="Arial"/>
          <w:sz w:val="16"/>
          <w:szCs w:val="16"/>
          <w:color w:val="auto"/>
        </w:rPr>
        <w:t>The credit facility also imposes certain restrictions relating to GasLog, including restrictions that limit its ability to make any substantial change in the nature of its business or to engage in transactions that would constitute a change of control, as defined in the relevant credit facility, without repaying all of its indebtedness in full, or to allow its largest shareholders to reduce their shareholding in GasLog below specified thresholds.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0" w:type="dxa"/>
            <w:vAlign w:val="bottom"/>
          </w:tcPr>
          <w:p>
            <w:pPr>
              <w:spacing w:after="0"/>
              <w:rPr>
                <w:sz w:val="17"/>
                <w:szCs w:val="17"/>
                <w:color w:val="auto"/>
              </w:rPr>
            </w:pPr>
          </w:p>
        </w:tc>
        <w:tc>
          <w:tcPr>
            <w:tcW w:w="7600" w:type="dxa"/>
            <w:vAlign w:val="bottom"/>
          </w:tcPr>
          <w:p>
            <w:pPr>
              <w:ind w:left="220"/>
              <w:spacing w:after="0"/>
              <w:rPr>
                <w:sz w:val="20"/>
                <w:szCs w:val="20"/>
                <w:color w:val="auto"/>
              </w:rPr>
            </w:pPr>
            <w:r>
              <w:rPr>
                <w:rFonts w:ascii="Arial" w:cs="Arial" w:eastAsia="Arial" w:hAnsi="Arial"/>
                <w:sz w:val="16"/>
                <w:szCs w:val="16"/>
                <w:color w:val="auto"/>
              </w:rPr>
              <w:t>GasLog Partners is in compliance with its financial covenants as of September 30, 2019.</w:t>
            </w: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9"/>
        </w:trPr>
        <w:tc>
          <w:tcPr>
            <w:tcW w:w="7800" w:type="dxa"/>
            <w:vAlign w:val="bottom"/>
            <w:gridSpan w:val="2"/>
          </w:tcPr>
          <w:p>
            <w:pPr>
              <w:spacing w:after="0"/>
              <w:rPr>
                <w:sz w:val="20"/>
                <w:szCs w:val="20"/>
                <w:color w:val="auto"/>
              </w:rPr>
            </w:pPr>
            <w:r>
              <w:rPr>
                <w:rFonts w:ascii="Arial" w:cs="Arial" w:eastAsia="Arial" w:hAnsi="Arial"/>
                <w:sz w:val="16"/>
                <w:szCs w:val="16"/>
                <w:b w:val="1"/>
                <w:bCs w:val="1"/>
                <w:color w:val="auto"/>
              </w:rPr>
              <w:t>8. Other Payables and Accruals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7600" w:type="dxa"/>
            <w:vAlign w:val="bottom"/>
          </w:tcPr>
          <w:p>
            <w:pPr>
              <w:ind w:left="200"/>
              <w:spacing w:after="0"/>
              <w:rPr>
                <w:sz w:val="20"/>
                <w:szCs w:val="20"/>
                <w:color w:val="auto"/>
              </w:rPr>
            </w:pPr>
            <w:r>
              <w:rPr>
                <w:rFonts w:ascii="Arial" w:cs="Arial" w:eastAsia="Arial" w:hAnsi="Arial"/>
                <w:sz w:val="16"/>
                <w:szCs w:val="16"/>
                <w:color w:val="auto"/>
              </w:rPr>
              <w:t>An analysis of other payables and accruals is as follows: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200" w:type="dxa"/>
            <w:vAlign w:val="bottom"/>
          </w:tcPr>
          <w:p>
            <w:pPr>
              <w:spacing w:after="0"/>
              <w:rPr>
                <w:sz w:val="22"/>
                <w:szCs w:val="22"/>
                <w:color w:val="auto"/>
              </w:rPr>
            </w:pPr>
          </w:p>
        </w:tc>
        <w:tc>
          <w:tcPr>
            <w:tcW w:w="7600" w:type="dxa"/>
            <w:vAlign w:val="bottom"/>
          </w:tcPr>
          <w:p>
            <w:pPr>
              <w:spacing w:after="0"/>
              <w:rPr>
                <w:sz w:val="22"/>
                <w:szCs w:val="22"/>
                <w:color w:val="auto"/>
              </w:rPr>
            </w:pPr>
          </w:p>
        </w:tc>
        <w:tc>
          <w:tcPr>
            <w:tcW w:w="1760" w:type="dxa"/>
            <w:vAlign w:val="bottom"/>
            <w:gridSpan w:val="2"/>
          </w:tcPr>
          <w:p>
            <w:pPr>
              <w:ind w:left="280"/>
              <w:spacing w:after="0"/>
              <w:rPr>
                <w:sz w:val="20"/>
                <w:szCs w:val="20"/>
                <w:color w:val="auto"/>
              </w:rPr>
            </w:pPr>
            <w:r>
              <w:rPr>
                <w:rFonts w:ascii="Arial" w:cs="Arial" w:eastAsia="Arial" w:hAnsi="Arial"/>
                <w:sz w:val="16"/>
                <w:szCs w:val="16"/>
                <w:b w:val="1"/>
                <w:bCs w:val="1"/>
                <w:color w:val="auto"/>
              </w:rPr>
              <w:t>December 31,</w:t>
            </w:r>
          </w:p>
        </w:tc>
        <w:tc>
          <w:tcPr>
            <w:tcW w:w="148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200" w:type="dxa"/>
            <w:vAlign w:val="bottom"/>
          </w:tcPr>
          <w:p>
            <w:pPr>
              <w:spacing w:after="0"/>
              <w:rPr>
                <w:sz w:val="18"/>
                <w:szCs w:val="18"/>
                <w:color w:val="auto"/>
              </w:rPr>
            </w:pPr>
          </w:p>
        </w:tc>
        <w:tc>
          <w:tcPr>
            <w:tcW w:w="760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r>
      <w:tr>
        <w:trPr>
          <w:trHeight w:val="199"/>
        </w:trPr>
        <w:tc>
          <w:tcPr>
            <w:tcW w:w="200" w:type="dxa"/>
            <w:vAlign w:val="bottom"/>
          </w:tcPr>
          <w:p>
            <w:pPr>
              <w:spacing w:after="0"/>
              <w:rPr>
                <w:sz w:val="17"/>
                <w:szCs w:val="17"/>
                <w:color w:val="auto"/>
              </w:rPr>
            </w:pPr>
          </w:p>
        </w:tc>
        <w:tc>
          <w:tcPr>
            <w:tcW w:w="7600" w:type="dxa"/>
            <w:vAlign w:val="bottom"/>
            <w:shd w:val="clear" w:color="auto" w:fill="E5FFFF"/>
          </w:tcPr>
          <w:p>
            <w:pPr>
              <w:spacing w:after="0"/>
              <w:rPr>
                <w:sz w:val="20"/>
                <w:szCs w:val="20"/>
                <w:color w:val="auto"/>
              </w:rPr>
            </w:pPr>
            <w:r>
              <w:rPr>
                <w:rFonts w:ascii="Arial" w:cs="Arial" w:eastAsia="Arial" w:hAnsi="Arial"/>
                <w:sz w:val="16"/>
                <w:szCs w:val="16"/>
                <w:color w:val="auto"/>
              </w:rPr>
              <w:t>Unearned revenue</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26,684</w:t>
            </w:r>
          </w:p>
        </w:tc>
        <w:tc>
          <w:tcPr>
            <w:tcW w:w="28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Accrued legal and professional fees</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679</w:t>
            </w:r>
          </w:p>
        </w:tc>
        <w:tc>
          <w:tcPr>
            <w:tcW w:w="1460" w:type="dxa"/>
            <w:vAlign w:val="bottom"/>
          </w:tcPr>
          <w:p>
            <w:pPr>
              <w:jc w:val="right"/>
              <w:spacing w:after="0"/>
              <w:rPr>
                <w:sz w:val="20"/>
                <w:szCs w:val="20"/>
                <w:color w:val="auto"/>
              </w:rPr>
            </w:pPr>
            <w:r>
              <w:rPr>
                <w:rFonts w:ascii="Arial" w:cs="Arial" w:eastAsia="Arial" w:hAnsi="Arial"/>
                <w:sz w:val="16"/>
                <w:szCs w:val="16"/>
                <w:color w:val="auto"/>
              </w:rPr>
              <w:t>306</w:t>
            </w:r>
          </w:p>
        </w:tc>
        <w:tc>
          <w:tcPr>
            <w:tcW w:w="2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7600" w:type="dxa"/>
            <w:vAlign w:val="bottom"/>
            <w:shd w:val="clear" w:color="auto" w:fill="E5FFFF"/>
          </w:tcPr>
          <w:p>
            <w:pPr>
              <w:spacing w:after="0"/>
              <w:rPr>
                <w:sz w:val="20"/>
                <w:szCs w:val="20"/>
                <w:color w:val="auto"/>
              </w:rPr>
            </w:pPr>
            <w:r>
              <w:rPr>
                <w:rFonts w:ascii="Arial" w:cs="Arial" w:eastAsia="Arial" w:hAnsi="Arial"/>
                <w:sz w:val="16"/>
                <w:szCs w:val="16"/>
                <w:color w:val="auto"/>
              </w:rPr>
              <w:t>Accrued crew costs</w:t>
            </w:r>
          </w:p>
        </w:tc>
        <w:tc>
          <w:tcPr>
            <w:tcW w:w="17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2,064</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1,746</w:t>
            </w:r>
          </w:p>
        </w:tc>
        <w:tc>
          <w:tcPr>
            <w:tcW w:w="2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Accrued off-hire</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3,108</w:t>
            </w:r>
          </w:p>
        </w:tc>
        <w:tc>
          <w:tcPr>
            <w:tcW w:w="1460" w:type="dxa"/>
            <w:vAlign w:val="bottom"/>
          </w:tcPr>
          <w:p>
            <w:pPr>
              <w:jc w:val="right"/>
              <w:spacing w:after="0"/>
              <w:rPr>
                <w:sz w:val="20"/>
                <w:szCs w:val="20"/>
                <w:color w:val="auto"/>
              </w:rPr>
            </w:pPr>
            <w:r>
              <w:rPr>
                <w:rFonts w:ascii="Arial" w:cs="Arial" w:eastAsia="Arial" w:hAnsi="Arial"/>
                <w:sz w:val="16"/>
                <w:szCs w:val="16"/>
                <w:color w:val="auto"/>
              </w:rPr>
              <w:t>1,688</w:t>
            </w:r>
          </w:p>
        </w:tc>
        <w:tc>
          <w:tcPr>
            <w:tcW w:w="2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7600" w:type="dxa"/>
            <w:vAlign w:val="bottom"/>
            <w:shd w:val="clear" w:color="auto" w:fill="E5FFFF"/>
          </w:tcPr>
          <w:p>
            <w:pPr>
              <w:spacing w:after="0"/>
              <w:rPr>
                <w:sz w:val="20"/>
                <w:szCs w:val="20"/>
                <w:color w:val="auto"/>
              </w:rPr>
            </w:pPr>
            <w:r>
              <w:rPr>
                <w:rFonts w:ascii="Arial" w:cs="Arial" w:eastAsia="Arial" w:hAnsi="Arial"/>
                <w:sz w:val="16"/>
                <w:szCs w:val="16"/>
                <w:color w:val="auto"/>
              </w:rPr>
              <w:t>Accrued payable to charterers</w:t>
            </w:r>
          </w:p>
        </w:tc>
        <w:tc>
          <w:tcPr>
            <w:tcW w:w="17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610</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549</w:t>
            </w:r>
          </w:p>
        </w:tc>
        <w:tc>
          <w:tcPr>
            <w:tcW w:w="2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Accrued purchases</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10,411</w:t>
            </w:r>
          </w:p>
        </w:tc>
        <w:tc>
          <w:tcPr>
            <w:tcW w:w="1460" w:type="dxa"/>
            <w:vAlign w:val="bottom"/>
          </w:tcPr>
          <w:p>
            <w:pPr>
              <w:jc w:val="right"/>
              <w:spacing w:after="0"/>
              <w:rPr>
                <w:sz w:val="20"/>
                <w:szCs w:val="20"/>
                <w:color w:val="auto"/>
              </w:rPr>
            </w:pPr>
            <w:r>
              <w:rPr>
                <w:rFonts w:ascii="Arial" w:cs="Arial" w:eastAsia="Arial" w:hAnsi="Arial"/>
                <w:sz w:val="16"/>
                <w:szCs w:val="16"/>
                <w:color w:val="auto"/>
              </w:rPr>
              <w:t>2,024</w:t>
            </w:r>
          </w:p>
        </w:tc>
        <w:tc>
          <w:tcPr>
            <w:tcW w:w="2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7600" w:type="dxa"/>
            <w:vAlign w:val="bottom"/>
            <w:shd w:val="clear" w:color="auto" w:fill="E5FFFF"/>
          </w:tcPr>
          <w:p>
            <w:pPr>
              <w:spacing w:after="0"/>
              <w:rPr>
                <w:sz w:val="20"/>
                <w:szCs w:val="20"/>
                <w:color w:val="auto"/>
              </w:rPr>
            </w:pPr>
            <w:r>
              <w:rPr>
                <w:rFonts w:ascii="Arial" w:cs="Arial" w:eastAsia="Arial" w:hAnsi="Arial"/>
                <w:sz w:val="16"/>
                <w:szCs w:val="16"/>
                <w:color w:val="auto"/>
              </w:rPr>
              <w:t>Accrued interest</w:t>
            </w:r>
          </w:p>
        </w:tc>
        <w:tc>
          <w:tcPr>
            <w:tcW w:w="17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14,402</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10,764</w:t>
            </w:r>
          </w:p>
        </w:tc>
        <w:tc>
          <w:tcPr>
            <w:tcW w:w="2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Accrued board of directors’ fees</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198</w:t>
            </w:r>
          </w:p>
        </w:tc>
        <w:tc>
          <w:tcPr>
            <w:tcW w:w="1460" w:type="dxa"/>
            <w:vAlign w:val="bottom"/>
          </w:tcPr>
          <w:p>
            <w:pPr>
              <w:jc w:val="right"/>
              <w:spacing w:after="0"/>
              <w:rPr>
                <w:sz w:val="20"/>
                <w:szCs w:val="20"/>
                <w:color w:val="auto"/>
              </w:rPr>
            </w:pPr>
            <w:r>
              <w:rPr>
                <w:rFonts w:ascii="Arial" w:cs="Arial" w:eastAsia="Arial" w:hAnsi="Arial"/>
                <w:sz w:val="16"/>
                <w:szCs w:val="16"/>
                <w:color w:val="auto"/>
              </w:rPr>
              <w:t>253</w:t>
            </w:r>
          </w:p>
        </w:tc>
        <w:tc>
          <w:tcPr>
            <w:tcW w:w="2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7600" w:type="dxa"/>
            <w:vAlign w:val="bottom"/>
            <w:shd w:val="clear" w:color="auto" w:fill="E5FFFF"/>
          </w:tcPr>
          <w:p>
            <w:pPr>
              <w:spacing w:after="0"/>
              <w:rPr>
                <w:sz w:val="20"/>
                <w:szCs w:val="20"/>
                <w:color w:val="auto"/>
              </w:rPr>
            </w:pPr>
            <w:r>
              <w:rPr>
                <w:rFonts w:ascii="Arial" w:cs="Arial" w:eastAsia="Arial" w:hAnsi="Arial"/>
                <w:sz w:val="16"/>
                <w:szCs w:val="16"/>
                <w:color w:val="auto"/>
              </w:rPr>
              <w:t>Accrued financing cost</w:t>
            </w:r>
          </w:p>
        </w:tc>
        <w:tc>
          <w:tcPr>
            <w:tcW w:w="17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101</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130</w:t>
            </w:r>
          </w:p>
        </w:tc>
        <w:tc>
          <w:tcPr>
            <w:tcW w:w="2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Accrued cash distributions</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277</w:t>
            </w:r>
          </w:p>
        </w:tc>
        <w:tc>
          <w:tcPr>
            <w:tcW w:w="1460" w:type="dxa"/>
            <w:vAlign w:val="bottom"/>
          </w:tcPr>
          <w:p>
            <w:pPr>
              <w:jc w:val="right"/>
              <w:spacing w:after="0"/>
              <w:rPr>
                <w:sz w:val="20"/>
                <w:szCs w:val="20"/>
                <w:color w:val="auto"/>
              </w:rPr>
            </w:pPr>
            <w:r>
              <w:rPr>
                <w:rFonts w:ascii="Arial" w:cs="Arial" w:eastAsia="Arial" w:hAnsi="Arial"/>
                <w:sz w:val="16"/>
                <w:szCs w:val="16"/>
                <w:color w:val="auto"/>
              </w:rPr>
              <w:t>270</w:t>
            </w:r>
          </w:p>
        </w:tc>
        <w:tc>
          <w:tcPr>
            <w:tcW w:w="2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7600" w:type="dxa"/>
            <w:vAlign w:val="bottom"/>
            <w:shd w:val="clear" w:color="auto" w:fill="E5FFFF"/>
          </w:tcPr>
          <w:p>
            <w:pPr>
              <w:spacing w:after="0"/>
              <w:rPr>
                <w:sz w:val="20"/>
                <w:szCs w:val="20"/>
                <w:color w:val="auto"/>
              </w:rPr>
            </w:pPr>
            <w:r>
              <w:rPr>
                <w:rFonts w:ascii="Arial" w:cs="Arial" w:eastAsia="Arial" w:hAnsi="Arial"/>
                <w:sz w:val="16"/>
                <w:szCs w:val="16"/>
                <w:color w:val="auto"/>
              </w:rPr>
              <w:t>Other payables and accruals</w:t>
            </w:r>
          </w:p>
        </w:tc>
        <w:tc>
          <w:tcPr>
            <w:tcW w:w="17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2,137</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2,975</w:t>
            </w:r>
          </w:p>
        </w:tc>
        <w:tc>
          <w:tcPr>
            <w:tcW w:w="2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60,671</w:t>
            </w:r>
          </w:p>
        </w:tc>
        <w:tc>
          <w:tcPr>
            <w:tcW w:w="28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20,705</w:t>
            </w:r>
          </w:p>
        </w:tc>
        <w:tc>
          <w:tcPr>
            <w:tcW w:w="20" w:type="dxa"/>
            <w:vAlign w:val="bottom"/>
            <w:tcBorders>
              <w:bottom w:val="single" w:sz="8" w:color="auto"/>
            </w:tcBorders>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1" w:lineRule="exact"/>
        <w:rPr>
          <w:sz w:val="20"/>
          <w:szCs w:val="20"/>
          <w:color w:val="auto"/>
        </w:rPr>
      </w:pPr>
    </w:p>
    <w:p>
      <w:pPr>
        <w:ind w:right="80" w:firstLine="396"/>
        <w:spacing w:after="0" w:line="293" w:lineRule="auto"/>
        <w:rPr>
          <w:sz w:val="20"/>
          <w:szCs w:val="20"/>
          <w:color w:val="auto"/>
        </w:rPr>
      </w:pPr>
      <w:r>
        <w:rPr>
          <w:rFonts w:ascii="Arial" w:cs="Arial" w:eastAsia="Arial" w:hAnsi="Arial"/>
          <w:sz w:val="16"/>
          <w:szCs w:val="16"/>
          <w:color w:val="auto"/>
        </w:rPr>
        <w:t>As of December 31, 2018, the unearned revenue of $26,684 represented monthly charter hires received in advance relating to January 2019. As of September 30, 2019, the balance is nil since the relevant hires were received on or after October 1, 2019.</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Revenues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Partnership has recognized the following amounts relating to revenues: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3300" w:type="dxa"/>
            <w:vAlign w:val="bottom"/>
            <w:gridSpan w:val="4"/>
          </w:tcPr>
          <w:p>
            <w:pPr>
              <w:jc w:val="right"/>
              <w:ind w:right="820"/>
              <w:spacing w:after="0"/>
              <w:rPr>
                <w:sz w:val="20"/>
                <w:szCs w:val="20"/>
                <w:color w:val="auto"/>
              </w:rPr>
            </w:pPr>
            <w:r>
              <w:rPr>
                <w:rFonts w:ascii="Arial" w:cs="Arial" w:eastAsia="Arial" w:hAnsi="Arial"/>
                <w:sz w:val="16"/>
                <w:szCs w:val="16"/>
                <w:b w:val="1"/>
                <w:bCs w:val="1"/>
                <w:color w:val="auto"/>
              </w:rPr>
              <w:t>For the three months ended</w:t>
            </w:r>
          </w:p>
        </w:tc>
        <w:tc>
          <w:tcPr>
            <w:tcW w:w="3040" w:type="dxa"/>
            <w:vAlign w:val="bottom"/>
            <w:gridSpan w:val="4"/>
          </w:tcPr>
          <w:p>
            <w:pPr>
              <w:ind w:left="600"/>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4500" w:type="dxa"/>
            <w:vAlign w:val="bottom"/>
          </w:tcPr>
          <w:p>
            <w:pPr>
              <w:spacing w:after="0"/>
              <w:rPr>
                <w:sz w:val="17"/>
                <w:szCs w:val="17"/>
                <w:color w:val="auto"/>
              </w:rPr>
            </w:pPr>
          </w:p>
        </w:tc>
        <w:tc>
          <w:tcPr>
            <w:tcW w:w="166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16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450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r>
      <w:tr>
        <w:trPr>
          <w:trHeight w:val="199"/>
        </w:trPr>
        <w:tc>
          <w:tcPr>
            <w:tcW w:w="4500" w:type="dxa"/>
            <w:vAlign w:val="bottom"/>
            <w:shd w:val="clear" w:color="auto" w:fill="E5FFFF"/>
          </w:tcPr>
          <w:p>
            <w:pPr>
              <w:spacing w:after="0"/>
              <w:rPr>
                <w:sz w:val="20"/>
                <w:szCs w:val="20"/>
                <w:color w:val="auto"/>
              </w:rPr>
            </w:pPr>
            <w:r>
              <w:rPr>
                <w:rFonts w:ascii="Arial" w:cs="Arial" w:eastAsia="Arial" w:hAnsi="Arial"/>
                <w:sz w:val="16"/>
                <w:szCs w:val="16"/>
                <w:color w:val="auto"/>
              </w:rPr>
              <w:t>Revenues from time charters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93,095</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96,485</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283,000</w:t>
            </w:r>
          </w:p>
        </w:tc>
        <w:tc>
          <w:tcPr>
            <w:tcW w:w="30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277,181</w:t>
            </w:r>
          </w:p>
        </w:tc>
        <w:tc>
          <w:tcPr>
            <w:tcW w:w="20" w:type="dxa"/>
            <w:vAlign w:val="bottom"/>
          </w:tcPr>
          <w:p>
            <w:pPr>
              <w:spacing w:after="0"/>
              <w:rPr>
                <w:sz w:val="17"/>
                <w:szCs w:val="17"/>
                <w:color w:val="auto"/>
              </w:rPr>
            </w:pPr>
          </w:p>
        </w:tc>
      </w:tr>
      <w:tr>
        <w:trPr>
          <w:trHeight w:val="203"/>
        </w:trPr>
        <w:tc>
          <w:tcPr>
            <w:tcW w:w="4500" w:type="dxa"/>
            <w:vAlign w:val="bottom"/>
          </w:tcPr>
          <w:p>
            <w:pPr>
              <w:spacing w:after="0"/>
              <w:rPr>
                <w:sz w:val="20"/>
                <w:szCs w:val="20"/>
                <w:color w:val="auto"/>
              </w:rPr>
            </w:pPr>
            <w:r>
              <w:rPr>
                <w:rFonts w:ascii="Arial" w:cs="Arial" w:eastAsia="Arial" w:hAnsi="Arial"/>
                <w:sz w:val="16"/>
                <w:szCs w:val="16"/>
                <w:color w:val="auto"/>
              </w:rPr>
              <w:t>Revenues from the Cool Pool</w:t>
            </w:r>
          </w:p>
        </w:tc>
        <w:tc>
          <w:tcPr>
            <w:tcW w:w="1660" w:type="dxa"/>
            <w:vAlign w:val="bottom"/>
            <w:gridSpan w:val="2"/>
          </w:tcPr>
          <w:p>
            <w:pPr>
              <w:jc w:val="right"/>
              <w:ind w:right="280"/>
              <w:spacing w:after="0"/>
              <w:rPr>
                <w:sz w:val="20"/>
                <w:szCs w:val="20"/>
                <w:color w:val="auto"/>
              </w:rPr>
            </w:pPr>
            <w:r>
              <w:rPr>
                <w:rFonts w:ascii="Arial" w:cs="Arial" w:eastAsia="Arial" w:hAnsi="Arial"/>
                <w:sz w:val="16"/>
                <w:szCs w:val="16"/>
                <w:color w:val="auto"/>
              </w:rPr>
              <w:t>4,110</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80"/>
              <w:spacing w:after="0"/>
              <w:rPr>
                <w:sz w:val="20"/>
                <w:szCs w:val="20"/>
                <w:color w:val="auto"/>
              </w:rPr>
            </w:pPr>
            <w:r>
              <w:rPr>
                <w:rFonts w:ascii="Arial" w:cs="Arial" w:eastAsia="Arial" w:hAnsi="Arial"/>
                <w:sz w:val="16"/>
                <w:szCs w:val="16"/>
                <w:color w:val="auto"/>
              </w:rPr>
              <w:t>5,626</w:t>
            </w:r>
          </w:p>
        </w:tc>
        <w:tc>
          <w:tcPr>
            <w:tcW w:w="1360" w:type="dxa"/>
            <w:vAlign w:val="bottom"/>
          </w:tcPr>
          <w:p>
            <w:pPr>
              <w:jc w:val="right"/>
              <w:spacing w:after="0"/>
              <w:rPr>
                <w:sz w:val="20"/>
                <w:szCs w:val="20"/>
                <w:color w:val="auto"/>
              </w:rPr>
            </w:pPr>
            <w:r>
              <w:rPr>
                <w:rFonts w:ascii="Arial" w:cs="Arial" w:eastAsia="Arial" w:hAnsi="Arial"/>
                <w:sz w:val="16"/>
                <w:szCs w:val="16"/>
                <w:color w:val="auto"/>
              </w:rPr>
              <w:t>4,994</w:t>
            </w:r>
          </w:p>
        </w:tc>
        <w:tc>
          <w:tcPr>
            <w:tcW w:w="20" w:type="dxa"/>
            <w:vAlign w:val="bottom"/>
          </w:tcPr>
          <w:p>
            <w:pPr>
              <w:spacing w:after="0"/>
              <w:rPr>
                <w:sz w:val="17"/>
                <w:szCs w:val="17"/>
                <w:color w:val="auto"/>
              </w:rPr>
            </w:pPr>
          </w:p>
        </w:tc>
      </w:tr>
      <w:tr>
        <w:trPr>
          <w:trHeight w:val="196"/>
        </w:trPr>
        <w:tc>
          <w:tcPr>
            <w:tcW w:w="45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97,205</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96,485</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288,626</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282,175</w:t>
            </w:r>
          </w:p>
        </w:tc>
        <w:tc>
          <w:tcPr>
            <w:tcW w:w="20" w:type="dxa"/>
            <w:vAlign w:val="bottom"/>
          </w:tcPr>
          <w:p>
            <w:pPr>
              <w:spacing w:after="0"/>
              <w:rPr>
                <w:sz w:val="17"/>
                <w:szCs w:val="17"/>
                <w:color w:val="auto"/>
              </w:rPr>
            </w:pPr>
          </w:p>
        </w:tc>
      </w:tr>
      <w:tr>
        <w:trPr>
          <w:trHeight w:val="20"/>
        </w:trPr>
        <w:tc>
          <w:tcPr>
            <w:tcW w:w="45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right="20" w:firstLine="396"/>
        <w:spacing w:after="0" w:line="278" w:lineRule="auto"/>
        <w:rPr>
          <w:sz w:val="20"/>
          <w:szCs w:val="20"/>
          <w:color w:val="auto"/>
        </w:rPr>
      </w:pPr>
      <w:r>
        <w:rPr>
          <w:rFonts w:ascii="Arial" w:cs="Arial" w:eastAsia="Arial" w:hAnsi="Arial"/>
          <w:sz w:val="16"/>
          <w:szCs w:val="16"/>
          <w:color w:val="auto"/>
        </w:rPr>
        <w:t>Revenues from the Cool Pool relate only to the pool revenues received from a GasLog Partners vessel operating in the Cool Pool and do not include the Net pool allocation to GasLog Partners of a gain of nil and $1,058 and for the three and nine months ended September 30, 2019, respectively (a gain of $780 and $423 for the three and nine months ended September 30, 2018).</w:t>
      </w:r>
    </w:p>
    <w:p>
      <w:pPr>
        <w:spacing w:after="0" w:line="103" w:lineRule="exact"/>
        <w:rPr>
          <w:sz w:val="20"/>
          <w:szCs w:val="20"/>
          <w:color w:val="auto"/>
        </w:rPr>
      </w:pPr>
    </w:p>
    <w:p>
      <w:pPr>
        <w:ind w:firstLine="396"/>
        <w:spacing w:after="0" w:line="293" w:lineRule="auto"/>
        <w:rPr>
          <w:sz w:val="20"/>
          <w:szCs w:val="20"/>
          <w:color w:val="auto"/>
        </w:rPr>
      </w:pPr>
      <w:r>
        <w:rPr>
          <w:rFonts w:ascii="Arial" w:cs="Arial" w:eastAsia="Arial" w:hAnsi="Arial"/>
          <w:sz w:val="16"/>
          <w:szCs w:val="16"/>
          <w:color w:val="auto"/>
        </w:rPr>
        <w:t xml:space="preserve">On June 23, 2019,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exited the pool following a termination agreement dated June 6, 2019 that GasLog entered into with the Cool Pool and Golar in order to assume commercial control of GasLog’s and GasLog Partners’ vessels operating in the spot market.</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6"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0"/>
        </w:trPr>
        <w:tc>
          <w:tcPr>
            <w:tcW w:w="4860" w:type="dxa"/>
            <w:vAlign w:val="bottom"/>
            <w:gridSpan w:val="2"/>
          </w:tcPr>
          <w:p>
            <w:pPr>
              <w:spacing w:after="0"/>
              <w:rPr>
                <w:sz w:val="20"/>
                <w:szCs w:val="20"/>
                <w:color w:val="auto"/>
              </w:rPr>
            </w:pPr>
            <w:r>
              <w:rPr>
                <w:rFonts w:ascii="Arial" w:cs="Arial" w:eastAsia="Arial" w:hAnsi="Arial"/>
                <w:sz w:val="16"/>
                <w:szCs w:val="16"/>
                <w:b w:val="1"/>
                <w:bCs w:val="1"/>
                <w:color w:val="auto"/>
              </w:rPr>
              <w:t>10. General and Administrative Expenses</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4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6"/>
                <w:szCs w:val="16"/>
                <w:color w:val="auto"/>
                <w:w w:val="97"/>
              </w:rPr>
              <w:t>An analysis of general and administrative expenses is as follows:</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180" w:type="dxa"/>
            <w:vAlign w:val="bottom"/>
            <w:gridSpan w:val="4"/>
          </w:tcPr>
          <w:p>
            <w:pPr>
              <w:ind w:left="540"/>
              <w:spacing w:after="0"/>
              <w:rPr>
                <w:sz w:val="20"/>
                <w:szCs w:val="20"/>
                <w:color w:val="auto"/>
              </w:rPr>
            </w:pPr>
            <w:r>
              <w:rPr>
                <w:rFonts w:ascii="Arial" w:cs="Arial" w:eastAsia="Arial" w:hAnsi="Arial"/>
                <w:sz w:val="16"/>
                <w:szCs w:val="16"/>
                <w:b w:val="1"/>
                <w:bCs w:val="1"/>
                <w:color w:val="auto"/>
              </w:rPr>
              <w:t>For the three months ended</w:t>
            </w:r>
          </w:p>
        </w:tc>
        <w:tc>
          <w:tcPr>
            <w:tcW w:w="294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September 30,</w:t>
            </w: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September 30,</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4520" w:type="dxa"/>
            <w:vAlign w:val="bottom"/>
            <w:tcBorders>
              <w:bottom w:val="single" w:sz="8" w:color="E5FFFF"/>
            </w:tcBorders>
          </w:tcPr>
          <w:p>
            <w:pPr>
              <w:spacing w:after="0"/>
              <w:rPr>
                <w:sz w:val="18"/>
                <w:szCs w:val="18"/>
                <w:color w:val="auto"/>
              </w:rPr>
            </w:pP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E5FFFF"/>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80" w:type="dxa"/>
            <w:vAlign w:val="bottom"/>
            <w:tcBorders>
              <w:bottom w:val="single" w:sz="8" w:color="E5FFFF"/>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6"/>
                <w:szCs w:val="16"/>
                <w:color w:val="auto"/>
              </w:rPr>
              <w:t>Administrative services fees (Note 3)</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2,638</w:t>
            </w:r>
          </w:p>
        </w:tc>
        <w:tc>
          <w:tcPr>
            <w:tcW w:w="20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2,278</w:t>
            </w: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7,654</w:t>
            </w:r>
          </w:p>
        </w:tc>
        <w:tc>
          <w:tcPr>
            <w:tcW w:w="1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6,684</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Commercial management fees (Note 3)</w:t>
            </w: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1,350</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1,350</w:t>
            </w:r>
          </w:p>
        </w:tc>
        <w:tc>
          <w:tcPr>
            <w:tcW w:w="1400" w:type="dxa"/>
            <w:vAlign w:val="bottom"/>
          </w:tcPr>
          <w:p>
            <w:pPr>
              <w:jc w:val="right"/>
              <w:spacing w:after="0"/>
              <w:rPr>
                <w:sz w:val="20"/>
                <w:szCs w:val="20"/>
                <w:color w:val="auto"/>
              </w:rPr>
            </w:pPr>
            <w:r>
              <w:rPr>
                <w:rFonts w:ascii="Arial" w:cs="Arial" w:eastAsia="Arial" w:hAnsi="Arial"/>
                <w:sz w:val="16"/>
                <w:szCs w:val="16"/>
                <w:color w:val="auto"/>
              </w:rPr>
              <w:t>4,050</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4,050</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 (Note 17)</w:t>
            </w:r>
          </w:p>
        </w:tc>
        <w:tc>
          <w:tcPr>
            <w:tcW w:w="160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268</w:t>
            </w:r>
          </w:p>
        </w:tc>
        <w:tc>
          <w:tcPr>
            <w:tcW w:w="158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250</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766</w:t>
            </w:r>
          </w:p>
        </w:tc>
        <w:tc>
          <w:tcPr>
            <w:tcW w:w="1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Other expenses</w:t>
            </w: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626</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1,039</w:t>
            </w:r>
          </w:p>
        </w:tc>
        <w:tc>
          <w:tcPr>
            <w:tcW w:w="1400" w:type="dxa"/>
            <w:vAlign w:val="bottom"/>
          </w:tcPr>
          <w:p>
            <w:pPr>
              <w:jc w:val="right"/>
              <w:spacing w:after="0"/>
              <w:rPr>
                <w:sz w:val="20"/>
                <w:szCs w:val="20"/>
                <w:color w:val="auto"/>
              </w:rPr>
            </w:pPr>
            <w:r>
              <w:rPr>
                <w:rFonts w:ascii="Arial" w:cs="Arial" w:eastAsia="Arial" w:hAnsi="Arial"/>
                <w:sz w:val="16"/>
                <w:szCs w:val="16"/>
                <w:color w:val="auto"/>
              </w:rPr>
              <w:t>2,198</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2,859</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5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4,882</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4,917</w:t>
            </w: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14,668</w:t>
            </w: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14,352</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11. Vessel Operating Costs</w:t>
            </w: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86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4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An analysis of vessel operating costs is as follows:</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180" w:type="dxa"/>
            <w:vAlign w:val="bottom"/>
            <w:gridSpan w:val="4"/>
          </w:tcPr>
          <w:p>
            <w:pPr>
              <w:ind w:left="540"/>
              <w:spacing w:after="0"/>
              <w:rPr>
                <w:sz w:val="20"/>
                <w:szCs w:val="20"/>
                <w:color w:val="auto"/>
              </w:rPr>
            </w:pPr>
            <w:r>
              <w:rPr>
                <w:rFonts w:ascii="Arial" w:cs="Arial" w:eastAsia="Arial" w:hAnsi="Arial"/>
                <w:sz w:val="16"/>
                <w:szCs w:val="16"/>
                <w:b w:val="1"/>
                <w:bCs w:val="1"/>
                <w:color w:val="auto"/>
              </w:rPr>
              <w:t>For the three months ended</w:t>
            </w:r>
          </w:p>
        </w:tc>
        <w:tc>
          <w:tcPr>
            <w:tcW w:w="294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September 30,</w:t>
            </w: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September 30,</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4520" w:type="dxa"/>
            <w:vAlign w:val="bottom"/>
            <w:tcBorders>
              <w:bottom w:val="single" w:sz="8" w:color="E5FFFF"/>
            </w:tcBorders>
          </w:tcPr>
          <w:p>
            <w:pPr>
              <w:spacing w:after="0"/>
              <w:rPr>
                <w:sz w:val="18"/>
                <w:szCs w:val="18"/>
                <w:color w:val="auto"/>
              </w:rPr>
            </w:pP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E5FFFF"/>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80" w:type="dxa"/>
            <w:vAlign w:val="bottom"/>
            <w:tcBorders>
              <w:bottom w:val="single" w:sz="8" w:color="E5FFFF"/>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6"/>
                <w:szCs w:val="16"/>
                <w:color w:val="auto"/>
              </w:rPr>
              <w:t>Crew costs</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10,015</w:t>
            </w:r>
          </w:p>
        </w:tc>
        <w:tc>
          <w:tcPr>
            <w:tcW w:w="20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9,178</w:t>
            </w: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29,433</w:t>
            </w:r>
          </w:p>
        </w:tc>
        <w:tc>
          <w:tcPr>
            <w:tcW w:w="1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27,451</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Technical maintenance expenses</w:t>
            </w: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3,725</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4,306</w:t>
            </w:r>
          </w:p>
        </w:tc>
        <w:tc>
          <w:tcPr>
            <w:tcW w:w="1400" w:type="dxa"/>
            <w:vAlign w:val="bottom"/>
          </w:tcPr>
          <w:p>
            <w:pPr>
              <w:jc w:val="right"/>
              <w:spacing w:after="0"/>
              <w:rPr>
                <w:sz w:val="20"/>
                <w:szCs w:val="20"/>
                <w:color w:val="auto"/>
              </w:rPr>
            </w:pPr>
            <w:r>
              <w:rPr>
                <w:rFonts w:ascii="Arial" w:cs="Arial" w:eastAsia="Arial" w:hAnsi="Arial"/>
                <w:sz w:val="16"/>
                <w:szCs w:val="16"/>
                <w:color w:val="auto"/>
              </w:rPr>
              <w:t>12,284</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14,003</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6"/>
                <w:szCs w:val="16"/>
                <w:color w:val="auto"/>
              </w:rPr>
              <w:t>Other operating expenses</w:t>
            </w:r>
          </w:p>
        </w:tc>
        <w:tc>
          <w:tcPr>
            <w:tcW w:w="160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4,857</w:t>
            </w:r>
          </w:p>
        </w:tc>
        <w:tc>
          <w:tcPr>
            <w:tcW w:w="158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4,632</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15,213</w:t>
            </w:r>
          </w:p>
        </w:tc>
        <w:tc>
          <w:tcPr>
            <w:tcW w:w="1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13,841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18,597</w:t>
            </w:r>
          </w:p>
        </w:tc>
        <w:tc>
          <w:tcPr>
            <w:tcW w:w="20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18,116</w:t>
            </w:r>
          </w:p>
        </w:tc>
        <w:tc>
          <w:tcPr>
            <w:tcW w:w="18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56,930</w:t>
            </w:r>
          </w:p>
        </w:tc>
        <w:tc>
          <w:tcPr>
            <w:tcW w:w="1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55,295</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12. Derivative Financial Instruments</w:t>
            </w: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86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4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The fair value of the derivative assets is as follows:</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4520" w:type="dxa"/>
            <w:vAlign w:val="bottom"/>
            <w:tcBorders>
              <w:bottom w:val="single" w:sz="8" w:color="E5FFFF"/>
            </w:tcBorders>
          </w:tcPr>
          <w:p>
            <w:pPr>
              <w:spacing w:after="0"/>
              <w:rPr>
                <w:sz w:val="18"/>
                <w:szCs w:val="18"/>
                <w:color w:val="auto"/>
              </w:rPr>
            </w:pPr>
          </w:p>
        </w:tc>
        <w:tc>
          <w:tcPr>
            <w:tcW w:w="140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400" w:type="dxa"/>
            <w:vAlign w:val="bottom"/>
            <w:tcBorders>
              <w:bottom w:val="single" w:sz="8" w:color="E5FFFF"/>
            </w:tcBorders>
          </w:tcPr>
          <w:p>
            <w:pPr>
              <w:spacing w:after="0"/>
              <w:rPr>
                <w:sz w:val="18"/>
                <w:szCs w:val="18"/>
                <w:color w:val="auto"/>
              </w:rPr>
            </w:pPr>
          </w:p>
        </w:tc>
        <w:tc>
          <w:tcPr>
            <w:tcW w:w="180" w:type="dxa"/>
            <w:vAlign w:val="bottom"/>
            <w:tcBorders>
              <w:bottom w:val="single" w:sz="8" w:color="E5FFFF"/>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6120" w:type="dxa"/>
            <w:vAlign w:val="bottom"/>
            <w:gridSpan w:val="3"/>
            <w:shd w:val="clear" w:color="auto" w:fill="E5FFFF"/>
          </w:tcPr>
          <w:p>
            <w:pPr>
              <w:spacing w:after="0"/>
              <w:rPr>
                <w:sz w:val="20"/>
                <w:szCs w:val="20"/>
                <w:color w:val="auto"/>
              </w:rPr>
            </w:pPr>
            <w:r>
              <w:rPr>
                <w:rFonts w:ascii="Arial" w:cs="Arial" w:eastAsia="Arial" w:hAnsi="Arial"/>
                <w:sz w:val="16"/>
                <w:szCs w:val="16"/>
                <w:b w:val="1"/>
                <w:bCs w:val="1"/>
                <w:color w:val="auto"/>
              </w:rPr>
              <w:t>Derivative assets carried at fair value through profit or loss (FVTPL)</w:t>
            </w:r>
          </w:p>
        </w:tc>
        <w:tc>
          <w:tcPr>
            <w:tcW w:w="140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40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Interest rate swaps</w:t>
            </w:r>
          </w:p>
        </w:tc>
        <w:tc>
          <w:tcPr>
            <w:tcW w:w="1400" w:type="dxa"/>
            <w:vAlign w:val="bottom"/>
            <w:tcBorders>
              <w:bottom w:val="single" w:sz="8" w:color="E5FFFF"/>
            </w:tcBorders>
          </w:tcPr>
          <w:p>
            <w:pPr>
              <w:spacing w:after="0"/>
              <w:rPr>
                <w:sz w:val="17"/>
                <w:szCs w:val="17"/>
                <w:color w:val="auto"/>
              </w:rPr>
            </w:pPr>
          </w:p>
        </w:tc>
        <w:tc>
          <w:tcPr>
            <w:tcW w:w="200" w:type="dxa"/>
            <w:vAlign w:val="bottom"/>
            <w:tcBorders>
              <w:bottom w:val="single" w:sz="8" w:color="E5FFFF"/>
            </w:tcBorders>
          </w:tcPr>
          <w:p>
            <w:pPr>
              <w:spacing w:after="0"/>
              <w:rPr>
                <w:sz w:val="17"/>
                <w:szCs w:val="17"/>
                <w:color w:val="auto"/>
              </w:rPr>
            </w:pPr>
          </w:p>
        </w:tc>
        <w:tc>
          <w:tcPr>
            <w:tcW w:w="1400" w:type="dxa"/>
            <w:vAlign w:val="bottom"/>
            <w:tcBorders>
              <w:bottom w:val="single" w:sz="8" w:color="E5FFFF"/>
            </w:tcBorders>
          </w:tcPr>
          <w:p>
            <w:pPr>
              <w:spacing w:after="0"/>
              <w:rPr>
                <w:sz w:val="17"/>
                <w:szCs w:val="17"/>
                <w:color w:val="auto"/>
              </w:rPr>
            </w:pPr>
          </w:p>
        </w:tc>
        <w:tc>
          <w:tcPr>
            <w:tcW w:w="180" w:type="dxa"/>
            <w:vAlign w:val="bottom"/>
            <w:tcBorders>
              <w:bottom w:val="single" w:sz="8" w:color="E5FF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9,731</w:t>
            </w:r>
          </w:p>
        </w:tc>
        <w:tc>
          <w:tcPr>
            <w:tcW w:w="18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5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E5FFFF"/>
            </w:tcBorders>
            <w:shd w:val="clear" w:color="auto" w:fill="E5FFFF"/>
          </w:tcPr>
          <w:p>
            <w:pPr>
              <w:spacing w:after="0"/>
              <w:rPr>
                <w:sz w:val="17"/>
                <w:szCs w:val="17"/>
                <w:color w:val="auto"/>
              </w:rPr>
            </w:pPr>
          </w:p>
        </w:tc>
        <w:tc>
          <w:tcPr>
            <w:tcW w:w="140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E5FFFF"/>
            </w:tcBorders>
            <w:shd w:val="clear" w:color="auto" w:fill="E5FFFF"/>
          </w:tcPr>
          <w:p>
            <w:pPr>
              <w:spacing w:after="0"/>
              <w:rPr>
                <w:sz w:val="17"/>
                <w:szCs w:val="17"/>
                <w:color w:val="auto"/>
              </w:rPr>
            </w:pP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9,731</w:t>
            </w:r>
          </w:p>
        </w:tc>
        <w:tc>
          <w:tcPr>
            <w:tcW w:w="18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696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20" w:type="dxa"/>
            <w:vAlign w:val="bottom"/>
            <w:vMerge w:val="restart"/>
          </w:tcPr>
          <w:p>
            <w:pPr>
              <w:spacing w:after="0"/>
              <w:rPr>
                <w:sz w:val="20"/>
                <w:szCs w:val="20"/>
                <w:color w:val="auto"/>
              </w:rPr>
            </w:pPr>
            <w:r>
              <w:rPr>
                <w:rFonts w:ascii="Arial" w:cs="Arial" w:eastAsia="Arial" w:hAnsi="Arial"/>
                <w:sz w:val="16"/>
                <w:szCs w:val="16"/>
                <w:color w:val="auto"/>
              </w:rPr>
              <w:t>Derivative financial instruments, current asset</w:t>
            </w: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452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4,615</w:t>
            </w: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non-current asset</w:t>
            </w:r>
          </w:p>
        </w:tc>
        <w:tc>
          <w:tcPr>
            <w:tcW w:w="14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4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5,116</w:t>
            </w:r>
          </w:p>
        </w:tc>
        <w:tc>
          <w:tcPr>
            <w:tcW w:w="13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9,731</w:t>
            </w:r>
          </w:p>
        </w:tc>
        <w:tc>
          <w:tcPr>
            <w:tcW w:w="1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20" w:type="dxa"/>
            <w:vAlign w:val="bottom"/>
            <w:vMerge w:val="restart"/>
          </w:tcPr>
          <w:p>
            <w:pPr>
              <w:spacing w:after="0"/>
              <w:rPr>
                <w:sz w:val="20"/>
                <w:szCs w:val="20"/>
                <w:color w:val="auto"/>
              </w:rPr>
            </w:pPr>
            <w:r>
              <w:rPr>
                <w:rFonts w:ascii="Arial" w:cs="Arial" w:eastAsia="Arial" w:hAnsi="Arial"/>
                <w:sz w:val="16"/>
                <w:szCs w:val="16"/>
                <w:color w:val="auto"/>
              </w:rPr>
              <w:t>The fair value of the derivative liabilities is as follows:</w:t>
            </w: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4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4520" w:type="dxa"/>
            <w:vAlign w:val="bottom"/>
            <w:tcBorders>
              <w:bottom w:val="single" w:sz="8" w:color="E5FFFF"/>
            </w:tcBorders>
          </w:tcPr>
          <w:p>
            <w:pPr>
              <w:spacing w:after="0"/>
              <w:rPr>
                <w:sz w:val="18"/>
                <w:szCs w:val="18"/>
                <w:color w:val="auto"/>
              </w:rPr>
            </w:pPr>
          </w:p>
        </w:tc>
        <w:tc>
          <w:tcPr>
            <w:tcW w:w="140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400" w:type="dxa"/>
            <w:vAlign w:val="bottom"/>
            <w:tcBorders>
              <w:bottom w:val="single" w:sz="8" w:color="E5FFFF"/>
            </w:tcBorders>
          </w:tcPr>
          <w:p>
            <w:pPr>
              <w:spacing w:after="0"/>
              <w:rPr>
                <w:sz w:val="18"/>
                <w:szCs w:val="18"/>
                <w:color w:val="auto"/>
              </w:rPr>
            </w:pPr>
          </w:p>
        </w:tc>
        <w:tc>
          <w:tcPr>
            <w:tcW w:w="180" w:type="dxa"/>
            <w:vAlign w:val="bottom"/>
            <w:tcBorders>
              <w:bottom w:val="single" w:sz="8" w:color="E5FFFF"/>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4520" w:type="dxa"/>
            <w:vAlign w:val="bottom"/>
            <w:shd w:val="clear" w:color="auto" w:fill="E5FFFF"/>
          </w:tcPr>
          <w:p>
            <w:pPr>
              <w:spacing w:after="0" w:line="172" w:lineRule="exact"/>
              <w:rPr>
                <w:sz w:val="20"/>
                <w:szCs w:val="20"/>
                <w:color w:val="auto"/>
              </w:rPr>
            </w:pPr>
            <w:r>
              <w:rPr>
                <w:rFonts w:ascii="Arial" w:cs="Arial" w:eastAsia="Arial" w:hAnsi="Arial"/>
                <w:sz w:val="16"/>
                <w:szCs w:val="16"/>
                <w:b w:val="1"/>
                <w:bCs w:val="1"/>
                <w:color w:val="auto"/>
                <w:w w:val="96"/>
              </w:rPr>
              <w:t>Derivative liabilities carried at fair value through profit or loss</w:t>
            </w:r>
          </w:p>
        </w:tc>
        <w:tc>
          <w:tcPr>
            <w:tcW w:w="140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140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40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36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(FVTPL)</w:t>
            </w:r>
          </w:p>
        </w:tc>
        <w:tc>
          <w:tcPr>
            <w:tcW w:w="14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4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Interest rate swaps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4,218</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12,078</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6"/>
                <w:szCs w:val="16"/>
                <w:color w:val="auto"/>
              </w:rPr>
              <w:t>Forward foreign exchange contracts</w:t>
            </w:r>
          </w:p>
        </w:tc>
        <w:tc>
          <w:tcPr>
            <w:tcW w:w="14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4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578</w:t>
            </w:r>
          </w:p>
        </w:tc>
        <w:tc>
          <w:tcPr>
            <w:tcW w:w="18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45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bottom w:val="single" w:sz="8" w:color="E5FFFF"/>
            </w:tcBorders>
          </w:tcPr>
          <w:p>
            <w:pPr>
              <w:spacing w:after="0"/>
              <w:rPr>
                <w:sz w:val="20"/>
                <w:szCs w:val="20"/>
                <w:color w:val="auto"/>
              </w:rPr>
            </w:pPr>
          </w:p>
        </w:tc>
        <w:tc>
          <w:tcPr>
            <w:tcW w:w="200" w:type="dxa"/>
            <w:vAlign w:val="bottom"/>
            <w:tcBorders>
              <w:bottom w:val="single" w:sz="8" w:color="E5FFFF"/>
            </w:tcBorders>
          </w:tcPr>
          <w:p>
            <w:pPr>
              <w:spacing w:after="0"/>
              <w:rPr>
                <w:sz w:val="20"/>
                <w:szCs w:val="20"/>
                <w:color w:val="auto"/>
              </w:rPr>
            </w:pPr>
          </w:p>
        </w:tc>
        <w:tc>
          <w:tcPr>
            <w:tcW w:w="1400" w:type="dxa"/>
            <w:vAlign w:val="bottom"/>
            <w:tcBorders>
              <w:bottom w:val="single" w:sz="8" w:color="E5FFFF"/>
            </w:tcBorders>
          </w:tcPr>
          <w:p>
            <w:pPr>
              <w:spacing w:after="0"/>
              <w:rPr>
                <w:sz w:val="20"/>
                <w:szCs w:val="20"/>
                <w:color w:val="auto"/>
              </w:rPr>
            </w:pPr>
          </w:p>
        </w:tc>
        <w:tc>
          <w:tcPr>
            <w:tcW w:w="180" w:type="dxa"/>
            <w:vAlign w:val="bottom"/>
            <w:tcBorders>
              <w:bottom w:val="single" w:sz="8" w:color="E5FF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4,796</w:t>
            </w:r>
          </w:p>
        </w:tc>
        <w:tc>
          <w:tcPr>
            <w:tcW w:w="180" w:type="dxa"/>
            <w:vAlign w:val="bottom"/>
            <w:tcBorders>
              <w:bottom w:val="single" w:sz="8" w:color="E5FF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12,459</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4520" w:type="dxa"/>
            <w:vAlign w:val="bottom"/>
            <w:shd w:val="clear" w:color="auto" w:fill="E5FFFF"/>
          </w:tcPr>
          <w:p>
            <w:pPr>
              <w:spacing w:after="0" w:line="177" w:lineRule="exact"/>
              <w:rPr>
                <w:sz w:val="20"/>
                <w:szCs w:val="20"/>
                <w:color w:val="auto"/>
              </w:rPr>
            </w:pPr>
            <w:r>
              <w:rPr>
                <w:rFonts w:ascii="Arial" w:cs="Arial" w:eastAsia="Arial" w:hAnsi="Arial"/>
                <w:sz w:val="16"/>
                <w:szCs w:val="16"/>
                <w:color w:val="auto"/>
              </w:rPr>
              <w:t>Derivative financial instruments, current liability</w:t>
            </w:r>
          </w:p>
        </w:tc>
        <w:tc>
          <w:tcPr>
            <w:tcW w:w="140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40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1,253</w:t>
            </w:r>
          </w:p>
        </w:tc>
        <w:tc>
          <w:tcPr>
            <w:tcW w:w="180" w:type="dxa"/>
            <w:vAlign w:val="bottom"/>
            <w:shd w:val="clear" w:color="auto" w:fill="E5FFFF"/>
          </w:tcPr>
          <w:p>
            <w:pPr>
              <w:spacing w:after="0"/>
              <w:rPr>
                <w:sz w:val="15"/>
                <w:szCs w:val="15"/>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2,762</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Derivative financial instruments, non-current liability</w:t>
            </w:r>
          </w:p>
        </w:tc>
        <w:tc>
          <w:tcPr>
            <w:tcW w:w="1400" w:type="dxa"/>
            <w:vAlign w:val="bottom"/>
            <w:tcBorders>
              <w:bottom w:val="single" w:sz="8" w:color="E5FFFF"/>
            </w:tcBorders>
          </w:tcPr>
          <w:p>
            <w:pPr>
              <w:spacing w:after="0"/>
              <w:rPr>
                <w:sz w:val="17"/>
                <w:szCs w:val="17"/>
                <w:color w:val="auto"/>
              </w:rPr>
            </w:pPr>
          </w:p>
        </w:tc>
        <w:tc>
          <w:tcPr>
            <w:tcW w:w="200" w:type="dxa"/>
            <w:vAlign w:val="bottom"/>
            <w:tcBorders>
              <w:bottom w:val="single" w:sz="8" w:color="E5FFFF"/>
            </w:tcBorders>
          </w:tcPr>
          <w:p>
            <w:pPr>
              <w:spacing w:after="0"/>
              <w:rPr>
                <w:sz w:val="17"/>
                <w:szCs w:val="17"/>
                <w:color w:val="auto"/>
              </w:rPr>
            </w:pPr>
          </w:p>
        </w:tc>
        <w:tc>
          <w:tcPr>
            <w:tcW w:w="1400" w:type="dxa"/>
            <w:vAlign w:val="bottom"/>
            <w:tcBorders>
              <w:bottom w:val="single" w:sz="8" w:color="E5FFFF"/>
            </w:tcBorders>
          </w:tcPr>
          <w:p>
            <w:pPr>
              <w:spacing w:after="0"/>
              <w:rPr>
                <w:sz w:val="17"/>
                <w:szCs w:val="17"/>
                <w:color w:val="auto"/>
              </w:rPr>
            </w:pPr>
          </w:p>
        </w:tc>
        <w:tc>
          <w:tcPr>
            <w:tcW w:w="180" w:type="dxa"/>
            <w:vAlign w:val="bottom"/>
            <w:tcBorders>
              <w:bottom w:val="single" w:sz="8" w:color="E5FF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3,543</w:t>
            </w:r>
          </w:p>
        </w:tc>
        <w:tc>
          <w:tcPr>
            <w:tcW w:w="18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9,697</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5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E5FFFF"/>
            </w:tcBorders>
            <w:shd w:val="clear" w:color="auto" w:fill="E5FFFF"/>
          </w:tcPr>
          <w:p>
            <w:pPr>
              <w:spacing w:after="0"/>
              <w:rPr>
                <w:sz w:val="17"/>
                <w:szCs w:val="17"/>
                <w:color w:val="auto"/>
              </w:rPr>
            </w:pPr>
          </w:p>
        </w:tc>
        <w:tc>
          <w:tcPr>
            <w:tcW w:w="140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E5FFFF"/>
            </w:tcBorders>
            <w:shd w:val="clear" w:color="auto" w:fill="E5FFFF"/>
          </w:tcPr>
          <w:p>
            <w:pPr>
              <w:spacing w:after="0"/>
              <w:rPr>
                <w:sz w:val="17"/>
                <w:szCs w:val="17"/>
                <w:color w:val="auto"/>
              </w:rPr>
            </w:pP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4,796</w:t>
            </w:r>
          </w:p>
        </w:tc>
        <w:tc>
          <w:tcPr>
            <w:tcW w:w="18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12,459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Interest rate swap agreements</w:t>
      </w:r>
    </w:p>
    <w:p>
      <w:pPr>
        <w:spacing w:after="0" w:line="239" w:lineRule="exact"/>
        <w:rPr>
          <w:sz w:val="20"/>
          <w:szCs w:val="20"/>
          <w:color w:val="auto"/>
        </w:rPr>
      </w:pPr>
    </w:p>
    <w:p>
      <w:pPr>
        <w:ind w:firstLine="405"/>
        <w:spacing w:after="0" w:line="273" w:lineRule="auto"/>
        <w:rPr>
          <w:sz w:val="20"/>
          <w:szCs w:val="20"/>
          <w:color w:val="auto"/>
        </w:rPr>
      </w:pPr>
      <w:r>
        <w:rPr>
          <w:rFonts w:ascii="Arial" w:cs="Arial" w:eastAsia="Arial" w:hAnsi="Arial"/>
          <w:sz w:val="16"/>
          <w:szCs w:val="16"/>
          <w:color w:val="auto"/>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 based on the three-month U.S. dollar LIBOR, and the Partnership effects quarterly payments to the counterparty on the notional amount at the respective fixed rates.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Interest rate swaps held for trading</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principal terms of the interest rate swaps held for trading were as follows:</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2"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3"/>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Fixed</w:t>
            </w:r>
          </w:p>
        </w:tc>
        <w:tc>
          <w:tcPr>
            <w:tcW w:w="292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6"/>
                <w:szCs w:val="16"/>
                <w:b w:val="1"/>
                <w:bCs w:val="1"/>
                <w:color w:val="auto"/>
              </w:rPr>
              <w:t>Notional Amount</w:t>
            </w:r>
          </w:p>
        </w:tc>
        <w:tc>
          <w:tcPr>
            <w:tcW w:w="0" w:type="dxa"/>
            <w:vAlign w:val="bottom"/>
          </w:tcPr>
          <w:p>
            <w:pPr>
              <w:spacing w:after="0"/>
              <w:rPr>
                <w:sz w:val="1"/>
                <w:szCs w:val="1"/>
                <w:color w:val="auto"/>
              </w:rPr>
            </w:pPr>
          </w:p>
        </w:tc>
      </w:tr>
      <w:tr>
        <w:trPr>
          <w:trHeight w:val="172"/>
        </w:trPr>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Termination</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Interest</w:t>
            </w:r>
          </w:p>
        </w:tc>
        <w:tc>
          <w:tcPr>
            <w:tcW w:w="15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1740" w:type="dxa"/>
            <w:vAlign w:val="bottom"/>
            <w:gridSpan w:val="2"/>
          </w:tcPr>
          <w:p>
            <w:pPr>
              <w:spacing w:after="0"/>
              <w:rPr>
                <w:sz w:val="20"/>
                <w:szCs w:val="20"/>
                <w:color w:val="auto"/>
              </w:rPr>
            </w:pPr>
            <w:r>
              <w:rPr>
                <w:rFonts w:ascii="Arial" w:cs="Arial" w:eastAsia="Arial" w:hAnsi="Arial"/>
                <w:sz w:val="16"/>
                <w:szCs w:val="16"/>
                <w:b w:val="1"/>
                <w:bCs w:val="1"/>
                <w:color w:val="auto"/>
              </w:rPr>
              <w:t>Company</w:t>
            </w: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Counterparty</w:t>
            </w: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Trade Date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Effective Date</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Date</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Rate</w:t>
            </w:r>
          </w:p>
        </w:tc>
        <w:tc>
          <w:tcPr>
            <w:tcW w:w="142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8"/>
                <w:szCs w:val="18"/>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16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4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120" w:type="dxa"/>
            <w:vAlign w:val="bottom"/>
            <w:tcBorders>
              <w:top w:val="single" w:sz="8" w:color="E5FFFF"/>
            </w:tcBorders>
            <w:shd w:val="clear" w:color="auto" w:fill="E5FFFF"/>
          </w:tcPr>
          <w:p>
            <w:pPr>
              <w:spacing w:after="0"/>
              <w:rPr>
                <w:sz w:val="17"/>
                <w:szCs w:val="17"/>
                <w:color w:val="auto"/>
              </w:rPr>
            </w:pPr>
          </w:p>
        </w:tc>
        <w:tc>
          <w:tcPr>
            <w:tcW w:w="10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Nov 2016</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6"/>
              </w:rPr>
              <w:t>Nov 2016</w:t>
            </w:r>
          </w:p>
        </w:tc>
        <w:tc>
          <w:tcPr>
            <w:tcW w:w="12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July 2020</w:t>
            </w:r>
          </w:p>
        </w:tc>
        <w:tc>
          <w:tcPr>
            <w:tcW w:w="120" w:type="dxa"/>
            <w:vAlign w:val="bottom"/>
            <w:tcBorders>
              <w:top w:val="single" w:sz="8" w:color="E5FFFF"/>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1.54%</w:t>
            </w:r>
          </w:p>
        </w:tc>
        <w:tc>
          <w:tcPr>
            <w:tcW w:w="12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130,000</w:t>
            </w:r>
          </w:p>
        </w:tc>
        <w:tc>
          <w:tcPr>
            <w:tcW w:w="14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130,000</w:t>
            </w: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GasLog Partners</w:t>
            </w:r>
          </w:p>
        </w:tc>
        <w:tc>
          <w:tcPr>
            <w:tcW w:w="128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Nov 2016</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Nov 2016</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July 2021</w:t>
            </w:r>
          </w:p>
        </w:tc>
        <w:tc>
          <w:tcPr>
            <w:tcW w:w="820" w:type="dxa"/>
            <w:vAlign w:val="bottom"/>
          </w:tcPr>
          <w:p>
            <w:pPr>
              <w:jc w:val="center"/>
              <w:spacing w:after="0"/>
              <w:rPr>
                <w:sz w:val="20"/>
                <w:szCs w:val="20"/>
                <w:color w:val="auto"/>
              </w:rPr>
            </w:pPr>
            <w:r>
              <w:rPr>
                <w:rFonts w:ascii="Arial" w:cs="Arial" w:eastAsia="Arial" w:hAnsi="Arial"/>
                <w:sz w:val="16"/>
                <w:szCs w:val="16"/>
                <w:color w:val="auto"/>
                <w:w w:val="92"/>
              </w:rPr>
              <w:t>1.63%</w:t>
            </w: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130,000</w:t>
            </w:r>
          </w:p>
        </w:tc>
        <w:tc>
          <w:tcPr>
            <w:tcW w:w="1360" w:type="dxa"/>
            <w:vAlign w:val="bottom"/>
          </w:tcPr>
          <w:p>
            <w:pPr>
              <w:jc w:val="right"/>
              <w:spacing w:after="0"/>
              <w:rPr>
                <w:sz w:val="20"/>
                <w:szCs w:val="20"/>
                <w:color w:val="auto"/>
              </w:rPr>
            </w:pPr>
            <w:r>
              <w:rPr>
                <w:rFonts w:ascii="Arial" w:cs="Arial" w:eastAsia="Arial" w:hAnsi="Arial"/>
                <w:sz w:val="16"/>
                <w:szCs w:val="16"/>
                <w:color w:val="auto"/>
              </w:rPr>
              <w:t>130,000</w:t>
            </w:r>
          </w:p>
        </w:tc>
        <w:tc>
          <w:tcPr>
            <w:tcW w:w="0" w:type="dxa"/>
            <w:vAlign w:val="bottom"/>
          </w:tcPr>
          <w:p>
            <w:pPr>
              <w:spacing w:after="0"/>
              <w:rPr>
                <w:sz w:val="1"/>
                <w:szCs w:val="1"/>
                <w:color w:val="auto"/>
              </w:rPr>
            </w:pPr>
          </w:p>
        </w:tc>
      </w:tr>
      <w:tr>
        <w:trPr>
          <w:trHeight w:val="203"/>
        </w:trPr>
        <w:tc>
          <w:tcPr>
            <w:tcW w:w="17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2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1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Nov 2016</w:t>
            </w:r>
          </w:p>
        </w:tc>
        <w:tc>
          <w:tcPr>
            <w:tcW w:w="14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6"/>
              </w:rPr>
              <w:t>Nov 2016</w:t>
            </w:r>
          </w:p>
        </w:tc>
        <w:tc>
          <w:tcPr>
            <w:tcW w:w="15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0"/>
              </w:rPr>
              <w:t>July 2022</w:t>
            </w:r>
          </w:p>
        </w:tc>
        <w:tc>
          <w:tcPr>
            <w:tcW w:w="8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1.72%</w:t>
            </w:r>
          </w:p>
        </w:tc>
        <w:tc>
          <w:tcPr>
            <w:tcW w:w="12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130,000</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130,000</w:t>
            </w: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GasLog Partners</w:t>
            </w:r>
          </w:p>
        </w:tc>
        <w:tc>
          <w:tcPr>
            <w:tcW w:w="128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July 2017</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July 2017</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2022</w:t>
            </w:r>
          </w:p>
        </w:tc>
        <w:tc>
          <w:tcPr>
            <w:tcW w:w="820" w:type="dxa"/>
            <w:vAlign w:val="bottom"/>
          </w:tcPr>
          <w:p>
            <w:pPr>
              <w:jc w:val="center"/>
              <w:spacing w:after="0"/>
              <w:rPr>
                <w:sz w:val="20"/>
                <w:szCs w:val="20"/>
                <w:color w:val="auto"/>
              </w:rPr>
            </w:pPr>
            <w:r>
              <w:rPr>
                <w:rFonts w:ascii="Arial" w:cs="Arial" w:eastAsia="Arial" w:hAnsi="Arial"/>
                <w:sz w:val="16"/>
                <w:szCs w:val="16"/>
                <w:color w:val="auto"/>
                <w:w w:val="92"/>
              </w:rPr>
              <w:t>2.19%</w:t>
            </w: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80,000</w:t>
            </w:r>
          </w:p>
        </w:tc>
        <w:tc>
          <w:tcPr>
            <w:tcW w:w="1360" w:type="dxa"/>
            <w:vAlign w:val="bottom"/>
          </w:tcPr>
          <w:p>
            <w:pPr>
              <w:jc w:val="right"/>
              <w:spacing w:after="0"/>
              <w:rPr>
                <w:sz w:val="20"/>
                <w:szCs w:val="20"/>
                <w:color w:val="auto"/>
              </w:rPr>
            </w:pPr>
            <w:r>
              <w:rPr>
                <w:rFonts w:ascii="Arial" w:cs="Arial" w:eastAsia="Arial" w:hAnsi="Arial"/>
                <w:sz w:val="16"/>
                <w:szCs w:val="16"/>
                <w:color w:val="auto"/>
              </w:rPr>
              <w:t>80,000</w:t>
            </w:r>
          </w:p>
        </w:tc>
        <w:tc>
          <w:tcPr>
            <w:tcW w:w="0" w:type="dxa"/>
            <w:vAlign w:val="bottom"/>
          </w:tcPr>
          <w:p>
            <w:pPr>
              <w:spacing w:after="0"/>
              <w:rPr>
                <w:sz w:val="1"/>
                <w:szCs w:val="1"/>
                <w:color w:val="auto"/>
              </w:rPr>
            </w:pPr>
          </w:p>
        </w:tc>
      </w:tr>
      <w:tr>
        <w:trPr>
          <w:trHeight w:val="203"/>
        </w:trPr>
        <w:tc>
          <w:tcPr>
            <w:tcW w:w="17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2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1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3"/>
              </w:rPr>
              <w:t>May 2018</w:t>
            </w:r>
          </w:p>
        </w:tc>
        <w:tc>
          <w:tcPr>
            <w:tcW w:w="14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3"/>
              </w:rPr>
              <w:t>May 2018</w:t>
            </w:r>
          </w:p>
        </w:tc>
        <w:tc>
          <w:tcPr>
            <w:tcW w:w="15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7"/>
              </w:rPr>
              <w:t>April 2023</w:t>
            </w:r>
          </w:p>
        </w:tc>
        <w:tc>
          <w:tcPr>
            <w:tcW w:w="8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3.15%</w:t>
            </w:r>
          </w:p>
        </w:tc>
        <w:tc>
          <w:tcPr>
            <w:tcW w:w="12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80,000</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80,000</w:t>
            </w: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GasLog Partners</w:t>
            </w:r>
          </w:p>
        </w:tc>
        <w:tc>
          <w:tcPr>
            <w:tcW w:w="128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Dec 2018</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Jan 2019</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Jan 2024</w:t>
            </w:r>
          </w:p>
        </w:tc>
        <w:tc>
          <w:tcPr>
            <w:tcW w:w="820" w:type="dxa"/>
            <w:vAlign w:val="bottom"/>
          </w:tcPr>
          <w:p>
            <w:pPr>
              <w:jc w:val="center"/>
              <w:spacing w:after="0"/>
              <w:rPr>
                <w:sz w:val="20"/>
                <w:szCs w:val="20"/>
                <w:color w:val="auto"/>
              </w:rPr>
            </w:pPr>
            <w:r>
              <w:rPr>
                <w:rFonts w:ascii="Arial" w:cs="Arial" w:eastAsia="Arial" w:hAnsi="Arial"/>
                <w:sz w:val="16"/>
                <w:szCs w:val="16"/>
                <w:color w:val="auto"/>
                <w:w w:val="92"/>
              </w:rPr>
              <w:t>3.14%</w:t>
            </w: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N/A</w:t>
            </w:r>
          </w:p>
        </w:tc>
        <w:tc>
          <w:tcPr>
            <w:tcW w:w="1360" w:type="dxa"/>
            <w:vAlign w:val="bottom"/>
          </w:tcPr>
          <w:p>
            <w:pPr>
              <w:jc w:val="right"/>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196"/>
        </w:trPr>
        <w:tc>
          <w:tcPr>
            <w:tcW w:w="1600" w:type="dxa"/>
            <w:vAlign w:val="bottom"/>
            <w:tcBorders>
              <w:top w:val="single" w:sz="8" w:color="E5FFFF"/>
              <w:bottom w:val="single" w:sz="8" w:color="E5FFFF"/>
            </w:tcBorders>
            <w:shd w:val="clear" w:color="auto" w:fill="E5FFFF"/>
          </w:tcPr>
          <w:p>
            <w:pPr>
              <w:spacing w:after="0"/>
              <w:rPr>
                <w:sz w:val="17"/>
                <w:szCs w:val="17"/>
                <w:color w:val="auto"/>
              </w:rPr>
            </w:pP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1160" w:type="dxa"/>
            <w:vAlign w:val="bottom"/>
            <w:tcBorders>
              <w:top w:val="single" w:sz="8" w:color="E5FFFF"/>
              <w:bottom w:val="single" w:sz="8" w:color="E5FFFF"/>
            </w:tcBorders>
            <w:shd w:val="clear" w:color="auto" w:fill="E5FFFF"/>
          </w:tcPr>
          <w:p>
            <w:pPr>
              <w:spacing w:after="0"/>
              <w:rPr>
                <w:sz w:val="17"/>
                <w:szCs w:val="17"/>
                <w:color w:val="auto"/>
              </w:rPr>
            </w:pP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060" w:type="dxa"/>
            <w:vAlign w:val="bottom"/>
            <w:tcBorders>
              <w:top w:val="single" w:sz="8" w:color="E5FFFF"/>
              <w:bottom w:val="single" w:sz="8" w:color="E5FFFF"/>
            </w:tcBorders>
            <w:shd w:val="clear" w:color="auto" w:fill="E5FFFF"/>
          </w:tcPr>
          <w:p>
            <w:pPr>
              <w:spacing w:after="0"/>
              <w:rPr>
                <w:sz w:val="17"/>
                <w:szCs w:val="17"/>
                <w:color w:val="auto"/>
              </w:rPr>
            </w:pP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E5FFFF"/>
              <w:bottom w:val="single" w:sz="8" w:color="E5FFFF"/>
            </w:tcBorders>
            <w:shd w:val="clear" w:color="auto" w:fill="E5FFFF"/>
          </w:tcPr>
          <w:p>
            <w:pPr>
              <w:spacing w:after="0"/>
              <w:rPr>
                <w:sz w:val="17"/>
                <w:szCs w:val="17"/>
                <w:color w:val="auto"/>
              </w:rPr>
            </w:pP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420" w:type="dxa"/>
            <w:vAlign w:val="bottom"/>
            <w:tcBorders>
              <w:top w:val="single" w:sz="8" w:color="E5FFFF"/>
              <w:bottom w:val="single" w:sz="8" w:color="E5FFFF"/>
            </w:tcBorders>
            <w:shd w:val="clear" w:color="auto" w:fill="E5FFFF"/>
          </w:tcPr>
          <w:p>
            <w:pPr>
              <w:spacing w:after="0"/>
              <w:rPr>
                <w:sz w:val="17"/>
                <w:szCs w:val="17"/>
                <w:color w:val="auto"/>
              </w:rPr>
            </w:pP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82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550,000</w:t>
            </w: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625,000</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60" w:firstLine="436"/>
        <w:spacing w:after="0" w:line="270"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September 30, 2019. The change in the fair value of the interest rate swaps for the three and nine months ended September 30, 2019 amounted to a loss of $2,286 and $16,895, respectively (for the three and nine months ended September 30, 2018, a gain of $1,759 and $9,316, respectively), which was recognized in profit or loss in the period incurred and is included in Gain/(loss) on derivatives. During the three and nine months ended September 30, 2019, the loss of $2,286 and $16,895, respectively (Note 13), was attributable to changes in the LIBOR yield curve, which was used to calculate the present value of the estimated future cash flows, resulting in an increase in net derivative liabilities and a decrease in net derivative assets, respectively, from interest rate swaps held for trading.</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Forward foreign exchange contracts</w:t>
      </w:r>
    </w:p>
    <w:p>
      <w:pPr>
        <w:spacing w:after="0" w:line="239" w:lineRule="exact"/>
        <w:rPr>
          <w:sz w:val="20"/>
          <w:szCs w:val="20"/>
          <w:color w:val="auto"/>
        </w:rPr>
      </w:pPr>
    </w:p>
    <w:p>
      <w:pPr>
        <w:ind w:firstLine="383"/>
        <w:spacing w:after="0" w:line="273" w:lineRule="auto"/>
        <w:rPr>
          <w:sz w:val="20"/>
          <w:szCs w:val="20"/>
          <w:color w:val="auto"/>
        </w:rPr>
      </w:pPr>
      <w:r>
        <w:rPr>
          <w:rFonts w:ascii="Arial" w:cs="Arial" w:eastAsia="Arial" w:hAnsi="Arial"/>
          <w:sz w:val="16"/>
          <w:szCs w:val="16"/>
          <w:color w:val="auto"/>
        </w:rPr>
        <w:t>The Partnership uses non-deliverable forward foreign exchange contracts to mitigate foreign exchange transaction exposures in Euros (“EUR”). Under these non-deliverable forward foreign exchange contracts, the counterparties (GasLog and the Partnership) settle the difference between the fixed exchange rate and the prevailing rate on the agreed notional amounts on the respective settlement dates. All forward foreign exchange contracts are considered by management to be part of economic hedge arrangements but have not been formally designated as such.</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Forward foreign exchange contracts held for trading</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principal terms of the forward foreign exchange contracts held for trading are as follows:</w:t>
      </w:r>
    </w:p>
    <w:p>
      <w:pPr>
        <w:spacing w:after="0" w:line="231" w:lineRule="exact"/>
        <w:rPr>
          <w:sz w:val="20"/>
          <w:szCs w:val="20"/>
          <w:color w:val="auto"/>
        </w:rPr>
      </w:pPr>
    </w:p>
    <w:tbl>
      <w:tblPr>
        <w:tblLayout w:type="fixed"/>
        <w:tblInd w:w="78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Fixed</w:t>
            </w:r>
          </w:p>
        </w:tc>
        <w:tc>
          <w:tcPr>
            <w:tcW w:w="15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Exchange Rate</w:t>
            </w:r>
          </w:p>
        </w:tc>
        <w:tc>
          <w:tcPr>
            <w:tcW w:w="1560" w:type="dxa"/>
            <w:vAlign w:val="bottom"/>
          </w:tcPr>
          <w:p>
            <w:pPr>
              <w:jc w:val="right"/>
              <w:ind w:right="99"/>
              <w:spacing w:after="0"/>
              <w:rPr>
                <w:sz w:val="20"/>
                <w:szCs w:val="20"/>
                <w:color w:val="auto"/>
              </w:rPr>
            </w:pPr>
            <w:r>
              <w:rPr>
                <w:rFonts w:ascii="Arial" w:cs="Arial" w:eastAsia="Arial" w:hAnsi="Arial"/>
                <w:sz w:val="16"/>
                <w:szCs w:val="16"/>
                <w:b w:val="1"/>
                <w:bCs w:val="1"/>
                <w:color w:val="auto"/>
              </w:rPr>
              <w:t>Notional Amount</w:t>
            </w:r>
          </w:p>
        </w:tc>
      </w:tr>
      <w:tr>
        <w:trPr>
          <w:trHeight w:val="213"/>
        </w:trPr>
        <w:tc>
          <w:tcPr>
            <w:tcW w:w="1640" w:type="dxa"/>
            <w:vAlign w:val="bottom"/>
            <w:gridSpan w:val="3"/>
          </w:tcPr>
          <w:p>
            <w:pPr>
              <w:spacing w:after="0"/>
              <w:rPr>
                <w:sz w:val="20"/>
                <w:szCs w:val="20"/>
                <w:color w:val="auto"/>
              </w:rPr>
            </w:pPr>
            <w:r>
              <w:rPr>
                <w:rFonts w:ascii="Arial" w:cs="Arial" w:eastAsia="Arial" w:hAnsi="Arial"/>
                <w:sz w:val="16"/>
                <w:szCs w:val="16"/>
                <w:b w:val="1"/>
                <w:bCs w:val="1"/>
                <w:color w:val="auto"/>
              </w:rPr>
              <w:t>Company</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Counterparty</w:t>
            </w:r>
          </w:p>
        </w:tc>
        <w:tc>
          <w:tcPr>
            <w:tcW w:w="1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Trade Date</w:t>
            </w:r>
          </w:p>
        </w:tc>
        <w:tc>
          <w:tcPr>
            <w:tcW w:w="1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Settlement Date</w:t>
            </w:r>
          </w:p>
        </w:tc>
        <w:tc>
          <w:tcPr>
            <w:tcW w:w="16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(USD/EUR)</w:t>
            </w:r>
          </w:p>
        </w:tc>
        <w:tc>
          <w:tcPr>
            <w:tcW w:w="1560" w:type="dxa"/>
            <w:vAlign w:val="bottom"/>
          </w:tcPr>
          <w:p>
            <w:pPr>
              <w:jc w:val="right"/>
              <w:ind w:right="199"/>
              <w:spacing w:after="0"/>
              <w:rPr>
                <w:sz w:val="20"/>
                <w:szCs w:val="20"/>
                <w:color w:val="auto"/>
              </w:rPr>
            </w:pPr>
            <w:r>
              <w:rPr>
                <w:rFonts w:ascii="Arial" w:cs="Arial" w:eastAsia="Arial" w:hAnsi="Arial"/>
                <w:sz w:val="16"/>
                <w:szCs w:val="16"/>
                <w:b w:val="1"/>
                <w:bCs w:val="1"/>
                <w:color w:val="auto"/>
              </w:rPr>
              <w:t>(in thousands)</w:t>
            </w:r>
          </w:p>
        </w:tc>
      </w:tr>
      <w:tr>
        <w:trPr>
          <w:trHeight w:val="199"/>
        </w:trPr>
        <w:tc>
          <w:tcPr>
            <w:tcW w:w="20" w:type="dxa"/>
            <w:vAlign w:val="bottom"/>
          </w:tcPr>
          <w:p>
            <w:pPr>
              <w:spacing w:after="0"/>
              <w:rPr>
                <w:sz w:val="17"/>
                <w:szCs w:val="17"/>
                <w:color w:val="auto"/>
              </w:rPr>
            </w:pPr>
          </w:p>
        </w:tc>
        <w:tc>
          <w:tcPr>
            <w:tcW w:w="14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4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GasLog</w:t>
            </w:r>
          </w:p>
        </w:tc>
        <w:tc>
          <w:tcPr>
            <w:tcW w:w="12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August 2019</w:t>
            </w:r>
          </w:p>
        </w:tc>
        <w:tc>
          <w:tcPr>
            <w:tcW w:w="16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Oct 2019</w:t>
            </w:r>
          </w:p>
        </w:tc>
        <w:tc>
          <w:tcPr>
            <w:tcW w:w="12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1.1201</w:t>
            </w:r>
          </w:p>
        </w:tc>
        <w:tc>
          <w:tcPr>
            <w:tcW w:w="18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2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6"/>
                <w:szCs w:val="16"/>
                <w:color w:val="auto"/>
              </w:rPr>
              <w:t>GasLog Partners</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GasLog</w:t>
            </w:r>
          </w:p>
        </w:tc>
        <w:tc>
          <w:tcPr>
            <w:tcW w:w="154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August 2019</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Nov 2019</w:t>
            </w: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1.1214</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20" w:type="dxa"/>
            <w:vAlign w:val="bottom"/>
          </w:tcPr>
          <w:p>
            <w:pPr>
              <w:spacing w:after="0"/>
              <w:rPr>
                <w:sz w:val="17"/>
                <w:szCs w:val="17"/>
                <w:color w:val="auto"/>
              </w:rPr>
            </w:pPr>
          </w:p>
        </w:tc>
        <w:tc>
          <w:tcPr>
            <w:tcW w:w="16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5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2"/>
              </w:rPr>
              <w:t>GasLog</w:t>
            </w:r>
          </w:p>
        </w:tc>
        <w:tc>
          <w:tcPr>
            <w:tcW w:w="15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1"/>
              </w:rPr>
              <w:t>August 2019</w:t>
            </w:r>
          </w:p>
        </w:tc>
        <w:tc>
          <w:tcPr>
            <w:tcW w:w="168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0"/>
              </w:rPr>
              <w:t>Dec 2019</w:t>
            </w: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1.1245</w:t>
            </w:r>
          </w:p>
        </w:tc>
        <w:tc>
          <w:tcPr>
            <w:tcW w:w="180" w:type="dxa"/>
            <w:vAlign w:val="bottom"/>
            <w:shd w:val="clear" w:color="auto" w:fill="E5FFFF"/>
          </w:tcPr>
          <w:p>
            <w:pPr>
              <w:spacing w:after="0"/>
              <w:rPr>
                <w:sz w:val="17"/>
                <w:szCs w:val="17"/>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2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6"/>
                <w:szCs w:val="16"/>
                <w:color w:val="auto"/>
              </w:rPr>
              <w:t>GasLog Partners</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GasLog</w:t>
            </w:r>
          </w:p>
        </w:tc>
        <w:tc>
          <w:tcPr>
            <w:tcW w:w="154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August 2019</w:t>
            </w:r>
          </w:p>
        </w:tc>
        <w:tc>
          <w:tcPr>
            <w:tcW w:w="168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Jan 2020</w:t>
            </w: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1.1260</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20" w:type="dxa"/>
            <w:vAlign w:val="bottom"/>
          </w:tcPr>
          <w:p>
            <w:pPr>
              <w:spacing w:after="0"/>
              <w:rPr>
                <w:sz w:val="17"/>
                <w:szCs w:val="17"/>
                <w:color w:val="auto"/>
              </w:rPr>
            </w:pPr>
          </w:p>
        </w:tc>
        <w:tc>
          <w:tcPr>
            <w:tcW w:w="16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5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2"/>
              </w:rPr>
              <w:t>GasLog</w:t>
            </w:r>
          </w:p>
        </w:tc>
        <w:tc>
          <w:tcPr>
            <w:tcW w:w="15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1"/>
              </w:rPr>
              <w:t>August 2019</w:t>
            </w:r>
          </w:p>
        </w:tc>
        <w:tc>
          <w:tcPr>
            <w:tcW w:w="16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8"/>
              </w:rPr>
              <w:t>Feb 2020</w:t>
            </w: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1.1285</w:t>
            </w:r>
          </w:p>
        </w:tc>
        <w:tc>
          <w:tcPr>
            <w:tcW w:w="180" w:type="dxa"/>
            <w:vAlign w:val="bottom"/>
            <w:shd w:val="clear" w:color="auto" w:fill="E5FFFF"/>
          </w:tcPr>
          <w:p>
            <w:pPr>
              <w:spacing w:after="0"/>
              <w:rPr>
                <w:sz w:val="17"/>
                <w:szCs w:val="17"/>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2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6"/>
                <w:szCs w:val="16"/>
                <w:color w:val="auto"/>
              </w:rPr>
              <w:t>GasLog Partners</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GasLog</w:t>
            </w:r>
          </w:p>
        </w:tc>
        <w:tc>
          <w:tcPr>
            <w:tcW w:w="154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August 2019</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Mar 2020</w:t>
            </w: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1.1308</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20" w:type="dxa"/>
            <w:vAlign w:val="bottom"/>
          </w:tcPr>
          <w:p>
            <w:pPr>
              <w:spacing w:after="0"/>
              <w:rPr>
                <w:sz w:val="17"/>
                <w:szCs w:val="17"/>
                <w:color w:val="auto"/>
              </w:rPr>
            </w:pPr>
          </w:p>
        </w:tc>
        <w:tc>
          <w:tcPr>
            <w:tcW w:w="16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5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2"/>
              </w:rPr>
              <w:t>GasLog</w:t>
            </w:r>
          </w:p>
        </w:tc>
        <w:tc>
          <w:tcPr>
            <w:tcW w:w="15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1"/>
              </w:rPr>
              <w:t>August 2019</w:t>
            </w:r>
          </w:p>
        </w:tc>
        <w:tc>
          <w:tcPr>
            <w:tcW w:w="1680" w:type="dxa"/>
            <w:vAlign w:val="bottom"/>
            <w:gridSpan w:val="2"/>
            <w:shd w:val="clear" w:color="auto" w:fill="E5FFFF"/>
          </w:tcPr>
          <w:p>
            <w:pPr>
              <w:jc w:val="center"/>
              <w:ind w:right="140"/>
              <w:spacing w:after="0"/>
              <w:rPr>
                <w:sz w:val="20"/>
                <w:szCs w:val="20"/>
                <w:color w:val="auto"/>
              </w:rPr>
            </w:pPr>
            <w:r>
              <w:rPr>
                <w:rFonts w:ascii="Arial" w:cs="Arial" w:eastAsia="Arial" w:hAnsi="Arial"/>
                <w:sz w:val="16"/>
                <w:szCs w:val="16"/>
                <w:color w:val="auto"/>
                <w:w w:val="95"/>
              </w:rPr>
              <w:t>Apr 2020</w:t>
            </w:r>
          </w:p>
        </w:tc>
        <w:tc>
          <w:tcPr>
            <w:tcW w:w="1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1.1338</w:t>
            </w:r>
          </w:p>
        </w:tc>
        <w:tc>
          <w:tcPr>
            <w:tcW w:w="180" w:type="dxa"/>
            <w:vAlign w:val="bottom"/>
            <w:shd w:val="clear" w:color="auto" w:fill="E5FFFF"/>
          </w:tcPr>
          <w:p>
            <w:pPr>
              <w:spacing w:after="0"/>
              <w:rPr>
                <w:sz w:val="17"/>
                <w:szCs w:val="17"/>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€500</w:t>
            </w:r>
          </w:p>
        </w:tc>
      </w:tr>
      <w:tr>
        <w:trPr>
          <w:trHeight w:val="203"/>
        </w:trPr>
        <w:tc>
          <w:tcPr>
            <w:tcW w:w="2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6"/>
                <w:szCs w:val="16"/>
                <w:color w:val="auto"/>
              </w:rPr>
              <w:t>GasLog Partners</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GasLog</w:t>
            </w:r>
          </w:p>
        </w:tc>
        <w:tc>
          <w:tcPr>
            <w:tcW w:w="154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August 2019</w:t>
            </w:r>
          </w:p>
        </w:tc>
        <w:tc>
          <w:tcPr>
            <w:tcW w:w="16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May 2020</w:t>
            </w: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1.1360</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03"/>
        </w:trPr>
        <w:tc>
          <w:tcPr>
            <w:tcW w:w="20" w:type="dxa"/>
            <w:vAlign w:val="bottom"/>
          </w:tcPr>
          <w:p>
            <w:pPr>
              <w:spacing w:after="0"/>
              <w:rPr>
                <w:sz w:val="17"/>
                <w:szCs w:val="17"/>
                <w:color w:val="auto"/>
              </w:rPr>
            </w:pPr>
          </w:p>
        </w:tc>
        <w:tc>
          <w:tcPr>
            <w:tcW w:w="16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5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2"/>
              </w:rPr>
              <w:t>GasLog</w:t>
            </w:r>
          </w:p>
        </w:tc>
        <w:tc>
          <w:tcPr>
            <w:tcW w:w="15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1"/>
              </w:rPr>
              <w:t>August 2019</w:t>
            </w:r>
          </w:p>
        </w:tc>
        <w:tc>
          <w:tcPr>
            <w:tcW w:w="16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1"/>
              </w:rPr>
              <w:t>Jun 2020</w:t>
            </w:r>
          </w:p>
        </w:tc>
        <w:tc>
          <w:tcPr>
            <w:tcW w:w="146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1.1385</w:t>
            </w:r>
          </w:p>
        </w:tc>
        <w:tc>
          <w:tcPr>
            <w:tcW w:w="180" w:type="dxa"/>
            <w:vAlign w:val="bottom"/>
            <w:shd w:val="clear" w:color="auto" w:fill="E5FFFF"/>
          </w:tcPr>
          <w:p>
            <w:pPr>
              <w:spacing w:after="0"/>
              <w:rPr>
                <w:sz w:val="17"/>
                <w:szCs w:val="17"/>
                <w:color w:val="auto"/>
              </w:rPr>
            </w:pPr>
          </w:p>
        </w:tc>
        <w:tc>
          <w:tcPr>
            <w:tcW w:w="1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€500</w:t>
            </w:r>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Total</w:t>
            </w:r>
          </w:p>
        </w:tc>
        <w:tc>
          <w:tcPr>
            <w:tcW w:w="18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€13,500</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right="180" w:firstLine="356"/>
        <w:spacing w:after="0" w:line="335" w:lineRule="auto"/>
        <w:rPr>
          <w:sz w:val="20"/>
          <w:szCs w:val="20"/>
          <w:color w:val="auto"/>
        </w:rPr>
      </w:pPr>
      <w:r>
        <w:rPr>
          <w:rFonts w:ascii="Arial" w:cs="Arial" w:eastAsia="Arial" w:hAnsi="Arial"/>
          <w:sz w:val="14"/>
          <w:szCs w:val="14"/>
          <w:color w:val="auto"/>
        </w:rPr>
        <w:t>The derivative instruments listed above were not designated as cash flow hedging instruments as of September 30, 2019. The change in the fair value of these contracts for the three and nine months ended September 30, 2019 amounted to a loss of $159 and a gain of $197, respectively (a loss of $106 and $292 for the three and nine months ended September 30, 2018, respectively), which was recognized in profit or loss in the period incurred and is included in Gain/(loss) on derivatives (Note 13).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gridSpan w:val="2"/>
          </w:tcPr>
          <w:p>
            <w:pPr>
              <w:spacing w:after="0"/>
              <w:rPr>
                <w:sz w:val="20"/>
                <w:szCs w:val="20"/>
                <w:color w:val="auto"/>
              </w:rPr>
            </w:pPr>
            <w:r>
              <w:rPr>
                <w:rFonts w:ascii="Arial" w:cs="Arial" w:eastAsia="Arial" w:hAnsi="Arial"/>
                <w:sz w:val="16"/>
                <w:szCs w:val="16"/>
                <w:b w:val="1"/>
                <w:bCs w:val="1"/>
                <w:color w:val="auto"/>
              </w:rPr>
              <w:t>13. Financial Costs and Gain/(loss) on Derivatives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19"/>
        </w:trPr>
        <w:tc>
          <w:tcPr>
            <w:tcW w:w="340" w:type="dxa"/>
            <w:vAlign w:val="bottom"/>
          </w:tcPr>
          <w:p>
            <w:pPr>
              <w:spacing w:after="0"/>
              <w:rPr>
                <w:sz w:val="24"/>
                <w:szCs w:val="24"/>
                <w:color w:val="auto"/>
              </w:rPr>
            </w:pPr>
          </w:p>
        </w:tc>
        <w:tc>
          <w:tcPr>
            <w:tcW w:w="4440" w:type="dxa"/>
            <w:vAlign w:val="bottom"/>
          </w:tcPr>
          <w:p>
            <w:pPr>
              <w:ind w:left="80"/>
              <w:spacing w:after="0"/>
              <w:rPr>
                <w:sz w:val="20"/>
                <w:szCs w:val="20"/>
                <w:color w:val="auto"/>
              </w:rPr>
            </w:pPr>
            <w:r>
              <w:rPr>
                <w:rFonts w:ascii="Arial" w:cs="Arial" w:eastAsia="Arial" w:hAnsi="Arial"/>
                <w:sz w:val="16"/>
                <w:szCs w:val="16"/>
                <w:color w:val="auto"/>
              </w:rPr>
              <w:t>An analysis of financial costs is as follows:</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1"/>
        </w:trPr>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120" w:type="dxa"/>
            <w:vAlign w:val="bottom"/>
            <w:gridSpan w:val="4"/>
          </w:tcPr>
          <w:p>
            <w:pPr>
              <w:ind w:left="520"/>
              <w:spacing w:after="0"/>
              <w:rPr>
                <w:sz w:val="20"/>
                <w:szCs w:val="20"/>
                <w:color w:val="auto"/>
              </w:rPr>
            </w:pPr>
            <w:r>
              <w:rPr>
                <w:rFonts w:ascii="Arial" w:cs="Arial" w:eastAsia="Arial" w:hAnsi="Arial"/>
                <w:sz w:val="16"/>
                <w:szCs w:val="16"/>
                <w:b w:val="1"/>
                <w:bCs w:val="1"/>
                <w:color w:val="auto"/>
              </w:rPr>
              <w:t>For the three months ended</w:t>
            </w:r>
          </w:p>
        </w:tc>
        <w:tc>
          <w:tcPr>
            <w:tcW w:w="294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3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54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340" w:type="dxa"/>
            <w:vAlign w:val="bottom"/>
          </w:tcPr>
          <w:p>
            <w:pPr>
              <w:spacing w:after="0"/>
              <w:rPr>
                <w:sz w:val="18"/>
                <w:szCs w:val="18"/>
                <w:color w:val="auto"/>
              </w:rPr>
            </w:pPr>
          </w:p>
        </w:tc>
        <w:tc>
          <w:tcPr>
            <w:tcW w:w="444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E5FF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E5FF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199"/>
        </w:trPr>
        <w:tc>
          <w:tcPr>
            <w:tcW w:w="340" w:type="dxa"/>
            <w:vAlign w:val="bottom"/>
          </w:tcPr>
          <w:p>
            <w:pPr>
              <w:spacing w:after="0"/>
              <w:rPr>
                <w:sz w:val="17"/>
                <w:szCs w:val="17"/>
                <w:color w:val="auto"/>
              </w:rPr>
            </w:pPr>
          </w:p>
        </w:tc>
        <w:tc>
          <w:tcPr>
            <w:tcW w:w="4440" w:type="dxa"/>
            <w:vAlign w:val="bottom"/>
            <w:shd w:val="clear" w:color="auto" w:fill="E5FFFF"/>
          </w:tcPr>
          <w:p>
            <w:pPr>
              <w:spacing w:after="0"/>
              <w:rPr>
                <w:sz w:val="20"/>
                <w:szCs w:val="20"/>
                <w:color w:val="auto"/>
              </w:rPr>
            </w:pPr>
            <w:r>
              <w:rPr>
                <w:rFonts w:ascii="Arial" w:cs="Arial" w:eastAsia="Arial" w:hAnsi="Arial"/>
                <w:sz w:val="16"/>
                <w:szCs w:val="16"/>
                <w:color w:val="auto"/>
              </w:rPr>
              <w:t>Amortization and write-off of deferred loan issuance costs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1,616</w:t>
            </w: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1,440</w:t>
            </w: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5,872</w:t>
            </w:r>
          </w:p>
        </w:tc>
        <w:tc>
          <w:tcPr>
            <w:tcW w:w="1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5,399</w:t>
            </w:r>
          </w:p>
        </w:tc>
      </w:tr>
      <w:tr>
        <w:trPr>
          <w:trHeight w:val="203"/>
        </w:trPr>
        <w:tc>
          <w:tcPr>
            <w:tcW w:w="34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Interest expense on loans</w:t>
            </w:r>
          </w:p>
        </w:tc>
        <w:tc>
          <w:tcPr>
            <w:tcW w:w="1360" w:type="dxa"/>
            <w:vAlign w:val="bottom"/>
          </w:tcPr>
          <w:p>
            <w:pPr>
              <w:jc w:val="right"/>
              <w:spacing w:after="0"/>
              <w:rPr>
                <w:sz w:val="20"/>
                <w:szCs w:val="20"/>
                <w:color w:val="auto"/>
              </w:rPr>
            </w:pPr>
            <w:r>
              <w:rPr>
                <w:rFonts w:ascii="Arial" w:cs="Arial" w:eastAsia="Arial" w:hAnsi="Arial"/>
                <w:sz w:val="16"/>
                <w:szCs w:val="16"/>
                <w:color w:val="auto"/>
              </w:rPr>
              <w:t>16,640</w:t>
            </w:r>
          </w:p>
        </w:tc>
        <w:tc>
          <w:tcPr>
            <w:tcW w:w="180" w:type="dxa"/>
            <w:vAlign w:val="bottom"/>
          </w:tcPr>
          <w:p>
            <w:pPr>
              <w:spacing w:after="0"/>
              <w:rPr>
                <w:sz w:val="17"/>
                <w:szCs w:val="17"/>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15,812</w:t>
            </w:r>
          </w:p>
        </w:tc>
        <w:tc>
          <w:tcPr>
            <w:tcW w:w="1400" w:type="dxa"/>
            <w:vAlign w:val="bottom"/>
          </w:tcPr>
          <w:p>
            <w:pPr>
              <w:jc w:val="right"/>
              <w:spacing w:after="0"/>
              <w:rPr>
                <w:sz w:val="20"/>
                <w:szCs w:val="20"/>
                <w:color w:val="auto"/>
              </w:rPr>
            </w:pPr>
            <w:r>
              <w:rPr>
                <w:rFonts w:ascii="Arial" w:cs="Arial" w:eastAsia="Arial" w:hAnsi="Arial"/>
                <w:sz w:val="16"/>
                <w:szCs w:val="16"/>
                <w:color w:val="auto"/>
              </w:rPr>
              <w:t>47,500</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49,245</w:t>
            </w:r>
          </w:p>
        </w:tc>
      </w:tr>
      <w:tr>
        <w:trPr>
          <w:trHeight w:val="203"/>
        </w:trPr>
        <w:tc>
          <w:tcPr>
            <w:tcW w:w="340" w:type="dxa"/>
            <w:vAlign w:val="bottom"/>
          </w:tcPr>
          <w:p>
            <w:pPr>
              <w:spacing w:after="0"/>
              <w:rPr>
                <w:sz w:val="17"/>
                <w:szCs w:val="17"/>
                <w:color w:val="auto"/>
              </w:rPr>
            </w:pPr>
          </w:p>
        </w:tc>
        <w:tc>
          <w:tcPr>
            <w:tcW w:w="4440" w:type="dxa"/>
            <w:vAlign w:val="bottom"/>
            <w:shd w:val="clear" w:color="auto" w:fill="E5FFFF"/>
          </w:tcPr>
          <w:p>
            <w:pPr>
              <w:spacing w:after="0"/>
              <w:rPr>
                <w:sz w:val="20"/>
                <w:szCs w:val="20"/>
                <w:color w:val="auto"/>
              </w:rPr>
            </w:pPr>
            <w:r>
              <w:rPr>
                <w:rFonts w:ascii="Arial" w:cs="Arial" w:eastAsia="Arial" w:hAnsi="Arial"/>
                <w:sz w:val="16"/>
                <w:szCs w:val="16"/>
                <w:color w:val="auto"/>
              </w:rPr>
              <w:t>Lease expense</w:t>
            </w:r>
          </w:p>
        </w:tc>
        <w:tc>
          <w:tcPr>
            <w:tcW w:w="15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13</w:t>
            </w:r>
          </w:p>
        </w:tc>
        <w:tc>
          <w:tcPr>
            <w:tcW w:w="158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w:t>
            </w:r>
          </w:p>
        </w:tc>
      </w:tr>
      <w:tr>
        <w:trPr>
          <w:trHeight w:val="203"/>
        </w:trPr>
        <w:tc>
          <w:tcPr>
            <w:tcW w:w="34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Commitment fees</w:t>
            </w:r>
          </w:p>
        </w:tc>
        <w:tc>
          <w:tcPr>
            <w:tcW w:w="1360" w:type="dxa"/>
            <w:vAlign w:val="bottom"/>
          </w:tcPr>
          <w:p>
            <w:pPr>
              <w:jc w:val="right"/>
              <w:spacing w:after="0"/>
              <w:rPr>
                <w:sz w:val="20"/>
                <w:szCs w:val="20"/>
                <w:color w:val="auto"/>
              </w:rPr>
            </w:pPr>
            <w:r>
              <w:rPr>
                <w:rFonts w:ascii="Arial" w:cs="Arial" w:eastAsia="Arial" w:hAnsi="Arial"/>
                <w:sz w:val="16"/>
                <w:szCs w:val="16"/>
                <w:color w:val="auto"/>
              </w:rPr>
              <w:t>137</w:t>
            </w:r>
          </w:p>
        </w:tc>
        <w:tc>
          <w:tcPr>
            <w:tcW w:w="180" w:type="dxa"/>
            <w:vAlign w:val="bottom"/>
          </w:tcPr>
          <w:p>
            <w:pPr>
              <w:spacing w:after="0"/>
              <w:rPr>
                <w:sz w:val="17"/>
                <w:szCs w:val="17"/>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145</w:t>
            </w:r>
          </w:p>
        </w:tc>
        <w:tc>
          <w:tcPr>
            <w:tcW w:w="1400" w:type="dxa"/>
            <w:vAlign w:val="bottom"/>
          </w:tcPr>
          <w:p>
            <w:pPr>
              <w:jc w:val="right"/>
              <w:spacing w:after="0"/>
              <w:rPr>
                <w:sz w:val="20"/>
                <w:szCs w:val="20"/>
                <w:color w:val="auto"/>
              </w:rPr>
            </w:pPr>
            <w:r>
              <w:rPr>
                <w:rFonts w:ascii="Arial" w:cs="Arial" w:eastAsia="Arial" w:hAnsi="Arial"/>
                <w:sz w:val="16"/>
                <w:szCs w:val="16"/>
                <w:color w:val="auto"/>
              </w:rPr>
              <w:t>405</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602</w:t>
            </w:r>
          </w:p>
        </w:tc>
      </w:tr>
      <w:tr>
        <w:trPr>
          <w:trHeight w:val="203"/>
        </w:trPr>
        <w:tc>
          <w:tcPr>
            <w:tcW w:w="340" w:type="dxa"/>
            <w:vAlign w:val="bottom"/>
          </w:tcPr>
          <w:p>
            <w:pPr>
              <w:spacing w:after="0"/>
              <w:rPr>
                <w:sz w:val="17"/>
                <w:szCs w:val="17"/>
                <w:color w:val="auto"/>
              </w:rPr>
            </w:pPr>
          </w:p>
        </w:tc>
        <w:tc>
          <w:tcPr>
            <w:tcW w:w="4440" w:type="dxa"/>
            <w:vAlign w:val="bottom"/>
            <w:shd w:val="clear" w:color="auto" w:fill="E5FFFF"/>
          </w:tcPr>
          <w:p>
            <w:pPr>
              <w:spacing w:after="0"/>
              <w:rPr>
                <w:sz w:val="20"/>
                <w:szCs w:val="20"/>
                <w:color w:val="auto"/>
              </w:rPr>
            </w:pPr>
            <w:r>
              <w:rPr>
                <w:rFonts w:ascii="Arial" w:cs="Arial" w:eastAsia="Arial" w:hAnsi="Arial"/>
                <w:sz w:val="16"/>
                <w:szCs w:val="16"/>
                <w:color w:val="auto"/>
              </w:rPr>
              <w:t>Other financial costs including bank commissions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77</w:t>
            </w:r>
          </w:p>
        </w:tc>
        <w:tc>
          <w:tcPr>
            <w:tcW w:w="18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124</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336</w:t>
            </w:r>
          </w:p>
        </w:tc>
        <w:tc>
          <w:tcPr>
            <w:tcW w:w="1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360</w:t>
            </w:r>
          </w:p>
        </w:tc>
      </w:tr>
      <w:tr>
        <w:trPr>
          <w:trHeight w:val="196"/>
        </w:trPr>
        <w:tc>
          <w:tcPr>
            <w:tcW w:w="34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b w:val="1"/>
                <w:bCs w:val="1"/>
                <w:color w:val="auto"/>
              </w:rPr>
              <w:t>Total financial costs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18,470</w:t>
            </w:r>
          </w:p>
        </w:tc>
        <w:tc>
          <w:tcPr>
            <w:tcW w:w="18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17,534</w:t>
            </w:r>
          </w:p>
        </w:tc>
        <w:tc>
          <w:tcPr>
            <w:tcW w:w="18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54,113</w:t>
            </w:r>
          </w:p>
        </w:tc>
        <w:tc>
          <w:tcPr>
            <w:tcW w:w="1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55,650</w:t>
            </w:r>
          </w:p>
        </w:tc>
      </w:tr>
      <w:tr>
        <w:trPr>
          <w:trHeight w:val="20"/>
        </w:trPr>
        <w:tc>
          <w:tcPr>
            <w:tcW w:w="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39" w:name="page40"/>
    <w:bookmarkEnd w:id="39"/>
    <w:tbl>
      <w:tblPr>
        <w:tblLayout w:type="fixed"/>
        <w:tblInd w:w="340" w:type="dxa"/>
        <w:tblCellMar>
          <w:top w:w="0" w:type="dxa"/>
          <w:left w:w="0" w:type="dxa"/>
          <w:bottom w:w="0" w:type="dxa"/>
          <w:right w:w="0" w:type="dxa"/>
        </w:tblCellMar>
      </w:tblPr>
      <w:tr>
        <w:trPr>
          <w:trHeight w:val="206"/>
        </w:trPr>
        <w:tc>
          <w:tcPr>
            <w:tcW w:w="4220" w:type="dxa"/>
            <w:vAlign w:val="bottom"/>
          </w:tcPr>
          <w:p>
            <w:pPr>
              <w:ind w:left="80"/>
              <w:spacing w:after="0"/>
              <w:rPr>
                <w:sz w:val="20"/>
                <w:szCs w:val="20"/>
                <w:color w:val="auto"/>
              </w:rPr>
            </w:pPr>
            <w:r>
              <w:rPr>
                <w:rFonts w:ascii="Arial" w:cs="Arial" w:eastAsia="Arial" w:hAnsi="Arial"/>
                <w:sz w:val="16"/>
                <w:szCs w:val="16"/>
                <w:color w:val="auto"/>
              </w:rPr>
              <w:t>An analysis of gain/loss on derivatives is as follows:</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9"/>
        </w:trPr>
        <w:tc>
          <w:tcPr>
            <w:tcW w:w="4220" w:type="dxa"/>
            <w:vAlign w:val="bottom"/>
          </w:tcPr>
          <w:p>
            <w:pPr>
              <w:spacing w:after="0"/>
              <w:rPr>
                <w:sz w:val="24"/>
                <w:szCs w:val="24"/>
                <w:color w:val="auto"/>
              </w:rPr>
            </w:pPr>
          </w:p>
        </w:tc>
        <w:tc>
          <w:tcPr>
            <w:tcW w:w="3260" w:type="dxa"/>
            <w:vAlign w:val="bottom"/>
            <w:gridSpan w:val="4"/>
          </w:tcPr>
          <w:p>
            <w:pPr>
              <w:jc w:val="right"/>
              <w:ind w:right="800"/>
              <w:spacing w:after="0"/>
              <w:rPr>
                <w:sz w:val="20"/>
                <w:szCs w:val="20"/>
                <w:color w:val="auto"/>
              </w:rPr>
            </w:pPr>
            <w:r>
              <w:rPr>
                <w:rFonts w:ascii="Arial" w:cs="Arial" w:eastAsia="Arial" w:hAnsi="Arial"/>
                <w:sz w:val="16"/>
                <w:szCs w:val="16"/>
                <w:b w:val="1"/>
                <w:bCs w:val="1"/>
                <w:color w:val="auto"/>
              </w:rPr>
              <w:t>For the three months ended</w:t>
            </w:r>
          </w:p>
        </w:tc>
        <w:tc>
          <w:tcPr>
            <w:tcW w:w="308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rPr>
              <w:t>For the nine months ended</w:t>
            </w:r>
          </w:p>
        </w:tc>
      </w:tr>
      <w:tr>
        <w:trPr>
          <w:trHeight w:val="188"/>
        </w:trPr>
        <w:tc>
          <w:tcPr>
            <w:tcW w:w="4220" w:type="dxa"/>
            <w:vAlign w:val="bottom"/>
          </w:tcPr>
          <w:p>
            <w:pPr>
              <w:spacing w:after="0"/>
              <w:rPr>
                <w:sz w:val="16"/>
                <w:szCs w:val="16"/>
                <w:color w:val="auto"/>
              </w:rPr>
            </w:pPr>
          </w:p>
        </w:tc>
        <w:tc>
          <w:tcPr>
            <w:tcW w:w="1620" w:type="dxa"/>
            <w:vAlign w:val="bottom"/>
            <w:tcBorders>
              <w:top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6"/>
                <w:szCs w:val="16"/>
                <w:color w:val="auto"/>
              </w:rPr>
            </w:pPr>
          </w:p>
        </w:tc>
        <w:tc>
          <w:tcPr>
            <w:tcW w:w="1660" w:type="dxa"/>
            <w:vAlign w:val="bottom"/>
            <w:tcBorders>
              <w:top w:val="single" w:sz="8" w:color="auto"/>
            </w:tcBorders>
            <w:gridSpan w:val="2"/>
          </w:tcPr>
          <w:p>
            <w:pPr>
              <w:jc w:val="right"/>
              <w:ind w:right="419"/>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September 30,</w:t>
            </w:r>
          </w:p>
        </w:tc>
        <w:tc>
          <w:tcPr>
            <w:tcW w:w="60" w:type="dxa"/>
            <w:vAlign w:val="bottom"/>
          </w:tcPr>
          <w:p>
            <w:pPr>
              <w:spacing w:after="0"/>
              <w:rPr>
                <w:sz w:val="16"/>
                <w:szCs w:val="16"/>
                <w:color w:val="auto"/>
              </w:rPr>
            </w:pPr>
          </w:p>
        </w:tc>
      </w:tr>
      <w:tr>
        <w:trPr>
          <w:trHeight w:val="213"/>
        </w:trPr>
        <w:tc>
          <w:tcPr>
            <w:tcW w:w="422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E5FF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E5FFFF"/>
            </w:tcBorders>
          </w:tcPr>
          <w:p>
            <w:pPr>
              <w:spacing w:after="0"/>
              <w:rPr>
                <w:sz w:val="18"/>
                <w:szCs w:val="18"/>
                <w:color w:val="auto"/>
              </w:rPr>
            </w:pPr>
          </w:p>
        </w:tc>
        <w:tc>
          <w:tcPr>
            <w:tcW w:w="14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8"/>
                <w:szCs w:val="18"/>
                <w:color w:val="auto"/>
              </w:rPr>
            </w:pPr>
          </w:p>
        </w:tc>
      </w:tr>
      <w:tr>
        <w:trPr>
          <w:trHeight w:val="176"/>
        </w:trPr>
        <w:tc>
          <w:tcPr>
            <w:tcW w:w="4220" w:type="dxa"/>
            <w:vAlign w:val="bottom"/>
            <w:shd w:val="clear" w:color="auto" w:fill="E5FFFF"/>
          </w:tcPr>
          <w:p>
            <w:pPr>
              <w:spacing w:after="0" w:line="176" w:lineRule="exact"/>
              <w:rPr>
                <w:sz w:val="20"/>
                <w:szCs w:val="20"/>
                <w:color w:val="auto"/>
              </w:rPr>
            </w:pPr>
            <w:r>
              <w:rPr>
                <w:rFonts w:ascii="Arial" w:cs="Arial" w:eastAsia="Arial" w:hAnsi="Arial"/>
                <w:sz w:val="16"/>
                <w:szCs w:val="16"/>
                <w:color w:val="auto"/>
                <w:w w:val="98"/>
              </w:rPr>
              <w:t>Unrealized (gain)/loss on interest rate swaps held for trading</w:t>
            </w:r>
          </w:p>
        </w:tc>
        <w:tc>
          <w:tcPr>
            <w:tcW w:w="136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140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142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1360" w:type="dxa"/>
            <w:vAlign w:val="bottom"/>
            <w:shd w:val="clear" w:color="auto" w:fill="E5FFFF"/>
          </w:tcPr>
          <w:p>
            <w:pPr>
              <w:spacing w:after="0"/>
              <w:rPr>
                <w:sz w:val="15"/>
                <w:szCs w:val="15"/>
                <w:color w:val="auto"/>
              </w:rPr>
            </w:pPr>
          </w:p>
        </w:tc>
        <w:tc>
          <w:tcPr>
            <w:tcW w:w="60" w:type="dxa"/>
            <w:vAlign w:val="bottom"/>
          </w:tcPr>
          <w:p>
            <w:pPr>
              <w:spacing w:after="0"/>
              <w:rPr>
                <w:sz w:val="15"/>
                <w:szCs w:val="15"/>
                <w:color w:val="auto"/>
              </w:rPr>
            </w:pPr>
          </w:p>
        </w:tc>
      </w:tr>
      <w:tr>
        <w:trPr>
          <w:trHeight w:val="212"/>
        </w:trPr>
        <w:tc>
          <w:tcPr>
            <w:tcW w:w="4220" w:type="dxa"/>
            <w:vAlign w:val="bottom"/>
            <w:shd w:val="clear" w:color="auto" w:fill="E5FFFF"/>
          </w:tcPr>
          <w:p>
            <w:pPr>
              <w:ind w:left="160"/>
              <w:spacing w:after="0"/>
              <w:rPr>
                <w:sz w:val="20"/>
                <w:szCs w:val="20"/>
                <w:color w:val="auto"/>
              </w:rPr>
            </w:pPr>
            <w:r>
              <w:rPr>
                <w:rFonts w:ascii="Arial" w:cs="Arial" w:eastAsia="Arial" w:hAnsi="Arial"/>
                <w:sz w:val="16"/>
                <w:szCs w:val="16"/>
                <w:color w:val="auto"/>
              </w:rPr>
              <w:t>(Note 12)</w:t>
            </w:r>
          </w:p>
        </w:tc>
        <w:tc>
          <w:tcPr>
            <w:tcW w:w="1620" w:type="dxa"/>
            <w:vAlign w:val="bottom"/>
            <w:gridSpan w:val="2"/>
            <w:shd w:val="clear" w:color="auto" w:fill="E5FFFF"/>
          </w:tcPr>
          <w:p>
            <w:pPr>
              <w:jc w:val="right"/>
              <w:ind w:right="119"/>
              <w:spacing w:after="0"/>
              <w:rPr>
                <w:sz w:val="20"/>
                <w:szCs w:val="20"/>
                <w:color w:val="auto"/>
              </w:rPr>
            </w:pPr>
            <w:r>
              <w:rPr>
                <w:rFonts w:ascii="Arial" w:cs="Arial" w:eastAsia="Arial" w:hAnsi="Arial"/>
                <w:sz w:val="16"/>
                <w:szCs w:val="16"/>
                <w:color w:val="auto"/>
              </w:rPr>
              <w:t>(1,759)</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2,286</w:t>
            </w:r>
          </w:p>
        </w:tc>
        <w:tc>
          <w:tcPr>
            <w:tcW w:w="166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(9,316)</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16,895</w:t>
            </w:r>
          </w:p>
        </w:tc>
        <w:tc>
          <w:tcPr>
            <w:tcW w:w="60" w:type="dxa"/>
            <w:vAlign w:val="bottom"/>
          </w:tcPr>
          <w:p>
            <w:pPr>
              <w:spacing w:after="0"/>
              <w:rPr>
                <w:sz w:val="18"/>
                <w:szCs w:val="18"/>
                <w:color w:val="auto"/>
              </w:rPr>
            </w:pPr>
          </w:p>
        </w:tc>
      </w:tr>
      <w:tr>
        <w:trPr>
          <w:trHeight w:val="193"/>
        </w:trPr>
        <w:tc>
          <w:tcPr>
            <w:tcW w:w="4220" w:type="dxa"/>
            <w:vAlign w:val="bottom"/>
          </w:tcPr>
          <w:p>
            <w:pPr>
              <w:spacing w:after="0"/>
              <w:rPr>
                <w:sz w:val="20"/>
                <w:szCs w:val="20"/>
                <w:color w:val="auto"/>
              </w:rPr>
            </w:pPr>
            <w:r>
              <w:rPr>
                <w:rFonts w:ascii="Arial" w:cs="Arial" w:eastAsia="Arial" w:hAnsi="Arial"/>
                <w:sz w:val="16"/>
                <w:szCs w:val="16"/>
                <w:color w:val="auto"/>
                <w:w w:val="97"/>
              </w:rPr>
              <w:t>Unrealized loss/(gain) on forward foreign exchange contracts</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4220" w:type="dxa"/>
            <w:vAlign w:val="bottom"/>
          </w:tcPr>
          <w:p>
            <w:pPr>
              <w:ind w:left="160"/>
              <w:spacing w:after="0"/>
              <w:rPr>
                <w:sz w:val="20"/>
                <w:szCs w:val="20"/>
                <w:color w:val="auto"/>
              </w:rPr>
            </w:pPr>
            <w:r>
              <w:rPr>
                <w:rFonts w:ascii="Arial" w:cs="Arial" w:eastAsia="Arial" w:hAnsi="Arial"/>
                <w:sz w:val="16"/>
                <w:szCs w:val="16"/>
                <w:color w:val="auto"/>
              </w:rPr>
              <w:t>held for trading (Note 12)</w:t>
            </w:r>
          </w:p>
        </w:tc>
        <w:tc>
          <w:tcPr>
            <w:tcW w:w="1620" w:type="dxa"/>
            <w:vAlign w:val="bottom"/>
            <w:gridSpan w:val="2"/>
          </w:tcPr>
          <w:p>
            <w:pPr>
              <w:jc w:val="right"/>
              <w:ind w:right="179"/>
              <w:spacing w:after="0"/>
              <w:rPr>
                <w:sz w:val="20"/>
                <w:szCs w:val="20"/>
                <w:color w:val="auto"/>
              </w:rPr>
            </w:pPr>
            <w:r>
              <w:rPr>
                <w:rFonts w:ascii="Arial" w:cs="Arial" w:eastAsia="Arial" w:hAnsi="Arial"/>
                <w:sz w:val="16"/>
                <w:szCs w:val="16"/>
                <w:color w:val="auto"/>
              </w:rPr>
              <w:t>106</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159</w:t>
            </w:r>
          </w:p>
        </w:tc>
        <w:tc>
          <w:tcPr>
            <w:tcW w:w="1660" w:type="dxa"/>
            <w:vAlign w:val="bottom"/>
            <w:gridSpan w:val="2"/>
          </w:tcPr>
          <w:p>
            <w:pPr>
              <w:jc w:val="right"/>
              <w:ind w:right="199"/>
              <w:spacing w:after="0"/>
              <w:rPr>
                <w:sz w:val="20"/>
                <w:szCs w:val="20"/>
                <w:color w:val="auto"/>
              </w:rPr>
            </w:pPr>
            <w:r>
              <w:rPr>
                <w:rFonts w:ascii="Arial" w:cs="Arial" w:eastAsia="Arial" w:hAnsi="Arial"/>
                <w:sz w:val="16"/>
                <w:szCs w:val="16"/>
                <w:color w:val="auto"/>
              </w:rPr>
              <w:t>292</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(197)</w:t>
            </w:r>
          </w:p>
        </w:tc>
      </w:tr>
      <w:tr>
        <w:trPr>
          <w:trHeight w:val="209"/>
        </w:trPr>
        <w:tc>
          <w:tcPr>
            <w:tcW w:w="4220" w:type="dxa"/>
            <w:vAlign w:val="bottom"/>
            <w:shd w:val="clear" w:color="auto" w:fill="E5FFFF"/>
          </w:tcPr>
          <w:p>
            <w:pPr>
              <w:spacing w:after="0"/>
              <w:rPr>
                <w:sz w:val="20"/>
                <w:szCs w:val="20"/>
                <w:color w:val="auto"/>
              </w:rPr>
            </w:pPr>
            <w:r>
              <w:rPr>
                <w:rFonts w:ascii="Arial" w:cs="Arial" w:eastAsia="Arial" w:hAnsi="Arial"/>
                <w:sz w:val="16"/>
                <w:szCs w:val="16"/>
                <w:color w:val="auto"/>
              </w:rPr>
              <w:t>Realized gain on interest rate swaps held for trading</w:t>
            </w:r>
          </w:p>
        </w:tc>
        <w:tc>
          <w:tcPr>
            <w:tcW w:w="1620" w:type="dxa"/>
            <w:vAlign w:val="bottom"/>
            <w:gridSpan w:val="2"/>
            <w:shd w:val="clear" w:color="auto" w:fill="E5FFFF"/>
          </w:tcPr>
          <w:p>
            <w:pPr>
              <w:jc w:val="right"/>
              <w:ind w:right="119"/>
              <w:spacing w:after="0"/>
              <w:rPr>
                <w:sz w:val="20"/>
                <w:szCs w:val="20"/>
                <w:color w:val="auto"/>
              </w:rPr>
            </w:pPr>
            <w:r>
              <w:rPr>
                <w:rFonts w:ascii="Arial" w:cs="Arial" w:eastAsia="Arial" w:hAnsi="Arial"/>
                <w:sz w:val="16"/>
                <w:szCs w:val="16"/>
                <w:color w:val="auto"/>
              </w:rPr>
              <w:t>(567)</w:t>
            </w:r>
          </w:p>
        </w:tc>
        <w:tc>
          <w:tcPr>
            <w:tcW w:w="164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(406)</w:t>
            </w:r>
          </w:p>
        </w:tc>
        <w:tc>
          <w:tcPr>
            <w:tcW w:w="166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(1,111)</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(2,334)</w:t>
            </w:r>
          </w:p>
        </w:tc>
        <w:tc>
          <w:tcPr>
            <w:tcW w:w="60" w:type="dxa"/>
            <w:vAlign w:val="bottom"/>
          </w:tcPr>
          <w:p>
            <w:pPr>
              <w:spacing w:after="0"/>
              <w:rPr>
                <w:sz w:val="18"/>
                <w:szCs w:val="18"/>
                <w:color w:val="auto"/>
              </w:rPr>
            </w:pPr>
          </w:p>
        </w:tc>
      </w:tr>
      <w:tr>
        <w:trPr>
          <w:trHeight w:val="193"/>
        </w:trPr>
        <w:tc>
          <w:tcPr>
            <w:tcW w:w="4220" w:type="dxa"/>
            <w:vAlign w:val="bottom"/>
          </w:tcPr>
          <w:p>
            <w:pPr>
              <w:spacing w:after="0"/>
              <w:rPr>
                <w:sz w:val="20"/>
                <w:szCs w:val="20"/>
                <w:color w:val="auto"/>
              </w:rPr>
            </w:pPr>
            <w:r>
              <w:rPr>
                <w:rFonts w:ascii="Arial" w:cs="Arial" w:eastAsia="Arial" w:hAnsi="Arial"/>
                <w:sz w:val="16"/>
                <w:szCs w:val="16"/>
                <w:color w:val="auto"/>
                <w:w w:val="97"/>
              </w:rPr>
              <w:t>Realized loss on forward foreign exchange contracts held for</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4220" w:type="dxa"/>
            <w:vAlign w:val="bottom"/>
          </w:tcPr>
          <w:p>
            <w:pPr>
              <w:ind w:left="160"/>
              <w:spacing w:after="0"/>
              <w:rPr>
                <w:sz w:val="20"/>
                <w:szCs w:val="20"/>
                <w:color w:val="auto"/>
              </w:rPr>
            </w:pPr>
            <w:r>
              <w:rPr>
                <w:rFonts w:ascii="Arial" w:cs="Arial" w:eastAsia="Arial" w:hAnsi="Arial"/>
                <w:sz w:val="16"/>
                <w:szCs w:val="16"/>
                <w:color w:val="auto"/>
              </w:rPr>
              <w:t>trading</w:t>
            </w:r>
          </w:p>
        </w:tc>
        <w:tc>
          <w:tcPr>
            <w:tcW w:w="1620" w:type="dxa"/>
            <w:vAlign w:val="bottom"/>
            <w:gridSpan w:val="2"/>
          </w:tcPr>
          <w:p>
            <w:pPr>
              <w:jc w:val="right"/>
              <w:ind w:right="179"/>
              <w:spacing w:after="0"/>
              <w:rPr>
                <w:sz w:val="20"/>
                <w:szCs w:val="20"/>
                <w:color w:val="auto"/>
              </w:rPr>
            </w:pPr>
            <w:r>
              <w:rPr>
                <w:rFonts w:ascii="Arial" w:cs="Arial" w:eastAsia="Arial" w:hAnsi="Arial"/>
                <w:sz w:val="16"/>
                <w:szCs w:val="16"/>
                <w:color w:val="auto"/>
              </w:rPr>
              <w:t>138</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346</w:t>
            </w:r>
          </w:p>
        </w:tc>
        <w:tc>
          <w:tcPr>
            <w:tcW w:w="1660" w:type="dxa"/>
            <w:vAlign w:val="bottom"/>
            <w:gridSpan w:val="2"/>
          </w:tcPr>
          <w:p>
            <w:pPr>
              <w:jc w:val="right"/>
              <w:ind w:right="199"/>
              <w:spacing w:after="0"/>
              <w:rPr>
                <w:sz w:val="20"/>
                <w:szCs w:val="20"/>
                <w:color w:val="auto"/>
              </w:rPr>
            </w:pPr>
            <w:r>
              <w:rPr>
                <w:rFonts w:ascii="Arial" w:cs="Arial" w:eastAsia="Arial" w:hAnsi="Arial"/>
                <w:sz w:val="16"/>
                <w:szCs w:val="16"/>
                <w:color w:val="auto"/>
              </w:rPr>
              <w:t>138</w:t>
            </w:r>
          </w:p>
        </w:tc>
        <w:tc>
          <w:tcPr>
            <w:tcW w:w="1360" w:type="dxa"/>
            <w:vAlign w:val="bottom"/>
          </w:tcPr>
          <w:p>
            <w:pPr>
              <w:jc w:val="right"/>
              <w:spacing w:after="0"/>
              <w:rPr>
                <w:sz w:val="20"/>
                <w:szCs w:val="20"/>
                <w:color w:val="auto"/>
              </w:rPr>
            </w:pPr>
            <w:r>
              <w:rPr>
                <w:rFonts w:ascii="Arial" w:cs="Arial" w:eastAsia="Arial" w:hAnsi="Arial"/>
                <w:sz w:val="16"/>
                <w:szCs w:val="16"/>
                <w:color w:val="auto"/>
              </w:rPr>
              <w:t>1,164</w:t>
            </w:r>
          </w:p>
        </w:tc>
        <w:tc>
          <w:tcPr>
            <w:tcW w:w="60" w:type="dxa"/>
            <w:vAlign w:val="bottom"/>
          </w:tcPr>
          <w:p>
            <w:pPr>
              <w:spacing w:after="0"/>
              <w:rPr>
                <w:sz w:val="18"/>
                <w:szCs w:val="18"/>
                <w:color w:val="auto"/>
              </w:rPr>
            </w:pPr>
          </w:p>
        </w:tc>
      </w:tr>
      <w:tr>
        <w:trPr>
          <w:trHeight w:val="213"/>
        </w:trPr>
        <w:tc>
          <w:tcPr>
            <w:tcW w:w="42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(gain)/loss on derivatives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(2,082</w:t>
            </w:r>
          </w:p>
        </w:tc>
        <w:tc>
          <w:tcPr>
            <w:tcW w:w="260" w:type="dxa"/>
            <w:vAlign w:val="bottom"/>
            <w:tcBorders>
              <w:top w:val="single" w:sz="8" w:color="E5FFFF"/>
              <w:bottom w:val="single" w:sz="8" w:color="E5FFFF"/>
            </w:tcBorders>
            <w:shd w:val="clear" w:color="auto" w:fill="E5FFFF"/>
          </w:tcPr>
          <w:p>
            <w:pPr>
              <w:jc w:val="right"/>
              <w:ind w:right="119"/>
              <w:spacing w:after="0"/>
              <w:rPr>
                <w:sz w:val="20"/>
                <w:szCs w:val="20"/>
                <w:color w:val="auto"/>
              </w:rPr>
            </w:pPr>
            <w:r>
              <w:rPr>
                <w:rFonts w:ascii="Arial" w:cs="Arial" w:eastAsia="Arial" w:hAnsi="Arial"/>
                <w:sz w:val="16"/>
                <w:szCs w:val="16"/>
                <w:b w:val="1"/>
                <w:bCs w:val="1"/>
                <w:color w:val="auto"/>
                <w:w w:val="74"/>
              </w:rPr>
              <w:t>)</w:t>
            </w: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2,385</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(9,997</w:t>
            </w:r>
          </w:p>
        </w:tc>
        <w:tc>
          <w:tcPr>
            <w:tcW w:w="240" w:type="dxa"/>
            <w:vAlign w:val="bottom"/>
            <w:tcBorders>
              <w:top w:val="single" w:sz="8" w:color="E5FFFF"/>
              <w:bottom w:val="single" w:sz="8" w:color="E5FFFF"/>
            </w:tcBorders>
            <w:shd w:val="clear" w:color="auto" w:fill="E5FFFF"/>
          </w:tcPr>
          <w:p>
            <w:pPr>
              <w:jc w:val="right"/>
              <w:ind w:right="159"/>
              <w:spacing w:after="0"/>
              <w:rPr>
                <w:sz w:val="20"/>
                <w:szCs w:val="20"/>
                <w:color w:val="auto"/>
              </w:rPr>
            </w:pPr>
            <w:r>
              <w:rPr>
                <w:rFonts w:ascii="Arial" w:cs="Arial" w:eastAsia="Arial" w:hAnsi="Arial"/>
                <w:sz w:val="8"/>
                <w:szCs w:val="8"/>
                <w:b w:val="1"/>
                <w:bCs w:val="1"/>
                <w:color w:val="auto"/>
                <w:w w:val="73"/>
              </w:rPr>
              <w:t>)</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15,528</w:t>
            </w:r>
          </w:p>
        </w:tc>
        <w:tc>
          <w:tcPr>
            <w:tcW w:w="6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Cash Flow Reconciliations</w:t>
      </w:r>
    </w:p>
    <w:p>
      <w:pPr>
        <w:spacing w:after="0" w:line="239" w:lineRule="exact"/>
        <w:rPr>
          <w:sz w:val="20"/>
          <w:szCs w:val="20"/>
          <w:color w:val="auto"/>
        </w:rPr>
      </w:pPr>
    </w:p>
    <w:p>
      <w:pPr>
        <w:ind w:firstLine="383"/>
        <w:spacing w:after="0" w:line="293" w:lineRule="auto"/>
        <w:rPr>
          <w:sz w:val="20"/>
          <w:szCs w:val="20"/>
          <w:color w:val="auto"/>
        </w:rPr>
      </w:pPr>
      <w:r>
        <w:rPr>
          <w:rFonts w:ascii="Arial" w:cs="Arial" w:eastAsia="Arial" w:hAnsi="Arial"/>
          <w:sz w:val="16"/>
          <w:szCs w:val="16"/>
          <w:color w:val="auto"/>
        </w:rPr>
        <w:t>The reconciliations of the Partnership’s non-cash investing and financing activities for the nine months ended September 30, 2018 and September 30, 2019 are presented in the following tables: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reconciliation of borrowings arising from financing activities is as follows:</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Opening</w:t>
            </w: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balance</w:t>
            </w:r>
          </w:p>
        </w:tc>
        <w:tc>
          <w:tcPr>
            <w:tcW w:w="40" w:type="dxa"/>
            <w:vAlign w:val="bottom"/>
          </w:tcPr>
          <w:p>
            <w:pPr>
              <w:spacing w:after="0"/>
              <w:rPr>
                <w:sz w:val="18"/>
                <w:szCs w:val="18"/>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89"/>
              </w:rPr>
              <w:t>Cash flows</w:t>
            </w:r>
          </w:p>
        </w:tc>
        <w:tc>
          <w:tcPr>
            <w:tcW w:w="20" w:type="dxa"/>
            <w:vAlign w:val="bottom"/>
          </w:tcPr>
          <w:p>
            <w:pPr>
              <w:spacing w:after="0"/>
              <w:rPr>
                <w:sz w:val="18"/>
                <w:szCs w:val="18"/>
                <w:color w:val="auto"/>
              </w:rPr>
            </w:pPr>
          </w:p>
        </w:tc>
        <w:tc>
          <w:tcPr>
            <w:tcW w:w="1700" w:type="dxa"/>
            <w:vAlign w:val="bottom"/>
            <w:gridSpan w:val="4"/>
          </w:tcPr>
          <w:p>
            <w:pPr>
              <w:ind w:left="180"/>
              <w:spacing w:after="0"/>
              <w:rPr>
                <w:sz w:val="20"/>
                <w:szCs w:val="20"/>
                <w:color w:val="auto"/>
              </w:rPr>
            </w:pPr>
            <w:r>
              <w:rPr>
                <w:rFonts w:ascii="Arial" w:cs="Arial" w:eastAsia="Arial" w:hAnsi="Arial"/>
                <w:sz w:val="16"/>
                <w:szCs w:val="16"/>
                <w:b w:val="1"/>
                <w:bCs w:val="1"/>
                <w:color w:val="auto"/>
              </w:rPr>
              <w:t>Non-cash items</w:t>
            </w:r>
          </w:p>
        </w:tc>
        <w:tc>
          <w:tcPr>
            <w:tcW w:w="20" w:type="dxa"/>
            <w:vAlign w:val="bottom"/>
          </w:tcPr>
          <w:p>
            <w:pPr>
              <w:spacing w:after="0"/>
              <w:rPr>
                <w:sz w:val="18"/>
                <w:szCs w:val="18"/>
                <w:color w:val="auto"/>
              </w:rPr>
            </w:pPr>
          </w:p>
        </w:tc>
        <w:tc>
          <w:tcPr>
            <w:tcW w:w="1400" w:type="dxa"/>
            <w:vAlign w:val="bottom"/>
            <w:gridSpan w:val="4"/>
          </w:tcPr>
          <w:p>
            <w:pPr>
              <w:ind w:lef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322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w w:val="98"/>
              </w:rPr>
              <w:t>Borrowings outstanding as of January 1, 2018</w:t>
            </w:r>
          </w:p>
        </w:tc>
        <w:tc>
          <w:tcPr>
            <w:tcW w:w="72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1380" w:type="dxa"/>
            <w:vAlign w:val="bottom"/>
            <w:tcBorders>
              <w:top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1,541,836</w:t>
            </w:r>
          </w:p>
        </w:tc>
        <w:tc>
          <w:tcPr>
            <w:tcW w:w="2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1380" w:type="dxa"/>
            <w:vAlign w:val="bottom"/>
            <w:tcBorders>
              <w:top w:val="single" w:sz="8" w:color="auto"/>
              <w:right w:val="single" w:sz="8" w:color="E5FFFF"/>
            </w:tcBorders>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480" w:type="dxa"/>
            <w:vAlign w:val="bottom"/>
            <w:tcBorders>
              <w:top w:val="single" w:sz="8" w:color="auto"/>
              <w:right w:val="single" w:sz="8" w:color="E5FFFF"/>
            </w:tcBorders>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1,541,836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auto"/>
              </w:rPr>
              <w:t>Borrowings repayments</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40" w:type="dxa"/>
            <w:vAlign w:val="bottom"/>
            <w:gridSpan w:val="4"/>
          </w:tcPr>
          <w:p>
            <w:pPr>
              <w:jc w:val="right"/>
              <w:ind w:right="195"/>
              <w:spacing w:after="0"/>
              <w:rPr>
                <w:sz w:val="20"/>
                <w:szCs w:val="20"/>
                <w:color w:val="auto"/>
              </w:rPr>
            </w:pPr>
            <w:r>
              <w:rPr>
                <w:rFonts w:ascii="Arial" w:cs="Arial" w:eastAsia="Arial" w:hAnsi="Arial"/>
                <w:sz w:val="16"/>
                <w:szCs w:val="16"/>
                <w:color w:val="auto"/>
              </w:rPr>
              <w:t>(160,017)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(160,017)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Additions in deferred loan fees</w:t>
            </w:r>
          </w:p>
        </w:tc>
        <w:tc>
          <w:tcPr>
            <w:tcW w:w="7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w:t>
            </w:r>
          </w:p>
        </w:tc>
        <w:tc>
          <w:tcPr>
            <w:tcW w:w="1640" w:type="dxa"/>
            <w:vAlign w:val="bottom"/>
            <w:gridSpan w:val="4"/>
            <w:shd w:val="clear" w:color="auto" w:fill="E5FFFF"/>
          </w:tcPr>
          <w:p>
            <w:pPr>
              <w:jc w:val="right"/>
              <w:ind w:right="195"/>
              <w:spacing w:after="0"/>
              <w:rPr>
                <w:sz w:val="20"/>
                <w:szCs w:val="20"/>
                <w:color w:val="auto"/>
              </w:rPr>
            </w:pPr>
            <w:r>
              <w:rPr>
                <w:rFonts w:ascii="Arial" w:cs="Arial" w:eastAsia="Arial" w:hAnsi="Arial"/>
                <w:sz w:val="16"/>
                <w:szCs w:val="16"/>
                <w:color w:val="auto"/>
              </w:rPr>
              <w:t>(79)</w:t>
            </w:r>
          </w:p>
        </w:tc>
        <w:tc>
          <w:tcPr>
            <w:tcW w:w="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00" w:type="dxa"/>
            <w:vAlign w:val="bottom"/>
            <w:gridSpan w:val="5"/>
          </w:tcPr>
          <w:p>
            <w:pPr>
              <w:spacing w:after="0"/>
              <w:rPr>
                <w:sz w:val="20"/>
                <w:szCs w:val="20"/>
                <w:color w:val="auto"/>
              </w:rPr>
            </w:pPr>
            <w:r>
              <w:rPr>
                <w:rFonts w:ascii="Arial" w:cs="Arial" w:eastAsia="Arial" w:hAnsi="Arial"/>
                <w:sz w:val="16"/>
                <w:szCs w:val="16"/>
                <w:color w:val="auto"/>
              </w:rPr>
              <w:t>Amortization and write-off of deferred loan issuance costs</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20" w:type="dxa"/>
            <w:vAlign w:val="bottom"/>
            <w:gridSpan w:val="2"/>
          </w:tcPr>
          <w:p>
            <w:pPr>
              <w:ind w:left="180"/>
              <w:spacing w:after="0"/>
              <w:rPr>
                <w:sz w:val="20"/>
                <w:szCs w:val="20"/>
                <w:color w:val="auto"/>
              </w:rPr>
            </w:pPr>
            <w:r>
              <w:rPr>
                <w:rFonts w:ascii="Arial" w:cs="Arial" w:eastAsia="Arial" w:hAnsi="Arial"/>
                <w:sz w:val="16"/>
                <w:szCs w:val="16"/>
                <w:color w:val="auto"/>
              </w:rPr>
              <w:t>(Note 13)</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2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20"/>
              <w:spacing w:after="0"/>
              <w:rPr>
                <w:sz w:val="20"/>
                <w:szCs w:val="20"/>
                <w:color w:val="auto"/>
              </w:rPr>
            </w:pPr>
            <w:r>
              <w:rPr>
                <w:rFonts w:ascii="Arial" w:cs="Arial" w:eastAsia="Arial" w:hAnsi="Arial"/>
                <w:sz w:val="16"/>
                <w:szCs w:val="16"/>
                <w:color w:val="auto"/>
              </w:rPr>
              <w:t>5,872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5,872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tcBorders>
              <w:top w:val="single" w:sz="8" w:color="E5FFFF"/>
              <w:bottom w:val="single" w:sz="8" w:color="E5FFFF"/>
            </w:tcBorders>
            <w:gridSpan w:val="4"/>
            <w:shd w:val="clear" w:color="auto" w:fill="E5FFFF"/>
          </w:tcPr>
          <w:p>
            <w:pPr>
              <w:spacing w:after="0"/>
              <w:rPr>
                <w:sz w:val="20"/>
                <w:szCs w:val="20"/>
                <w:color w:val="auto"/>
              </w:rPr>
            </w:pPr>
            <w:r>
              <w:rPr>
                <w:rFonts w:ascii="Arial" w:cs="Arial" w:eastAsia="Arial" w:hAnsi="Arial"/>
                <w:sz w:val="16"/>
                <w:szCs w:val="16"/>
                <w:b w:val="1"/>
                <w:bCs w:val="1"/>
                <w:color w:val="auto"/>
              </w:rPr>
              <w:t>Borrowings outstanding as of September 30, 2018</w:t>
            </w:r>
          </w:p>
        </w:tc>
        <w:tc>
          <w:tcPr>
            <w:tcW w:w="40" w:type="dxa"/>
            <w:vAlign w:val="bottom"/>
            <w:tcBorders>
              <w:top w:val="single" w:sz="8" w:color="auto"/>
              <w:bottom w:val="single" w:sz="8" w:color="auto"/>
            </w:tcBorders>
            <w:shd w:val="clear" w:color="auto" w:fill="E5FFFF"/>
          </w:tcPr>
          <w:p>
            <w:pPr>
              <w:spacing w:after="0"/>
              <w:rPr>
                <w:sz w:val="18"/>
                <w:szCs w:val="18"/>
                <w:color w:val="auto"/>
              </w:rPr>
            </w:pPr>
          </w:p>
        </w:tc>
        <w:tc>
          <w:tcPr>
            <w:tcW w:w="138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1,541,836</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420" w:type="dxa"/>
            <w:vAlign w:val="bottom"/>
            <w:tcBorders>
              <w:top w:val="single" w:sz="8" w:color="auto"/>
              <w:bottom w:val="single" w:sz="8" w:color="auto"/>
              <w:right w:val="single" w:sz="8" w:color="E5FFFF"/>
            </w:tcBorders>
            <w:gridSpan w:val="3"/>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(160,096</w:t>
            </w:r>
          </w:p>
        </w:tc>
        <w:tc>
          <w:tcPr>
            <w:tcW w:w="220" w:type="dxa"/>
            <w:vAlign w:val="bottom"/>
            <w:tcBorders>
              <w:top w:val="single" w:sz="8" w:color="E5FFFF"/>
              <w:bottom w:val="single" w:sz="8" w:color="E5FFFF"/>
            </w:tcBorders>
            <w:shd w:val="clear" w:color="auto" w:fill="E5FFFF"/>
          </w:tcPr>
          <w:p>
            <w:pPr>
              <w:jc w:val="right"/>
              <w:ind w:right="195"/>
              <w:spacing w:after="0"/>
              <w:rPr>
                <w:sz w:val="20"/>
                <w:szCs w:val="20"/>
                <w:color w:val="auto"/>
              </w:rPr>
            </w:pPr>
            <w:r>
              <w:rPr>
                <w:rFonts w:ascii="Arial" w:cs="Arial" w:eastAsia="Arial" w:hAnsi="Arial"/>
                <w:sz w:val="1"/>
                <w:szCs w:val="1"/>
                <w:b w:val="1"/>
                <w:bCs w:val="1"/>
                <w:color w:val="auto"/>
                <w:w w:val="4294967281"/>
              </w:rPr>
              <w:t>)</w:t>
            </w: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1500" w:type="dxa"/>
            <w:vAlign w:val="bottom"/>
            <w:tcBorders>
              <w:top w:val="single" w:sz="8" w:color="auto"/>
              <w:bottom w:val="single" w:sz="8" w:color="auto"/>
              <w:right w:val="single" w:sz="8" w:color="E5FFFF"/>
            </w:tcBorders>
            <w:gridSpan w:val="3"/>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5,872</w:t>
            </w:r>
          </w:p>
        </w:tc>
        <w:tc>
          <w:tcPr>
            <w:tcW w:w="180" w:type="dxa"/>
            <w:vAlign w:val="bottom"/>
            <w:tcBorders>
              <w:top w:val="single" w:sz="8" w:color="E5FFFF"/>
              <w:bottom w:val="single" w:sz="8" w:color="E5FFFF"/>
            </w:tcBorders>
            <w:shd w:val="clear" w:color="auto" w:fill="E5FFFF"/>
          </w:tcPr>
          <w:p>
            <w:pPr>
              <w:spacing w:after="0"/>
              <w:rPr>
                <w:sz w:val="18"/>
                <w:szCs w:val="18"/>
                <w:color w:val="auto"/>
              </w:rPr>
            </w:pPr>
          </w:p>
        </w:tc>
        <w:tc>
          <w:tcPr>
            <w:tcW w:w="40" w:type="dxa"/>
            <w:vAlign w:val="bottom"/>
            <w:tcBorders>
              <w:top w:val="single" w:sz="8" w:color="E5FFFF"/>
              <w:bottom w:val="single" w:sz="8" w:color="E5FFFF"/>
            </w:tcBorders>
            <w:shd w:val="clear" w:color="auto" w:fill="E5FFFF"/>
          </w:tcPr>
          <w:p>
            <w:pPr>
              <w:spacing w:after="0"/>
              <w:rPr>
                <w:sz w:val="18"/>
                <w:szCs w:val="18"/>
                <w:color w:val="auto"/>
              </w:rPr>
            </w:pPr>
          </w:p>
        </w:tc>
        <w:tc>
          <w:tcPr>
            <w:tcW w:w="13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1,387,612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4"/>
              </w:rPr>
              <w:t>Deferred</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86"/>
              </w:rPr>
              <w:t>financing costs,</w:t>
            </w: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900" w:type="dxa"/>
            <w:vAlign w:val="bottom"/>
            <w:gridSpan w:val="4"/>
          </w:tcPr>
          <w:p>
            <w:pPr>
              <w:ind w:left="240"/>
              <w:spacing w:after="0"/>
              <w:rPr>
                <w:sz w:val="20"/>
                <w:szCs w:val="20"/>
                <w:color w:val="auto"/>
              </w:rPr>
            </w:pPr>
            <w:r>
              <w:rPr>
                <w:rFonts w:ascii="Arial" w:cs="Arial" w:eastAsia="Arial" w:hAnsi="Arial"/>
                <w:sz w:val="16"/>
                <w:szCs w:val="16"/>
                <w:b w:val="1"/>
                <w:bCs w:val="1"/>
                <w:color w:val="auto"/>
              </w:rPr>
              <w:t>Opening balance</w:t>
            </w:r>
          </w:p>
        </w:tc>
        <w:tc>
          <w:tcPr>
            <w:tcW w:w="16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Cash flows</w:t>
            </w:r>
          </w:p>
        </w:tc>
        <w:tc>
          <w:tcPr>
            <w:tcW w:w="40" w:type="dxa"/>
            <w:vAlign w:val="bottom"/>
          </w:tcPr>
          <w:p>
            <w:pPr>
              <w:spacing w:after="0"/>
              <w:rPr>
                <w:sz w:val="18"/>
                <w:szCs w:val="18"/>
                <w:color w:val="auto"/>
              </w:rPr>
            </w:pPr>
          </w:p>
        </w:tc>
        <w:tc>
          <w:tcPr>
            <w:tcW w:w="1620" w:type="dxa"/>
            <w:vAlign w:val="bottom"/>
            <w:gridSpan w:val="4"/>
          </w:tcPr>
          <w:p>
            <w:pPr>
              <w:ind w:left="320"/>
              <w:spacing w:after="0"/>
              <w:rPr>
                <w:sz w:val="20"/>
                <w:szCs w:val="20"/>
                <w:color w:val="auto"/>
              </w:rPr>
            </w:pPr>
            <w:r>
              <w:rPr>
                <w:rFonts w:ascii="Arial" w:cs="Arial" w:eastAsia="Arial" w:hAnsi="Arial"/>
                <w:sz w:val="16"/>
                <w:szCs w:val="16"/>
                <w:b w:val="1"/>
                <w:bCs w:val="1"/>
                <w:color w:val="auto"/>
              </w:rPr>
              <w:t>Non-cash items</w:t>
            </w:r>
          </w:p>
        </w:tc>
        <w:tc>
          <w:tcPr>
            <w:tcW w:w="20" w:type="dxa"/>
            <w:vAlign w:val="bottom"/>
          </w:tcPr>
          <w:p>
            <w:pPr>
              <w:spacing w:after="0"/>
              <w:rPr>
                <w:sz w:val="18"/>
                <w:szCs w:val="18"/>
                <w:color w:val="auto"/>
              </w:rPr>
            </w:pPr>
          </w:p>
        </w:tc>
        <w:tc>
          <w:tcPr>
            <w:tcW w:w="170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76"/>
              </w:rPr>
              <w:t>assets</w:t>
            </w:r>
          </w:p>
        </w:tc>
        <w:tc>
          <w:tcPr>
            <w:tcW w:w="20" w:type="dxa"/>
            <w:vAlign w:val="bottom"/>
          </w:tcPr>
          <w:p>
            <w:pPr>
              <w:spacing w:after="0"/>
              <w:rPr>
                <w:sz w:val="18"/>
                <w:szCs w:val="18"/>
                <w:color w:val="auto"/>
              </w:rPr>
            </w:pPr>
          </w:p>
        </w:tc>
        <w:tc>
          <w:tcPr>
            <w:tcW w:w="1400" w:type="dxa"/>
            <w:vAlign w:val="bottom"/>
            <w:gridSpan w:val="4"/>
          </w:tcPr>
          <w:p>
            <w:pPr>
              <w:ind w:left="4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300" w:type="dxa"/>
            <w:vAlign w:val="bottom"/>
            <w:tcBorders>
              <w:top w:val="single" w:sz="8" w:color="E5FFFF"/>
            </w:tcBorders>
            <w:shd w:val="clear" w:color="auto" w:fill="E5FFFF"/>
          </w:tcPr>
          <w:p>
            <w:pPr>
              <w:spacing w:after="0" w:line="176" w:lineRule="exact"/>
              <w:rPr>
                <w:sz w:val="20"/>
                <w:szCs w:val="20"/>
                <w:color w:val="auto"/>
              </w:rPr>
            </w:pPr>
            <w:r>
              <w:rPr>
                <w:rFonts w:ascii="Arial" w:cs="Arial" w:eastAsia="Arial" w:hAnsi="Arial"/>
                <w:sz w:val="16"/>
                <w:szCs w:val="16"/>
                <w:color w:val="auto"/>
              </w:rPr>
              <w:t>Borrowings outstanding as of</w:t>
            </w:r>
          </w:p>
        </w:tc>
        <w:tc>
          <w:tcPr>
            <w:tcW w:w="920" w:type="dxa"/>
            <w:vAlign w:val="bottom"/>
            <w:tcBorders>
              <w:top w:val="single" w:sz="8" w:color="auto"/>
            </w:tcBorders>
            <w:shd w:val="clear" w:color="auto" w:fill="E5FFFF"/>
          </w:tcPr>
          <w:p>
            <w:pPr>
              <w:spacing w:after="0"/>
              <w:rPr>
                <w:sz w:val="15"/>
                <w:szCs w:val="15"/>
                <w:color w:val="auto"/>
              </w:rPr>
            </w:pPr>
          </w:p>
        </w:tc>
        <w:tc>
          <w:tcPr>
            <w:tcW w:w="72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40" w:type="dxa"/>
            <w:vAlign w:val="bottom"/>
            <w:tcBorders>
              <w:top w:val="single" w:sz="8" w:color="E5FFFF"/>
            </w:tcBorders>
            <w:shd w:val="clear" w:color="auto" w:fill="E5FFFF"/>
          </w:tcPr>
          <w:p>
            <w:pPr>
              <w:spacing w:after="0"/>
              <w:rPr>
                <w:sz w:val="15"/>
                <w:szCs w:val="15"/>
                <w:color w:val="auto"/>
              </w:rPr>
            </w:pPr>
          </w:p>
        </w:tc>
        <w:tc>
          <w:tcPr>
            <w:tcW w:w="1380" w:type="dxa"/>
            <w:vAlign w:val="bottom"/>
            <w:tcBorders>
              <w:top w:val="single" w:sz="8" w:color="auto"/>
              <w:right w:val="single" w:sz="8" w:color="E5FFFF"/>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40" w:type="dxa"/>
            <w:vAlign w:val="bottom"/>
            <w:tcBorders>
              <w:top w:val="single" w:sz="8" w:color="E5FFFF"/>
            </w:tcBorders>
            <w:shd w:val="clear" w:color="auto" w:fill="E5FFFF"/>
          </w:tcPr>
          <w:p>
            <w:pPr>
              <w:spacing w:after="0"/>
              <w:rPr>
                <w:sz w:val="15"/>
                <w:szCs w:val="15"/>
                <w:color w:val="auto"/>
              </w:rPr>
            </w:pPr>
          </w:p>
        </w:tc>
        <w:tc>
          <w:tcPr>
            <w:tcW w:w="1340" w:type="dxa"/>
            <w:vAlign w:val="bottom"/>
            <w:tcBorders>
              <w:top w:val="single" w:sz="8" w:color="auto"/>
            </w:tcBorders>
            <w:shd w:val="clear" w:color="auto" w:fill="E5FFFF"/>
          </w:tcPr>
          <w:p>
            <w:pPr>
              <w:spacing w:after="0"/>
              <w:rPr>
                <w:sz w:val="15"/>
                <w:szCs w:val="15"/>
                <w:color w:val="auto"/>
              </w:rPr>
            </w:pPr>
          </w:p>
        </w:tc>
        <w:tc>
          <w:tcPr>
            <w:tcW w:w="40" w:type="dxa"/>
            <w:vAlign w:val="bottom"/>
            <w:tcBorders>
              <w:top w:val="single" w:sz="8" w:color="auto"/>
              <w:right w:val="single" w:sz="8" w:color="E5FFFF"/>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1420" w:type="dxa"/>
            <w:vAlign w:val="bottom"/>
            <w:tcBorders>
              <w:top w:val="single" w:sz="8" w:color="auto"/>
            </w:tcBorders>
            <w:shd w:val="clear" w:color="auto" w:fill="E5FFFF"/>
          </w:tcPr>
          <w:p>
            <w:pPr>
              <w:spacing w:after="0"/>
              <w:rPr>
                <w:sz w:val="15"/>
                <w:szCs w:val="15"/>
                <w:color w:val="auto"/>
              </w:rPr>
            </w:pPr>
          </w:p>
        </w:tc>
        <w:tc>
          <w:tcPr>
            <w:tcW w:w="60" w:type="dxa"/>
            <w:vAlign w:val="bottom"/>
            <w:tcBorders>
              <w:top w:val="single" w:sz="8" w:color="auto"/>
              <w:right w:val="single" w:sz="8" w:color="E5FFFF"/>
            </w:tcBorders>
            <w:shd w:val="clear" w:color="auto" w:fill="E5FFFF"/>
          </w:tcPr>
          <w:p>
            <w:pPr>
              <w:spacing w:after="0"/>
              <w:rPr>
                <w:sz w:val="15"/>
                <w:szCs w:val="15"/>
                <w:color w:val="auto"/>
              </w:rPr>
            </w:pPr>
          </w:p>
        </w:tc>
        <w:tc>
          <w:tcPr>
            <w:tcW w:w="180" w:type="dxa"/>
            <w:vAlign w:val="bottom"/>
            <w:tcBorders>
              <w:top w:val="single" w:sz="8" w:color="E5FFFF"/>
            </w:tcBorders>
            <w:shd w:val="clear" w:color="auto" w:fill="E5FFFF"/>
          </w:tcPr>
          <w:p>
            <w:pPr>
              <w:spacing w:after="0"/>
              <w:rPr>
                <w:sz w:val="15"/>
                <w:szCs w:val="15"/>
                <w:color w:val="auto"/>
              </w:rPr>
            </w:pPr>
          </w:p>
        </w:tc>
        <w:tc>
          <w:tcPr>
            <w:tcW w:w="40" w:type="dxa"/>
            <w:vAlign w:val="bottom"/>
            <w:tcBorders>
              <w:top w:val="single" w:sz="8" w:color="E5FFFF"/>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1280" w:type="dxa"/>
            <w:vAlign w:val="bottom"/>
            <w:tcBorders>
              <w:top w:val="single" w:sz="8" w:color="auto"/>
            </w:tcBorders>
            <w:shd w:val="clear" w:color="auto" w:fill="E5FFFF"/>
          </w:tcPr>
          <w:p>
            <w:pPr>
              <w:spacing w:after="0"/>
              <w:rPr>
                <w:sz w:val="15"/>
                <w:szCs w:val="15"/>
                <w:color w:val="auto"/>
              </w:rPr>
            </w:pPr>
          </w:p>
        </w:tc>
        <w:tc>
          <w:tcPr>
            <w:tcW w:w="40" w:type="dxa"/>
            <w:vAlign w:val="bottom"/>
            <w:tcBorders>
              <w:left w:val="single" w:sz="8" w:color="E5FF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220" w:type="dxa"/>
            <w:vAlign w:val="bottom"/>
            <w:gridSpan w:val="2"/>
            <w:shd w:val="clear" w:color="auto" w:fill="E5FFFF"/>
          </w:tcPr>
          <w:p>
            <w:pPr>
              <w:ind w:left="140"/>
              <w:spacing w:after="0"/>
              <w:rPr>
                <w:sz w:val="20"/>
                <w:szCs w:val="20"/>
                <w:color w:val="auto"/>
              </w:rPr>
            </w:pPr>
            <w:r>
              <w:rPr>
                <w:rFonts w:ascii="Arial" w:cs="Arial" w:eastAsia="Arial" w:hAnsi="Arial"/>
                <w:sz w:val="16"/>
                <w:szCs w:val="16"/>
                <w:color w:val="auto"/>
              </w:rPr>
              <w:t>January 1, 2019</w:t>
            </w:r>
          </w:p>
        </w:tc>
        <w:tc>
          <w:tcPr>
            <w:tcW w:w="9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w w:val="98"/>
              </w:rPr>
              <w:t>1,365,800</w:t>
            </w:r>
          </w:p>
        </w:tc>
        <w:tc>
          <w:tcPr>
            <w:tcW w:w="40" w:type="dxa"/>
            <w:vAlign w:val="bottom"/>
            <w:shd w:val="clear" w:color="auto" w:fill="E5FFFF"/>
          </w:tcPr>
          <w:p>
            <w:pPr>
              <w:spacing w:after="0"/>
              <w:rPr>
                <w:sz w:val="18"/>
                <w:szCs w:val="18"/>
                <w:color w:val="auto"/>
              </w:rPr>
            </w:pPr>
          </w:p>
        </w:tc>
        <w:tc>
          <w:tcPr>
            <w:tcW w:w="16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shd w:val="clear" w:color="auto" w:fill="E5FFFF"/>
          </w:tcPr>
          <w:p>
            <w:pPr>
              <w:spacing w:after="0"/>
              <w:rPr>
                <w:sz w:val="18"/>
                <w:szCs w:val="18"/>
                <w:color w:val="auto"/>
              </w:rPr>
            </w:pPr>
          </w:p>
        </w:tc>
        <w:tc>
          <w:tcPr>
            <w:tcW w:w="162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E5FFFF"/>
          </w:tcPr>
          <w:p>
            <w:pPr>
              <w:spacing w:after="0"/>
              <w:rPr>
                <w:sz w:val="18"/>
                <w:szCs w:val="18"/>
                <w:color w:val="auto"/>
              </w:rPr>
            </w:pPr>
          </w:p>
        </w:tc>
        <w:tc>
          <w:tcPr>
            <w:tcW w:w="170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1,365,800</w:t>
            </w:r>
          </w:p>
        </w:tc>
        <w:tc>
          <w:tcPr>
            <w:tcW w:w="40" w:type="dxa"/>
            <w:vAlign w:val="bottom"/>
            <w:tcBorders>
              <w:left w:val="single" w:sz="8" w:color="E5FF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auto"/>
              </w:rPr>
              <w:t>Borrowings drawdowns</w:t>
            </w:r>
          </w:p>
        </w:tc>
        <w:tc>
          <w:tcPr>
            <w:tcW w:w="9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435,000</w:t>
            </w:r>
          </w:p>
        </w:tc>
        <w:tc>
          <w:tcPr>
            <w:tcW w:w="40" w:type="dxa"/>
            <w:vAlign w:val="bottom"/>
          </w:tcPr>
          <w:p>
            <w:pPr>
              <w:spacing w:after="0"/>
              <w:rPr>
                <w:sz w:val="17"/>
                <w:szCs w:val="17"/>
                <w:color w:val="auto"/>
              </w:rPr>
            </w:pPr>
          </w:p>
        </w:tc>
        <w:tc>
          <w:tcPr>
            <w:tcW w:w="162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70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435,000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Borrowings repayments</w:t>
            </w:r>
          </w:p>
        </w:tc>
        <w:tc>
          <w:tcPr>
            <w:tcW w:w="980" w:type="dxa"/>
            <w:vAlign w:val="bottom"/>
            <w:gridSpan w:val="3"/>
            <w:shd w:val="clear" w:color="auto" w:fill="E5FFFF"/>
          </w:tcPr>
          <w:p>
            <w:pPr>
              <w:jc w:val="right"/>
              <w:ind w:right="26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(430,085)</w:t>
            </w:r>
          </w:p>
        </w:tc>
        <w:tc>
          <w:tcPr>
            <w:tcW w:w="40" w:type="dxa"/>
            <w:vAlign w:val="bottom"/>
            <w:shd w:val="clear" w:color="auto" w:fill="E5FFFF"/>
          </w:tcPr>
          <w:p>
            <w:pPr>
              <w:spacing w:after="0"/>
              <w:rPr>
                <w:sz w:val="17"/>
                <w:szCs w:val="17"/>
                <w:color w:val="auto"/>
              </w:rPr>
            </w:pPr>
          </w:p>
        </w:tc>
        <w:tc>
          <w:tcPr>
            <w:tcW w:w="162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(430,085)</w:t>
            </w:r>
          </w:p>
        </w:tc>
        <w:tc>
          <w:tcPr>
            <w:tcW w:w="40" w:type="dxa"/>
            <w:vAlign w:val="bottom"/>
            <w:tcBorders>
              <w:left w:val="single" w:sz="8" w:color="E5FF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auto"/>
              </w:rPr>
              <w:t>Additions in deferred loan fees</w:t>
            </w:r>
          </w:p>
        </w:tc>
        <w:tc>
          <w:tcPr>
            <w:tcW w:w="9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(5,185)</w:t>
            </w:r>
          </w:p>
        </w:tc>
        <w:tc>
          <w:tcPr>
            <w:tcW w:w="1640" w:type="dxa"/>
            <w:vAlign w:val="bottom"/>
            <w:gridSpan w:val="4"/>
          </w:tcPr>
          <w:p>
            <w:pPr>
              <w:jc w:val="right"/>
              <w:ind w:right="155"/>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7"/>
                <w:szCs w:val="17"/>
                <w:color w:val="auto"/>
              </w:rPr>
            </w:pPr>
          </w:p>
        </w:tc>
        <w:tc>
          <w:tcPr>
            <w:tcW w:w="1680" w:type="dxa"/>
            <w:vAlign w:val="bottom"/>
            <w:gridSpan w:val="4"/>
          </w:tcPr>
          <w:p>
            <w:pPr>
              <w:jc w:val="right"/>
              <w:ind w:right="140"/>
              <w:spacing w:after="0"/>
              <w:rPr>
                <w:sz w:val="20"/>
                <w:szCs w:val="20"/>
                <w:color w:val="auto"/>
              </w:rPr>
            </w:pPr>
            <w:r>
              <w:rPr>
                <w:rFonts w:ascii="Arial" w:cs="Arial" w:eastAsia="Arial" w:hAnsi="Arial"/>
                <w:sz w:val="16"/>
                <w:szCs w:val="16"/>
                <w:color w:val="auto"/>
              </w:rPr>
              <w:t>(50)</w:t>
            </w:r>
          </w:p>
        </w:tc>
        <w:tc>
          <w:tcPr>
            <w:tcW w:w="4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(5,252)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Amortization and write-off of</w:t>
            </w:r>
          </w:p>
        </w:tc>
        <w:tc>
          <w:tcPr>
            <w:tcW w:w="7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1380" w:type="dxa"/>
            <w:vAlign w:val="bottom"/>
            <w:tcBorders>
              <w:right w:val="single" w:sz="8" w:color="E5FFFF"/>
            </w:tcBorders>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c>
          <w:tcPr>
            <w:tcW w:w="40" w:type="dxa"/>
            <w:vAlign w:val="bottom"/>
            <w:tcBorders>
              <w:right w:val="single" w:sz="8" w:color="E5FFFF"/>
            </w:tcBorders>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420" w:type="dxa"/>
            <w:vAlign w:val="bottom"/>
            <w:shd w:val="clear" w:color="auto" w:fill="E5FFFF"/>
          </w:tcPr>
          <w:p>
            <w:pPr>
              <w:spacing w:after="0"/>
              <w:rPr>
                <w:sz w:val="16"/>
                <w:szCs w:val="16"/>
                <w:color w:val="auto"/>
              </w:rPr>
            </w:pPr>
          </w:p>
        </w:tc>
        <w:tc>
          <w:tcPr>
            <w:tcW w:w="60" w:type="dxa"/>
            <w:vAlign w:val="bottom"/>
            <w:tcBorders>
              <w:right w:val="single" w:sz="8" w:color="E5FFFF"/>
            </w:tcBorders>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280" w:type="dxa"/>
            <w:vAlign w:val="bottom"/>
            <w:shd w:val="clear" w:color="auto" w:fill="E5FFFF"/>
          </w:tcPr>
          <w:p>
            <w:pPr>
              <w:spacing w:after="0"/>
              <w:rPr>
                <w:sz w:val="16"/>
                <w:szCs w:val="16"/>
                <w:color w:val="auto"/>
              </w:rPr>
            </w:pPr>
          </w:p>
        </w:tc>
        <w:tc>
          <w:tcPr>
            <w:tcW w:w="40" w:type="dxa"/>
            <w:vAlign w:val="bottom"/>
            <w:tcBorders>
              <w:left w:val="single" w:sz="8" w:color="E5FFFF"/>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deferred loan issuance costs</w:t>
            </w:r>
          </w:p>
        </w:tc>
        <w:tc>
          <w:tcPr>
            <w:tcW w:w="7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380" w:type="dxa"/>
            <w:vAlign w:val="bottom"/>
            <w:tcBorders>
              <w:right w:val="single" w:sz="8" w:color="E5FFFF"/>
            </w:tcBorders>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40" w:type="dxa"/>
            <w:vAlign w:val="bottom"/>
            <w:tcBorders>
              <w:right w:val="single" w:sz="8" w:color="E5FFFF"/>
            </w:tcBorders>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20" w:type="dxa"/>
            <w:vAlign w:val="bottom"/>
            <w:shd w:val="clear" w:color="auto" w:fill="E5FFFF"/>
          </w:tcPr>
          <w:p>
            <w:pPr>
              <w:spacing w:after="0"/>
              <w:rPr>
                <w:sz w:val="17"/>
                <w:szCs w:val="17"/>
                <w:color w:val="auto"/>
              </w:rPr>
            </w:pPr>
          </w:p>
        </w:tc>
        <w:tc>
          <w:tcPr>
            <w:tcW w:w="60" w:type="dxa"/>
            <w:vAlign w:val="bottom"/>
            <w:tcBorders>
              <w:right w:val="single" w:sz="8" w:color="E5FFFF"/>
            </w:tcBorders>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40" w:type="dxa"/>
            <w:vAlign w:val="bottom"/>
            <w:tcBorders>
              <w:left w:val="single" w:sz="8" w:color="E5FF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(Note 13)</w:t>
            </w:r>
          </w:p>
        </w:tc>
        <w:tc>
          <w:tcPr>
            <w:tcW w:w="920" w:type="dxa"/>
            <w:vAlign w:val="bottom"/>
            <w:shd w:val="clear" w:color="auto" w:fill="E5FFFF"/>
          </w:tcPr>
          <w:p>
            <w:pPr>
              <w:spacing w:after="0"/>
              <w:rPr>
                <w:sz w:val="18"/>
                <w:szCs w:val="18"/>
                <w:color w:val="auto"/>
              </w:rPr>
            </w:pPr>
          </w:p>
        </w:tc>
        <w:tc>
          <w:tcPr>
            <w:tcW w:w="980" w:type="dxa"/>
            <w:vAlign w:val="bottom"/>
            <w:gridSpan w:val="3"/>
            <w:shd w:val="clear" w:color="auto" w:fill="E5FFFF"/>
          </w:tcPr>
          <w:p>
            <w:pPr>
              <w:jc w:val="right"/>
              <w:ind w:right="26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420" w:type="dxa"/>
            <w:vAlign w:val="bottom"/>
            <w:tcBorders>
              <w:right w:val="single" w:sz="8" w:color="E5FFFF"/>
            </w:tcBorders>
            <w:gridSpan w:val="3"/>
            <w:shd w:val="clear" w:color="auto" w:fill="E5FFFF"/>
          </w:tcPr>
          <w:p>
            <w:pPr>
              <w:jc w:val="right"/>
              <w:spacing w:after="0"/>
              <w:rPr>
                <w:sz w:val="20"/>
                <w:szCs w:val="20"/>
                <w:color w:val="auto"/>
              </w:rPr>
            </w:pPr>
            <w:r>
              <w:rPr>
                <w:rFonts w:ascii="Arial" w:cs="Arial" w:eastAsia="Arial" w:hAnsi="Arial"/>
                <w:sz w:val="16"/>
                <w:szCs w:val="16"/>
                <w:color w:val="auto"/>
              </w:rPr>
              <w:t>5,399</w:t>
            </w: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700" w:type="dxa"/>
            <w:vAlign w:val="bottom"/>
            <w:gridSpan w:val="4"/>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5,399</w:t>
            </w:r>
          </w:p>
        </w:tc>
        <w:tc>
          <w:tcPr>
            <w:tcW w:w="40" w:type="dxa"/>
            <w:vAlign w:val="bottom"/>
            <w:tcBorders>
              <w:left w:val="single" w:sz="8" w:color="E5FF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6"/>
                <w:szCs w:val="16"/>
                <w:b w:val="1"/>
                <w:bCs w:val="1"/>
                <w:color w:val="auto"/>
              </w:rPr>
              <w:t>Borrowings outstanding as of</w:t>
            </w:r>
          </w:p>
        </w:tc>
        <w:tc>
          <w:tcPr>
            <w:tcW w:w="9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w w:val="98"/>
              </w:rPr>
              <w:t>1,365,800</w:t>
            </w:r>
          </w:p>
        </w:tc>
        <w:tc>
          <w:tcPr>
            <w:tcW w:w="40" w:type="dxa"/>
            <w:vAlign w:val="bottom"/>
          </w:tcPr>
          <w:p>
            <w:pPr>
              <w:spacing w:after="0"/>
              <w:rPr>
                <w:sz w:val="14"/>
                <w:szCs w:val="14"/>
                <w:color w:val="auto"/>
              </w:rPr>
            </w:pPr>
          </w:p>
        </w:tc>
        <w:tc>
          <w:tcPr>
            <w:tcW w:w="16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(270)</w:t>
            </w:r>
          </w:p>
        </w:tc>
        <w:tc>
          <w:tcPr>
            <w:tcW w:w="14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5,382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vMerge w:val="restart"/>
          </w:tcPr>
          <w:p>
            <w:pPr>
              <w:jc w:val="right"/>
              <w:ind w:right="140"/>
              <w:spacing w:after="0"/>
              <w:rPr>
                <w:sz w:val="20"/>
                <w:szCs w:val="20"/>
                <w:color w:val="auto"/>
              </w:rPr>
            </w:pPr>
            <w:r>
              <w:rPr>
                <w:rFonts w:ascii="Arial" w:cs="Arial" w:eastAsia="Arial" w:hAnsi="Arial"/>
                <w:sz w:val="16"/>
                <w:szCs w:val="16"/>
                <w:b w:val="1"/>
                <w:bCs w:val="1"/>
                <w:color w:val="auto"/>
              </w:rPr>
              <w:t>(50)</w:t>
            </w:r>
          </w:p>
        </w:tc>
        <w:tc>
          <w:tcPr>
            <w:tcW w:w="40" w:type="dxa"/>
            <w:vAlign w:val="bottom"/>
          </w:tcPr>
          <w:p>
            <w:pPr>
              <w:spacing w:after="0"/>
              <w:rPr>
                <w:sz w:val="14"/>
                <w:szCs w:val="14"/>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1,370,862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140"/>
              <w:spacing w:after="0"/>
              <w:rPr>
                <w:sz w:val="20"/>
                <w:szCs w:val="20"/>
                <w:color w:val="auto"/>
              </w:rPr>
            </w:pPr>
            <w:r>
              <w:rPr>
                <w:rFonts w:ascii="Arial" w:cs="Arial" w:eastAsia="Arial" w:hAnsi="Arial"/>
                <w:sz w:val="16"/>
                <w:szCs w:val="16"/>
                <w:b w:val="1"/>
                <w:bCs w:val="1"/>
                <w:color w:val="auto"/>
              </w:rPr>
              <w:t>September 30, 2019</w:t>
            </w:r>
          </w:p>
        </w:tc>
        <w:tc>
          <w:tcPr>
            <w:tcW w:w="9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800" w:type="dxa"/>
            <w:vAlign w:val="bottom"/>
            <w:gridSpan w:val="7"/>
          </w:tcPr>
          <w:p>
            <w:pPr>
              <w:ind w:left="60"/>
              <w:spacing w:after="0"/>
              <w:rPr>
                <w:sz w:val="20"/>
                <w:szCs w:val="20"/>
                <w:color w:val="auto"/>
              </w:rPr>
            </w:pPr>
            <w:r>
              <w:rPr>
                <w:rFonts w:ascii="Arial" w:cs="Arial" w:eastAsia="Arial" w:hAnsi="Arial"/>
                <w:sz w:val="16"/>
                <w:szCs w:val="16"/>
                <w:color w:val="auto"/>
              </w:rPr>
              <w:t>A reconciliation of derivatives arising from financing activities is as follows: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89"/>
              </w:rPr>
              <w:t>Opening</w:t>
            </w: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0"/>
              </w:rPr>
              <w:t>balance</w:t>
            </w:r>
          </w:p>
        </w:tc>
        <w:tc>
          <w:tcPr>
            <w:tcW w:w="20" w:type="dxa"/>
            <w:vAlign w:val="bottom"/>
          </w:tcPr>
          <w:p>
            <w:pPr>
              <w:spacing w:after="0"/>
              <w:rPr>
                <w:sz w:val="18"/>
                <w:szCs w:val="18"/>
                <w:color w:val="auto"/>
              </w:rPr>
            </w:pPr>
          </w:p>
        </w:tc>
        <w:tc>
          <w:tcPr>
            <w:tcW w:w="1700" w:type="dxa"/>
            <w:vAlign w:val="bottom"/>
            <w:gridSpan w:val="4"/>
          </w:tcPr>
          <w:p>
            <w:pPr>
              <w:ind w:left="160"/>
              <w:spacing w:after="0"/>
              <w:rPr>
                <w:sz w:val="20"/>
                <w:szCs w:val="20"/>
                <w:color w:val="auto"/>
              </w:rPr>
            </w:pPr>
            <w:r>
              <w:rPr>
                <w:rFonts w:ascii="Arial" w:cs="Arial" w:eastAsia="Arial" w:hAnsi="Arial"/>
                <w:sz w:val="16"/>
                <w:szCs w:val="16"/>
                <w:b w:val="1"/>
                <w:bCs w:val="1"/>
                <w:color w:val="auto"/>
              </w:rPr>
              <w:t>Non-cash items</w:t>
            </w:r>
          </w:p>
        </w:tc>
        <w:tc>
          <w:tcPr>
            <w:tcW w:w="20" w:type="dxa"/>
            <w:vAlign w:val="bottom"/>
          </w:tcPr>
          <w:p>
            <w:pPr>
              <w:spacing w:after="0"/>
              <w:rPr>
                <w:sz w:val="18"/>
                <w:szCs w:val="18"/>
                <w:color w:val="auto"/>
              </w:rPr>
            </w:pPr>
          </w:p>
        </w:tc>
        <w:tc>
          <w:tcPr>
            <w:tcW w:w="1400" w:type="dxa"/>
            <w:vAlign w:val="bottom"/>
            <w:gridSpan w:val="4"/>
          </w:tcPr>
          <w:p>
            <w:pPr>
              <w:ind w:lef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322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Net derivative assets as of January 1, 2018</w:t>
            </w:r>
          </w:p>
        </w:tc>
        <w:tc>
          <w:tcPr>
            <w:tcW w:w="72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E5FFFF"/>
              <w:right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6,346</w:t>
            </w:r>
          </w:p>
        </w:tc>
        <w:tc>
          <w:tcPr>
            <w:tcW w:w="40" w:type="dxa"/>
            <w:vAlign w:val="bottom"/>
            <w:tcBorders>
              <w:top w:val="single" w:sz="8" w:color="E5FFFF"/>
              <w:right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4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E5FFFF"/>
            </w:tcBorders>
            <w:gridSpan w:val="2"/>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134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6,346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gridSpan w:val="5"/>
          </w:tcPr>
          <w:p>
            <w:pPr>
              <w:spacing w:after="0"/>
              <w:rPr>
                <w:sz w:val="20"/>
                <w:szCs w:val="20"/>
                <w:color w:val="auto"/>
              </w:rPr>
            </w:pPr>
            <w:r>
              <w:rPr>
                <w:rFonts w:ascii="Arial" w:cs="Arial" w:eastAsia="Arial" w:hAnsi="Arial"/>
                <w:sz w:val="16"/>
                <w:szCs w:val="16"/>
                <w:color w:val="auto"/>
                <w:w w:val="91"/>
              </w:rPr>
              <w:t>Unrealized gain on interest rate swaps held for trading (Note 13)</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60"/>
              <w:spacing w:after="0"/>
              <w:rPr>
                <w:sz w:val="20"/>
                <w:szCs w:val="20"/>
                <w:color w:val="auto"/>
              </w:rPr>
            </w:pPr>
            <w:r>
              <w:rPr>
                <w:rFonts w:ascii="Arial" w:cs="Arial" w:eastAsia="Arial" w:hAnsi="Arial"/>
                <w:sz w:val="16"/>
                <w:szCs w:val="16"/>
                <w:color w:val="auto"/>
              </w:rPr>
              <w:t>9,316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9,316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7"/>
            <w:shd w:val="clear" w:color="auto" w:fill="E5FFFF"/>
          </w:tcPr>
          <w:p>
            <w:pPr>
              <w:spacing w:after="0"/>
              <w:rPr>
                <w:sz w:val="20"/>
                <w:szCs w:val="20"/>
                <w:color w:val="auto"/>
              </w:rPr>
            </w:pPr>
            <w:r>
              <w:rPr>
                <w:rFonts w:ascii="Arial" w:cs="Arial" w:eastAsia="Arial" w:hAnsi="Arial"/>
                <w:sz w:val="16"/>
                <w:szCs w:val="16"/>
                <w:color w:val="auto"/>
              </w:rPr>
              <w:t>Unrealized loss on forward foreign exchange contracts held for trading (Note 13)</w:t>
            </w:r>
          </w:p>
        </w:tc>
        <w:tc>
          <w:tcPr>
            <w:tcW w:w="40" w:type="dxa"/>
            <w:vAlign w:val="bottom"/>
            <w:shd w:val="clear" w:color="auto" w:fill="E5FFFF"/>
          </w:tcPr>
          <w:p>
            <w:pPr>
              <w:spacing w:after="0"/>
              <w:rPr>
                <w:sz w:val="17"/>
                <w:szCs w:val="17"/>
                <w:color w:val="auto"/>
              </w:rPr>
            </w:pPr>
          </w:p>
        </w:tc>
        <w:tc>
          <w:tcPr>
            <w:tcW w:w="1620" w:type="dxa"/>
            <w:vAlign w:val="bottom"/>
            <w:gridSpan w:val="4"/>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E5FFFF"/>
            </w:tcBorders>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(292)</w:t>
            </w:r>
          </w:p>
        </w:tc>
        <w:tc>
          <w:tcPr>
            <w:tcW w:w="1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3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(292)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gridSpan w:val="2"/>
          </w:tcPr>
          <w:p>
            <w:pPr>
              <w:spacing w:after="0"/>
              <w:rPr>
                <w:sz w:val="20"/>
                <w:szCs w:val="20"/>
                <w:color w:val="auto"/>
              </w:rPr>
            </w:pPr>
            <w:r>
              <w:rPr>
                <w:rFonts w:ascii="Arial" w:cs="Arial" w:eastAsia="Arial" w:hAnsi="Arial"/>
                <w:sz w:val="16"/>
                <w:szCs w:val="16"/>
                <w:b w:val="1"/>
                <w:bCs w:val="1"/>
                <w:color w:val="auto"/>
                <w:w w:val="90"/>
              </w:rPr>
              <w:t>Net derivative assets as of September 30, 2018</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6,346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9,024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15,370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89"/>
              </w:rPr>
              <w:t>Opening</w:t>
            </w: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0"/>
              </w:rPr>
              <w:t>balance</w:t>
            </w:r>
          </w:p>
        </w:tc>
        <w:tc>
          <w:tcPr>
            <w:tcW w:w="20" w:type="dxa"/>
            <w:vAlign w:val="bottom"/>
          </w:tcPr>
          <w:p>
            <w:pPr>
              <w:spacing w:after="0"/>
              <w:rPr>
                <w:sz w:val="18"/>
                <w:szCs w:val="18"/>
                <w:color w:val="auto"/>
              </w:rPr>
            </w:pPr>
          </w:p>
        </w:tc>
        <w:tc>
          <w:tcPr>
            <w:tcW w:w="1700" w:type="dxa"/>
            <w:vAlign w:val="bottom"/>
            <w:gridSpan w:val="4"/>
          </w:tcPr>
          <w:p>
            <w:pPr>
              <w:ind w:left="160"/>
              <w:spacing w:after="0"/>
              <w:rPr>
                <w:sz w:val="20"/>
                <w:szCs w:val="20"/>
                <w:color w:val="auto"/>
              </w:rPr>
            </w:pPr>
            <w:r>
              <w:rPr>
                <w:rFonts w:ascii="Arial" w:cs="Arial" w:eastAsia="Arial" w:hAnsi="Arial"/>
                <w:sz w:val="16"/>
                <w:szCs w:val="16"/>
                <w:b w:val="1"/>
                <w:bCs w:val="1"/>
                <w:color w:val="auto"/>
              </w:rPr>
              <w:t>Non-cash items</w:t>
            </w:r>
          </w:p>
        </w:tc>
        <w:tc>
          <w:tcPr>
            <w:tcW w:w="20" w:type="dxa"/>
            <w:vAlign w:val="bottom"/>
          </w:tcPr>
          <w:p>
            <w:pPr>
              <w:spacing w:after="0"/>
              <w:rPr>
                <w:sz w:val="18"/>
                <w:szCs w:val="18"/>
                <w:color w:val="auto"/>
              </w:rPr>
            </w:pPr>
          </w:p>
        </w:tc>
        <w:tc>
          <w:tcPr>
            <w:tcW w:w="1400" w:type="dxa"/>
            <w:vAlign w:val="bottom"/>
            <w:gridSpan w:val="4"/>
          </w:tcPr>
          <w:p>
            <w:pPr>
              <w:ind w:lef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322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Net derivative assets as of January 1, 2019</w:t>
            </w:r>
          </w:p>
        </w:tc>
        <w:tc>
          <w:tcPr>
            <w:tcW w:w="72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E5FFFF"/>
              <w:right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4,935</w:t>
            </w:r>
          </w:p>
        </w:tc>
        <w:tc>
          <w:tcPr>
            <w:tcW w:w="40" w:type="dxa"/>
            <w:vAlign w:val="bottom"/>
            <w:tcBorders>
              <w:top w:val="single" w:sz="8" w:color="E5FFFF"/>
              <w:right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4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E5FFFF"/>
            </w:tcBorders>
            <w:gridSpan w:val="2"/>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134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gridSpan w:val="5"/>
          </w:tcPr>
          <w:p>
            <w:pPr>
              <w:spacing w:after="0"/>
              <w:rPr>
                <w:sz w:val="20"/>
                <w:szCs w:val="20"/>
                <w:color w:val="auto"/>
              </w:rPr>
            </w:pPr>
            <w:r>
              <w:rPr>
                <w:rFonts w:ascii="Arial" w:cs="Arial" w:eastAsia="Arial" w:hAnsi="Arial"/>
                <w:sz w:val="16"/>
                <w:szCs w:val="16"/>
                <w:color w:val="auto"/>
                <w:w w:val="92"/>
              </w:rPr>
              <w:t>Unrealized loss on interest rate swaps held for trading (Note 13)</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20"/>
              <w:spacing w:after="0"/>
              <w:rPr>
                <w:sz w:val="20"/>
                <w:szCs w:val="20"/>
                <w:color w:val="auto"/>
              </w:rPr>
            </w:pPr>
            <w:r>
              <w:rPr>
                <w:rFonts w:ascii="Arial" w:cs="Arial" w:eastAsia="Arial" w:hAnsi="Arial"/>
                <w:sz w:val="16"/>
                <w:szCs w:val="16"/>
                <w:color w:val="auto"/>
              </w:rPr>
              <w:t>(16,895)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(16,895)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7"/>
            <w:shd w:val="clear" w:color="auto" w:fill="E5FFFF"/>
          </w:tcPr>
          <w:p>
            <w:pPr>
              <w:spacing w:after="0"/>
              <w:rPr>
                <w:sz w:val="20"/>
                <w:szCs w:val="20"/>
                <w:color w:val="auto"/>
              </w:rPr>
            </w:pPr>
            <w:r>
              <w:rPr>
                <w:rFonts w:ascii="Arial" w:cs="Arial" w:eastAsia="Arial" w:hAnsi="Arial"/>
                <w:sz w:val="16"/>
                <w:szCs w:val="16"/>
                <w:color w:val="auto"/>
              </w:rPr>
              <w:t>Unrealized gain on forward foreign exchange contracts held for trading (Note 13)</w:t>
            </w:r>
          </w:p>
        </w:tc>
        <w:tc>
          <w:tcPr>
            <w:tcW w:w="40" w:type="dxa"/>
            <w:vAlign w:val="bottom"/>
            <w:shd w:val="clear" w:color="auto" w:fill="E5FFFF"/>
          </w:tcPr>
          <w:p>
            <w:pPr>
              <w:spacing w:after="0"/>
              <w:rPr>
                <w:sz w:val="17"/>
                <w:szCs w:val="17"/>
                <w:color w:val="auto"/>
              </w:rPr>
            </w:pPr>
          </w:p>
        </w:tc>
        <w:tc>
          <w:tcPr>
            <w:tcW w:w="1620" w:type="dxa"/>
            <w:vAlign w:val="bottom"/>
            <w:gridSpan w:val="4"/>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E5FFFF"/>
            </w:tcBorders>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197</w:t>
            </w:r>
          </w:p>
        </w:tc>
        <w:tc>
          <w:tcPr>
            <w:tcW w:w="1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3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197</w:t>
            </w:r>
          </w:p>
        </w:tc>
        <w:tc>
          <w:tcPr>
            <w:tcW w:w="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4200" w:type="dxa"/>
            <w:vAlign w:val="bottom"/>
            <w:gridSpan w:val="5"/>
          </w:tcPr>
          <w:p>
            <w:pPr>
              <w:spacing w:after="0"/>
              <w:rPr>
                <w:sz w:val="20"/>
                <w:szCs w:val="20"/>
                <w:color w:val="auto"/>
              </w:rPr>
            </w:pPr>
            <w:r>
              <w:rPr>
                <w:rFonts w:ascii="Arial" w:cs="Arial" w:eastAsia="Arial" w:hAnsi="Arial"/>
                <w:sz w:val="16"/>
                <w:szCs w:val="16"/>
                <w:b w:val="1"/>
                <w:bCs w:val="1"/>
                <w:color w:val="auto"/>
              </w:rPr>
              <w:t>Net derivative liabilities as of September 30, 2019</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4,935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(16,698)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(11,763</w:t>
            </w:r>
          </w:p>
        </w:tc>
        <w:tc>
          <w:tcPr>
            <w:tcW w:w="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6" w:right="319" w:bottom="1440" w:gutter="0" w:footer="0" w:header="0"/>
        </w:sectPr>
      </w:pPr>
    </w:p>
    <w:bookmarkStart w:id="40" w:name="page41"/>
    <w:bookmarkEnd w:id="40"/>
    <w:p>
      <w:pPr>
        <w:ind w:left="400"/>
        <w:spacing w:after="0"/>
        <w:rPr>
          <w:sz w:val="20"/>
          <w:szCs w:val="20"/>
          <w:color w:val="auto"/>
        </w:rPr>
      </w:pPr>
      <w:r>
        <w:rPr>
          <w:rFonts w:ascii="Arial" w:cs="Arial" w:eastAsia="Arial" w:hAnsi="Arial"/>
          <w:sz w:val="16"/>
          <w:szCs w:val="16"/>
          <w:color w:val="auto"/>
        </w:rPr>
        <w:t>A reconciliation of vessels arising from investing activities is as follows:</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Opening</w:t>
            </w: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39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balance</w:t>
            </w:r>
          </w:p>
        </w:tc>
        <w:tc>
          <w:tcPr>
            <w:tcW w:w="172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Cash flows</w:t>
            </w:r>
          </w:p>
        </w:tc>
        <w:tc>
          <w:tcPr>
            <w:tcW w:w="180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Non-cash items</w:t>
            </w:r>
          </w:p>
        </w:tc>
        <w:tc>
          <w:tcPr>
            <w:tcW w:w="142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w:t>
            </w:r>
          </w:p>
        </w:tc>
      </w:tr>
      <w:tr>
        <w:trPr>
          <w:trHeight w:val="199"/>
        </w:trPr>
        <w:tc>
          <w:tcPr>
            <w:tcW w:w="39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Vessels as of January 1, 2018</w:t>
            </w:r>
          </w:p>
        </w:tc>
        <w:tc>
          <w:tcPr>
            <w:tcW w:w="14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2,563,122</w:t>
            </w:r>
          </w:p>
        </w:tc>
        <w:tc>
          <w:tcPr>
            <w:tcW w:w="26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2,563,122</w:t>
            </w:r>
          </w:p>
        </w:tc>
        <w:tc>
          <w:tcPr>
            <w:tcW w:w="60" w:type="dxa"/>
            <w:vAlign w:val="bottom"/>
          </w:tcPr>
          <w:p>
            <w:pPr>
              <w:spacing w:after="0"/>
              <w:rPr>
                <w:sz w:val="17"/>
                <w:szCs w:val="17"/>
                <w:color w:val="auto"/>
              </w:rPr>
            </w:pP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rPr>
              <w:t>Additions</w:t>
            </w:r>
          </w:p>
        </w:tc>
        <w:tc>
          <w:tcPr>
            <w:tcW w:w="1700" w:type="dxa"/>
            <w:vAlign w:val="bottom"/>
            <w:gridSpan w:val="2"/>
          </w:tcPr>
          <w:p>
            <w:pPr>
              <w:ind w:left="128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17,725</w:t>
            </w:r>
          </w:p>
        </w:tc>
        <w:tc>
          <w:tcPr>
            <w:tcW w:w="260" w:type="dxa"/>
            <w:vAlign w:val="bottom"/>
          </w:tcPr>
          <w:p>
            <w:pPr>
              <w:spacing w:after="0"/>
              <w:rPr>
                <w:sz w:val="17"/>
                <w:szCs w:val="17"/>
                <w:color w:val="auto"/>
              </w:rPr>
            </w:pPr>
          </w:p>
        </w:tc>
        <w:tc>
          <w:tcPr>
            <w:tcW w:w="1800" w:type="dxa"/>
            <w:vAlign w:val="bottom"/>
            <w:gridSpan w:val="2"/>
          </w:tcPr>
          <w:p>
            <w:pPr>
              <w:jc w:val="right"/>
              <w:ind w:right="199"/>
              <w:spacing w:after="0"/>
              <w:rPr>
                <w:sz w:val="20"/>
                <w:szCs w:val="20"/>
                <w:color w:val="auto"/>
              </w:rPr>
            </w:pPr>
            <w:r>
              <w:rPr>
                <w:rFonts w:ascii="Arial" w:cs="Arial" w:eastAsia="Arial" w:hAnsi="Arial"/>
                <w:sz w:val="16"/>
                <w:szCs w:val="16"/>
                <w:color w:val="auto"/>
              </w:rPr>
              <w:t>12,585</w:t>
            </w:r>
          </w:p>
        </w:tc>
        <w:tc>
          <w:tcPr>
            <w:tcW w:w="1360" w:type="dxa"/>
            <w:vAlign w:val="bottom"/>
          </w:tcPr>
          <w:p>
            <w:pPr>
              <w:jc w:val="right"/>
              <w:spacing w:after="0"/>
              <w:rPr>
                <w:sz w:val="20"/>
                <w:szCs w:val="20"/>
                <w:color w:val="auto"/>
              </w:rPr>
            </w:pPr>
            <w:r>
              <w:rPr>
                <w:rFonts w:ascii="Arial" w:cs="Arial" w:eastAsia="Arial" w:hAnsi="Arial"/>
                <w:sz w:val="16"/>
                <w:szCs w:val="16"/>
                <w:color w:val="auto"/>
              </w:rPr>
              <w:t>30,310</w:t>
            </w:r>
          </w:p>
        </w:tc>
        <w:tc>
          <w:tcPr>
            <w:tcW w:w="60" w:type="dxa"/>
            <w:vAlign w:val="bottom"/>
          </w:tcPr>
          <w:p>
            <w:pPr>
              <w:spacing w:after="0"/>
              <w:rPr>
                <w:sz w:val="17"/>
                <w:szCs w:val="17"/>
                <w:color w:val="auto"/>
              </w:rPr>
            </w:pPr>
          </w:p>
        </w:tc>
      </w:tr>
      <w:tr>
        <w:trPr>
          <w:trHeight w:val="203"/>
        </w:trPr>
        <w:tc>
          <w:tcPr>
            <w:tcW w:w="3920" w:type="dxa"/>
            <w:vAlign w:val="bottom"/>
            <w:shd w:val="clear" w:color="auto" w:fill="E5FFFF"/>
          </w:tcPr>
          <w:p>
            <w:pPr>
              <w:spacing w:after="0"/>
              <w:rPr>
                <w:sz w:val="20"/>
                <w:szCs w:val="20"/>
                <w:color w:val="auto"/>
              </w:rPr>
            </w:pPr>
            <w:r>
              <w:rPr>
                <w:rFonts w:ascii="Arial" w:cs="Arial" w:eastAsia="Arial" w:hAnsi="Arial"/>
                <w:sz w:val="16"/>
                <w:szCs w:val="16"/>
                <w:color w:val="auto"/>
              </w:rPr>
              <w:t>Depreciation expense</w:t>
            </w:r>
          </w:p>
        </w:tc>
        <w:tc>
          <w:tcPr>
            <w:tcW w:w="1700" w:type="dxa"/>
            <w:vAlign w:val="bottom"/>
            <w:gridSpan w:val="2"/>
            <w:shd w:val="clear" w:color="auto" w:fill="E5FFFF"/>
          </w:tcPr>
          <w:p>
            <w:pPr>
              <w:ind w:left="128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(65,458)</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(65,458)</w:t>
            </w:r>
          </w:p>
        </w:tc>
        <w:tc>
          <w:tcPr>
            <w:tcW w:w="60" w:type="dxa"/>
            <w:vAlign w:val="bottom"/>
          </w:tcPr>
          <w:p>
            <w:pPr>
              <w:spacing w:after="0"/>
              <w:rPr>
                <w:sz w:val="17"/>
                <w:szCs w:val="17"/>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6"/>
                <w:szCs w:val="16"/>
                <w:b w:val="1"/>
                <w:bCs w:val="1"/>
                <w:color w:val="auto"/>
              </w:rPr>
              <w:t>Vessels as of September 30, 2018</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2,563,122</w:t>
            </w:r>
          </w:p>
        </w:tc>
        <w:tc>
          <w:tcPr>
            <w:tcW w:w="26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17,725</w:t>
            </w:r>
          </w:p>
        </w:tc>
        <w:tc>
          <w:tcPr>
            <w:tcW w:w="26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(52,873</w:t>
            </w:r>
          </w:p>
        </w:tc>
        <w:tc>
          <w:tcPr>
            <w:tcW w:w="240" w:type="dxa"/>
            <w:vAlign w:val="bottom"/>
          </w:tcPr>
          <w:p>
            <w:pPr>
              <w:jc w:val="right"/>
              <w:ind w:right="159"/>
              <w:spacing w:after="0"/>
              <w:rPr>
                <w:sz w:val="20"/>
                <w:szCs w:val="20"/>
                <w:color w:val="auto"/>
              </w:rPr>
            </w:pPr>
            <w:r>
              <w:rPr>
                <w:rFonts w:ascii="Arial" w:cs="Arial" w:eastAsia="Arial" w:hAnsi="Arial"/>
                <w:sz w:val="8"/>
                <w:szCs w:val="8"/>
                <w:b w:val="1"/>
                <w:bCs w:val="1"/>
                <w:color w:val="auto"/>
                <w:w w:val="7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2,527,974</w:t>
            </w:r>
          </w:p>
        </w:tc>
        <w:tc>
          <w:tcPr>
            <w:tcW w:w="6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3920" w:type="dxa"/>
            <w:vAlign w:val="bottom"/>
          </w:tcPr>
          <w:p>
            <w:pPr>
              <w:spacing w:after="0"/>
              <w:rPr>
                <w:sz w:val="24"/>
                <w:szCs w:val="2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Opening</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3"/>
        </w:trPr>
        <w:tc>
          <w:tcPr>
            <w:tcW w:w="39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balance</w:t>
            </w:r>
          </w:p>
        </w:tc>
        <w:tc>
          <w:tcPr>
            <w:tcW w:w="172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Cash flows</w:t>
            </w:r>
          </w:p>
        </w:tc>
        <w:tc>
          <w:tcPr>
            <w:tcW w:w="180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Non-cash items</w:t>
            </w:r>
          </w:p>
        </w:tc>
        <w:tc>
          <w:tcPr>
            <w:tcW w:w="142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w:t>
            </w:r>
          </w:p>
        </w:tc>
      </w:tr>
      <w:tr>
        <w:trPr>
          <w:trHeight w:val="199"/>
        </w:trPr>
        <w:tc>
          <w:tcPr>
            <w:tcW w:w="39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Vessels as of January 1, 2019</w:t>
            </w:r>
          </w:p>
        </w:tc>
        <w:tc>
          <w:tcPr>
            <w:tcW w:w="14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2,509,283</w:t>
            </w:r>
          </w:p>
        </w:tc>
        <w:tc>
          <w:tcPr>
            <w:tcW w:w="26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2,509,283</w:t>
            </w:r>
          </w:p>
        </w:tc>
        <w:tc>
          <w:tcPr>
            <w:tcW w:w="60" w:type="dxa"/>
            <w:vAlign w:val="bottom"/>
          </w:tcPr>
          <w:p>
            <w:pPr>
              <w:spacing w:after="0"/>
              <w:rPr>
                <w:sz w:val="17"/>
                <w:szCs w:val="17"/>
                <w:color w:val="auto"/>
              </w:rPr>
            </w:pP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rPr>
              <w:t>Additions (Note 4)</w:t>
            </w:r>
          </w:p>
        </w:tc>
        <w:tc>
          <w:tcPr>
            <w:tcW w:w="1700" w:type="dxa"/>
            <w:vAlign w:val="bottom"/>
            <w:gridSpan w:val="2"/>
          </w:tcPr>
          <w:p>
            <w:pPr>
              <w:ind w:left="128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8,637</w:t>
            </w:r>
          </w:p>
        </w:tc>
        <w:tc>
          <w:tcPr>
            <w:tcW w:w="260" w:type="dxa"/>
            <w:vAlign w:val="bottom"/>
          </w:tcPr>
          <w:p>
            <w:pPr>
              <w:spacing w:after="0"/>
              <w:rPr>
                <w:sz w:val="17"/>
                <w:szCs w:val="17"/>
                <w:color w:val="auto"/>
              </w:rPr>
            </w:pPr>
          </w:p>
        </w:tc>
        <w:tc>
          <w:tcPr>
            <w:tcW w:w="1800" w:type="dxa"/>
            <w:vAlign w:val="bottom"/>
            <w:gridSpan w:val="2"/>
          </w:tcPr>
          <w:p>
            <w:pPr>
              <w:jc w:val="right"/>
              <w:ind w:right="159"/>
              <w:spacing w:after="0"/>
              <w:rPr>
                <w:sz w:val="20"/>
                <w:szCs w:val="20"/>
                <w:color w:val="auto"/>
              </w:rPr>
            </w:pPr>
            <w:r>
              <w:rPr>
                <w:rFonts w:ascii="Arial" w:cs="Arial" w:eastAsia="Arial" w:hAnsi="Arial"/>
                <w:sz w:val="16"/>
                <w:szCs w:val="16"/>
                <w:color w:val="auto"/>
              </w:rPr>
              <w:t>(3,186)</w:t>
            </w:r>
          </w:p>
        </w:tc>
        <w:tc>
          <w:tcPr>
            <w:tcW w:w="1360" w:type="dxa"/>
            <w:vAlign w:val="bottom"/>
          </w:tcPr>
          <w:p>
            <w:pPr>
              <w:jc w:val="right"/>
              <w:spacing w:after="0"/>
              <w:rPr>
                <w:sz w:val="20"/>
                <w:szCs w:val="20"/>
                <w:color w:val="auto"/>
              </w:rPr>
            </w:pPr>
            <w:r>
              <w:rPr>
                <w:rFonts w:ascii="Arial" w:cs="Arial" w:eastAsia="Arial" w:hAnsi="Arial"/>
                <w:sz w:val="16"/>
                <w:szCs w:val="16"/>
                <w:color w:val="auto"/>
              </w:rPr>
              <w:t>5,451</w:t>
            </w:r>
          </w:p>
        </w:tc>
        <w:tc>
          <w:tcPr>
            <w:tcW w:w="60" w:type="dxa"/>
            <w:vAlign w:val="bottom"/>
          </w:tcPr>
          <w:p>
            <w:pPr>
              <w:spacing w:after="0"/>
              <w:rPr>
                <w:sz w:val="17"/>
                <w:szCs w:val="17"/>
                <w:color w:val="auto"/>
              </w:rPr>
            </w:pPr>
          </w:p>
        </w:tc>
      </w:tr>
      <w:tr>
        <w:trPr>
          <w:trHeight w:val="203"/>
        </w:trPr>
        <w:tc>
          <w:tcPr>
            <w:tcW w:w="3920" w:type="dxa"/>
            <w:vAlign w:val="bottom"/>
            <w:shd w:val="clear" w:color="auto" w:fill="E5FFFF"/>
          </w:tcPr>
          <w:p>
            <w:pPr>
              <w:spacing w:after="0"/>
              <w:rPr>
                <w:sz w:val="20"/>
                <w:szCs w:val="20"/>
                <w:color w:val="auto"/>
              </w:rPr>
            </w:pPr>
            <w:r>
              <w:rPr>
                <w:rFonts w:ascii="Arial" w:cs="Arial" w:eastAsia="Arial" w:hAnsi="Arial"/>
                <w:sz w:val="16"/>
                <w:szCs w:val="16"/>
                <w:color w:val="auto"/>
              </w:rPr>
              <w:t>Return of capital expenditures (Note 4)</w:t>
            </w:r>
          </w:p>
        </w:tc>
        <w:tc>
          <w:tcPr>
            <w:tcW w:w="1700" w:type="dxa"/>
            <w:vAlign w:val="bottom"/>
            <w:gridSpan w:val="2"/>
            <w:shd w:val="clear" w:color="auto" w:fill="E5FFFF"/>
          </w:tcPr>
          <w:p>
            <w:pPr>
              <w:ind w:left="128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E5FFFF"/>
          </w:tcPr>
          <w:p>
            <w:pPr>
              <w:jc w:val="right"/>
              <w:ind w:right="119"/>
              <w:spacing w:after="0"/>
              <w:rPr>
                <w:sz w:val="20"/>
                <w:szCs w:val="20"/>
                <w:color w:val="auto"/>
              </w:rPr>
            </w:pPr>
            <w:r>
              <w:rPr>
                <w:rFonts w:ascii="Arial" w:cs="Arial" w:eastAsia="Arial" w:hAnsi="Arial"/>
                <w:sz w:val="16"/>
                <w:szCs w:val="16"/>
                <w:color w:val="auto"/>
              </w:rPr>
              <w:t>(7,465)</w:t>
            </w:r>
          </w:p>
        </w:tc>
        <w:tc>
          <w:tcPr>
            <w:tcW w:w="180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(542)</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(8,007)</w:t>
            </w:r>
          </w:p>
        </w:tc>
        <w:tc>
          <w:tcPr>
            <w:tcW w:w="60" w:type="dxa"/>
            <w:vAlign w:val="bottom"/>
          </w:tcPr>
          <w:p>
            <w:pPr>
              <w:spacing w:after="0"/>
              <w:rPr>
                <w:sz w:val="17"/>
                <w:szCs w:val="17"/>
                <w:color w:val="auto"/>
              </w:rPr>
            </w:pP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rPr>
              <w:t>Depreciation expense (Note 4)</w:t>
            </w:r>
          </w:p>
        </w:tc>
        <w:tc>
          <w:tcPr>
            <w:tcW w:w="1700" w:type="dxa"/>
            <w:vAlign w:val="bottom"/>
            <w:gridSpan w:val="2"/>
          </w:tcPr>
          <w:p>
            <w:pPr>
              <w:ind w:left="128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159"/>
              <w:spacing w:after="0"/>
              <w:rPr>
                <w:sz w:val="20"/>
                <w:szCs w:val="20"/>
                <w:color w:val="auto"/>
              </w:rPr>
            </w:pPr>
            <w:r>
              <w:rPr>
                <w:rFonts w:ascii="Arial" w:cs="Arial" w:eastAsia="Arial" w:hAnsi="Arial"/>
                <w:sz w:val="16"/>
                <w:szCs w:val="16"/>
                <w:color w:val="auto"/>
              </w:rPr>
              <w:t>(66,413)</w:t>
            </w:r>
          </w:p>
        </w:tc>
        <w:tc>
          <w:tcPr>
            <w:tcW w:w="1360" w:type="dxa"/>
            <w:vAlign w:val="bottom"/>
          </w:tcPr>
          <w:p>
            <w:pPr>
              <w:jc w:val="right"/>
              <w:spacing w:after="0"/>
              <w:rPr>
                <w:sz w:val="20"/>
                <w:szCs w:val="20"/>
                <w:color w:val="auto"/>
              </w:rPr>
            </w:pPr>
            <w:r>
              <w:rPr>
                <w:rFonts w:ascii="Arial" w:cs="Arial" w:eastAsia="Arial" w:hAnsi="Arial"/>
                <w:sz w:val="16"/>
                <w:szCs w:val="16"/>
                <w:color w:val="auto"/>
              </w:rPr>
              <w:t>(66,413)</w:t>
            </w:r>
          </w:p>
        </w:tc>
        <w:tc>
          <w:tcPr>
            <w:tcW w:w="60" w:type="dxa"/>
            <w:vAlign w:val="bottom"/>
          </w:tcPr>
          <w:p>
            <w:pPr>
              <w:spacing w:after="0"/>
              <w:rPr>
                <w:sz w:val="17"/>
                <w:szCs w:val="17"/>
                <w:color w:val="auto"/>
              </w:rPr>
            </w:pPr>
          </w:p>
        </w:tc>
      </w:tr>
      <w:tr>
        <w:trPr>
          <w:trHeight w:val="210"/>
        </w:trPr>
        <w:tc>
          <w:tcPr>
            <w:tcW w:w="39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Vessels as of September 30, 2019</w:t>
            </w: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2,509,283</w:t>
            </w:r>
          </w:p>
        </w:tc>
        <w:tc>
          <w:tcPr>
            <w:tcW w:w="260" w:type="dxa"/>
            <w:vAlign w:val="bottom"/>
            <w:tcBorders>
              <w:top w:val="single" w:sz="8" w:color="E5FFFF"/>
              <w:bottom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1,172</w:t>
            </w:r>
          </w:p>
        </w:tc>
        <w:tc>
          <w:tcPr>
            <w:tcW w:w="260" w:type="dxa"/>
            <w:vAlign w:val="bottom"/>
            <w:tcBorders>
              <w:top w:val="single" w:sz="8" w:color="E5FFFF"/>
              <w:bottom w:val="single" w:sz="8" w:color="E5FFFF"/>
            </w:tcBorders>
            <w:shd w:val="clear" w:color="auto" w:fill="E5FFFF"/>
          </w:tcPr>
          <w:p>
            <w:pPr>
              <w:spacing w:after="0"/>
              <w:rPr>
                <w:sz w:val="18"/>
                <w:szCs w:val="18"/>
                <w:color w:val="auto"/>
              </w:rPr>
            </w:pP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(70,141</w:t>
            </w:r>
          </w:p>
        </w:tc>
        <w:tc>
          <w:tcPr>
            <w:tcW w:w="240" w:type="dxa"/>
            <w:vAlign w:val="bottom"/>
            <w:tcBorders>
              <w:top w:val="single" w:sz="8" w:color="E5FFFF"/>
              <w:bottom w:val="single" w:sz="8" w:color="E5FFFF"/>
            </w:tcBorders>
            <w:shd w:val="clear" w:color="auto" w:fill="E5FFFF"/>
          </w:tcPr>
          <w:p>
            <w:pPr>
              <w:jc w:val="right"/>
              <w:ind w:right="159"/>
              <w:spacing w:after="0"/>
              <w:rPr>
                <w:sz w:val="20"/>
                <w:szCs w:val="20"/>
                <w:color w:val="auto"/>
              </w:rPr>
            </w:pPr>
            <w:r>
              <w:rPr>
                <w:rFonts w:ascii="Arial" w:cs="Arial" w:eastAsia="Arial" w:hAnsi="Arial"/>
                <w:sz w:val="8"/>
                <w:szCs w:val="8"/>
                <w:b w:val="1"/>
                <w:bCs w:val="1"/>
                <w:color w:val="auto"/>
                <w:w w:val="73"/>
              </w:rPr>
              <w:t>)</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2,440,314</w:t>
            </w:r>
          </w:p>
        </w:tc>
        <w:tc>
          <w:tcPr>
            <w:tcW w:w="6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3"/>
        </w:trPr>
        <w:tc>
          <w:tcPr>
            <w:tcW w:w="5620" w:type="dxa"/>
            <w:vAlign w:val="bottom"/>
            <w:gridSpan w:val="3"/>
          </w:tcPr>
          <w:p>
            <w:pPr>
              <w:ind w:left="60"/>
              <w:spacing w:after="0"/>
              <w:rPr>
                <w:sz w:val="20"/>
                <w:szCs w:val="20"/>
                <w:color w:val="auto"/>
              </w:rPr>
            </w:pPr>
            <w:r>
              <w:rPr>
                <w:rFonts w:ascii="Arial" w:cs="Arial" w:eastAsia="Arial" w:hAnsi="Arial"/>
                <w:sz w:val="16"/>
                <w:szCs w:val="16"/>
                <w:color w:val="auto"/>
              </w:rPr>
              <w:t>A reconciliation of lease liabilities arising from financing activities is as follows:</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3920" w:type="dxa"/>
            <w:vAlign w:val="bottom"/>
          </w:tcPr>
          <w:p>
            <w:pPr>
              <w:spacing w:after="0"/>
              <w:rPr>
                <w:sz w:val="24"/>
                <w:szCs w:val="2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Opening</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3"/>
        </w:trPr>
        <w:tc>
          <w:tcPr>
            <w:tcW w:w="39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balance</w:t>
            </w:r>
          </w:p>
        </w:tc>
        <w:tc>
          <w:tcPr>
            <w:tcW w:w="172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Cash flows</w:t>
            </w:r>
          </w:p>
        </w:tc>
        <w:tc>
          <w:tcPr>
            <w:tcW w:w="180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Non-cash items</w:t>
            </w:r>
          </w:p>
        </w:tc>
        <w:tc>
          <w:tcPr>
            <w:tcW w:w="142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w:t>
            </w:r>
          </w:p>
        </w:tc>
      </w:tr>
      <w:tr>
        <w:trPr>
          <w:trHeight w:val="199"/>
        </w:trPr>
        <w:tc>
          <w:tcPr>
            <w:tcW w:w="39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Lease liabilities as of January 1, 2019</w:t>
            </w:r>
          </w:p>
        </w:tc>
        <w:tc>
          <w:tcPr>
            <w:tcW w:w="14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1,393</w:t>
            </w:r>
          </w:p>
        </w:tc>
        <w:tc>
          <w:tcPr>
            <w:tcW w:w="26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1,393</w:t>
            </w:r>
          </w:p>
        </w:tc>
        <w:tc>
          <w:tcPr>
            <w:tcW w:w="60" w:type="dxa"/>
            <w:vAlign w:val="bottom"/>
          </w:tcPr>
          <w:p>
            <w:pPr>
              <w:spacing w:after="0"/>
              <w:rPr>
                <w:sz w:val="17"/>
                <w:szCs w:val="17"/>
                <w:color w:val="auto"/>
              </w:rPr>
            </w:pP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rPr>
              <w:t>Lease expense (Note 5)</w:t>
            </w:r>
          </w:p>
        </w:tc>
        <w:tc>
          <w:tcPr>
            <w:tcW w:w="1700" w:type="dxa"/>
            <w:vAlign w:val="bottom"/>
            <w:gridSpan w:val="2"/>
          </w:tcPr>
          <w:p>
            <w:pPr>
              <w:ind w:left="128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199"/>
              <w:spacing w:after="0"/>
              <w:rPr>
                <w:sz w:val="20"/>
                <w:szCs w:val="20"/>
                <w:color w:val="auto"/>
              </w:rPr>
            </w:pPr>
            <w:r>
              <w:rPr>
                <w:rFonts w:ascii="Arial" w:cs="Arial" w:eastAsia="Arial" w:hAnsi="Arial"/>
                <w:sz w:val="16"/>
                <w:szCs w:val="16"/>
                <w:color w:val="auto"/>
              </w:rPr>
              <w:t>44</w:t>
            </w:r>
          </w:p>
        </w:tc>
        <w:tc>
          <w:tcPr>
            <w:tcW w:w="1360" w:type="dxa"/>
            <w:vAlign w:val="bottom"/>
          </w:tcPr>
          <w:p>
            <w:pPr>
              <w:jc w:val="right"/>
              <w:spacing w:after="0"/>
              <w:rPr>
                <w:sz w:val="20"/>
                <w:szCs w:val="20"/>
                <w:color w:val="auto"/>
              </w:rPr>
            </w:pPr>
            <w:r>
              <w:rPr>
                <w:rFonts w:ascii="Arial" w:cs="Arial" w:eastAsia="Arial" w:hAnsi="Arial"/>
                <w:sz w:val="16"/>
                <w:szCs w:val="16"/>
                <w:color w:val="auto"/>
              </w:rPr>
              <w:t>44</w:t>
            </w:r>
          </w:p>
        </w:tc>
        <w:tc>
          <w:tcPr>
            <w:tcW w:w="60" w:type="dxa"/>
            <w:vAlign w:val="bottom"/>
          </w:tcPr>
          <w:p>
            <w:pPr>
              <w:spacing w:after="0"/>
              <w:rPr>
                <w:sz w:val="17"/>
                <w:szCs w:val="17"/>
                <w:color w:val="auto"/>
              </w:rPr>
            </w:pPr>
          </w:p>
        </w:tc>
      </w:tr>
      <w:tr>
        <w:trPr>
          <w:trHeight w:val="203"/>
        </w:trPr>
        <w:tc>
          <w:tcPr>
            <w:tcW w:w="3920" w:type="dxa"/>
            <w:vAlign w:val="bottom"/>
            <w:shd w:val="clear" w:color="auto" w:fill="E5FFFF"/>
          </w:tcPr>
          <w:p>
            <w:pPr>
              <w:spacing w:after="0"/>
              <w:rPr>
                <w:sz w:val="20"/>
                <w:szCs w:val="20"/>
                <w:color w:val="auto"/>
              </w:rPr>
            </w:pPr>
            <w:r>
              <w:rPr>
                <w:rFonts w:ascii="Arial" w:cs="Arial" w:eastAsia="Arial" w:hAnsi="Arial"/>
                <w:sz w:val="16"/>
                <w:szCs w:val="16"/>
                <w:color w:val="auto"/>
              </w:rPr>
              <w:t>Payments for interest</w:t>
            </w:r>
          </w:p>
        </w:tc>
        <w:tc>
          <w:tcPr>
            <w:tcW w:w="1700" w:type="dxa"/>
            <w:vAlign w:val="bottom"/>
            <w:gridSpan w:val="2"/>
            <w:shd w:val="clear" w:color="auto" w:fill="E5FFFF"/>
          </w:tcPr>
          <w:p>
            <w:pPr>
              <w:ind w:left="128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E5FFFF"/>
          </w:tcPr>
          <w:p>
            <w:pPr>
              <w:jc w:val="right"/>
              <w:ind w:right="119"/>
              <w:spacing w:after="0"/>
              <w:rPr>
                <w:sz w:val="20"/>
                <w:szCs w:val="20"/>
                <w:color w:val="auto"/>
              </w:rPr>
            </w:pPr>
            <w:r>
              <w:rPr>
                <w:rFonts w:ascii="Arial" w:cs="Arial" w:eastAsia="Arial" w:hAnsi="Arial"/>
                <w:sz w:val="16"/>
                <w:szCs w:val="16"/>
                <w:color w:val="auto"/>
              </w:rPr>
              <w:t>(46)</w:t>
            </w:r>
          </w:p>
        </w:tc>
        <w:tc>
          <w:tcPr>
            <w:tcW w:w="180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w:t>
            </w:r>
          </w:p>
        </w:tc>
        <w:tc>
          <w:tcPr>
            <w:tcW w:w="60" w:type="dxa"/>
            <w:vAlign w:val="bottom"/>
          </w:tcPr>
          <w:p>
            <w:pPr>
              <w:spacing w:after="0"/>
              <w:rPr>
                <w:sz w:val="17"/>
                <w:szCs w:val="17"/>
                <w:color w:val="auto"/>
              </w:rPr>
            </w:pP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rPr>
              <w:t>Payments for lease liabilities</w:t>
            </w:r>
          </w:p>
        </w:tc>
        <w:tc>
          <w:tcPr>
            <w:tcW w:w="1700" w:type="dxa"/>
            <w:vAlign w:val="bottom"/>
            <w:gridSpan w:val="2"/>
          </w:tcPr>
          <w:p>
            <w:pPr>
              <w:ind w:left="128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119"/>
              <w:spacing w:after="0"/>
              <w:rPr>
                <w:sz w:val="20"/>
                <w:szCs w:val="20"/>
                <w:color w:val="auto"/>
              </w:rPr>
            </w:pPr>
            <w:r>
              <w:rPr>
                <w:rFonts w:ascii="Arial" w:cs="Arial" w:eastAsia="Arial" w:hAnsi="Arial"/>
                <w:sz w:val="16"/>
                <w:szCs w:val="16"/>
                <w:color w:val="auto"/>
              </w:rPr>
              <w:t>(403)</w:t>
            </w:r>
          </w:p>
        </w:tc>
        <w:tc>
          <w:tcPr>
            <w:tcW w:w="1800" w:type="dxa"/>
            <w:vAlign w:val="bottom"/>
            <w:gridSpan w:val="2"/>
          </w:tcPr>
          <w:p>
            <w:pPr>
              <w:jc w:val="right"/>
              <w:ind w:right="199"/>
              <w:spacing w:after="0"/>
              <w:rPr>
                <w:sz w:val="20"/>
                <w:szCs w:val="20"/>
                <w:color w:val="auto"/>
              </w:rPr>
            </w:pPr>
            <w:r>
              <w:rPr>
                <w:rFonts w:ascii="Arial" w:cs="Arial" w:eastAsia="Arial" w:hAnsi="Arial"/>
                <w:sz w:val="16"/>
                <w:szCs w:val="16"/>
                <w:color w:val="auto"/>
              </w:rPr>
              <w:t>14</w:t>
            </w:r>
          </w:p>
        </w:tc>
        <w:tc>
          <w:tcPr>
            <w:tcW w:w="1360" w:type="dxa"/>
            <w:vAlign w:val="bottom"/>
          </w:tcPr>
          <w:p>
            <w:pPr>
              <w:jc w:val="right"/>
              <w:spacing w:after="0"/>
              <w:rPr>
                <w:sz w:val="20"/>
                <w:szCs w:val="20"/>
                <w:color w:val="auto"/>
              </w:rPr>
            </w:pPr>
            <w:r>
              <w:rPr>
                <w:rFonts w:ascii="Arial" w:cs="Arial" w:eastAsia="Arial" w:hAnsi="Arial"/>
                <w:sz w:val="16"/>
                <w:szCs w:val="16"/>
                <w:color w:val="auto"/>
              </w:rPr>
              <w:t>(389)</w:t>
            </w:r>
          </w:p>
        </w:tc>
        <w:tc>
          <w:tcPr>
            <w:tcW w:w="60" w:type="dxa"/>
            <w:vAlign w:val="bottom"/>
          </w:tcPr>
          <w:p>
            <w:pPr>
              <w:spacing w:after="0"/>
              <w:rPr>
                <w:sz w:val="17"/>
                <w:szCs w:val="17"/>
                <w:color w:val="auto"/>
              </w:rPr>
            </w:pPr>
          </w:p>
        </w:tc>
      </w:tr>
      <w:tr>
        <w:trPr>
          <w:trHeight w:val="210"/>
        </w:trPr>
        <w:tc>
          <w:tcPr>
            <w:tcW w:w="39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Lease liabilities as of September 30, 2019</w:t>
            </w: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1,393</w:t>
            </w:r>
          </w:p>
        </w:tc>
        <w:tc>
          <w:tcPr>
            <w:tcW w:w="260" w:type="dxa"/>
            <w:vAlign w:val="bottom"/>
            <w:tcBorders>
              <w:top w:val="single" w:sz="8" w:color="E5FFFF"/>
              <w:bottom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(449</w:t>
            </w:r>
          </w:p>
        </w:tc>
        <w:tc>
          <w:tcPr>
            <w:tcW w:w="260" w:type="dxa"/>
            <w:vAlign w:val="bottom"/>
            <w:tcBorders>
              <w:top w:val="single" w:sz="8" w:color="E5FFFF"/>
              <w:bottom w:val="single" w:sz="8" w:color="E5FFFF"/>
            </w:tcBorders>
            <w:shd w:val="clear" w:color="auto" w:fill="E5FFFF"/>
          </w:tcPr>
          <w:p>
            <w:pPr>
              <w:jc w:val="right"/>
              <w:ind w:right="119"/>
              <w:spacing w:after="0"/>
              <w:rPr>
                <w:sz w:val="20"/>
                <w:szCs w:val="20"/>
                <w:color w:val="auto"/>
              </w:rPr>
            </w:pPr>
            <w:r>
              <w:rPr>
                <w:rFonts w:ascii="Arial" w:cs="Arial" w:eastAsia="Arial" w:hAnsi="Arial"/>
                <w:sz w:val="16"/>
                <w:szCs w:val="16"/>
                <w:b w:val="1"/>
                <w:bCs w:val="1"/>
                <w:color w:val="auto"/>
                <w:w w:val="74"/>
              </w:rPr>
              <w:t>)</w:t>
            </w: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58</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1,002</w:t>
            </w:r>
          </w:p>
        </w:tc>
        <w:tc>
          <w:tcPr>
            <w:tcW w:w="6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206"/>
        </w:trPr>
        <w:tc>
          <w:tcPr>
            <w:tcW w:w="5580" w:type="dxa"/>
            <w:vAlign w:val="bottom"/>
          </w:tcPr>
          <w:p>
            <w:pPr>
              <w:ind w:left="60"/>
              <w:spacing w:after="0"/>
              <w:rPr>
                <w:sz w:val="20"/>
                <w:szCs w:val="20"/>
                <w:color w:val="auto"/>
              </w:rPr>
            </w:pPr>
            <w:r>
              <w:rPr>
                <w:rFonts w:ascii="Arial" w:cs="Arial" w:eastAsia="Arial" w:hAnsi="Arial"/>
                <w:sz w:val="16"/>
                <w:szCs w:val="16"/>
                <w:color w:val="auto"/>
                <w:w w:val="98"/>
              </w:rPr>
              <w:t>A reconciliation of equity offerings arising from financing activities is as follows:</w:t>
            </w: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5580" w:type="dxa"/>
            <w:vAlign w:val="bottom"/>
          </w:tcPr>
          <w:p>
            <w:pPr>
              <w:spacing w:after="0"/>
              <w:rPr>
                <w:sz w:val="24"/>
                <w:szCs w:val="24"/>
                <w:color w:val="auto"/>
              </w:rPr>
            </w:pPr>
          </w:p>
        </w:tc>
        <w:tc>
          <w:tcPr>
            <w:tcW w:w="170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Cash flows</w:t>
            </w:r>
          </w:p>
        </w:tc>
        <w:tc>
          <w:tcPr>
            <w:tcW w:w="18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Non-cash items</w:t>
            </w:r>
          </w:p>
        </w:tc>
        <w:tc>
          <w:tcPr>
            <w:tcW w:w="152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5580" w:type="dxa"/>
            <w:vAlign w:val="bottom"/>
            <w:tcBorders>
              <w:top w:val="single" w:sz="8" w:color="E5FFFF"/>
            </w:tcBorders>
            <w:shd w:val="clear" w:color="auto" w:fill="E5FFFF"/>
          </w:tcPr>
          <w:p>
            <w:pPr>
              <w:spacing w:after="0" w:line="176" w:lineRule="exact"/>
              <w:rPr>
                <w:sz w:val="20"/>
                <w:szCs w:val="20"/>
                <w:color w:val="auto"/>
              </w:rPr>
            </w:pPr>
            <w:r>
              <w:rPr>
                <w:rFonts w:ascii="Arial" w:cs="Arial" w:eastAsia="Arial" w:hAnsi="Arial"/>
                <w:sz w:val="16"/>
                <w:szCs w:val="16"/>
                <w:color w:val="auto"/>
                <w:w w:val="94"/>
              </w:rPr>
              <w:t>Proceeds from public offerings and issuances of common and general partner units</w:t>
            </w:r>
          </w:p>
        </w:tc>
        <w:tc>
          <w:tcPr>
            <w:tcW w:w="1440" w:type="dxa"/>
            <w:vAlign w:val="bottom"/>
            <w:tcBorders>
              <w:top w:val="single" w:sz="8" w:color="auto"/>
            </w:tcBorders>
            <w:shd w:val="clear" w:color="auto" w:fill="E5FFFF"/>
          </w:tcPr>
          <w:p>
            <w:pPr>
              <w:spacing w:after="0"/>
              <w:rPr>
                <w:sz w:val="15"/>
                <w:szCs w:val="15"/>
                <w:color w:val="auto"/>
              </w:rPr>
            </w:pPr>
          </w:p>
        </w:tc>
        <w:tc>
          <w:tcPr>
            <w:tcW w:w="260" w:type="dxa"/>
            <w:vAlign w:val="bottom"/>
            <w:tcBorders>
              <w:top w:val="single" w:sz="8" w:color="E5FFFF"/>
            </w:tcBorders>
            <w:shd w:val="clear" w:color="auto" w:fill="E5FFFF"/>
          </w:tcPr>
          <w:p>
            <w:pPr>
              <w:spacing w:after="0"/>
              <w:rPr>
                <w:sz w:val="15"/>
                <w:szCs w:val="15"/>
                <w:color w:val="auto"/>
              </w:rPr>
            </w:pPr>
          </w:p>
        </w:tc>
        <w:tc>
          <w:tcPr>
            <w:tcW w:w="1540" w:type="dxa"/>
            <w:vAlign w:val="bottom"/>
            <w:tcBorders>
              <w:top w:val="single" w:sz="8" w:color="auto"/>
            </w:tcBorders>
            <w:shd w:val="clear" w:color="auto" w:fill="E5FFFF"/>
          </w:tcPr>
          <w:p>
            <w:pPr>
              <w:spacing w:after="0"/>
              <w:rPr>
                <w:sz w:val="15"/>
                <w:szCs w:val="15"/>
                <w:color w:val="auto"/>
              </w:rPr>
            </w:pPr>
          </w:p>
        </w:tc>
        <w:tc>
          <w:tcPr>
            <w:tcW w:w="260" w:type="dxa"/>
            <w:vAlign w:val="bottom"/>
            <w:tcBorders>
              <w:top w:val="single" w:sz="8" w:color="E5FFFF"/>
            </w:tcBorders>
            <w:shd w:val="clear" w:color="auto" w:fill="E5FFFF"/>
          </w:tcPr>
          <w:p>
            <w:pPr>
              <w:spacing w:after="0"/>
              <w:rPr>
                <w:sz w:val="15"/>
                <w:szCs w:val="15"/>
                <w:color w:val="auto"/>
              </w:rPr>
            </w:pPr>
          </w:p>
        </w:tc>
        <w:tc>
          <w:tcPr>
            <w:tcW w:w="1440" w:type="dxa"/>
            <w:vAlign w:val="bottom"/>
            <w:tcBorders>
              <w:top w:val="single" w:sz="8" w:color="auto"/>
            </w:tcBorders>
            <w:shd w:val="clear" w:color="auto" w:fill="E5FF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5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(net of underwriting discounts and commissions)</w:t>
            </w:r>
          </w:p>
        </w:tc>
        <w:tc>
          <w:tcPr>
            <w:tcW w:w="170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56,381</w:t>
            </w:r>
          </w:p>
        </w:tc>
        <w:tc>
          <w:tcPr>
            <w:tcW w:w="180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56,381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580" w:type="dxa"/>
            <w:vAlign w:val="bottom"/>
          </w:tcPr>
          <w:p>
            <w:pPr>
              <w:spacing w:after="0"/>
              <w:rPr>
                <w:sz w:val="20"/>
                <w:szCs w:val="20"/>
                <w:color w:val="auto"/>
              </w:rPr>
            </w:pPr>
            <w:r>
              <w:rPr>
                <w:rFonts w:ascii="Arial" w:cs="Arial" w:eastAsia="Arial" w:hAnsi="Arial"/>
                <w:sz w:val="16"/>
                <w:szCs w:val="16"/>
                <w:color w:val="auto"/>
                <w:w w:val="99"/>
              </w:rPr>
              <w:t>Proceeds from public offering of preference units (net of underwriting discounts</w:t>
            </w: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180"/>
              <w:spacing w:after="0"/>
              <w:rPr>
                <w:sz w:val="20"/>
                <w:szCs w:val="20"/>
                <w:color w:val="auto"/>
              </w:rPr>
            </w:pPr>
            <w:r>
              <w:rPr>
                <w:rFonts w:ascii="Arial" w:cs="Arial" w:eastAsia="Arial" w:hAnsi="Arial"/>
                <w:sz w:val="16"/>
                <w:szCs w:val="16"/>
                <w:color w:val="auto"/>
              </w:rPr>
              <w:t>and commissions)</w:t>
            </w:r>
          </w:p>
        </w:tc>
        <w:tc>
          <w:tcPr>
            <w:tcW w:w="1700" w:type="dxa"/>
            <w:vAlign w:val="bottom"/>
            <w:gridSpan w:val="2"/>
          </w:tcPr>
          <w:p>
            <w:pPr>
              <w:jc w:val="right"/>
              <w:ind w:right="179"/>
              <w:spacing w:after="0"/>
              <w:rPr>
                <w:sz w:val="20"/>
                <w:szCs w:val="20"/>
                <w:color w:val="auto"/>
              </w:rPr>
            </w:pPr>
            <w:r>
              <w:rPr>
                <w:rFonts w:ascii="Arial" w:cs="Arial" w:eastAsia="Arial" w:hAnsi="Arial"/>
                <w:sz w:val="16"/>
                <w:szCs w:val="16"/>
                <w:color w:val="auto"/>
              </w:rPr>
              <w:t>111,544</w:t>
            </w:r>
          </w:p>
        </w:tc>
        <w:tc>
          <w:tcPr>
            <w:tcW w:w="1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111,544</w:t>
            </w:r>
          </w:p>
        </w:tc>
        <w:tc>
          <w:tcPr>
            <w:tcW w:w="0" w:type="dxa"/>
            <w:vAlign w:val="bottom"/>
          </w:tcPr>
          <w:p>
            <w:pPr>
              <w:spacing w:after="0"/>
              <w:rPr>
                <w:sz w:val="1"/>
                <w:szCs w:val="1"/>
                <w:color w:val="auto"/>
              </w:rPr>
            </w:pPr>
          </w:p>
        </w:tc>
      </w:tr>
      <w:tr>
        <w:trPr>
          <w:trHeight w:val="206"/>
        </w:trPr>
        <w:tc>
          <w:tcPr>
            <w:tcW w:w="5580" w:type="dxa"/>
            <w:vAlign w:val="bottom"/>
            <w:shd w:val="clear" w:color="auto" w:fill="E5FFFF"/>
          </w:tcPr>
          <w:p>
            <w:pPr>
              <w:spacing w:after="0"/>
              <w:rPr>
                <w:sz w:val="20"/>
                <w:szCs w:val="20"/>
                <w:color w:val="auto"/>
              </w:rPr>
            </w:pPr>
            <w:r>
              <w:rPr>
                <w:rFonts w:ascii="Arial" w:cs="Arial" w:eastAsia="Arial" w:hAnsi="Arial"/>
                <w:sz w:val="16"/>
                <w:szCs w:val="16"/>
                <w:color w:val="auto"/>
              </w:rPr>
              <w:t>Equity offering costs</w:t>
            </w:r>
          </w:p>
        </w:tc>
        <w:tc>
          <w:tcPr>
            <w:tcW w:w="1700" w:type="dxa"/>
            <w:vAlign w:val="bottom"/>
            <w:gridSpan w:val="2"/>
            <w:shd w:val="clear" w:color="auto" w:fill="E5FFFF"/>
          </w:tcPr>
          <w:p>
            <w:pPr>
              <w:jc w:val="right"/>
              <w:ind w:right="119"/>
              <w:spacing w:after="0"/>
              <w:rPr>
                <w:sz w:val="20"/>
                <w:szCs w:val="20"/>
                <w:color w:val="auto"/>
              </w:rPr>
            </w:pPr>
            <w:r>
              <w:rPr>
                <w:rFonts w:ascii="Arial" w:cs="Arial" w:eastAsia="Arial" w:hAnsi="Arial"/>
                <w:sz w:val="16"/>
                <w:szCs w:val="16"/>
                <w:color w:val="auto"/>
              </w:rPr>
              <w:t>(929)</w:t>
            </w:r>
          </w:p>
        </w:tc>
        <w:tc>
          <w:tcPr>
            <w:tcW w:w="180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198</w:t>
            </w:r>
          </w:p>
        </w:tc>
        <w:tc>
          <w:tcPr>
            <w:tcW w:w="152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6"/>
                <w:szCs w:val="16"/>
                <w:b w:val="1"/>
                <w:bCs w:val="1"/>
                <w:color w:val="auto"/>
                <w:w w:val="96"/>
              </w:rPr>
              <w:t>Net proceeds from equity offerings in the nine months ended September 30,</w:t>
            </w: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580" w:type="dxa"/>
            <w:vAlign w:val="bottom"/>
            <w:vMerge w:val="continue"/>
          </w:tcPr>
          <w:p>
            <w:pPr>
              <w:spacing w:after="0"/>
              <w:rPr>
                <w:sz w:val="14"/>
                <w:szCs w:val="14"/>
                <w:color w:val="auto"/>
              </w:rPr>
            </w:pPr>
          </w:p>
        </w:tc>
        <w:tc>
          <w:tcPr>
            <w:tcW w:w="1700" w:type="dxa"/>
            <w:vAlign w:val="bottom"/>
            <w:gridSpan w:val="2"/>
            <w:vMerge w:val="restart"/>
          </w:tcPr>
          <w:p>
            <w:pPr>
              <w:jc w:val="right"/>
              <w:ind w:right="179"/>
              <w:spacing w:after="0"/>
              <w:rPr>
                <w:sz w:val="20"/>
                <w:szCs w:val="20"/>
                <w:color w:val="auto"/>
              </w:rPr>
            </w:pPr>
            <w:r>
              <w:rPr>
                <w:rFonts w:ascii="Arial" w:cs="Arial" w:eastAsia="Arial" w:hAnsi="Arial"/>
                <w:sz w:val="16"/>
                <w:szCs w:val="16"/>
                <w:b w:val="1"/>
                <w:bCs w:val="1"/>
                <w:color w:val="auto"/>
              </w:rPr>
              <w:t>166,996</w:t>
            </w:r>
          </w:p>
        </w:tc>
        <w:tc>
          <w:tcPr>
            <w:tcW w:w="180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198</w:t>
            </w:r>
          </w:p>
        </w:tc>
        <w:tc>
          <w:tcPr>
            <w:tcW w:w="152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167,194</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6"/>
                <w:szCs w:val="16"/>
                <w:b w:val="1"/>
                <w:bCs w:val="1"/>
                <w:color w:val="auto"/>
              </w:rPr>
              <w:t>2018</w:t>
            </w:r>
          </w:p>
        </w:tc>
        <w:tc>
          <w:tcPr>
            <w:tcW w:w="1700" w:type="dxa"/>
            <w:vAlign w:val="bottom"/>
            <w:gridSpan w:val="2"/>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580" w:type="dxa"/>
            <w:vAlign w:val="bottom"/>
          </w:tcPr>
          <w:p>
            <w:pPr>
              <w:spacing w:after="0"/>
              <w:rPr>
                <w:sz w:val="24"/>
                <w:szCs w:val="24"/>
                <w:color w:val="auto"/>
              </w:rPr>
            </w:pPr>
          </w:p>
        </w:tc>
        <w:tc>
          <w:tcPr>
            <w:tcW w:w="170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Cash flows</w:t>
            </w:r>
          </w:p>
        </w:tc>
        <w:tc>
          <w:tcPr>
            <w:tcW w:w="18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Non-cash items</w:t>
            </w:r>
          </w:p>
        </w:tc>
        <w:tc>
          <w:tcPr>
            <w:tcW w:w="152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55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Equity related costs</w:t>
            </w:r>
          </w:p>
        </w:tc>
        <w:tc>
          <w:tcPr>
            <w:tcW w:w="14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(1,584</w:t>
            </w:r>
          </w:p>
        </w:tc>
        <w:tc>
          <w:tcPr>
            <w:tcW w:w="260" w:type="dxa"/>
            <w:vAlign w:val="bottom"/>
            <w:tcBorders>
              <w:top w:val="single" w:sz="8" w:color="E5FFFF"/>
            </w:tcBorders>
            <w:shd w:val="clear" w:color="auto" w:fill="E5FFFF"/>
          </w:tcPr>
          <w:p>
            <w:pPr>
              <w:jc w:val="right"/>
              <w:ind w:right="119"/>
              <w:spacing w:after="0"/>
              <w:rPr>
                <w:sz w:val="20"/>
                <w:szCs w:val="20"/>
                <w:color w:val="auto"/>
              </w:rPr>
            </w:pPr>
            <w:r>
              <w:rPr>
                <w:rFonts w:ascii="Arial" w:cs="Arial" w:eastAsia="Arial" w:hAnsi="Arial"/>
                <w:sz w:val="16"/>
                <w:szCs w:val="16"/>
                <w:color w:val="auto"/>
                <w:w w:val="74"/>
              </w:rPr>
              <w:t>)</w:t>
            </w:r>
          </w:p>
        </w:tc>
        <w:tc>
          <w:tcPr>
            <w:tcW w:w="15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1,049</w:t>
            </w:r>
          </w:p>
        </w:tc>
        <w:tc>
          <w:tcPr>
            <w:tcW w:w="26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6"/>
                <w:szCs w:val="16"/>
                <w:color w:val="auto"/>
              </w:rPr>
              <w:t>Proceeds from issuances of general partner units</w:t>
            </w:r>
          </w:p>
        </w:tc>
        <w:tc>
          <w:tcPr>
            <w:tcW w:w="1700" w:type="dxa"/>
            <w:vAlign w:val="bottom"/>
            <w:gridSpan w:val="2"/>
          </w:tcPr>
          <w:p>
            <w:pPr>
              <w:jc w:val="right"/>
              <w:ind w:right="179"/>
              <w:spacing w:after="0"/>
              <w:rPr>
                <w:sz w:val="20"/>
                <w:szCs w:val="20"/>
                <w:color w:val="auto"/>
              </w:rPr>
            </w:pPr>
            <w:r>
              <w:rPr>
                <w:rFonts w:ascii="Arial" w:cs="Arial" w:eastAsia="Arial" w:hAnsi="Arial"/>
                <w:sz w:val="16"/>
                <w:szCs w:val="16"/>
                <w:color w:val="auto"/>
              </w:rPr>
              <w:t>1,996</w:t>
            </w:r>
          </w:p>
        </w:tc>
        <w:tc>
          <w:tcPr>
            <w:tcW w:w="1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1,996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w w:val="96"/>
              </w:rPr>
              <w:t>Net proceeds from equity offerings in the nine months ended September 30,</w:t>
            </w: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E5FF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E5FF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580" w:type="dxa"/>
            <w:vAlign w:val="bottom"/>
            <w:vMerge w:val="continue"/>
            <w:shd w:val="clear" w:color="auto" w:fill="E5FFFF"/>
          </w:tcPr>
          <w:p>
            <w:pPr>
              <w:spacing w:after="0"/>
              <w:rPr>
                <w:sz w:val="14"/>
                <w:szCs w:val="14"/>
                <w:color w:val="auto"/>
              </w:rPr>
            </w:pPr>
          </w:p>
        </w:tc>
        <w:tc>
          <w:tcPr>
            <w:tcW w:w="1700" w:type="dxa"/>
            <w:vAlign w:val="bottom"/>
            <w:gridSpan w:val="2"/>
            <w:vMerge w:val="restart"/>
            <w:shd w:val="clear" w:color="auto" w:fill="E5FFFF"/>
          </w:tcPr>
          <w:p>
            <w:pPr>
              <w:jc w:val="right"/>
              <w:ind w:right="179"/>
              <w:spacing w:after="0"/>
              <w:rPr>
                <w:sz w:val="20"/>
                <w:szCs w:val="20"/>
                <w:color w:val="auto"/>
              </w:rPr>
            </w:pPr>
            <w:r>
              <w:rPr>
                <w:rFonts w:ascii="Arial" w:cs="Arial" w:eastAsia="Arial" w:hAnsi="Arial"/>
                <w:sz w:val="16"/>
                <w:szCs w:val="16"/>
                <w:b w:val="1"/>
                <w:bCs w:val="1"/>
                <w:color w:val="auto"/>
              </w:rPr>
              <w:t>412</w:t>
            </w:r>
          </w:p>
        </w:tc>
        <w:tc>
          <w:tcPr>
            <w:tcW w:w="1800" w:type="dxa"/>
            <w:vAlign w:val="bottom"/>
            <w:gridSpan w:val="2"/>
            <w:vMerge w:val="restart"/>
            <w:shd w:val="clear" w:color="auto" w:fill="E5FFFF"/>
          </w:tcPr>
          <w:p>
            <w:pPr>
              <w:jc w:val="right"/>
              <w:ind w:right="260"/>
              <w:spacing w:after="0"/>
              <w:rPr>
                <w:sz w:val="20"/>
                <w:szCs w:val="20"/>
                <w:color w:val="auto"/>
              </w:rPr>
            </w:pPr>
            <w:r>
              <w:rPr>
                <w:rFonts w:ascii="Arial" w:cs="Arial" w:eastAsia="Arial" w:hAnsi="Arial"/>
                <w:sz w:val="16"/>
                <w:szCs w:val="16"/>
                <w:b w:val="1"/>
                <w:bCs w:val="1"/>
                <w:color w:val="auto"/>
              </w:rPr>
              <w:t>1,049</w:t>
            </w:r>
          </w:p>
        </w:tc>
        <w:tc>
          <w:tcPr>
            <w:tcW w:w="144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1,461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2019</w:t>
            </w:r>
          </w:p>
        </w:tc>
        <w:tc>
          <w:tcPr>
            <w:tcW w:w="1700" w:type="dxa"/>
            <w:vAlign w:val="bottom"/>
            <w:gridSpan w:val="2"/>
            <w:vMerge w:val="continue"/>
            <w:shd w:val="clear" w:color="auto" w:fill="E5FFFF"/>
          </w:tcPr>
          <w:p>
            <w:pPr>
              <w:spacing w:after="0"/>
              <w:rPr>
                <w:sz w:val="17"/>
                <w:szCs w:val="17"/>
                <w:color w:val="auto"/>
              </w:rPr>
            </w:pPr>
          </w:p>
        </w:tc>
        <w:tc>
          <w:tcPr>
            <w:tcW w:w="1800" w:type="dxa"/>
            <w:vAlign w:val="bottom"/>
            <w:gridSpan w:val="2"/>
            <w:vMerge w:val="continue"/>
            <w:shd w:val="clear" w:color="auto" w:fill="E5FFFF"/>
          </w:tcPr>
          <w:p>
            <w:pPr>
              <w:spacing w:after="0"/>
              <w:rPr>
                <w:sz w:val="17"/>
                <w:szCs w:val="17"/>
                <w:color w:val="auto"/>
              </w:rPr>
            </w:pPr>
          </w:p>
        </w:tc>
        <w:tc>
          <w:tcPr>
            <w:tcW w:w="1440" w:type="dxa"/>
            <w:vAlign w:val="bottom"/>
            <w:vMerge w:val="continue"/>
            <w:shd w:val="clear" w:color="auto" w:fill="E5FF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E5FF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Cash Distributions</w:t>
      </w:r>
    </w:p>
    <w:p>
      <w:pPr>
        <w:spacing w:after="0" w:line="239" w:lineRule="exact"/>
        <w:rPr>
          <w:sz w:val="20"/>
          <w:szCs w:val="20"/>
          <w:color w:val="auto"/>
        </w:rPr>
      </w:pPr>
    </w:p>
    <w:p>
      <w:pPr>
        <w:ind w:right="40" w:firstLine="383"/>
        <w:spacing w:after="0" w:line="329" w:lineRule="auto"/>
        <w:rPr>
          <w:sz w:val="20"/>
          <w:szCs w:val="20"/>
          <w:color w:val="auto"/>
        </w:rPr>
      </w:pPr>
      <w:r>
        <w:rPr>
          <w:rFonts w:ascii="Arial" w:cs="Arial" w:eastAsia="Arial" w:hAnsi="Arial"/>
          <w:sz w:val="15"/>
          <w:szCs w:val="15"/>
          <w:color w:val="auto"/>
        </w:rPr>
        <w:t>On January 29, 2019, the board of directors of the Partnership approved and declared a quarterly cash distribution, with respect to the quarter ended December 31, 2018, of $0.55 per common unit. The cash distribution of $26,929 was paid on February 13, 2019 to all unitholders of record as of February 8, 2019.</w:t>
      </w:r>
    </w:p>
    <w:p>
      <w:pPr>
        <w:spacing w:after="0" w:line="148" w:lineRule="exact"/>
        <w:rPr>
          <w:sz w:val="20"/>
          <w:szCs w:val="20"/>
          <w:color w:val="auto"/>
        </w:rPr>
      </w:pPr>
    </w:p>
    <w:p>
      <w:pPr>
        <w:jc w:val="both"/>
        <w:ind w:firstLine="383"/>
        <w:spacing w:after="0" w:line="278" w:lineRule="auto"/>
        <w:rPr>
          <w:sz w:val="20"/>
          <w:szCs w:val="20"/>
          <w:color w:val="auto"/>
        </w:rPr>
      </w:pPr>
      <w:r>
        <w:rPr>
          <w:rFonts w:ascii="Arial" w:cs="Arial" w:eastAsia="Arial" w:hAnsi="Arial"/>
          <w:sz w:val="16"/>
          <w:szCs w:val="16"/>
          <w:color w:val="auto"/>
        </w:rPr>
        <w:t>On February 22, 2019, the board of directors of the Partnership approved and declared a distribution on the Series A Preference Units of $0.5390625 per preference unit, a distribution on the Series B Preference Units of $0.5125 per preference unit and a distribution on the Series C Preference Units of $0.7083 per preference unit. The aggregate cash distributions of $8,290 were paid on March 15, 2019 to all unitholders of record as of March 8, 2019.</w:t>
      </w:r>
    </w:p>
    <w:p>
      <w:pPr>
        <w:spacing w:after="0" w:line="184" w:lineRule="exact"/>
        <w:rPr>
          <w:sz w:val="20"/>
          <w:szCs w:val="20"/>
          <w:color w:val="auto"/>
        </w:rPr>
      </w:pPr>
    </w:p>
    <w:p>
      <w:pPr>
        <w:ind w:right="260" w:firstLine="383"/>
        <w:spacing w:after="0" w:line="293" w:lineRule="auto"/>
        <w:rPr>
          <w:sz w:val="20"/>
          <w:szCs w:val="20"/>
          <w:color w:val="auto"/>
        </w:rPr>
      </w:pPr>
      <w:r>
        <w:rPr>
          <w:rFonts w:ascii="Arial" w:cs="Arial" w:eastAsia="Arial" w:hAnsi="Arial"/>
          <w:sz w:val="16"/>
          <w:szCs w:val="16"/>
          <w:color w:val="auto"/>
        </w:rPr>
        <w:t>On April 24, 2019, the board of directors of the Partnership approved and declared a quarterly cash distribution, with respect to the quarter ended March 31, 2019, of $0.55 per common unit. The cash distribution of $26,911 was paid on May 10, 2019 to all unitholders of record as of May 6, 2019.</w:t>
      </w:r>
    </w:p>
    <w:p>
      <w:pPr>
        <w:spacing w:after="0" w:line="172" w:lineRule="exact"/>
        <w:rPr>
          <w:sz w:val="20"/>
          <w:szCs w:val="20"/>
          <w:color w:val="auto"/>
        </w:rPr>
      </w:pPr>
    </w:p>
    <w:p>
      <w:pPr>
        <w:ind w:right="20" w:firstLine="383"/>
        <w:spacing w:after="0" w:line="278" w:lineRule="auto"/>
        <w:rPr>
          <w:sz w:val="20"/>
          <w:szCs w:val="20"/>
          <w:color w:val="auto"/>
        </w:rPr>
      </w:pPr>
      <w:r>
        <w:rPr>
          <w:rFonts w:ascii="Arial" w:cs="Arial" w:eastAsia="Arial" w:hAnsi="Arial"/>
          <w:sz w:val="16"/>
          <w:szCs w:val="16"/>
          <w:color w:val="auto"/>
        </w:rPr>
        <w:t>On May 10, 2019, the board of directors of the Partnership approved and declared a distribution on the Series A Preference Units of $0.5390625 per preference unit, a distribution on the Series B Preference Units of $0.5125 per preference unit and a distribution on the Series C Preference Units of $0.53125 per preference unit. The aggregate cash distributions of $7,582 were paid on June 17, 2019 to all unitholders of record as of June 10, 2019.</w:t>
      </w:r>
    </w:p>
    <w:p>
      <w:pPr>
        <w:spacing w:after="0" w:line="184" w:lineRule="exact"/>
        <w:rPr>
          <w:sz w:val="20"/>
          <w:szCs w:val="20"/>
          <w:color w:val="auto"/>
        </w:rPr>
      </w:pPr>
    </w:p>
    <w:p>
      <w:pPr>
        <w:ind w:right="60" w:firstLine="383"/>
        <w:spacing w:after="0" w:line="293" w:lineRule="auto"/>
        <w:rPr>
          <w:sz w:val="20"/>
          <w:szCs w:val="20"/>
          <w:color w:val="auto"/>
        </w:rPr>
      </w:pPr>
      <w:r>
        <w:rPr>
          <w:rFonts w:ascii="Arial" w:cs="Arial" w:eastAsia="Arial" w:hAnsi="Arial"/>
          <w:sz w:val="16"/>
          <w:szCs w:val="16"/>
          <w:color w:val="auto"/>
        </w:rPr>
        <w:t>On July 24, 2019, the board of directors of the Partnership approved and declared a quarterly cash distribution, with respect to the quarter ended June 30, 2019, of $0.55 per common unit. The cash distribution of $26,640 was paid on August 9, 2019 to all unitholders of record as of August 5, 2019.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6" w:right="299" w:bottom="1440" w:gutter="0" w:footer="0" w:header="0"/>
        </w:sectPr>
      </w:pPr>
    </w:p>
    <w:bookmarkStart w:id="41" w:name="page42"/>
    <w:bookmarkEnd w:id="41"/>
    <w:p>
      <w:pPr>
        <w:ind w:right="40" w:firstLine="383"/>
        <w:spacing w:after="0" w:line="278" w:lineRule="auto"/>
        <w:rPr>
          <w:sz w:val="20"/>
          <w:szCs w:val="20"/>
          <w:color w:val="auto"/>
        </w:rPr>
      </w:pPr>
      <w:r>
        <w:rPr>
          <w:rFonts w:ascii="Arial" w:cs="Arial" w:eastAsia="Arial" w:hAnsi="Arial"/>
          <w:sz w:val="16"/>
          <w:szCs w:val="16"/>
          <w:color w:val="auto"/>
        </w:rPr>
        <w:t>On July 24, 2019, the board of directors of the Partnership approved and declared a distribution on the Series A Preference Units of $0.5390625 per preference unit, a distribution on the Series B Preference Units of $0.5125 per preference unit and a distribution on the Series C Preference Units of $0.53125 per preference unit. The aggregate cash distributions of $7,582 were paid on September 16, 2019 to all unitholders of record as of September 9, 2019.</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Earnings per Unit (“EPU”)</w:t>
      </w:r>
    </w:p>
    <w:p>
      <w:pPr>
        <w:spacing w:after="0" w:line="239" w:lineRule="exact"/>
        <w:rPr>
          <w:sz w:val="20"/>
          <w:szCs w:val="20"/>
          <w:color w:val="auto"/>
        </w:rPr>
      </w:pPr>
    </w:p>
    <w:p>
      <w:pPr>
        <w:ind w:firstLine="396"/>
        <w:spacing w:after="0" w:line="293" w:lineRule="auto"/>
        <w:rPr>
          <w:sz w:val="20"/>
          <w:szCs w:val="20"/>
          <w:color w:val="auto"/>
        </w:rPr>
      </w:pPr>
      <w:r>
        <w:rPr>
          <w:rFonts w:ascii="Arial" w:cs="Arial" w:eastAsia="Arial" w:hAnsi="Arial"/>
          <w:sz w:val="16"/>
          <w:szCs w:val="16"/>
          <w:color w:val="auto"/>
        </w:rPr>
        <w:t>The Partnership calculates earnings per unit by allocating reported profit for each period to each class of units based on the distribution policy for available cash stated in the Partnership Agreement.</w:t>
      </w:r>
    </w:p>
    <w:p>
      <w:pPr>
        <w:spacing w:after="0" w:line="172" w:lineRule="exact"/>
        <w:rPr>
          <w:sz w:val="20"/>
          <w:szCs w:val="20"/>
          <w:color w:val="auto"/>
        </w:rPr>
      </w:pPr>
    </w:p>
    <w:p>
      <w:pPr>
        <w:ind w:right="20" w:firstLine="396"/>
        <w:spacing w:after="0" w:line="305" w:lineRule="auto"/>
        <w:rPr>
          <w:sz w:val="20"/>
          <w:szCs w:val="20"/>
          <w:color w:val="auto"/>
        </w:rPr>
      </w:pPr>
      <w:r>
        <w:rPr>
          <w:rFonts w:ascii="Arial" w:cs="Arial" w:eastAsia="Arial" w:hAnsi="Arial"/>
          <w:sz w:val="15"/>
          <w:szCs w:val="15"/>
          <w:color w:val="auto"/>
        </w:rPr>
        <w:t>Basic earnings per unit is determined by dividing profit for the period, after deducting preference unit distributions, by the weighted average number of units outstanding during the period. Diluted earnings per unit is calculated by dividing the profit of the period attributable to common unitholders by the weighted average number of potential ordinary common units assumed to have been converted into common units, unless such potential ordinary common units have an antidilutive effect.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Earnings per unit is presented for the period in which the units were outstanding, with earnings calculated as follows:</w:t>
      </w:r>
    </w:p>
    <w:p>
      <w:pPr>
        <w:spacing w:after="0" w:line="231"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3140" w:type="dxa"/>
            <w:vAlign w:val="bottom"/>
            <w:gridSpan w:val="4"/>
          </w:tcPr>
          <w:p>
            <w:pPr>
              <w:ind w:left="520"/>
              <w:spacing w:after="0"/>
              <w:rPr>
                <w:sz w:val="20"/>
                <w:szCs w:val="20"/>
                <w:color w:val="auto"/>
              </w:rPr>
            </w:pPr>
            <w:r>
              <w:rPr>
                <w:rFonts w:ascii="Arial" w:cs="Arial" w:eastAsia="Arial" w:hAnsi="Arial"/>
                <w:sz w:val="16"/>
                <w:szCs w:val="16"/>
                <w:b w:val="1"/>
                <w:bCs w:val="1"/>
                <w:color w:val="auto"/>
              </w:rPr>
              <w:t>For the three months ended</w:t>
            </w:r>
          </w:p>
        </w:tc>
        <w:tc>
          <w:tcPr>
            <w:tcW w:w="2940" w:type="dxa"/>
            <w:vAlign w:val="bottom"/>
            <w:gridSpan w:val="4"/>
          </w:tcPr>
          <w:p>
            <w:pPr>
              <w:ind w:left="52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158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5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E5FF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33,028</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29,434</w:t>
            </w: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102,986</w:t>
            </w:r>
          </w:p>
        </w:tc>
        <w:tc>
          <w:tcPr>
            <w:tcW w:w="18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71,593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6"/>
                <w:szCs w:val="16"/>
                <w:color w:val="auto"/>
              </w:rPr>
              <w:t>Less:</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E5FFFF"/>
          </w:tcPr>
          <w:p>
            <w:pPr>
              <w:spacing w:after="0"/>
              <w:rPr>
                <w:sz w:val="20"/>
                <w:szCs w:val="20"/>
                <w:color w:val="auto"/>
              </w:rPr>
            </w:pPr>
            <w:r>
              <w:rPr>
                <w:rFonts w:ascii="Arial" w:cs="Arial" w:eastAsia="Arial" w:hAnsi="Arial"/>
                <w:sz w:val="16"/>
                <w:szCs w:val="16"/>
                <w:color w:val="auto"/>
              </w:rPr>
              <w:t>Profit attributable to GasLog’s operations*</w:t>
            </w:r>
          </w:p>
        </w:tc>
        <w:tc>
          <w:tcPr>
            <w:tcW w:w="15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(5,758)</w:t>
            </w:r>
          </w:p>
        </w:tc>
        <w:tc>
          <w:tcPr>
            <w:tcW w:w="15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(20,813)</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20"/>
                <w:szCs w:val="20"/>
                <w:color w:val="auto"/>
              </w:rPr>
            </w:pPr>
            <w:r>
              <w:rPr>
                <w:rFonts w:ascii="Arial" w:cs="Arial" w:eastAsia="Arial" w:hAnsi="Arial"/>
                <w:sz w:val="16"/>
                <w:szCs w:val="16"/>
                <w:b w:val="1"/>
                <w:bCs w:val="1"/>
                <w:color w:val="auto"/>
              </w:rPr>
              <w:t>Partnership’s profit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27,270</w:t>
            </w:r>
          </w:p>
        </w:tc>
        <w:tc>
          <w:tcPr>
            <w:tcW w:w="20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29,434</w:t>
            </w:r>
          </w:p>
        </w:tc>
        <w:tc>
          <w:tcPr>
            <w:tcW w:w="180" w:type="dxa"/>
            <w:vAlign w:val="bottom"/>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82,173</w:t>
            </w: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68,943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E5FFFF"/>
          </w:tcPr>
          <w:p>
            <w:pPr>
              <w:spacing w:after="0"/>
              <w:rPr>
                <w:sz w:val="20"/>
                <w:szCs w:val="20"/>
                <w:color w:val="auto"/>
              </w:rPr>
            </w:pPr>
            <w:r>
              <w:rPr>
                <w:rFonts w:ascii="Arial" w:cs="Arial" w:eastAsia="Arial" w:hAnsi="Arial"/>
                <w:sz w:val="16"/>
                <w:szCs w:val="16"/>
                <w:color w:val="auto"/>
              </w:rPr>
              <w:t>Adjustment for:</w:t>
            </w:r>
          </w:p>
        </w:tc>
        <w:tc>
          <w:tcPr>
            <w:tcW w:w="13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0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6"/>
                <w:szCs w:val="16"/>
                <w:color w:val="auto"/>
              </w:rPr>
              <w:t>Paid and accrued preference unit distributions</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(5,457)</w:t>
            </w: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(7,582)</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(15,952)</w:t>
            </w:r>
          </w:p>
        </w:tc>
        <w:tc>
          <w:tcPr>
            <w:tcW w:w="1300" w:type="dxa"/>
            <w:vAlign w:val="bottom"/>
          </w:tcPr>
          <w:p>
            <w:pPr>
              <w:jc w:val="right"/>
              <w:spacing w:after="0"/>
              <w:rPr>
                <w:sz w:val="20"/>
                <w:szCs w:val="20"/>
                <w:color w:val="auto"/>
              </w:rPr>
            </w:pPr>
            <w:r>
              <w:rPr>
                <w:rFonts w:ascii="Arial" w:cs="Arial" w:eastAsia="Arial" w:hAnsi="Arial"/>
                <w:sz w:val="16"/>
                <w:szCs w:val="16"/>
                <w:color w:val="auto"/>
              </w:rPr>
              <w:t>(22,746)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Partnership’s profit attributable to:</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21,813</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21,852</w:t>
            </w: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66,221</w:t>
            </w: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46,197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6"/>
                <w:szCs w:val="16"/>
                <w:color w:val="auto"/>
              </w:rPr>
              <w:t>Common unitholders</w:t>
            </w: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21,127</w:t>
            </w:r>
          </w:p>
        </w:tc>
        <w:tc>
          <w:tcPr>
            <w:tcW w:w="200" w:type="dxa"/>
            <w:vAlign w:val="bottom"/>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21,388</w:t>
            </w:r>
          </w:p>
        </w:tc>
        <w:tc>
          <w:tcPr>
            <w:tcW w:w="180" w:type="dxa"/>
            <w:vAlign w:val="bottom"/>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62,279</w:t>
            </w:r>
          </w:p>
        </w:tc>
        <w:tc>
          <w:tcPr>
            <w:tcW w:w="18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45,246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E1FFFF"/>
          </w:tcPr>
          <w:p>
            <w:pPr>
              <w:spacing w:after="0"/>
              <w:rPr>
                <w:sz w:val="20"/>
                <w:szCs w:val="20"/>
                <w:color w:val="auto"/>
              </w:rPr>
            </w:pPr>
            <w:r>
              <w:rPr>
                <w:rFonts w:ascii="Arial" w:cs="Arial" w:eastAsia="Arial" w:hAnsi="Arial"/>
                <w:sz w:val="16"/>
                <w:szCs w:val="16"/>
                <w:color w:val="auto"/>
              </w:rPr>
              <w:t>General partner</w:t>
            </w:r>
          </w:p>
        </w:tc>
        <w:tc>
          <w:tcPr>
            <w:tcW w:w="1580" w:type="dxa"/>
            <w:vAlign w:val="bottom"/>
            <w:gridSpan w:val="2"/>
            <w:shd w:val="clear" w:color="auto" w:fill="E1FFFF"/>
          </w:tcPr>
          <w:p>
            <w:pPr>
              <w:jc w:val="right"/>
              <w:ind w:right="200"/>
              <w:spacing w:after="0"/>
              <w:rPr>
                <w:sz w:val="20"/>
                <w:szCs w:val="20"/>
                <w:color w:val="auto"/>
              </w:rPr>
            </w:pPr>
            <w:r>
              <w:rPr>
                <w:rFonts w:ascii="Arial" w:cs="Arial" w:eastAsia="Arial" w:hAnsi="Arial"/>
                <w:sz w:val="16"/>
                <w:szCs w:val="16"/>
                <w:color w:val="auto"/>
              </w:rPr>
              <w:t>436</w:t>
            </w:r>
          </w:p>
        </w:tc>
        <w:tc>
          <w:tcPr>
            <w:tcW w:w="1560" w:type="dxa"/>
            <w:vAlign w:val="bottom"/>
            <w:gridSpan w:val="2"/>
            <w:shd w:val="clear" w:color="auto" w:fill="E1FFFF"/>
          </w:tcPr>
          <w:p>
            <w:pPr>
              <w:jc w:val="right"/>
              <w:ind w:right="180"/>
              <w:spacing w:after="0"/>
              <w:rPr>
                <w:sz w:val="20"/>
                <w:szCs w:val="20"/>
                <w:color w:val="auto"/>
              </w:rPr>
            </w:pPr>
            <w:r>
              <w:rPr>
                <w:rFonts w:ascii="Arial" w:cs="Arial" w:eastAsia="Arial" w:hAnsi="Arial"/>
                <w:sz w:val="16"/>
                <w:szCs w:val="16"/>
                <w:color w:val="auto"/>
              </w:rPr>
              <w:t>464</w:t>
            </w:r>
          </w:p>
        </w:tc>
        <w:tc>
          <w:tcPr>
            <w:tcW w:w="1580" w:type="dxa"/>
            <w:vAlign w:val="bottom"/>
            <w:gridSpan w:val="2"/>
            <w:shd w:val="clear" w:color="auto" w:fill="E1FFFF"/>
          </w:tcPr>
          <w:p>
            <w:pPr>
              <w:jc w:val="right"/>
              <w:ind w:right="180"/>
              <w:spacing w:after="0"/>
              <w:rPr>
                <w:sz w:val="20"/>
                <w:szCs w:val="20"/>
                <w:color w:val="auto"/>
              </w:rPr>
            </w:pPr>
            <w:r>
              <w:rPr>
                <w:rFonts w:ascii="Arial" w:cs="Arial" w:eastAsia="Arial" w:hAnsi="Arial"/>
                <w:sz w:val="16"/>
                <w:szCs w:val="16"/>
                <w:color w:val="auto"/>
              </w:rPr>
              <w:t>1,324</w:t>
            </w:r>
          </w:p>
        </w:tc>
        <w:tc>
          <w:tcPr>
            <w:tcW w:w="1300" w:type="dxa"/>
            <w:vAlign w:val="bottom"/>
            <w:shd w:val="clear" w:color="auto" w:fill="E1FFFF"/>
          </w:tcPr>
          <w:p>
            <w:pPr>
              <w:jc w:val="right"/>
              <w:spacing w:after="0"/>
              <w:rPr>
                <w:sz w:val="20"/>
                <w:szCs w:val="20"/>
                <w:color w:val="auto"/>
              </w:rPr>
            </w:pPr>
            <w:r>
              <w:rPr>
                <w:rFonts w:ascii="Arial" w:cs="Arial" w:eastAsia="Arial" w:hAnsi="Arial"/>
                <w:sz w:val="16"/>
                <w:szCs w:val="16"/>
                <w:color w:val="auto"/>
              </w:rPr>
              <w:t>951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6"/>
                <w:szCs w:val="16"/>
                <w:color w:val="auto"/>
              </w:rPr>
              <w:t>Incentive distribution rights**</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250</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N/A</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2,618</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E1FFFF"/>
          </w:tcPr>
          <w:p>
            <w:pPr>
              <w:spacing w:after="0"/>
              <w:rPr>
                <w:sz w:val="20"/>
                <w:szCs w:val="20"/>
                <w:color w:val="auto"/>
              </w:rPr>
            </w:pPr>
            <w:r>
              <w:rPr>
                <w:rFonts w:ascii="Arial" w:cs="Arial" w:eastAsia="Arial" w:hAnsi="Arial"/>
                <w:sz w:val="16"/>
                <w:szCs w:val="16"/>
                <w:b w:val="1"/>
                <w:bCs w:val="1"/>
                <w:color w:val="auto"/>
              </w:rPr>
              <w:t>Weighted average number of units outstanding (basic)</w:t>
            </w:r>
          </w:p>
        </w:tc>
        <w:tc>
          <w:tcPr>
            <w:tcW w:w="1380" w:type="dxa"/>
            <w:vAlign w:val="bottom"/>
            <w:shd w:val="clear" w:color="auto" w:fill="E1FFFF"/>
          </w:tcPr>
          <w:p>
            <w:pPr>
              <w:spacing w:after="0"/>
              <w:rPr>
                <w:sz w:val="17"/>
                <w:szCs w:val="17"/>
                <w:color w:val="auto"/>
              </w:rPr>
            </w:pPr>
          </w:p>
        </w:tc>
        <w:tc>
          <w:tcPr>
            <w:tcW w:w="200" w:type="dxa"/>
            <w:vAlign w:val="bottom"/>
            <w:shd w:val="clear" w:color="auto" w:fill="E1FFFF"/>
          </w:tcPr>
          <w:p>
            <w:pPr>
              <w:spacing w:after="0"/>
              <w:rPr>
                <w:sz w:val="17"/>
                <w:szCs w:val="17"/>
                <w:color w:val="auto"/>
              </w:rPr>
            </w:pPr>
          </w:p>
        </w:tc>
        <w:tc>
          <w:tcPr>
            <w:tcW w:w="1380" w:type="dxa"/>
            <w:vAlign w:val="bottom"/>
            <w:shd w:val="clear" w:color="auto" w:fill="E1FFFF"/>
          </w:tcPr>
          <w:p>
            <w:pPr>
              <w:spacing w:after="0"/>
              <w:rPr>
                <w:sz w:val="17"/>
                <w:szCs w:val="17"/>
                <w:color w:val="auto"/>
              </w:rPr>
            </w:pPr>
          </w:p>
        </w:tc>
        <w:tc>
          <w:tcPr>
            <w:tcW w:w="180" w:type="dxa"/>
            <w:vAlign w:val="bottom"/>
            <w:shd w:val="clear" w:color="auto" w:fill="E1FFFF"/>
          </w:tcPr>
          <w:p>
            <w:pPr>
              <w:spacing w:after="0"/>
              <w:rPr>
                <w:sz w:val="17"/>
                <w:szCs w:val="17"/>
                <w:color w:val="auto"/>
              </w:rPr>
            </w:pPr>
          </w:p>
        </w:tc>
        <w:tc>
          <w:tcPr>
            <w:tcW w:w="1400" w:type="dxa"/>
            <w:vAlign w:val="bottom"/>
            <w:shd w:val="clear" w:color="auto" w:fill="E1FFFF"/>
          </w:tcPr>
          <w:p>
            <w:pPr>
              <w:spacing w:after="0"/>
              <w:rPr>
                <w:sz w:val="17"/>
                <w:szCs w:val="17"/>
                <w:color w:val="auto"/>
              </w:rPr>
            </w:pPr>
          </w:p>
        </w:tc>
        <w:tc>
          <w:tcPr>
            <w:tcW w:w="180" w:type="dxa"/>
            <w:vAlign w:val="bottom"/>
            <w:shd w:val="clear" w:color="auto" w:fill="E1FFFF"/>
          </w:tcPr>
          <w:p>
            <w:pPr>
              <w:spacing w:after="0"/>
              <w:rPr>
                <w:sz w:val="17"/>
                <w:szCs w:val="17"/>
                <w:color w:val="auto"/>
              </w:rPr>
            </w:pPr>
          </w:p>
        </w:tc>
        <w:tc>
          <w:tcPr>
            <w:tcW w:w="1300" w:type="dxa"/>
            <w:vAlign w:val="bottom"/>
            <w:shd w:val="clear" w:color="auto" w:fill="E1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6"/>
                <w:szCs w:val="16"/>
                <w:color w:val="auto"/>
              </w:rPr>
              <w:t>Common units</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42,968,737</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47,325,212</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42,118,574</w:t>
            </w:r>
          </w:p>
        </w:tc>
        <w:tc>
          <w:tcPr>
            <w:tcW w:w="1300" w:type="dxa"/>
            <w:vAlign w:val="bottom"/>
          </w:tcPr>
          <w:p>
            <w:pPr>
              <w:jc w:val="right"/>
              <w:spacing w:after="0"/>
              <w:rPr>
                <w:sz w:val="20"/>
                <w:szCs w:val="20"/>
                <w:color w:val="auto"/>
              </w:rPr>
            </w:pPr>
            <w:r>
              <w:rPr>
                <w:rFonts w:ascii="Arial" w:cs="Arial" w:eastAsia="Arial" w:hAnsi="Arial"/>
                <w:sz w:val="16"/>
                <w:szCs w:val="16"/>
                <w:color w:val="auto"/>
              </w:rPr>
              <w:t>46,031,861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E1FFFF"/>
          </w:tcPr>
          <w:p>
            <w:pPr>
              <w:spacing w:after="0"/>
              <w:rPr>
                <w:sz w:val="20"/>
                <w:szCs w:val="20"/>
                <w:color w:val="auto"/>
              </w:rPr>
            </w:pPr>
            <w:r>
              <w:rPr>
                <w:rFonts w:ascii="Arial" w:cs="Arial" w:eastAsia="Arial" w:hAnsi="Arial"/>
                <w:sz w:val="16"/>
                <w:szCs w:val="16"/>
                <w:color w:val="auto"/>
              </w:rPr>
              <w:t>General partner units</w:t>
            </w:r>
          </w:p>
        </w:tc>
        <w:tc>
          <w:tcPr>
            <w:tcW w:w="1580" w:type="dxa"/>
            <w:vAlign w:val="bottom"/>
            <w:gridSpan w:val="2"/>
            <w:shd w:val="clear" w:color="auto" w:fill="E1FFFF"/>
          </w:tcPr>
          <w:p>
            <w:pPr>
              <w:jc w:val="right"/>
              <w:ind w:right="200"/>
              <w:spacing w:after="0"/>
              <w:rPr>
                <w:sz w:val="20"/>
                <w:szCs w:val="20"/>
                <w:color w:val="auto"/>
              </w:rPr>
            </w:pPr>
            <w:r>
              <w:rPr>
                <w:rFonts w:ascii="Arial" w:cs="Arial" w:eastAsia="Arial" w:hAnsi="Arial"/>
                <w:sz w:val="16"/>
                <w:szCs w:val="16"/>
                <w:color w:val="auto"/>
              </w:rPr>
              <w:t>876,958</w:t>
            </w:r>
          </w:p>
        </w:tc>
        <w:tc>
          <w:tcPr>
            <w:tcW w:w="1560" w:type="dxa"/>
            <w:vAlign w:val="bottom"/>
            <w:gridSpan w:val="2"/>
            <w:shd w:val="clear" w:color="auto" w:fill="E1FFFF"/>
          </w:tcPr>
          <w:p>
            <w:pPr>
              <w:jc w:val="right"/>
              <w:ind w:right="180"/>
              <w:spacing w:after="0"/>
              <w:rPr>
                <w:sz w:val="20"/>
                <w:szCs w:val="20"/>
                <w:color w:val="auto"/>
              </w:rPr>
            </w:pPr>
            <w:r>
              <w:rPr>
                <w:rFonts w:ascii="Arial" w:cs="Arial" w:eastAsia="Arial" w:hAnsi="Arial"/>
                <w:sz w:val="16"/>
                <w:szCs w:val="16"/>
                <w:color w:val="auto"/>
              </w:rPr>
              <w:t>1,021,336</w:t>
            </w:r>
          </w:p>
        </w:tc>
        <w:tc>
          <w:tcPr>
            <w:tcW w:w="1580" w:type="dxa"/>
            <w:vAlign w:val="bottom"/>
            <w:gridSpan w:val="2"/>
            <w:shd w:val="clear" w:color="auto" w:fill="E1FFFF"/>
          </w:tcPr>
          <w:p>
            <w:pPr>
              <w:jc w:val="right"/>
              <w:ind w:right="180"/>
              <w:spacing w:after="0"/>
              <w:rPr>
                <w:sz w:val="20"/>
                <w:szCs w:val="20"/>
                <w:color w:val="auto"/>
              </w:rPr>
            </w:pPr>
            <w:r>
              <w:rPr>
                <w:rFonts w:ascii="Arial" w:cs="Arial" w:eastAsia="Arial" w:hAnsi="Arial"/>
                <w:sz w:val="16"/>
                <w:szCs w:val="16"/>
                <w:color w:val="auto"/>
              </w:rPr>
              <w:t>859,520</w:t>
            </w:r>
          </w:p>
        </w:tc>
        <w:tc>
          <w:tcPr>
            <w:tcW w:w="1300" w:type="dxa"/>
            <w:vAlign w:val="bottom"/>
            <w:shd w:val="clear" w:color="auto" w:fill="E1FFFF"/>
          </w:tcPr>
          <w:p>
            <w:pPr>
              <w:jc w:val="right"/>
              <w:spacing w:after="0"/>
              <w:rPr>
                <w:sz w:val="20"/>
                <w:szCs w:val="20"/>
                <w:color w:val="auto"/>
              </w:rPr>
            </w:pPr>
            <w:r>
              <w:rPr>
                <w:rFonts w:ascii="Arial" w:cs="Arial" w:eastAsia="Arial" w:hAnsi="Arial"/>
                <w:sz w:val="16"/>
                <w:szCs w:val="16"/>
                <w:color w:val="auto"/>
              </w:rPr>
              <w:t>960,095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6"/>
                <w:szCs w:val="16"/>
                <w:b w:val="1"/>
                <w:bCs w:val="1"/>
                <w:color w:val="auto"/>
              </w:rPr>
              <w:t>Earnings per unit (basic)</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E1FFFF"/>
          </w:tcPr>
          <w:p>
            <w:pPr>
              <w:spacing w:after="0"/>
              <w:rPr>
                <w:sz w:val="20"/>
                <w:szCs w:val="20"/>
                <w:color w:val="auto"/>
              </w:rPr>
            </w:pPr>
            <w:r>
              <w:rPr>
                <w:rFonts w:ascii="Arial" w:cs="Arial" w:eastAsia="Arial" w:hAnsi="Arial"/>
                <w:sz w:val="16"/>
                <w:szCs w:val="16"/>
                <w:color w:val="auto"/>
              </w:rPr>
              <w:t>Common unitholders</w:t>
            </w:r>
          </w:p>
        </w:tc>
        <w:tc>
          <w:tcPr>
            <w:tcW w:w="1580" w:type="dxa"/>
            <w:vAlign w:val="bottom"/>
            <w:gridSpan w:val="2"/>
            <w:shd w:val="clear" w:color="auto" w:fill="E1FFFF"/>
          </w:tcPr>
          <w:p>
            <w:pPr>
              <w:jc w:val="right"/>
              <w:ind w:right="200"/>
              <w:spacing w:after="0"/>
              <w:rPr>
                <w:sz w:val="20"/>
                <w:szCs w:val="20"/>
                <w:color w:val="auto"/>
              </w:rPr>
            </w:pPr>
            <w:r>
              <w:rPr>
                <w:rFonts w:ascii="Arial" w:cs="Arial" w:eastAsia="Arial" w:hAnsi="Arial"/>
                <w:sz w:val="16"/>
                <w:szCs w:val="16"/>
                <w:color w:val="auto"/>
              </w:rPr>
              <w:t>0.49</w:t>
            </w:r>
          </w:p>
        </w:tc>
        <w:tc>
          <w:tcPr>
            <w:tcW w:w="1560" w:type="dxa"/>
            <w:vAlign w:val="bottom"/>
            <w:gridSpan w:val="2"/>
            <w:shd w:val="clear" w:color="auto" w:fill="E1FFFF"/>
          </w:tcPr>
          <w:p>
            <w:pPr>
              <w:jc w:val="right"/>
              <w:ind w:right="180"/>
              <w:spacing w:after="0"/>
              <w:rPr>
                <w:sz w:val="20"/>
                <w:szCs w:val="20"/>
                <w:color w:val="auto"/>
              </w:rPr>
            </w:pPr>
            <w:r>
              <w:rPr>
                <w:rFonts w:ascii="Arial" w:cs="Arial" w:eastAsia="Arial" w:hAnsi="Arial"/>
                <w:sz w:val="16"/>
                <w:szCs w:val="16"/>
                <w:color w:val="auto"/>
              </w:rPr>
              <w:t>0.45</w:t>
            </w:r>
          </w:p>
        </w:tc>
        <w:tc>
          <w:tcPr>
            <w:tcW w:w="1580" w:type="dxa"/>
            <w:vAlign w:val="bottom"/>
            <w:gridSpan w:val="2"/>
            <w:shd w:val="clear" w:color="auto" w:fill="E1FFFF"/>
          </w:tcPr>
          <w:p>
            <w:pPr>
              <w:jc w:val="right"/>
              <w:ind w:right="180"/>
              <w:spacing w:after="0"/>
              <w:rPr>
                <w:sz w:val="20"/>
                <w:szCs w:val="20"/>
                <w:color w:val="auto"/>
              </w:rPr>
            </w:pPr>
            <w:r>
              <w:rPr>
                <w:rFonts w:ascii="Arial" w:cs="Arial" w:eastAsia="Arial" w:hAnsi="Arial"/>
                <w:sz w:val="16"/>
                <w:szCs w:val="16"/>
                <w:color w:val="auto"/>
              </w:rPr>
              <w:t>1.48</w:t>
            </w:r>
          </w:p>
        </w:tc>
        <w:tc>
          <w:tcPr>
            <w:tcW w:w="1300" w:type="dxa"/>
            <w:vAlign w:val="bottom"/>
            <w:shd w:val="clear" w:color="auto" w:fill="E1FFFF"/>
          </w:tcPr>
          <w:p>
            <w:pPr>
              <w:jc w:val="right"/>
              <w:spacing w:after="0"/>
              <w:rPr>
                <w:sz w:val="20"/>
                <w:szCs w:val="20"/>
                <w:color w:val="auto"/>
              </w:rPr>
            </w:pPr>
            <w:r>
              <w:rPr>
                <w:rFonts w:ascii="Arial" w:cs="Arial" w:eastAsia="Arial" w:hAnsi="Arial"/>
                <w:sz w:val="16"/>
                <w:szCs w:val="16"/>
                <w:color w:val="auto"/>
              </w:rPr>
              <w:t>0.98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6"/>
                <w:szCs w:val="16"/>
                <w:color w:val="auto"/>
              </w:rPr>
              <w:t>General partner</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0.50</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0.45</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1.54</w:t>
            </w:r>
          </w:p>
        </w:tc>
        <w:tc>
          <w:tcPr>
            <w:tcW w:w="1300" w:type="dxa"/>
            <w:vAlign w:val="bottom"/>
          </w:tcPr>
          <w:p>
            <w:pPr>
              <w:jc w:val="right"/>
              <w:spacing w:after="0"/>
              <w:rPr>
                <w:sz w:val="20"/>
                <w:szCs w:val="20"/>
                <w:color w:val="auto"/>
              </w:rPr>
            </w:pPr>
            <w:r>
              <w:rPr>
                <w:rFonts w:ascii="Arial" w:cs="Arial" w:eastAsia="Arial" w:hAnsi="Arial"/>
                <w:sz w:val="16"/>
                <w:szCs w:val="16"/>
                <w:color w:val="auto"/>
              </w:rPr>
              <w:t>0.99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E1FFFF"/>
          </w:tcPr>
          <w:p>
            <w:pPr>
              <w:spacing w:after="0"/>
              <w:rPr>
                <w:sz w:val="20"/>
                <w:szCs w:val="20"/>
                <w:color w:val="auto"/>
              </w:rPr>
            </w:pPr>
            <w:r>
              <w:rPr>
                <w:rFonts w:ascii="Arial" w:cs="Arial" w:eastAsia="Arial" w:hAnsi="Arial"/>
                <w:sz w:val="16"/>
                <w:szCs w:val="16"/>
                <w:b w:val="1"/>
                <w:bCs w:val="1"/>
                <w:color w:val="auto"/>
              </w:rPr>
              <w:t>Weighted average number of units outstanding (diluted)</w:t>
            </w:r>
          </w:p>
        </w:tc>
        <w:tc>
          <w:tcPr>
            <w:tcW w:w="1380" w:type="dxa"/>
            <w:vAlign w:val="bottom"/>
            <w:shd w:val="clear" w:color="auto" w:fill="E1FFFF"/>
          </w:tcPr>
          <w:p>
            <w:pPr>
              <w:spacing w:after="0"/>
              <w:rPr>
                <w:sz w:val="17"/>
                <w:szCs w:val="17"/>
                <w:color w:val="auto"/>
              </w:rPr>
            </w:pPr>
          </w:p>
        </w:tc>
        <w:tc>
          <w:tcPr>
            <w:tcW w:w="200" w:type="dxa"/>
            <w:vAlign w:val="bottom"/>
            <w:shd w:val="clear" w:color="auto" w:fill="E1FFFF"/>
          </w:tcPr>
          <w:p>
            <w:pPr>
              <w:spacing w:after="0"/>
              <w:rPr>
                <w:sz w:val="17"/>
                <w:szCs w:val="17"/>
                <w:color w:val="auto"/>
              </w:rPr>
            </w:pPr>
          </w:p>
        </w:tc>
        <w:tc>
          <w:tcPr>
            <w:tcW w:w="1380" w:type="dxa"/>
            <w:vAlign w:val="bottom"/>
            <w:shd w:val="clear" w:color="auto" w:fill="E1FFFF"/>
          </w:tcPr>
          <w:p>
            <w:pPr>
              <w:spacing w:after="0"/>
              <w:rPr>
                <w:sz w:val="17"/>
                <w:szCs w:val="17"/>
                <w:color w:val="auto"/>
              </w:rPr>
            </w:pPr>
          </w:p>
        </w:tc>
        <w:tc>
          <w:tcPr>
            <w:tcW w:w="180" w:type="dxa"/>
            <w:vAlign w:val="bottom"/>
            <w:shd w:val="clear" w:color="auto" w:fill="E1FFFF"/>
          </w:tcPr>
          <w:p>
            <w:pPr>
              <w:spacing w:after="0"/>
              <w:rPr>
                <w:sz w:val="17"/>
                <w:szCs w:val="17"/>
                <w:color w:val="auto"/>
              </w:rPr>
            </w:pPr>
          </w:p>
        </w:tc>
        <w:tc>
          <w:tcPr>
            <w:tcW w:w="1400" w:type="dxa"/>
            <w:vAlign w:val="bottom"/>
            <w:shd w:val="clear" w:color="auto" w:fill="E1FFFF"/>
          </w:tcPr>
          <w:p>
            <w:pPr>
              <w:spacing w:after="0"/>
              <w:rPr>
                <w:sz w:val="17"/>
                <w:szCs w:val="17"/>
                <w:color w:val="auto"/>
              </w:rPr>
            </w:pPr>
          </w:p>
        </w:tc>
        <w:tc>
          <w:tcPr>
            <w:tcW w:w="180" w:type="dxa"/>
            <w:vAlign w:val="bottom"/>
            <w:shd w:val="clear" w:color="auto" w:fill="E1FFFF"/>
          </w:tcPr>
          <w:p>
            <w:pPr>
              <w:spacing w:after="0"/>
              <w:rPr>
                <w:sz w:val="17"/>
                <w:szCs w:val="17"/>
                <w:color w:val="auto"/>
              </w:rPr>
            </w:pPr>
          </w:p>
        </w:tc>
        <w:tc>
          <w:tcPr>
            <w:tcW w:w="1300" w:type="dxa"/>
            <w:vAlign w:val="bottom"/>
            <w:shd w:val="clear" w:color="auto" w:fill="E1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6"/>
                <w:szCs w:val="16"/>
                <w:color w:val="auto"/>
              </w:rPr>
              <w:t>Common units***</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43,035,573</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49,871,320</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42,198,860</w:t>
            </w:r>
          </w:p>
        </w:tc>
        <w:tc>
          <w:tcPr>
            <w:tcW w:w="1300" w:type="dxa"/>
            <w:vAlign w:val="bottom"/>
          </w:tcPr>
          <w:p>
            <w:pPr>
              <w:jc w:val="right"/>
              <w:spacing w:after="0"/>
              <w:rPr>
                <w:sz w:val="20"/>
                <w:szCs w:val="20"/>
                <w:color w:val="auto"/>
              </w:rPr>
            </w:pPr>
            <w:r>
              <w:rPr>
                <w:rFonts w:ascii="Arial" w:cs="Arial" w:eastAsia="Arial" w:hAnsi="Arial"/>
                <w:sz w:val="16"/>
                <w:szCs w:val="16"/>
                <w:color w:val="auto"/>
              </w:rPr>
              <w:t>46,940,668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E1FFFF"/>
          </w:tcPr>
          <w:p>
            <w:pPr>
              <w:spacing w:after="0"/>
              <w:rPr>
                <w:sz w:val="20"/>
                <w:szCs w:val="20"/>
                <w:color w:val="auto"/>
              </w:rPr>
            </w:pPr>
            <w:r>
              <w:rPr>
                <w:rFonts w:ascii="Arial" w:cs="Arial" w:eastAsia="Arial" w:hAnsi="Arial"/>
                <w:sz w:val="16"/>
                <w:szCs w:val="16"/>
                <w:color w:val="auto"/>
              </w:rPr>
              <w:t>General partner units</w:t>
            </w:r>
          </w:p>
        </w:tc>
        <w:tc>
          <w:tcPr>
            <w:tcW w:w="1580" w:type="dxa"/>
            <w:vAlign w:val="bottom"/>
            <w:gridSpan w:val="2"/>
            <w:shd w:val="clear" w:color="auto" w:fill="E1FFFF"/>
          </w:tcPr>
          <w:p>
            <w:pPr>
              <w:jc w:val="right"/>
              <w:ind w:right="200"/>
              <w:spacing w:after="0"/>
              <w:rPr>
                <w:sz w:val="20"/>
                <w:szCs w:val="20"/>
                <w:color w:val="auto"/>
              </w:rPr>
            </w:pPr>
            <w:r>
              <w:rPr>
                <w:rFonts w:ascii="Arial" w:cs="Arial" w:eastAsia="Arial" w:hAnsi="Arial"/>
                <w:sz w:val="16"/>
                <w:szCs w:val="16"/>
                <w:color w:val="auto"/>
              </w:rPr>
              <w:t>876,958</w:t>
            </w:r>
          </w:p>
        </w:tc>
        <w:tc>
          <w:tcPr>
            <w:tcW w:w="1560" w:type="dxa"/>
            <w:vAlign w:val="bottom"/>
            <w:gridSpan w:val="2"/>
            <w:shd w:val="clear" w:color="auto" w:fill="E1FFFF"/>
          </w:tcPr>
          <w:p>
            <w:pPr>
              <w:jc w:val="right"/>
              <w:ind w:right="180"/>
              <w:spacing w:after="0"/>
              <w:rPr>
                <w:sz w:val="20"/>
                <w:szCs w:val="20"/>
                <w:color w:val="auto"/>
              </w:rPr>
            </w:pPr>
            <w:r>
              <w:rPr>
                <w:rFonts w:ascii="Arial" w:cs="Arial" w:eastAsia="Arial" w:hAnsi="Arial"/>
                <w:sz w:val="16"/>
                <w:szCs w:val="16"/>
                <w:color w:val="auto"/>
              </w:rPr>
              <w:t>1,021,336</w:t>
            </w:r>
          </w:p>
        </w:tc>
        <w:tc>
          <w:tcPr>
            <w:tcW w:w="1580" w:type="dxa"/>
            <w:vAlign w:val="bottom"/>
            <w:gridSpan w:val="2"/>
            <w:shd w:val="clear" w:color="auto" w:fill="E1FFFF"/>
          </w:tcPr>
          <w:p>
            <w:pPr>
              <w:jc w:val="right"/>
              <w:ind w:right="180"/>
              <w:spacing w:after="0"/>
              <w:rPr>
                <w:sz w:val="20"/>
                <w:szCs w:val="20"/>
                <w:color w:val="auto"/>
              </w:rPr>
            </w:pPr>
            <w:r>
              <w:rPr>
                <w:rFonts w:ascii="Arial" w:cs="Arial" w:eastAsia="Arial" w:hAnsi="Arial"/>
                <w:sz w:val="16"/>
                <w:szCs w:val="16"/>
                <w:color w:val="auto"/>
              </w:rPr>
              <w:t>859,520</w:t>
            </w:r>
          </w:p>
        </w:tc>
        <w:tc>
          <w:tcPr>
            <w:tcW w:w="1300" w:type="dxa"/>
            <w:vAlign w:val="bottom"/>
            <w:shd w:val="clear" w:color="auto" w:fill="E1FFFF"/>
          </w:tcPr>
          <w:p>
            <w:pPr>
              <w:jc w:val="right"/>
              <w:spacing w:after="0"/>
              <w:rPr>
                <w:sz w:val="20"/>
                <w:szCs w:val="20"/>
                <w:color w:val="auto"/>
              </w:rPr>
            </w:pPr>
            <w:r>
              <w:rPr>
                <w:rFonts w:ascii="Arial" w:cs="Arial" w:eastAsia="Arial" w:hAnsi="Arial"/>
                <w:sz w:val="16"/>
                <w:szCs w:val="16"/>
                <w:color w:val="auto"/>
              </w:rPr>
              <w:t>960,095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6"/>
                <w:szCs w:val="16"/>
                <w:b w:val="1"/>
                <w:bCs w:val="1"/>
                <w:color w:val="auto"/>
              </w:rPr>
              <w:t>Earnings per unit (diluted)</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E1FFFF"/>
          </w:tcPr>
          <w:p>
            <w:pPr>
              <w:spacing w:after="0"/>
              <w:rPr>
                <w:sz w:val="20"/>
                <w:szCs w:val="20"/>
                <w:color w:val="auto"/>
              </w:rPr>
            </w:pPr>
            <w:r>
              <w:rPr>
                <w:rFonts w:ascii="Arial" w:cs="Arial" w:eastAsia="Arial" w:hAnsi="Arial"/>
                <w:sz w:val="16"/>
                <w:szCs w:val="16"/>
                <w:color w:val="auto"/>
              </w:rPr>
              <w:t>Common unitholders</w:t>
            </w:r>
          </w:p>
        </w:tc>
        <w:tc>
          <w:tcPr>
            <w:tcW w:w="1580" w:type="dxa"/>
            <w:vAlign w:val="bottom"/>
            <w:gridSpan w:val="2"/>
            <w:shd w:val="clear" w:color="auto" w:fill="E1FFFF"/>
          </w:tcPr>
          <w:p>
            <w:pPr>
              <w:jc w:val="right"/>
              <w:ind w:right="200"/>
              <w:spacing w:after="0"/>
              <w:rPr>
                <w:sz w:val="20"/>
                <w:szCs w:val="20"/>
                <w:color w:val="auto"/>
              </w:rPr>
            </w:pPr>
            <w:r>
              <w:rPr>
                <w:rFonts w:ascii="Arial" w:cs="Arial" w:eastAsia="Arial" w:hAnsi="Arial"/>
                <w:sz w:val="16"/>
                <w:szCs w:val="16"/>
                <w:color w:val="auto"/>
              </w:rPr>
              <w:t>0.49</w:t>
            </w:r>
          </w:p>
        </w:tc>
        <w:tc>
          <w:tcPr>
            <w:tcW w:w="1560" w:type="dxa"/>
            <w:vAlign w:val="bottom"/>
            <w:gridSpan w:val="2"/>
            <w:shd w:val="clear" w:color="auto" w:fill="E1FFFF"/>
          </w:tcPr>
          <w:p>
            <w:pPr>
              <w:jc w:val="right"/>
              <w:ind w:right="180"/>
              <w:spacing w:after="0"/>
              <w:rPr>
                <w:sz w:val="20"/>
                <w:szCs w:val="20"/>
                <w:color w:val="auto"/>
              </w:rPr>
            </w:pPr>
            <w:r>
              <w:rPr>
                <w:rFonts w:ascii="Arial" w:cs="Arial" w:eastAsia="Arial" w:hAnsi="Arial"/>
                <w:sz w:val="16"/>
                <w:szCs w:val="16"/>
                <w:color w:val="auto"/>
              </w:rPr>
              <w:t>0.43</w:t>
            </w:r>
          </w:p>
        </w:tc>
        <w:tc>
          <w:tcPr>
            <w:tcW w:w="1580" w:type="dxa"/>
            <w:vAlign w:val="bottom"/>
            <w:gridSpan w:val="2"/>
            <w:shd w:val="clear" w:color="auto" w:fill="E1FFFF"/>
          </w:tcPr>
          <w:p>
            <w:pPr>
              <w:jc w:val="right"/>
              <w:ind w:right="180"/>
              <w:spacing w:after="0"/>
              <w:rPr>
                <w:sz w:val="20"/>
                <w:szCs w:val="20"/>
                <w:color w:val="auto"/>
              </w:rPr>
            </w:pPr>
            <w:r>
              <w:rPr>
                <w:rFonts w:ascii="Arial" w:cs="Arial" w:eastAsia="Arial" w:hAnsi="Arial"/>
                <w:sz w:val="16"/>
                <w:szCs w:val="16"/>
                <w:color w:val="auto"/>
              </w:rPr>
              <w:t>1.48</w:t>
            </w:r>
          </w:p>
        </w:tc>
        <w:tc>
          <w:tcPr>
            <w:tcW w:w="1300" w:type="dxa"/>
            <w:vAlign w:val="bottom"/>
            <w:shd w:val="clear" w:color="auto" w:fill="E1FFFF"/>
          </w:tcPr>
          <w:p>
            <w:pPr>
              <w:jc w:val="right"/>
              <w:spacing w:after="0"/>
              <w:rPr>
                <w:sz w:val="20"/>
                <w:szCs w:val="20"/>
                <w:color w:val="auto"/>
              </w:rPr>
            </w:pPr>
            <w:r>
              <w:rPr>
                <w:rFonts w:ascii="Arial" w:cs="Arial" w:eastAsia="Arial" w:hAnsi="Arial"/>
                <w:sz w:val="16"/>
                <w:szCs w:val="16"/>
                <w:color w:val="auto"/>
              </w:rPr>
              <w:t>0.96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00" w:type="dxa"/>
            <w:vAlign w:val="bottom"/>
          </w:tcPr>
          <w:p>
            <w:pPr>
              <w:spacing w:after="0"/>
              <w:rPr>
                <w:sz w:val="20"/>
                <w:szCs w:val="20"/>
                <w:color w:val="auto"/>
              </w:rPr>
            </w:pPr>
            <w:r>
              <w:rPr>
                <w:rFonts w:ascii="Arial" w:cs="Arial" w:eastAsia="Arial" w:hAnsi="Arial"/>
                <w:sz w:val="16"/>
                <w:szCs w:val="16"/>
                <w:color w:val="auto"/>
              </w:rPr>
              <w:t>General partner</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0.50</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0.45</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1.54</w:t>
            </w:r>
          </w:p>
        </w:tc>
        <w:tc>
          <w:tcPr>
            <w:tcW w:w="1300" w:type="dxa"/>
            <w:vAlign w:val="bottom"/>
          </w:tcPr>
          <w:p>
            <w:pPr>
              <w:jc w:val="right"/>
              <w:spacing w:after="0"/>
              <w:rPr>
                <w:sz w:val="20"/>
                <w:szCs w:val="20"/>
                <w:color w:val="auto"/>
              </w:rPr>
            </w:pPr>
            <w:r>
              <w:rPr>
                <w:rFonts w:ascii="Arial" w:cs="Arial" w:eastAsia="Arial" w:hAnsi="Arial"/>
                <w:sz w:val="16"/>
                <w:szCs w:val="16"/>
                <w:color w:val="auto"/>
              </w:rPr>
              <w:t>0.99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40" w:right="20" w:hanging="132"/>
        <w:spacing w:after="0" w:line="235" w:lineRule="auto"/>
        <w:tabs>
          <w:tab w:leader="none" w:pos="134" w:val="left"/>
        </w:tabs>
        <w:numPr>
          <w:ilvl w:val="0"/>
          <w:numId w:val="27"/>
        </w:numPr>
        <w:rPr>
          <w:rFonts w:ascii="Arial" w:cs="Arial" w:eastAsia="Arial" w:hAnsi="Arial"/>
          <w:sz w:val="16"/>
          <w:szCs w:val="16"/>
          <w:color w:val="auto"/>
        </w:rPr>
      </w:pPr>
      <w:r>
        <w:rPr>
          <w:rFonts w:ascii="Arial" w:cs="Arial" w:eastAsia="Arial" w:hAnsi="Arial"/>
          <w:sz w:val="14"/>
          <w:szCs w:val="14"/>
          <w:color w:val="auto"/>
        </w:rPr>
        <w:t>Includes the aggregate profit of GAS-fourteen Ltd., GAS-twenty seven Ltd. and GAS-twelve Ltd. for the period prior to their transfers to the Partnership on April 26, 2018, November 14, 2018 and April 1, 2019, respectively. While such amounts are reflected in the Partnership’s financial statements because the transfers to the Partnership were accounted for as reorganizations of entities under common control (Note 1), the aforementioned entities were not owned by the Partnership prior to their transfers to the Partnership on the respective dates and accordingly the Partnership was not entitled to the cash or results generated in the periods prior to such transfers.</w:t>
      </w:r>
    </w:p>
    <w:p>
      <w:pPr>
        <w:spacing w:after="0" w:line="117" w:lineRule="exact"/>
        <w:rPr>
          <w:sz w:val="20"/>
          <w:szCs w:val="20"/>
          <w:color w:val="auto"/>
        </w:rPr>
      </w:pPr>
    </w:p>
    <w:p>
      <w:pPr>
        <w:ind w:left="140" w:right="380" w:hanging="132"/>
        <w:spacing w:after="0" w:line="238" w:lineRule="auto"/>
        <w:tabs>
          <w:tab w:leader="none" w:pos="192"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IDRs were eliminated on June 30, 2019 (Note 6). Until their elimination, they represented the right to receive an increasing percentage of quarterly distributions of available cash from operating surplus after the minimum quarterly distribution and the target distribution levels have been achieved. GasLog held the incentive distribution rights following completion of the Partnership’s IPO. Based on the nature of such right, earnings attributable to IDRs could not be allocated on a per unit basis.</w:t>
      </w:r>
    </w:p>
    <w:p>
      <w:pPr>
        <w:spacing w:after="0" w:line="115" w:lineRule="exact"/>
        <w:rPr>
          <w:sz w:val="20"/>
          <w:szCs w:val="20"/>
          <w:color w:val="auto"/>
        </w:rPr>
      </w:pPr>
    </w:p>
    <w:p>
      <w:pPr>
        <w:ind w:left="140" w:right="40" w:hanging="127"/>
        <w:spacing w:after="0" w:line="264" w:lineRule="auto"/>
        <w:rPr>
          <w:sz w:val="20"/>
          <w:szCs w:val="20"/>
          <w:color w:val="auto"/>
        </w:rPr>
      </w:pPr>
      <w:r>
        <w:rPr>
          <w:rFonts w:ascii="Arial" w:cs="Arial" w:eastAsia="Arial" w:hAnsi="Arial"/>
          <w:sz w:val="13"/>
          <w:szCs w:val="13"/>
          <w:color w:val="auto"/>
        </w:rPr>
        <w:t>***Includes unvested awards (Note 17) and Class B units. The 2,490,000 Class B units were issued on June 30, 2019 and are included in the weighted average number of units outstanding for the calculation of diluted EPU from July 1, 2019 and onwards. They will become eligible for conversion on a one-for-one basis into common units at GasLog’s option in six tranches of 415,000 units per annum on July 1 of 2020, 2021, 2022, 2023, 2024 and 2025; as a result, they do not have an impact on the calculation of basic EPU until conversion.</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Share-based Compensation</w:t>
      </w:r>
    </w:p>
    <w:p>
      <w:pPr>
        <w:spacing w:after="0" w:line="239" w:lineRule="exact"/>
        <w:rPr>
          <w:sz w:val="20"/>
          <w:szCs w:val="20"/>
          <w:color w:val="auto"/>
        </w:rPr>
      </w:pPr>
    </w:p>
    <w:p>
      <w:pPr>
        <w:ind w:right="420" w:firstLine="383"/>
        <w:spacing w:after="0" w:line="278" w:lineRule="auto"/>
        <w:rPr>
          <w:sz w:val="20"/>
          <w:szCs w:val="20"/>
          <w:color w:val="auto"/>
        </w:rPr>
      </w:pPr>
      <w:r>
        <w:rPr>
          <w:rFonts w:ascii="Arial" w:cs="Arial" w:eastAsia="Arial" w:hAnsi="Arial"/>
          <w:sz w:val="16"/>
          <w:szCs w:val="16"/>
          <w:color w:val="auto"/>
        </w:rPr>
        <w:t>The terms of the 2015 Long-Term Incentive Plan (the “2015 Plan”) and the assumptions for the valuation of Restricted Common Units (“RCUs”) and Performance Common Units (“PCUs”) have been disclosed in Note 20 “Share-Based Compensation” in the annual audited consolidated financial statements for the year ended December 31, 2018.</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2" w:right="279" w:bottom="1440" w:gutter="0" w:footer="0" w:header="0"/>
        </w:sectPr>
      </w:pPr>
    </w:p>
    <w:bookmarkStart w:id="42" w:name="page43"/>
    <w:bookmarkEnd w:id="42"/>
    <w:p>
      <w:pPr>
        <w:ind w:right="180" w:firstLine="324"/>
        <w:spacing w:after="0" w:line="293" w:lineRule="auto"/>
        <w:rPr>
          <w:sz w:val="20"/>
          <w:szCs w:val="20"/>
          <w:color w:val="auto"/>
        </w:rPr>
      </w:pPr>
      <w:r>
        <w:rPr>
          <w:rFonts w:ascii="Arial" w:cs="Arial" w:eastAsia="Arial" w:hAnsi="Arial"/>
          <w:sz w:val="16"/>
          <w:szCs w:val="16"/>
          <w:color w:val="auto"/>
        </w:rPr>
        <w:t>On April 1, 2019, the Partnership granted to its executives 13,408 RCUs and 13,408 PCUs in accordance with its 2015 Plan. The RCUs and PCUs will vest on April 1, 2022. The holders are entitled to cash distributions that will be accrued and settled on vesting.</w:t>
      </w:r>
    </w:p>
    <w:p>
      <w:pPr>
        <w:spacing w:after="0" w:line="168" w:lineRule="exact"/>
        <w:rPr>
          <w:sz w:val="20"/>
          <w:szCs w:val="20"/>
          <w:color w:val="auto"/>
        </w:rPr>
      </w:pPr>
    </w:p>
    <w:tbl>
      <w:tblPr>
        <w:tblLayout w:type="fixed"/>
        <w:tblInd w:w="130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4"/>
              </w:rPr>
              <w:t>Fair value at</w:t>
            </w:r>
          </w:p>
        </w:tc>
      </w:tr>
      <w:tr>
        <w:trPr>
          <w:trHeight w:val="213"/>
        </w:trPr>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Awards</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Number</w:t>
            </w:r>
          </w:p>
        </w:tc>
        <w:tc>
          <w:tcPr>
            <w:tcW w:w="2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Grant date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3"/>
              </w:rPr>
              <w:t>grant date</w:t>
            </w:r>
          </w:p>
        </w:tc>
      </w:tr>
      <w:tr>
        <w:trPr>
          <w:trHeight w:val="199"/>
        </w:trPr>
        <w:tc>
          <w:tcPr>
            <w:tcW w:w="28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RCUs</w:t>
            </w:r>
          </w:p>
        </w:tc>
        <w:tc>
          <w:tcPr>
            <w:tcW w:w="22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13,408</w:t>
            </w:r>
          </w:p>
        </w:tc>
        <w:tc>
          <w:tcPr>
            <w:tcW w:w="20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April 1, 2019</w:t>
            </w:r>
          </w:p>
        </w:tc>
        <w:tc>
          <w:tcPr>
            <w:tcW w:w="20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$22.99</w:t>
            </w:r>
          </w:p>
        </w:tc>
      </w:tr>
      <w:tr>
        <w:trPr>
          <w:trHeight w:val="206"/>
        </w:trPr>
        <w:tc>
          <w:tcPr>
            <w:tcW w:w="3020" w:type="dxa"/>
            <w:vAlign w:val="bottom"/>
            <w:gridSpan w:val="2"/>
          </w:tcPr>
          <w:p>
            <w:pPr>
              <w:spacing w:after="0"/>
              <w:rPr>
                <w:sz w:val="20"/>
                <w:szCs w:val="20"/>
                <w:color w:val="auto"/>
              </w:rPr>
            </w:pPr>
            <w:r>
              <w:rPr>
                <w:rFonts w:ascii="Arial" w:cs="Arial" w:eastAsia="Arial" w:hAnsi="Arial"/>
                <w:sz w:val="16"/>
                <w:szCs w:val="16"/>
                <w:color w:val="auto"/>
              </w:rPr>
              <w:t>PCUs</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13,408</w:t>
            </w:r>
          </w:p>
        </w:tc>
        <w:tc>
          <w:tcPr>
            <w:tcW w:w="200" w:type="dxa"/>
            <w:vAlign w:val="bottom"/>
          </w:tcPr>
          <w:p>
            <w:pPr>
              <w:spacing w:after="0"/>
              <w:rPr>
                <w:sz w:val="17"/>
                <w:szCs w:val="17"/>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April 1, 2019</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$22.99</w:t>
            </w:r>
          </w:p>
        </w:tc>
      </w:tr>
    </w:tbl>
    <w:p>
      <w:pPr>
        <w:spacing w:after="0" w:line="202" w:lineRule="exact"/>
        <w:rPr>
          <w:sz w:val="20"/>
          <w:szCs w:val="20"/>
          <w:color w:val="auto"/>
        </w:rPr>
      </w:pPr>
    </w:p>
    <w:p>
      <w:pPr>
        <w:jc w:val="both"/>
        <w:ind w:right="80" w:firstLine="324"/>
        <w:spacing w:after="0" w:line="278" w:lineRule="auto"/>
        <w:rPr>
          <w:sz w:val="20"/>
          <w:szCs w:val="20"/>
          <w:color w:val="auto"/>
        </w:rPr>
      </w:pPr>
      <w:r>
        <w:rPr>
          <w:rFonts w:ascii="Arial" w:cs="Arial" w:eastAsia="Arial" w:hAnsi="Arial"/>
          <w:sz w:val="16"/>
          <w:szCs w:val="16"/>
          <w:color w:val="auto"/>
        </w:rPr>
        <w:t>In accordance with the terms of the 2015 Plan, the awards will be settled in cash or in common units at the sole discretion of the board of directors or such committee as may be designated by the board to administer the 2015 Plan. These awards have been treated as equity settled because the Partnership has no present obligation to settle them in cash.</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w:t>
      </w:r>
    </w:p>
    <w:p>
      <w:pPr>
        <w:spacing w:after="0" w:line="239"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The fair value of the RCUs and PCUs in accordance with the Plan was determined by using the grant date closing price of $22.99 per common unit and was not further adjusted since the holders are entitled to cash distributions.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Movement in RCUs and PCUs during the period</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06"/>
        </w:trPr>
        <w:tc>
          <w:tcPr>
            <w:tcW w:w="5440" w:type="dxa"/>
            <w:vAlign w:val="bottom"/>
            <w:gridSpan w:val="2"/>
          </w:tcPr>
          <w:p>
            <w:pPr>
              <w:spacing w:after="0"/>
              <w:rPr>
                <w:sz w:val="20"/>
                <w:szCs w:val="20"/>
                <w:color w:val="auto"/>
              </w:rPr>
            </w:pPr>
            <w:r>
              <w:rPr>
                <w:rFonts w:ascii="Arial" w:cs="Arial" w:eastAsia="Arial" w:hAnsi="Arial"/>
                <w:sz w:val="16"/>
                <w:szCs w:val="16"/>
                <w:color w:val="auto"/>
              </w:rPr>
              <w:t>The summary of RCUs and PCUs is presented below:</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3"/>
        </w:trPr>
        <w:tc>
          <w:tcPr>
            <w:tcW w:w="3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Number of</w:t>
            </w: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average</w:t>
            </w: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awards</w:t>
            </w: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contractual life</w:t>
            </w: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fair value</w:t>
            </w: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5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RCUs</w:t>
            </w:r>
          </w:p>
        </w:tc>
        <w:tc>
          <w:tcPr>
            <w:tcW w:w="1360" w:type="dxa"/>
            <w:vAlign w:val="bottom"/>
            <w:tcBorders>
              <w:top w:val="single" w:sz="8" w:color="auto"/>
            </w:tcBorders>
            <w:shd w:val="clear" w:color="auto" w:fill="E5FFFF"/>
          </w:tcPr>
          <w:p>
            <w:pPr>
              <w:spacing w:after="0"/>
              <w:rPr>
                <w:sz w:val="16"/>
                <w:szCs w:val="16"/>
                <w:color w:val="auto"/>
              </w:rPr>
            </w:pPr>
          </w:p>
        </w:tc>
        <w:tc>
          <w:tcPr>
            <w:tcW w:w="240" w:type="dxa"/>
            <w:vAlign w:val="bottom"/>
            <w:tcBorders>
              <w:top w:val="single" w:sz="8" w:color="E5FFFF"/>
            </w:tcBorders>
            <w:shd w:val="clear" w:color="auto" w:fill="E5FFFF"/>
          </w:tcPr>
          <w:p>
            <w:pPr>
              <w:spacing w:after="0"/>
              <w:rPr>
                <w:sz w:val="16"/>
                <w:szCs w:val="16"/>
                <w:color w:val="auto"/>
              </w:rPr>
            </w:pPr>
          </w:p>
        </w:tc>
        <w:tc>
          <w:tcPr>
            <w:tcW w:w="1360" w:type="dxa"/>
            <w:vAlign w:val="bottom"/>
            <w:tcBorders>
              <w:top w:val="single" w:sz="8" w:color="auto"/>
            </w:tcBorders>
            <w:shd w:val="clear" w:color="auto" w:fill="E5FFFF"/>
          </w:tcPr>
          <w:p>
            <w:pPr>
              <w:spacing w:after="0"/>
              <w:rPr>
                <w:sz w:val="16"/>
                <w:szCs w:val="16"/>
                <w:color w:val="auto"/>
              </w:rPr>
            </w:pPr>
          </w:p>
        </w:tc>
        <w:tc>
          <w:tcPr>
            <w:tcW w:w="240" w:type="dxa"/>
            <w:vAlign w:val="bottom"/>
            <w:tcBorders>
              <w:top w:val="single" w:sz="8" w:color="E5FFFF"/>
            </w:tcBorders>
            <w:shd w:val="clear" w:color="auto" w:fill="E5FFFF"/>
          </w:tcPr>
          <w:p>
            <w:pPr>
              <w:spacing w:after="0"/>
              <w:rPr>
                <w:sz w:val="16"/>
                <w:szCs w:val="16"/>
                <w:color w:val="auto"/>
              </w:rPr>
            </w:pPr>
          </w:p>
        </w:tc>
        <w:tc>
          <w:tcPr>
            <w:tcW w:w="1340" w:type="dxa"/>
            <w:vAlign w:val="bottom"/>
            <w:tcBorders>
              <w:top w:val="single" w:sz="8" w:color="auto"/>
            </w:tcBorders>
            <w:shd w:val="clear" w:color="auto" w:fill="E5FFFF"/>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6"/>
                <w:szCs w:val="16"/>
                <w:b w:val="1"/>
                <w:bCs w:val="1"/>
                <w:color w:val="auto"/>
              </w:rPr>
              <w:t>Outstanding as of January 1, 2019</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75,084</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1.25</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1,595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Granted during the period</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13,408</w:t>
            </w:r>
          </w:p>
        </w:tc>
        <w:tc>
          <w:tcPr>
            <w:tcW w:w="24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6"/>
                <w:szCs w:val="16"/>
                <w:color w:val="auto"/>
              </w:rPr>
              <w:t>Vested during the period</w:t>
            </w: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(24,925)</w:t>
            </w: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1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Outstanding as of September 30, 2019</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63,567</w:t>
            </w:r>
          </w:p>
        </w:tc>
        <w:tc>
          <w:tcPr>
            <w:tcW w:w="24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1.32</w:t>
            </w:r>
          </w:p>
        </w:tc>
        <w:tc>
          <w:tcPr>
            <w:tcW w:w="24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1,493</w:t>
            </w:r>
          </w:p>
        </w:tc>
        <w:tc>
          <w:tcPr>
            <w:tcW w:w="1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120" w:type="dxa"/>
            <w:vAlign w:val="bottom"/>
            <w:vMerge w:val="restart"/>
          </w:tcPr>
          <w:p>
            <w:pPr>
              <w:spacing w:after="0"/>
              <w:rPr>
                <w:sz w:val="20"/>
                <w:szCs w:val="20"/>
                <w:color w:val="auto"/>
              </w:rPr>
            </w:pPr>
            <w:r>
              <w:rPr>
                <w:rFonts w:ascii="Arial" w:cs="Arial" w:eastAsia="Arial" w:hAnsi="Arial"/>
                <w:sz w:val="16"/>
                <w:szCs w:val="16"/>
                <w:b w:val="1"/>
                <w:bCs w:val="1"/>
                <w:color w:val="auto"/>
              </w:rPr>
              <w:t>PCUs</w:t>
            </w: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512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1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Outstanding as of January 1, 2019</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75,084</w:t>
            </w:r>
          </w:p>
        </w:tc>
        <w:tc>
          <w:tcPr>
            <w:tcW w:w="24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1.25</w:t>
            </w:r>
          </w:p>
        </w:tc>
        <w:tc>
          <w:tcPr>
            <w:tcW w:w="24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1,595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6"/>
                <w:szCs w:val="16"/>
                <w:color w:val="auto"/>
              </w:rPr>
              <w:t>Granted during the period</w:t>
            </w:r>
          </w:p>
        </w:tc>
        <w:tc>
          <w:tcPr>
            <w:tcW w:w="1360" w:type="dxa"/>
            <w:vAlign w:val="bottom"/>
          </w:tcPr>
          <w:p>
            <w:pPr>
              <w:jc w:val="right"/>
              <w:spacing w:after="0"/>
              <w:rPr>
                <w:sz w:val="20"/>
                <w:szCs w:val="20"/>
                <w:color w:val="auto"/>
              </w:rPr>
            </w:pPr>
            <w:r>
              <w:rPr>
                <w:rFonts w:ascii="Arial" w:cs="Arial" w:eastAsia="Arial" w:hAnsi="Arial"/>
                <w:sz w:val="16"/>
                <w:szCs w:val="16"/>
                <w:color w:val="auto"/>
              </w:rPr>
              <w:t>13,408</w:t>
            </w:r>
          </w:p>
        </w:tc>
        <w:tc>
          <w:tcPr>
            <w:tcW w:w="240" w:type="dxa"/>
            <w:vAlign w:val="bottom"/>
          </w:tcPr>
          <w:p>
            <w:pPr>
              <w:spacing w:after="0"/>
              <w:rPr>
                <w:sz w:val="17"/>
                <w:szCs w:val="17"/>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Vested during the period</w:t>
            </w:r>
          </w:p>
        </w:tc>
        <w:tc>
          <w:tcPr>
            <w:tcW w:w="160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(24,925)</w:t>
            </w:r>
          </w:p>
        </w:tc>
        <w:tc>
          <w:tcPr>
            <w:tcW w:w="16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gridSpan w:val="2"/>
          </w:tcPr>
          <w:p>
            <w:pPr>
              <w:ind w:left="320"/>
              <w:spacing w:after="0"/>
              <w:rPr>
                <w:sz w:val="20"/>
                <w:szCs w:val="20"/>
                <w:color w:val="auto"/>
              </w:rPr>
            </w:pPr>
            <w:r>
              <w:rPr>
                <w:rFonts w:ascii="Arial" w:cs="Arial" w:eastAsia="Arial" w:hAnsi="Arial"/>
                <w:sz w:val="16"/>
                <w:szCs w:val="16"/>
                <w:b w:val="1"/>
                <w:bCs w:val="1"/>
                <w:color w:val="auto"/>
              </w:rPr>
              <w:t>Outstanding as of September 30, 2019</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63,567</w:t>
            </w:r>
          </w:p>
        </w:tc>
        <w:tc>
          <w:tcPr>
            <w:tcW w:w="24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w:t>
            </w:r>
          </w:p>
        </w:tc>
        <w:tc>
          <w:tcPr>
            <w:tcW w:w="24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1,493</w:t>
            </w:r>
          </w:p>
        </w:tc>
        <w:tc>
          <w:tcPr>
            <w:tcW w:w="1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40" w:firstLine="396"/>
        <w:spacing w:after="0" w:line="278" w:lineRule="auto"/>
        <w:rPr>
          <w:sz w:val="20"/>
          <w:szCs w:val="20"/>
          <w:color w:val="auto"/>
        </w:rPr>
      </w:pPr>
      <w:r>
        <w:rPr>
          <w:rFonts w:ascii="Arial" w:cs="Arial" w:eastAsia="Arial" w:hAnsi="Arial"/>
          <w:sz w:val="16"/>
          <w:szCs w:val="16"/>
          <w:color w:val="auto"/>
        </w:rPr>
        <w:t>On April 2, 2019, 24,925 RCUs and 24,925 PCUs vested under the Partnership’s 2015 Plan. The total expense recognized in respect of equity-settled employee benefits for the three and nine months ended September 30, 2019 was $250 and $759, respectively (for the three and nine months ended September 30, 2018: $268 and $766, respectively). The total accrued cash distribution as of September 30, 2019 is $458 (December 31, 2018: $542).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Commitments and Contingencies</w:t>
      </w:r>
    </w:p>
    <w:p>
      <w:pPr>
        <w:spacing w:after="0" w:line="239" w:lineRule="exact"/>
        <w:rPr>
          <w:sz w:val="20"/>
          <w:szCs w:val="20"/>
          <w:color w:val="auto"/>
        </w:rPr>
      </w:pPr>
    </w:p>
    <w:p>
      <w:pPr>
        <w:ind w:firstLine="405"/>
        <w:spacing w:after="0" w:line="278" w:lineRule="auto"/>
        <w:rPr>
          <w:sz w:val="20"/>
          <w:szCs w:val="20"/>
          <w:color w:val="auto"/>
        </w:rPr>
      </w:pPr>
      <w:r>
        <w:rPr>
          <w:rFonts w:ascii="Arial" w:cs="Arial" w:eastAsia="Arial" w:hAnsi="Arial"/>
          <w:sz w:val="16"/>
          <w:szCs w:val="16"/>
          <w:color w:val="auto"/>
        </w:rPr>
        <w:t>Future gross minimum lease payments receivable in relation to non-cancellable time charter agreements for vessels in operation as of September 30, 2019 are as follows (30 off-hire days are assumed when each vessel will undergo scheduled dry-docking; in addition, early redelivery of the vessels by the charterers or any exercise of the charterers’ options to extend the terms of the charters are not accounted for):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Period</w:t>
            </w:r>
          </w:p>
        </w:tc>
        <w:tc>
          <w:tcPr>
            <w:tcW w:w="1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September 30, 2019</w:t>
            </w:r>
          </w:p>
        </w:tc>
      </w:tr>
      <w:tr>
        <w:trPr>
          <w:trHeight w:val="199"/>
        </w:trPr>
        <w:tc>
          <w:tcPr>
            <w:tcW w:w="9120" w:type="dxa"/>
            <w:vAlign w:val="bottom"/>
            <w:shd w:val="clear" w:color="auto" w:fill="E5FFFF"/>
          </w:tcPr>
          <w:p>
            <w:pPr>
              <w:spacing w:after="0"/>
              <w:rPr>
                <w:sz w:val="20"/>
                <w:szCs w:val="20"/>
                <w:color w:val="auto"/>
              </w:rPr>
            </w:pPr>
            <w:r>
              <w:rPr>
                <w:rFonts w:ascii="Arial" w:cs="Arial" w:eastAsia="Arial" w:hAnsi="Arial"/>
                <w:sz w:val="16"/>
                <w:szCs w:val="16"/>
                <w:color w:val="auto"/>
              </w:rPr>
              <w:t>Not later than one year</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$244,464</w:t>
            </w:r>
          </w:p>
        </w:tc>
      </w:tr>
      <w:tr>
        <w:trPr>
          <w:trHeight w:val="203"/>
        </w:trPr>
        <w:tc>
          <w:tcPr>
            <w:tcW w:w="9120" w:type="dxa"/>
            <w:vAlign w:val="bottom"/>
          </w:tcPr>
          <w:p>
            <w:pPr>
              <w:spacing w:after="0"/>
              <w:rPr>
                <w:sz w:val="20"/>
                <w:szCs w:val="20"/>
                <w:color w:val="auto"/>
              </w:rPr>
            </w:pPr>
            <w:r>
              <w:rPr>
                <w:rFonts w:ascii="Arial" w:cs="Arial" w:eastAsia="Arial" w:hAnsi="Arial"/>
                <w:sz w:val="16"/>
                <w:szCs w:val="16"/>
                <w:color w:val="auto"/>
              </w:rPr>
              <w:t>Later than one year and not later than two years</w:t>
            </w:r>
          </w:p>
        </w:tc>
        <w:tc>
          <w:tcPr>
            <w:tcW w:w="1840" w:type="dxa"/>
            <w:vAlign w:val="bottom"/>
          </w:tcPr>
          <w:p>
            <w:pPr>
              <w:jc w:val="right"/>
              <w:spacing w:after="0"/>
              <w:rPr>
                <w:sz w:val="20"/>
                <w:szCs w:val="20"/>
                <w:color w:val="auto"/>
              </w:rPr>
            </w:pPr>
            <w:r>
              <w:rPr>
                <w:rFonts w:ascii="Arial" w:cs="Arial" w:eastAsia="Arial" w:hAnsi="Arial"/>
                <w:sz w:val="16"/>
                <w:szCs w:val="16"/>
                <w:color w:val="auto"/>
              </w:rPr>
              <w:t>$169,749</w:t>
            </w:r>
          </w:p>
        </w:tc>
      </w:tr>
      <w:tr>
        <w:trPr>
          <w:trHeight w:val="203"/>
        </w:trPr>
        <w:tc>
          <w:tcPr>
            <w:tcW w:w="9120" w:type="dxa"/>
            <w:vAlign w:val="bottom"/>
            <w:shd w:val="clear" w:color="auto" w:fill="E5FFFF"/>
          </w:tcPr>
          <w:p>
            <w:pPr>
              <w:spacing w:after="0"/>
              <w:rPr>
                <w:sz w:val="20"/>
                <w:szCs w:val="20"/>
                <w:color w:val="auto"/>
              </w:rPr>
            </w:pPr>
            <w:r>
              <w:rPr>
                <w:rFonts w:ascii="Arial" w:cs="Arial" w:eastAsia="Arial" w:hAnsi="Arial"/>
                <w:sz w:val="16"/>
                <w:szCs w:val="16"/>
                <w:color w:val="auto"/>
              </w:rPr>
              <w:t>Later than two years and not later than three years</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$126,990</w:t>
            </w:r>
          </w:p>
        </w:tc>
      </w:tr>
      <w:tr>
        <w:trPr>
          <w:trHeight w:val="203"/>
        </w:trPr>
        <w:tc>
          <w:tcPr>
            <w:tcW w:w="9120" w:type="dxa"/>
            <w:vAlign w:val="bottom"/>
          </w:tcPr>
          <w:p>
            <w:pPr>
              <w:spacing w:after="0"/>
              <w:rPr>
                <w:sz w:val="20"/>
                <w:szCs w:val="20"/>
                <w:color w:val="auto"/>
              </w:rPr>
            </w:pPr>
            <w:r>
              <w:rPr>
                <w:rFonts w:ascii="Arial" w:cs="Arial" w:eastAsia="Arial" w:hAnsi="Arial"/>
                <w:sz w:val="16"/>
                <w:szCs w:val="16"/>
                <w:color w:val="auto"/>
              </w:rPr>
              <w:t>Later than three years and not later than four years</w:t>
            </w:r>
          </w:p>
        </w:tc>
        <w:tc>
          <w:tcPr>
            <w:tcW w:w="1840" w:type="dxa"/>
            <w:vAlign w:val="bottom"/>
          </w:tcPr>
          <w:p>
            <w:pPr>
              <w:jc w:val="right"/>
              <w:spacing w:after="0"/>
              <w:rPr>
                <w:sz w:val="20"/>
                <w:szCs w:val="20"/>
                <w:color w:val="auto"/>
              </w:rPr>
            </w:pPr>
            <w:r>
              <w:rPr>
                <w:rFonts w:ascii="Arial" w:cs="Arial" w:eastAsia="Arial" w:hAnsi="Arial"/>
                <w:sz w:val="16"/>
                <w:szCs w:val="16"/>
                <w:color w:val="auto"/>
              </w:rPr>
              <w:t>$121,401</w:t>
            </w:r>
          </w:p>
        </w:tc>
      </w:tr>
      <w:tr>
        <w:trPr>
          <w:trHeight w:val="203"/>
        </w:trPr>
        <w:tc>
          <w:tcPr>
            <w:tcW w:w="9120" w:type="dxa"/>
            <w:vAlign w:val="bottom"/>
            <w:shd w:val="clear" w:color="auto" w:fill="E5FFFF"/>
          </w:tcPr>
          <w:p>
            <w:pPr>
              <w:spacing w:after="0"/>
              <w:rPr>
                <w:sz w:val="20"/>
                <w:szCs w:val="20"/>
                <w:color w:val="auto"/>
              </w:rPr>
            </w:pPr>
            <w:r>
              <w:rPr>
                <w:rFonts w:ascii="Arial" w:cs="Arial" w:eastAsia="Arial" w:hAnsi="Arial"/>
                <w:sz w:val="16"/>
                <w:szCs w:val="16"/>
                <w:color w:val="auto"/>
              </w:rPr>
              <w:t>Later than four years and not later than five years</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$64,041</w:t>
            </w:r>
          </w:p>
        </w:tc>
      </w:tr>
      <w:tr>
        <w:trPr>
          <w:trHeight w:val="203"/>
        </w:trPr>
        <w:tc>
          <w:tcPr>
            <w:tcW w:w="91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More than five years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$77,425</w:t>
            </w:r>
          </w:p>
        </w:tc>
      </w:tr>
      <w:tr>
        <w:trPr>
          <w:trHeight w:val="196"/>
        </w:trPr>
        <w:tc>
          <w:tcPr>
            <w:tcW w:w="91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$804,070</w:t>
            </w:r>
          </w:p>
        </w:tc>
      </w:tr>
      <w:tr>
        <w:trPr>
          <w:trHeight w:val="20"/>
        </w:trPr>
        <w:tc>
          <w:tcPr>
            <w:tcW w:w="9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40" w:firstLine="383"/>
        <w:spacing w:after="0" w:line="273" w:lineRule="auto"/>
        <w:rPr>
          <w:sz w:val="20"/>
          <w:szCs w:val="20"/>
          <w:color w:val="auto"/>
        </w:rPr>
      </w:pPr>
      <w:r>
        <w:rPr>
          <w:rFonts w:ascii="Arial" w:cs="Arial" w:eastAsia="Arial" w:hAnsi="Arial"/>
          <w:sz w:val="16"/>
          <w:szCs w:val="16"/>
          <w:color w:val="auto"/>
        </w:rPr>
        <w:t xml:space="preserve">Following the acquisition of (i)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and (ii)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the Partnership, through its subsidiaries (i) GAS-sixteen Ltd. and GAS-seventeen Ltd. and (ii) GAS-nineteen Ltd., GAS-twenty Ltd. and GAS-twenty</w:t>
      </w:r>
      <w:r>
        <w:rPr>
          <w:rFonts w:ascii="Arial" w:cs="Arial" w:eastAsia="Arial" w:hAnsi="Arial"/>
          <w:sz w:val="16"/>
          <w:szCs w:val="16"/>
          <w:i w:val="1"/>
          <w:iCs w:val="1"/>
          <w:color w:val="auto"/>
        </w:rPr>
        <w:t xml:space="preserve"> </w:t>
      </w:r>
      <w:r>
        <w:rPr>
          <w:rFonts w:ascii="Arial" w:cs="Arial" w:eastAsia="Arial" w:hAnsi="Arial"/>
          <w:sz w:val="16"/>
          <w:szCs w:val="16"/>
          <w:color w:val="auto"/>
        </w:rPr>
        <w:t>one Ltd., respectively, is counter guarantor for the acquisition from BG Group plc of 83.3% of depot spares with an aggregate value of $6,000, of which $660 have been purchased and paid as of September 30, 2019 by GasLog. These spares should be acquired before March 31, 2020.</w:t>
      </w:r>
    </w:p>
    <w:p>
      <w:pPr>
        <w:spacing w:after="0" w:line="189" w:lineRule="exact"/>
        <w:rPr>
          <w:sz w:val="20"/>
          <w:szCs w:val="20"/>
          <w:color w:val="auto"/>
        </w:rPr>
      </w:pPr>
    </w:p>
    <w:p>
      <w:pPr>
        <w:jc w:val="both"/>
        <w:ind w:right="120" w:firstLine="383"/>
        <w:spacing w:after="0" w:line="369" w:lineRule="auto"/>
        <w:rPr>
          <w:sz w:val="20"/>
          <w:szCs w:val="20"/>
          <w:color w:val="auto"/>
        </w:rPr>
      </w:pPr>
      <w:r>
        <w:rPr>
          <w:rFonts w:ascii="Arial" w:cs="Arial" w:eastAsia="Arial" w:hAnsi="Arial"/>
          <w:sz w:val="14"/>
          <w:szCs w:val="14"/>
          <w:color w:val="auto"/>
        </w:rPr>
        <w:t>In September 2017 and July 2018, GasLog LNG Services entered into maintenance agreements with Wartsila Greece S.A. in respect of eight of the Partnership’s LNG carriers. The agreements ensure dynamic maintenance planning, technical support, security of spare parts supply, specialist technical personnel and performance monitoring.</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6" w:right="319" w:bottom="1440" w:gutter="0" w:footer="0" w:header="0"/>
        </w:sectPr>
      </w:pPr>
    </w:p>
    <w:bookmarkStart w:id="43" w:name="page44"/>
    <w:bookmarkEnd w:id="43"/>
    <w:p>
      <w:pPr>
        <w:ind w:firstLine="383"/>
        <w:spacing w:after="0" w:line="278" w:lineRule="auto"/>
        <w:rPr>
          <w:sz w:val="20"/>
          <w:szCs w:val="20"/>
          <w:color w:val="auto"/>
        </w:rPr>
      </w:pPr>
      <w:r>
        <w:rPr>
          <w:rFonts w:ascii="Arial" w:cs="Arial" w:eastAsia="Arial" w:hAnsi="Arial"/>
          <w:sz w:val="16"/>
          <w:szCs w:val="16"/>
          <w:color w:val="auto"/>
        </w:rPr>
        <w:t>In March 2019, GasLog LNG Services entered into an agreement with Samsung Heavy Industries Co., Ltd. (“Samsung”) in respect of eleven of the Partnership’s LNG carriers. The agreement covers the supply of ballast water management systems on board the vessels by Samsung and associated field, commissioning and engineering services for a firm period of six years.</w:t>
      </w:r>
    </w:p>
    <w:p>
      <w:pPr>
        <w:spacing w:after="0" w:line="184" w:lineRule="exact"/>
        <w:rPr>
          <w:sz w:val="20"/>
          <w:szCs w:val="20"/>
          <w:color w:val="auto"/>
        </w:rPr>
      </w:pPr>
    </w:p>
    <w:p>
      <w:pPr>
        <w:ind w:right="20" w:firstLine="324"/>
        <w:spacing w:after="0" w:line="305" w:lineRule="auto"/>
        <w:rPr>
          <w:sz w:val="20"/>
          <w:szCs w:val="20"/>
          <w:color w:val="auto"/>
        </w:rPr>
      </w:pPr>
      <w:r>
        <w:rPr>
          <w:rFonts w:ascii="Arial" w:cs="Arial" w:eastAsia="Arial" w:hAnsi="Arial"/>
          <w:sz w:val="15"/>
          <w:szCs w:val="15"/>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Subsequent Events</w:t>
      </w:r>
    </w:p>
    <w:p>
      <w:pPr>
        <w:spacing w:after="0" w:line="239" w:lineRule="exact"/>
        <w:rPr>
          <w:sz w:val="20"/>
          <w:szCs w:val="20"/>
          <w:color w:val="auto"/>
        </w:rPr>
      </w:pPr>
    </w:p>
    <w:p>
      <w:pPr>
        <w:ind w:right="380" w:firstLine="383"/>
        <w:spacing w:after="0" w:line="278" w:lineRule="auto"/>
        <w:rPr>
          <w:sz w:val="20"/>
          <w:szCs w:val="20"/>
          <w:color w:val="auto"/>
        </w:rPr>
      </w:pPr>
      <w:r>
        <w:rPr>
          <w:rFonts w:ascii="Arial" w:cs="Arial" w:eastAsia="Arial" w:hAnsi="Arial"/>
          <w:sz w:val="16"/>
          <w:szCs w:val="16"/>
          <w:color w:val="auto"/>
        </w:rPr>
        <w:t>On October 29, 2019, the board of directors of GasLog Partners approved and declared a quarterly cash distribution of $0.55 per common unit for the quarter ended September 30, 2019. The cash distribution is payable on November 13, 2019 to all unitholders of record as of November 8, 2019. The aggregate amount of the declared distribution will be $26,437 based on the number of units issued and outstanding as of September 30, 2019.</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APPENDIX A</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Non-GAAP Partnership Performance Information and Reconciliation Tables</w:t>
      </w:r>
    </w:p>
    <w:p>
      <w:pPr>
        <w:spacing w:after="0" w:line="239" w:lineRule="exact"/>
        <w:rPr>
          <w:sz w:val="20"/>
          <w:szCs w:val="20"/>
          <w:color w:val="auto"/>
        </w:rPr>
      </w:pPr>
    </w:p>
    <w:p>
      <w:pPr>
        <w:ind w:right="100"/>
        <w:spacing w:after="0" w:line="287" w:lineRule="auto"/>
        <w:rPr>
          <w:sz w:val="20"/>
          <w:szCs w:val="20"/>
          <w:color w:val="auto"/>
        </w:rPr>
      </w:pPr>
      <w:r>
        <w:rPr>
          <w:rFonts w:ascii="Arial" w:cs="Arial" w:eastAsia="Arial" w:hAnsi="Arial"/>
          <w:sz w:val="15"/>
          <w:szCs w:val="15"/>
          <w:color w:val="auto"/>
        </w:rPr>
        <w:t xml:space="preserve">Our IFRS Common Control Reported Results are derived from the consolidated financial statements of the Partnership. The non-GAAP Partnership Performance Results presented below exclude amounts related to GAS-fourteen Ltd., the owner of the </w:t>
      </w:r>
      <w:r>
        <w:rPr>
          <w:rFonts w:ascii="Arial" w:cs="Arial" w:eastAsia="Arial" w:hAnsi="Arial"/>
          <w:sz w:val="15"/>
          <w:szCs w:val="15"/>
          <w:i w:val="1"/>
          <w:iCs w:val="1"/>
          <w:color w:val="auto"/>
        </w:rPr>
        <w:t>GasLog Gibraltar</w:t>
      </w:r>
      <w:r>
        <w:rPr>
          <w:rFonts w:ascii="Arial" w:cs="Arial" w:eastAsia="Arial" w:hAnsi="Arial"/>
          <w:sz w:val="15"/>
          <w:szCs w:val="15"/>
          <w:color w:val="auto"/>
        </w:rPr>
        <w:t xml:space="preserve">, GAS-twenty seven Ltd., the owner of the </w:t>
      </w:r>
      <w:r>
        <w:rPr>
          <w:rFonts w:ascii="Arial" w:cs="Arial" w:eastAsia="Arial" w:hAnsi="Arial"/>
          <w:sz w:val="15"/>
          <w:szCs w:val="15"/>
          <w:i w:val="1"/>
          <w:iCs w:val="1"/>
          <w:color w:val="auto"/>
        </w:rPr>
        <w:t>Methane Becki Anne,</w:t>
      </w:r>
      <w:r>
        <w:rPr>
          <w:rFonts w:ascii="Arial" w:cs="Arial" w:eastAsia="Arial" w:hAnsi="Arial"/>
          <w:sz w:val="15"/>
          <w:szCs w:val="15"/>
          <w:color w:val="auto"/>
        </w:rPr>
        <w:t xml:space="preserve"> and GAS-twelve Ltd., the owner of the </w:t>
      </w:r>
      <w:r>
        <w:rPr>
          <w:rFonts w:ascii="Arial" w:cs="Arial" w:eastAsia="Arial" w:hAnsi="Arial"/>
          <w:sz w:val="15"/>
          <w:szCs w:val="15"/>
          <w:i w:val="1"/>
          <w:iCs w:val="1"/>
          <w:color w:val="auto"/>
        </w:rPr>
        <w:t>GasLog Glasgow</w:t>
      </w:r>
      <w:r>
        <w:rPr>
          <w:rFonts w:ascii="Arial" w:cs="Arial" w:eastAsia="Arial" w:hAnsi="Arial"/>
          <w:sz w:val="15"/>
          <w:szCs w:val="15"/>
          <w:color w:val="auto"/>
        </w:rPr>
        <w:t>, for the periods prior to their transfers to the Partnership on April 26, 2018, November 14, 2018 and April 1, 2019, respectively. While such amounts are reflected in the Partnership’s unaudited condensed consolidated financial statements because the transfers to the Partnership were accounted for as reorganizations of entities under common control under IFRS, the aforementioned entities were not owned by the Partnership prior to their respective transfers to the Partnership on April 26, 2018, November 14, 2018, and April 1, 2019, respectively, and, accordingly, the Partnership was not entitled to the cash or results generated in the periods prior to such transfers. The Partnership believes these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vessels acquired prior to their transfers to the Partnership.</w:t>
      </w:r>
    </w:p>
    <w:p>
      <w:pPr>
        <w:spacing w:after="0" w:line="183"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 xml:space="preserve">Amounts reflected in the Partnership’s unaudited condensed consolidated financial statements for the three months ended September 30, 2019 are fully attributable to the Partnership. The Partnership Performance Results reported in the third quarter of 2019 are the same as the IFRS Common Control Reported Results for the respective period since the acquisition of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from GasLog was completed on April 1, 2019.</w:t>
      </w:r>
    </w:p>
    <w:p>
      <w:pPr>
        <w:spacing w:after="0" w:line="184"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gridSpan w:val="2"/>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gridSpan w:val="4"/>
          </w:tcPr>
          <w:p>
            <w:pPr>
              <w:jc w:val="right"/>
              <w:ind w:right="959"/>
              <w:spacing w:after="0"/>
              <w:rPr>
                <w:sz w:val="20"/>
                <w:szCs w:val="20"/>
                <w:color w:val="auto"/>
              </w:rPr>
            </w:pPr>
            <w:r>
              <w:rPr>
                <w:rFonts w:ascii="Arial" w:cs="Arial" w:eastAsia="Arial" w:hAnsi="Arial"/>
                <w:sz w:val="16"/>
                <w:szCs w:val="16"/>
                <w:b w:val="1"/>
                <w:bCs w:val="1"/>
                <w:color w:val="auto"/>
              </w:rPr>
              <w:t>Partnership Performance Results</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640" w:type="dxa"/>
            <w:vAlign w:val="bottom"/>
            <w:gridSpan w:val="2"/>
            <w:vMerge w:val="continue"/>
          </w:tcPr>
          <w:p>
            <w:pPr>
              <w:spacing w:after="0"/>
              <w:rPr>
                <w:sz w:val="17"/>
                <w:szCs w:val="17"/>
                <w:color w:val="auto"/>
              </w:rPr>
            </w:pPr>
          </w:p>
        </w:tc>
        <w:tc>
          <w:tcPr>
            <w:tcW w:w="4020" w:type="dxa"/>
            <w:vAlign w:val="bottom"/>
            <w:gridSpan w:val="4"/>
            <w:vMerge w:val="restart"/>
          </w:tcPr>
          <w:p>
            <w:pPr>
              <w:jc w:val="right"/>
              <w:ind w:right="1099"/>
              <w:spacing w:after="0"/>
              <w:rPr>
                <w:sz w:val="20"/>
                <w:szCs w:val="20"/>
                <w:color w:val="auto"/>
              </w:rPr>
            </w:pPr>
            <w:r>
              <w:rPr>
                <w:rFonts w:ascii="Arial" w:cs="Arial" w:eastAsia="Arial" w:hAnsi="Arial"/>
                <w:sz w:val="16"/>
                <w:szCs w:val="16"/>
                <w:b w:val="1"/>
                <w:bCs w:val="1"/>
                <w:color w:val="auto"/>
              </w:rPr>
              <w:t>For the three months ended</w:t>
            </w:r>
          </w:p>
        </w:tc>
        <w:tc>
          <w:tcPr>
            <w:tcW w:w="3660" w:type="dxa"/>
            <w:vAlign w:val="bottom"/>
            <w:gridSpan w:val="5"/>
            <w:vMerge w:val="restart"/>
          </w:tcPr>
          <w:p>
            <w:pPr>
              <w:jc w:val="right"/>
              <w:ind w:right="94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6"/>
        </w:trPr>
        <w:tc>
          <w:tcPr>
            <w:tcW w:w="3640" w:type="dxa"/>
            <w:vAlign w:val="bottom"/>
            <w:gridSpan w:val="2"/>
          </w:tcPr>
          <w:p>
            <w:pPr>
              <w:ind w:left="200"/>
              <w:spacing w:after="0"/>
              <w:rPr>
                <w:sz w:val="20"/>
                <w:szCs w:val="20"/>
                <w:color w:val="auto"/>
              </w:rPr>
            </w:pPr>
            <w:r>
              <w:rPr>
                <w:rFonts w:ascii="Arial" w:cs="Arial" w:eastAsia="Arial" w:hAnsi="Arial"/>
                <w:sz w:val="16"/>
                <w:szCs w:val="16"/>
                <w:b w:val="1"/>
                <w:bCs w:val="1"/>
                <w:i w:val="1"/>
                <w:iCs w:val="1"/>
                <w:color w:val="auto"/>
              </w:rPr>
              <w:t>U.S. dollars</w:t>
            </w:r>
            <w:r>
              <w:rPr>
                <w:rFonts w:ascii="Arial" w:cs="Arial" w:eastAsia="Arial" w:hAnsi="Arial"/>
                <w:sz w:val="16"/>
                <w:szCs w:val="16"/>
                <w:color w:val="auto"/>
              </w:rPr>
              <w:t>)</w:t>
            </w:r>
          </w:p>
        </w:tc>
        <w:tc>
          <w:tcPr>
            <w:tcW w:w="4020" w:type="dxa"/>
            <w:vAlign w:val="bottom"/>
            <w:gridSpan w:val="4"/>
            <w:vMerge w:val="continue"/>
          </w:tcPr>
          <w:p>
            <w:pPr>
              <w:spacing w:after="0"/>
              <w:rPr>
                <w:sz w:val="17"/>
                <w:szCs w:val="17"/>
                <w:color w:val="auto"/>
              </w:rPr>
            </w:pPr>
          </w:p>
        </w:tc>
        <w:tc>
          <w:tcPr>
            <w:tcW w:w="36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2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September 30, 2018</w:t>
            </w:r>
          </w:p>
        </w:tc>
        <w:tc>
          <w:tcPr>
            <w:tcW w:w="200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September 30, 2019</w:t>
            </w:r>
          </w:p>
        </w:tc>
        <w:tc>
          <w:tcPr>
            <w:tcW w:w="200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September 30, 2018</w:t>
            </w:r>
          </w:p>
        </w:tc>
        <w:tc>
          <w:tcPr>
            <w:tcW w:w="16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7"/>
              </w:rPr>
              <w:t>September 30, 2019</w:t>
            </w:r>
          </w:p>
        </w:tc>
        <w:tc>
          <w:tcPr>
            <w:tcW w:w="0" w:type="dxa"/>
            <w:vAlign w:val="bottom"/>
          </w:tcPr>
          <w:p>
            <w:pPr>
              <w:spacing w:after="0"/>
              <w:rPr>
                <w:sz w:val="1"/>
                <w:szCs w:val="1"/>
                <w:color w:val="auto"/>
              </w:rPr>
            </w:pPr>
          </w:p>
        </w:tc>
      </w:tr>
      <w:tr>
        <w:trPr>
          <w:trHeight w:val="203"/>
        </w:trPr>
        <w:tc>
          <w:tcPr>
            <w:tcW w:w="364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18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81,887</w:t>
            </w:r>
          </w:p>
        </w:tc>
        <w:tc>
          <w:tcPr>
            <w:tcW w:w="22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96,485</w:t>
            </w:r>
          </w:p>
        </w:tc>
        <w:tc>
          <w:tcPr>
            <w:tcW w:w="260" w:type="dxa"/>
            <w:vAlign w:val="bottom"/>
            <w:tcBorders>
              <w:top w:val="single" w:sz="8" w:color="E5FFFF"/>
            </w:tcBorders>
            <w:shd w:val="clear" w:color="auto" w:fill="E5FFFF"/>
          </w:tcPr>
          <w:p>
            <w:pPr>
              <w:spacing w:after="0"/>
              <w:rPr>
                <w:sz w:val="17"/>
                <w:szCs w:val="17"/>
                <w:color w:val="auto"/>
              </w:rPr>
            </w:pPr>
          </w:p>
        </w:tc>
        <w:tc>
          <w:tcPr>
            <w:tcW w:w="17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233,857</w:t>
            </w:r>
          </w:p>
        </w:tc>
        <w:tc>
          <w:tcPr>
            <w:tcW w:w="280" w:type="dxa"/>
            <w:vAlign w:val="bottom"/>
            <w:tcBorders>
              <w:top w:val="single" w:sz="8" w:color="E5FFFF"/>
            </w:tcBorders>
            <w:shd w:val="clear" w:color="auto" w:fill="E5FFFF"/>
          </w:tcPr>
          <w:p>
            <w:pPr>
              <w:spacing w:after="0"/>
              <w:rPr>
                <w:sz w:val="17"/>
                <w:szCs w:val="17"/>
                <w:color w:val="auto"/>
              </w:rPr>
            </w:pPr>
          </w:p>
        </w:tc>
        <w:tc>
          <w:tcPr>
            <w:tcW w:w="16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274,615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gridSpan w:val="2"/>
          </w:tcPr>
          <w:p>
            <w:pPr>
              <w:spacing w:after="0"/>
              <w:rPr>
                <w:sz w:val="20"/>
                <w:szCs w:val="20"/>
                <w:color w:val="auto"/>
              </w:rPr>
            </w:pPr>
            <w:r>
              <w:rPr>
                <w:rFonts w:ascii="Arial" w:cs="Arial" w:eastAsia="Arial" w:hAnsi="Arial"/>
                <w:sz w:val="16"/>
                <w:szCs w:val="16"/>
                <w:color w:val="auto"/>
              </w:rPr>
              <w:t>Net pool allocation</w:t>
            </w:r>
          </w:p>
        </w:tc>
        <w:tc>
          <w:tcPr>
            <w:tcW w:w="2020" w:type="dxa"/>
            <w:vAlign w:val="bottom"/>
            <w:gridSpan w:val="2"/>
          </w:tcPr>
          <w:p>
            <w:pPr>
              <w:jc w:val="right"/>
              <w:ind w:right="139"/>
              <w:spacing w:after="0"/>
              <w:rPr>
                <w:sz w:val="20"/>
                <w:szCs w:val="20"/>
                <w:color w:val="auto"/>
              </w:rPr>
            </w:pPr>
            <w:r>
              <w:rPr>
                <w:rFonts w:ascii="Arial" w:cs="Arial" w:eastAsia="Arial" w:hAnsi="Arial"/>
                <w:sz w:val="16"/>
                <w:szCs w:val="16"/>
                <w:color w:val="auto"/>
              </w:rPr>
              <w:t>780</w:t>
            </w:r>
          </w:p>
        </w:tc>
        <w:tc>
          <w:tcPr>
            <w:tcW w:w="20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423</w:t>
            </w: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1,058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202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(3,359)</w:t>
            </w:r>
          </w:p>
        </w:tc>
        <w:tc>
          <w:tcPr>
            <w:tcW w:w="2000" w:type="dxa"/>
            <w:vAlign w:val="bottom"/>
            <w:gridSpan w:val="2"/>
            <w:shd w:val="clear" w:color="auto" w:fill="E5FFFF"/>
          </w:tcPr>
          <w:p>
            <w:pPr>
              <w:jc w:val="right"/>
              <w:ind w:right="119"/>
              <w:spacing w:after="0"/>
              <w:rPr>
                <w:sz w:val="20"/>
                <w:szCs w:val="20"/>
                <w:color w:val="auto"/>
              </w:rPr>
            </w:pPr>
            <w:r>
              <w:rPr>
                <w:rFonts w:ascii="Arial" w:cs="Arial" w:eastAsia="Arial" w:hAnsi="Arial"/>
                <w:sz w:val="16"/>
                <w:szCs w:val="16"/>
                <w:color w:val="auto"/>
              </w:rPr>
              <w:t>(1,673)</w:t>
            </w:r>
          </w:p>
        </w:tc>
        <w:tc>
          <w:tcPr>
            <w:tcW w:w="200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(5,925)</w:t>
            </w:r>
          </w:p>
        </w:tc>
        <w:tc>
          <w:tcPr>
            <w:tcW w:w="1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(5,452)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gridSpan w:val="2"/>
          </w:tcPr>
          <w:p>
            <w:pPr>
              <w:spacing w:after="0"/>
              <w:rPr>
                <w:sz w:val="20"/>
                <w:szCs w:val="20"/>
                <w:color w:val="auto"/>
              </w:rPr>
            </w:pPr>
            <w:r>
              <w:rPr>
                <w:rFonts w:ascii="Arial" w:cs="Arial" w:eastAsia="Arial" w:hAnsi="Arial"/>
                <w:sz w:val="16"/>
                <w:szCs w:val="16"/>
                <w:color w:val="auto"/>
              </w:rPr>
              <w:t>Vessel operating costs</w:t>
            </w:r>
          </w:p>
        </w:tc>
        <w:tc>
          <w:tcPr>
            <w:tcW w:w="2020" w:type="dxa"/>
            <w:vAlign w:val="bottom"/>
            <w:gridSpan w:val="2"/>
          </w:tcPr>
          <w:p>
            <w:pPr>
              <w:jc w:val="right"/>
              <w:ind w:right="79"/>
              <w:spacing w:after="0"/>
              <w:rPr>
                <w:sz w:val="20"/>
                <w:szCs w:val="20"/>
                <w:color w:val="auto"/>
              </w:rPr>
            </w:pPr>
            <w:r>
              <w:rPr>
                <w:rFonts w:ascii="Arial" w:cs="Arial" w:eastAsia="Arial" w:hAnsi="Arial"/>
                <w:sz w:val="16"/>
                <w:szCs w:val="16"/>
                <w:color w:val="auto"/>
              </w:rPr>
              <w:t>(15,765)</w:t>
            </w:r>
          </w:p>
        </w:tc>
        <w:tc>
          <w:tcPr>
            <w:tcW w:w="2000" w:type="dxa"/>
            <w:vAlign w:val="bottom"/>
            <w:gridSpan w:val="2"/>
          </w:tcPr>
          <w:p>
            <w:pPr>
              <w:jc w:val="right"/>
              <w:ind w:right="119"/>
              <w:spacing w:after="0"/>
              <w:rPr>
                <w:sz w:val="20"/>
                <w:szCs w:val="20"/>
                <w:color w:val="auto"/>
              </w:rPr>
            </w:pPr>
            <w:r>
              <w:rPr>
                <w:rFonts w:ascii="Arial" w:cs="Arial" w:eastAsia="Arial" w:hAnsi="Arial"/>
                <w:sz w:val="16"/>
                <w:szCs w:val="16"/>
                <w:color w:val="auto"/>
              </w:rPr>
              <w:t>(18,116)</w:t>
            </w:r>
          </w:p>
        </w:tc>
        <w:tc>
          <w:tcPr>
            <w:tcW w:w="2000" w:type="dxa"/>
            <w:vAlign w:val="bottom"/>
            <w:gridSpan w:val="2"/>
          </w:tcPr>
          <w:p>
            <w:pPr>
              <w:jc w:val="right"/>
              <w:ind w:right="139"/>
              <w:spacing w:after="0"/>
              <w:rPr>
                <w:sz w:val="20"/>
                <w:szCs w:val="20"/>
                <w:color w:val="auto"/>
              </w:rPr>
            </w:pPr>
            <w:r>
              <w:rPr>
                <w:rFonts w:ascii="Arial" w:cs="Arial" w:eastAsia="Arial" w:hAnsi="Arial"/>
                <w:sz w:val="16"/>
                <w:szCs w:val="16"/>
                <w:color w:val="auto"/>
              </w:rPr>
              <w:t>(46,466)</w:t>
            </w:r>
          </w:p>
        </w:tc>
        <w:tc>
          <w:tcPr>
            <w:tcW w:w="1620" w:type="dxa"/>
            <w:vAlign w:val="bottom"/>
          </w:tcPr>
          <w:p>
            <w:pPr>
              <w:jc w:val="right"/>
              <w:spacing w:after="0"/>
              <w:rPr>
                <w:sz w:val="20"/>
                <w:szCs w:val="20"/>
                <w:color w:val="auto"/>
              </w:rPr>
            </w:pPr>
            <w:r>
              <w:rPr>
                <w:rFonts w:ascii="Arial" w:cs="Arial" w:eastAsia="Arial" w:hAnsi="Arial"/>
                <w:sz w:val="16"/>
                <w:szCs w:val="16"/>
                <w:color w:val="auto"/>
              </w:rPr>
              <w:t>(53,782)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Depreciation</w:t>
            </w:r>
          </w:p>
        </w:tc>
        <w:tc>
          <w:tcPr>
            <w:tcW w:w="202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(18,710)</w:t>
            </w:r>
          </w:p>
        </w:tc>
        <w:tc>
          <w:tcPr>
            <w:tcW w:w="2000" w:type="dxa"/>
            <w:vAlign w:val="bottom"/>
            <w:gridSpan w:val="2"/>
            <w:shd w:val="clear" w:color="auto" w:fill="E5FFFF"/>
          </w:tcPr>
          <w:p>
            <w:pPr>
              <w:jc w:val="right"/>
              <w:ind w:right="119"/>
              <w:spacing w:after="0"/>
              <w:rPr>
                <w:sz w:val="20"/>
                <w:szCs w:val="20"/>
                <w:color w:val="auto"/>
              </w:rPr>
            </w:pPr>
            <w:r>
              <w:rPr>
                <w:rFonts w:ascii="Arial" w:cs="Arial" w:eastAsia="Arial" w:hAnsi="Arial"/>
                <w:sz w:val="16"/>
                <w:szCs w:val="16"/>
                <w:color w:val="auto"/>
              </w:rPr>
              <w:t>(22,819)</w:t>
            </w:r>
          </w:p>
        </w:tc>
        <w:tc>
          <w:tcPr>
            <w:tcW w:w="200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(53,470)</w:t>
            </w:r>
          </w:p>
        </w:tc>
        <w:tc>
          <w:tcPr>
            <w:tcW w:w="1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(65,336)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gridSpan w:val="2"/>
          </w:tcPr>
          <w:p>
            <w:pPr>
              <w:spacing w:after="0"/>
              <w:rPr>
                <w:sz w:val="20"/>
                <w:szCs w:val="20"/>
                <w:color w:val="auto"/>
              </w:rPr>
            </w:pPr>
            <w:r>
              <w:rPr>
                <w:rFonts w:ascii="Arial" w:cs="Arial" w:eastAsia="Arial" w:hAnsi="Arial"/>
                <w:sz w:val="16"/>
                <w:szCs w:val="16"/>
                <w:color w:val="auto"/>
              </w:rPr>
              <w:t>General and administrative expenses</w:t>
            </w:r>
          </w:p>
        </w:tc>
        <w:tc>
          <w:tcPr>
            <w:tcW w:w="2020" w:type="dxa"/>
            <w:vAlign w:val="bottom"/>
            <w:gridSpan w:val="2"/>
          </w:tcPr>
          <w:p>
            <w:pPr>
              <w:jc w:val="right"/>
              <w:ind w:right="79"/>
              <w:spacing w:after="0"/>
              <w:rPr>
                <w:sz w:val="20"/>
                <w:szCs w:val="20"/>
                <w:color w:val="auto"/>
              </w:rPr>
            </w:pPr>
            <w:r>
              <w:rPr>
                <w:rFonts w:ascii="Arial" w:cs="Arial" w:eastAsia="Arial" w:hAnsi="Arial"/>
                <w:sz w:val="16"/>
                <w:szCs w:val="16"/>
                <w:color w:val="auto"/>
              </w:rPr>
              <w:t>(4,693)</w:t>
            </w:r>
          </w:p>
        </w:tc>
        <w:tc>
          <w:tcPr>
            <w:tcW w:w="2000" w:type="dxa"/>
            <w:vAlign w:val="bottom"/>
            <w:gridSpan w:val="2"/>
          </w:tcPr>
          <w:p>
            <w:pPr>
              <w:jc w:val="right"/>
              <w:ind w:right="119"/>
              <w:spacing w:after="0"/>
              <w:rPr>
                <w:sz w:val="20"/>
                <w:szCs w:val="20"/>
                <w:color w:val="auto"/>
              </w:rPr>
            </w:pPr>
            <w:r>
              <w:rPr>
                <w:rFonts w:ascii="Arial" w:cs="Arial" w:eastAsia="Arial" w:hAnsi="Arial"/>
                <w:sz w:val="16"/>
                <w:szCs w:val="16"/>
                <w:color w:val="auto"/>
              </w:rPr>
              <w:t>(4,917)</w:t>
            </w:r>
          </w:p>
        </w:tc>
        <w:tc>
          <w:tcPr>
            <w:tcW w:w="2000" w:type="dxa"/>
            <w:vAlign w:val="bottom"/>
            <w:gridSpan w:val="2"/>
          </w:tcPr>
          <w:p>
            <w:pPr>
              <w:jc w:val="right"/>
              <w:ind w:right="139"/>
              <w:spacing w:after="0"/>
              <w:rPr>
                <w:sz w:val="20"/>
                <w:szCs w:val="20"/>
                <w:color w:val="auto"/>
              </w:rPr>
            </w:pPr>
            <w:r>
              <w:rPr>
                <w:rFonts w:ascii="Arial" w:cs="Arial" w:eastAsia="Arial" w:hAnsi="Arial"/>
                <w:sz w:val="16"/>
                <w:szCs w:val="16"/>
                <w:color w:val="auto"/>
              </w:rPr>
              <w:t>(13,949)</w:t>
            </w:r>
          </w:p>
        </w:tc>
        <w:tc>
          <w:tcPr>
            <w:tcW w:w="1620" w:type="dxa"/>
            <w:vAlign w:val="bottom"/>
          </w:tcPr>
          <w:p>
            <w:pPr>
              <w:jc w:val="right"/>
              <w:spacing w:after="0"/>
              <w:rPr>
                <w:sz w:val="20"/>
                <w:szCs w:val="20"/>
                <w:color w:val="auto"/>
              </w:rPr>
            </w:pPr>
            <w:r>
              <w:rPr>
                <w:rFonts w:ascii="Arial" w:cs="Arial" w:eastAsia="Arial" w:hAnsi="Arial"/>
                <w:sz w:val="16"/>
                <w:szCs w:val="16"/>
                <w:color w:val="auto"/>
              </w:rPr>
              <w:t>(14,256)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4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40,140</w:t>
            </w:r>
          </w:p>
        </w:tc>
        <w:tc>
          <w:tcPr>
            <w:tcW w:w="22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48,960</w:t>
            </w:r>
          </w:p>
        </w:tc>
        <w:tc>
          <w:tcPr>
            <w:tcW w:w="260" w:type="dxa"/>
            <w:vAlign w:val="bottom"/>
            <w:tcBorders>
              <w:top w:val="single" w:sz="8" w:color="E5FFFF"/>
            </w:tcBorders>
            <w:shd w:val="clear" w:color="auto" w:fill="E5FFFF"/>
          </w:tcPr>
          <w:p>
            <w:pPr>
              <w:spacing w:after="0"/>
              <w:rPr>
                <w:sz w:val="17"/>
                <w:szCs w:val="17"/>
                <w:color w:val="auto"/>
              </w:rPr>
            </w:pPr>
          </w:p>
        </w:tc>
        <w:tc>
          <w:tcPr>
            <w:tcW w:w="1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114,470</w:t>
            </w:r>
          </w:p>
        </w:tc>
        <w:tc>
          <w:tcPr>
            <w:tcW w:w="280" w:type="dxa"/>
            <w:vAlign w:val="bottom"/>
            <w:tcBorders>
              <w:top w:val="single" w:sz="8" w:color="E5FFFF"/>
            </w:tcBorders>
            <w:shd w:val="clear" w:color="auto" w:fill="E5FFFF"/>
          </w:tcPr>
          <w:p>
            <w:pPr>
              <w:spacing w:after="0"/>
              <w:rPr>
                <w:sz w:val="17"/>
                <w:szCs w:val="17"/>
                <w:color w:val="auto"/>
              </w:rPr>
            </w:pPr>
          </w:p>
        </w:tc>
        <w:tc>
          <w:tcPr>
            <w:tcW w:w="1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136,847</w:t>
            </w:r>
          </w:p>
        </w:tc>
        <w:tc>
          <w:tcPr>
            <w:tcW w:w="40" w:type="dxa"/>
            <w:vAlign w:val="bottom"/>
            <w:gridSpan w:val="2"/>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3640" w:type="dxa"/>
            <w:vAlign w:val="bottom"/>
            <w:gridSpan w:val="2"/>
          </w:tcPr>
          <w:p>
            <w:pPr>
              <w:spacing w:after="0"/>
              <w:rPr>
                <w:sz w:val="20"/>
                <w:szCs w:val="20"/>
                <w:color w:val="auto"/>
              </w:rPr>
            </w:pPr>
            <w:r>
              <w:rPr>
                <w:rFonts w:ascii="Arial" w:cs="Arial" w:eastAsia="Arial" w:hAnsi="Arial"/>
                <w:sz w:val="16"/>
                <w:szCs w:val="16"/>
                <w:color w:val="auto"/>
              </w:rPr>
              <w:t>Financial costs</w:t>
            </w:r>
          </w:p>
        </w:tc>
        <w:tc>
          <w:tcPr>
            <w:tcW w:w="1800" w:type="dxa"/>
            <w:vAlign w:val="bottom"/>
          </w:tcPr>
          <w:p>
            <w:pPr>
              <w:jc w:val="right"/>
              <w:spacing w:after="0"/>
              <w:rPr>
                <w:sz w:val="20"/>
                <w:szCs w:val="20"/>
                <w:color w:val="auto"/>
              </w:rPr>
            </w:pPr>
            <w:r>
              <w:rPr>
                <w:rFonts w:ascii="Arial" w:cs="Arial" w:eastAsia="Arial" w:hAnsi="Arial"/>
                <w:sz w:val="16"/>
                <w:szCs w:val="16"/>
                <w:color w:val="auto"/>
              </w:rPr>
              <w:t>(15,533</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(17,534</w:t>
            </w:r>
          </w:p>
        </w:tc>
        <w:tc>
          <w:tcPr>
            <w:tcW w:w="260" w:type="dxa"/>
            <w:vAlign w:val="bottom"/>
          </w:tcPr>
          <w:p>
            <w:pPr>
              <w:jc w:val="right"/>
              <w:ind w:right="119"/>
              <w:spacing w:after="0"/>
              <w:rPr>
                <w:sz w:val="20"/>
                <w:szCs w:val="20"/>
                <w:color w:val="auto"/>
              </w:rPr>
            </w:pPr>
            <w:r>
              <w:rPr>
                <w:rFonts w:ascii="Arial" w:cs="Arial" w:eastAsia="Arial" w:hAnsi="Arial"/>
                <w:sz w:val="16"/>
                <w:szCs w:val="16"/>
                <w:color w:val="auto"/>
                <w:w w:val="74"/>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(43,973</w:t>
            </w:r>
          </w:p>
        </w:tc>
        <w:tc>
          <w:tcPr>
            <w:tcW w:w="280" w:type="dxa"/>
            <w:vAlign w:val="bottom"/>
          </w:tcPr>
          <w:p>
            <w:pPr>
              <w:jc w:val="right"/>
              <w:ind w:right="139"/>
              <w:spacing w:after="0"/>
              <w:rPr>
                <w:sz w:val="20"/>
                <w:szCs w:val="20"/>
                <w:color w:val="auto"/>
              </w:rPr>
            </w:pPr>
            <w:r>
              <w:rPr>
                <w:rFonts w:ascii="Arial" w:cs="Arial" w:eastAsia="Arial" w:hAnsi="Arial"/>
                <w:sz w:val="16"/>
                <w:szCs w:val="16"/>
                <w:color w:val="auto"/>
                <w:w w:val="74"/>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(53,920</w:t>
            </w: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20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581</w:t>
            </w:r>
          </w:p>
        </w:tc>
        <w:tc>
          <w:tcPr>
            <w:tcW w:w="200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393</w:t>
            </w:r>
          </w:p>
        </w:tc>
        <w:tc>
          <w:tcPr>
            <w:tcW w:w="17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1,679</w:t>
            </w:r>
          </w:p>
        </w:tc>
        <w:tc>
          <w:tcPr>
            <w:tcW w:w="280" w:type="dxa"/>
            <w:vAlign w:val="bottom"/>
            <w:shd w:val="clear" w:color="auto" w:fill="E5FFFF"/>
          </w:tcPr>
          <w:p>
            <w:pPr>
              <w:spacing w:after="0"/>
              <w:rPr>
                <w:sz w:val="17"/>
                <w:szCs w:val="17"/>
                <w:color w:val="auto"/>
              </w:rPr>
            </w:pPr>
          </w:p>
        </w:tc>
        <w:tc>
          <w:tcPr>
            <w:tcW w:w="1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gridSpan w:val="2"/>
          </w:tcPr>
          <w:p>
            <w:pPr>
              <w:spacing w:after="0"/>
              <w:rPr>
                <w:sz w:val="20"/>
                <w:szCs w:val="20"/>
                <w:color w:val="auto"/>
              </w:rPr>
            </w:pPr>
            <w:r>
              <w:rPr>
                <w:rFonts w:ascii="Arial" w:cs="Arial" w:eastAsia="Arial" w:hAnsi="Arial"/>
                <w:sz w:val="16"/>
                <w:szCs w:val="16"/>
                <w:color w:val="auto"/>
              </w:rPr>
              <w:t>Gain/(loss) on derivatives</w:t>
            </w:r>
          </w:p>
        </w:tc>
        <w:tc>
          <w:tcPr>
            <w:tcW w:w="2020" w:type="dxa"/>
            <w:vAlign w:val="bottom"/>
            <w:gridSpan w:val="2"/>
          </w:tcPr>
          <w:p>
            <w:pPr>
              <w:jc w:val="right"/>
              <w:ind w:right="139"/>
              <w:spacing w:after="0"/>
              <w:rPr>
                <w:sz w:val="20"/>
                <w:szCs w:val="20"/>
                <w:color w:val="auto"/>
              </w:rPr>
            </w:pPr>
            <w:r>
              <w:rPr>
                <w:rFonts w:ascii="Arial" w:cs="Arial" w:eastAsia="Arial" w:hAnsi="Arial"/>
                <w:sz w:val="16"/>
                <w:szCs w:val="16"/>
                <w:color w:val="auto"/>
              </w:rPr>
              <w:t>2,082</w:t>
            </w:r>
          </w:p>
        </w:tc>
        <w:tc>
          <w:tcPr>
            <w:tcW w:w="2000" w:type="dxa"/>
            <w:vAlign w:val="bottom"/>
            <w:gridSpan w:val="2"/>
          </w:tcPr>
          <w:p>
            <w:pPr>
              <w:jc w:val="right"/>
              <w:ind w:right="119"/>
              <w:spacing w:after="0"/>
              <w:rPr>
                <w:sz w:val="20"/>
                <w:szCs w:val="20"/>
                <w:color w:val="auto"/>
              </w:rPr>
            </w:pPr>
            <w:r>
              <w:rPr>
                <w:rFonts w:ascii="Arial" w:cs="Arial" w:eastAsia="Arial" w:hAnsi="Arial"/>
                <w:sz w:val="16"/>
                <w:szCs w:val="16"/>
                <w:color w:val="auto"/>
              </w:rPr>
              <w:t>(2,385)</w:t>
            </w:r>
          </w:p>
        </w:tc>
        <w:tc>
          <w:tcPr>
            <w:tcW w:w="1720" w:type="dxa"/>
            <w:vAlign w:val="bottom"/>
          </w:tcPr>
          <w:p>
            <w:pPr>
              <w:jc w:val="right"/>
              <w:spacing w:after="0"/>
              <w:rPr>
                <w:sz w:val="20"/>
                <w:szCs w:val="20"/>
                <w:color w:val="auto"/>
              </w:rPr>
            </w:pPr>
            <w:r>
              <w:rPr>
                <w:rFonts w:ascii="Arial" w:cs="Arial" w:eastAsia="Arial" w:hAnsi="Arial"/>
                <w:sz w:val="16"/>
                <w:szCs w:val="16"/>
                <w:color w:val="auto"/>
              </w:rPr>
              <w:t>9,997</w:t>
            </w: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(15,528)</w:t>
            </w:r>
          </w:p>
        </w:tc>
        <w:tc>
          <w:tcPr>
            <w:tcW w:w="40" w:type="dxa"/>
            <w:vAlign w:val="bottom"/>
            <w:gridSpan w:val="2"/>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364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(12,870</w:t>
            </w:r>
          </w:p>
        </w:tc>
        <w:tc>
          <w:tcPr>
            <w:tcW w:w="220" w:type="dxa"/>
            <w:vAlign w:val="bottom"/>
            <w:tcBorders>
              <w:top w:val="single" w:sz="8" w:color="E5FFFF"/>
            </w:tcBorders>
            <w:shd w:val="clear" w:color="auto" w:fill="E5FF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(19,526</w:t>
            </w:r>
          </w:p>
        </w:tc>
        <w:tc>
          <w:tcPr>
            <w:tcW w:w="260" w:type="dxa"/>
            <w:vAlign w:val="bottom"/>
            <w:tcBorders>
              <w:top w:val="single" w:sz="8" w:color="E5FFFF"/>
            </w:tcBorders>
            <w:shd w:val="clear" w:color="auto" w:fill="E5FFFF"/>
          </w:tcPr>
          <w:p>
            <w:pPr>
              <w:jc w:val="right"/>
              <w:ind w:right="119"/>
              <w:spacing w:after="0"/>
              <w:rPr>
                <w:sz w:val="20"/>
                <w:szCs w:val="20"/>
                <w:color w:val="auto"/>
              </w:rPr>
            </w:pPr>
            <w:r>
              <w:rPr>
                <w:rFonts w:ascii="Arial" w:cs="Arial" w:eastAsia="Arial" w:hAnsi="Arial"/>
                <w:sz w:val="16"/>
                <w:szCs w:val="16"/>
                <w:b w:val="1"/>
                <w:bCs w:val="1"/>
                <w:color w:val="auto"/>
                <w:w w:val="74"/>
              </w:rPr>
              <w:t>)</w:t>
            </w:r>
          </w:p>
        </w:tc>
        <w:tc>
          <w:tcPr>
            <w:tcW w:w="1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(32,297</w:t>
            </w:r>
          </w:p>
        </w:tc>
        <w:tc>
          <w:tcPr>
            <w:tcW w:w="280" w:type="dxa"/>
            <w:vAlign w:val="bottom"/>
            <w:tcBorders>
              <w:top w:val="single" w:sz="8" w:color="E5FFFF"/>
            </w:tcBorders>
            <w:shd w:val="clear" w:color="auto" w:fill="E5FFFF"/>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1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(67,904</w:t>
            </w: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40" w:type="dxa"/>
            <w:vAlign w:val="bottom"/>
            <w:gridSpan w:val="2"/>
          </w:tcPr>
          <w:p>
            <w:pPr>
              <w:spacing w:after="0"/>
              <w:rPr>
                <w:sz w:val="20"/>
                <w:szCs w:val="20"/>
                <w:color w:val="auto"/>
              </w:rPr>
            </w:pPr>
            <w:r>
              <w:rPr>
                <w:rFonts w:ascii="Arial" w:cs="Arial" w:eastAsia="Arial" w:hAnsi="Arial"/>
                <w:sz w:val="16"/>
                <w:szCs w:val="16"/>
                <w:b w:val="1"/>
                <w:bCs w:val="1"/>
                <w:color w:val="auto"/>
              </w:rPr>
              <w:t>Partnership’s profit for the period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27,270</w:t>
            </w:r>
          </w:p>
        </w:tc>
        <w:tc>
          <w:tcPr>
            <w:tcW w:w="220" w:type="dxa"/>
            <w:vAlign w:val="bottom"/>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29,434</w:t>
            </w:r>
          </w:p>
        </w:tc>
        <w:tc>
          <w:tcPr>
            <w:tcW w:w="26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82,173</w:t>
            </w:r>
          </w:p>
        </w:tc>
        <w:tc>
          <w:tcPr>
            <w:tcW w:w="280" w:type="dxa"/>
            <w:vAlign w:val="bottom"/>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68,943</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Borders>
              <w:bottom w:val="single" w:sz="8" w:color="auto"/>
            </w:tcBorders>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Reconciliation of IFRS Common Control Reported Results in our Financial Statements to Partnership Performance Results: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0" w:type="dxa"/>
            <w:vAlign w:val="bottom"/>
            <w:gridSpan w:val="6"/>
          </w:tcPr>
          <w:p>
            <w:pPr>
              <w:jc w:val="right"/>
              <w:ind w:right="1279"/>
              <w:spacing w:after="0"/>
              <w:rPr>
                <w:sz w:val="20"/>
                <w:szCs w:val="20"/>
                <w:color w:val="auto"/>
              </w:rPr>
            </w:pPr>
            <w:r>
              <w:rPr>
                <w:rFonts w:ascii="Arial" w:cs="Arial" w:eastAsia="Arial" w:hAnsi="Arial"/>
                <w:sz w:val="16"/>
                <w:szCs w:val="16"/>
                <w:b w:val="1"/>
                <w:bCs w:val="1"/>
                <w:color w:val="auto"/>
              </w:rPr>
              <w:t>For the three months ended September 30, 2018</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80" w:type="dxa"/>
            <w:vAlign w:val="bottom"/>
            <w:gridSpan w:val="2"/>
            <w:vMerge w:val="restart"/>
          </w:tcPr>
          <w:p>
            <w:pPr>
              <w:jc w:val="right"/>
              <w:ind w:right="379"/>
              <w:spacing w:after="0"/>
              <w:rPr>
                <w:sz w:val="20"/>
                <w:szCs w:val="20"/>
                <w:color w:val="auto"/>
              </w:rPr>
            </w:pPr>
            <w:r>
              <w:rPr>
                <w:rFonts w:ascii="Arial" w:cs="Arial" w:eastAsia="Arial" w:hAnsi="Arial"/>
                <w:sz w:val="16"/>
                <w:szCs w:val="16"/>
                <w:b w:val="1"/>
                <w:bCs w:val="1"/>
                <w:color w:val="auto"/>
              </w:rPr>
              <w:t>Results attributable</w:t>
            </w:r>
          </w:p>
        </w:tc>
        <w:tc>
          <w:tcPr>
            <w:tcW w:w="1960" w:type="dxa"/>
            <w:vAlign w:val="bottom"/>
            <w:gridSpan w:val="2"/>
            <w:vMerge w:val="restart"/>
          </w:tcPr>
          <w:p>
            <w:pPr>
              <w:jc w:val="right"/>
              <w:ind w:right="619"/>
              <w:spacing w:after="0"/>
              <w:rPr>
                <w:sz w:val="20"/>
                <w:szCs w:val="20"/>
                <w:color w:val="auto"/>
              </w:rPr>
            </w:pPr>
            <w:r>
              <w:rPr>
                <w:rFonts w:ascii="Arial" w:cs="Arial" w:eastAsia="Arial" w:hAnsi="Arial"/>
                <w:sz w:val="16"/>
                <w:szCs w:val="16"/>
                <w:b w:val="1"/>
                <w:bCs w:val="1"/>
                <w:color w:val="auto"/>
              </w:rPr>
              <w:t>Partnership</w:t>
            </w:r>
          </w:p>
        </w:tc>
        <w:tc>
          <w:tcPr>
            <w:tcW w:w="186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4"/>
              </w:rPr>
              <w:t>IFRS Common</w:t>
            </w:r>
          </w:p>
        </w:tc>
        <w:tc>
          <w:tcPr>
            <w:tcW w:w="0" w:type="dxa"/>
            <w:vAlign w:val="bottom"/>
          </w:tcPr>
          <w:p>
            <w:pPr>
              <w:spacing w:after="0"/>
              <w:rPr>
                <w:sz w:val="1"/>
                <w:szCs w:val="1"/>
                <w:color w:val="auto"/>
              </w:rPr>
            </w:pPr>
          </w:p>
        </w:tc>
      </w:tr>
      <w:tr>
        <w:trPr>
          <w:trHeight w:val="95"/>
        </w:trPr>
        <w:tc>
          <w:tcPr>
            <w:tcW w:w="454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12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1960" w:type="dxa"/>
            <w:vAlign w:val="bottom"/>
            <w:gridSpan w:val="2"/>
            <w:vMerge w:val="continue"/>
          </w:tcPr>
          <w:p>
            <w:pPr>
              <w:spacing w:after="0"/>
              <w:rPr>
                <w:sz w:val="8"/>
                <w:szCs w:val="8"/>
                <w:color w:val="auto"/>
              </w:rPr>
            </w:pPr>
          </w:p>
        </w:tc>
        <w:tc>
          <w:tcPr>
            <w:tcW w:w="1860" w:type="dxa"/>
            <w:vAlign w:val="bottom"/>
            <w:gridSpan w:val="2"/>
            <w:vMerge w:val="restart"/>
          </w:tcPr>
          <w:p>
            <w:pPr>
              <w:jc w:val="center"/>
              <w:ind w:right="139"/>
              <w:spacing w:after="0"/>
              <w:rPr>
                <w:sz w:val="20"/>
                <w:szCs w:val="20"/>
                <w:color w:val="auto"/>
              </w:rPr>
            </w:pPr>
            <w:r>
              <w:rPr>
                <w:rFonts w:ascii="Arial" w:cs="Arial" w:eastAsia="Arial" w:hAnsi="Arial"/>
                <w:sz w:val="16"/>
                <w:szCs w:val="16"/>
                <w:b w:val="1"/>
                <w:bCs w:val="1"/>
                <w:color w:val="auto"/>
                <w:w w:val="94"/>
              </w:rPr>
              <w:t>Control Reported</w:t>
            </w:r>
          </w:p>
        </w:tc>
        <w:tc>
          <w:tcPr>
            <w:tcW w:w="0" w:type="dxa"/>
            <w:vAlign w:val="bottom"/>
          </w:tcPr>
          <w:p>
            <w:pPr>
              <w:spacing w:after="0"/>
              <w:rPr>
                <w:sz w:val="1"/>
                <w:szCs w:val="1"/>
                <w:color w:val="auto"/>
              </w:rPr>
            </w:pPr>
          </w:p>
        </w:tc>
      </w:tr>
      <w:tr>
        <w:trPr>
          <w:trHeight w:val="108"/>
        </w:trPr>
        <w:tc>
          <w:tcPr>
            <w:tcW w:w="45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980" w:type="dxa"/>
            <w:vAlign w:val="bottom"/>
            <w:gridSpan w:val="2"/>
            <w:vMerge w:val="restart"/>
          </w:tcPr>
          <w:p>
            <w:pPr>
              <w:jc w:val="right"/>
              <w:ind w:right="719"/>
              <w:spacing w:after="0"/>
              <w:rPr>
                <w:sz w:val="20"/>
                <w:szCs w:val="20"/>
                <w:color w:val="auto"/>
              </w:rPr>
            </w:pPr>
            <w:r>
              <w:rPr>
                <w:rFonts w:ascii="Arial" w:cs="Arial" w:eastAsia="Arial" w:hAnsi="Arial"/>
                <w:sz w:val="16"/>
                <w:szCs w:val="16"/>
                <w:b w:val="1"/>
                <w:bCs w:val="1"/>
                <w:color w:val="auto"/>
              </w:rPr>
              <w:t>to GasLog</w:t>
            </w:r>
          </w:p>
        </w:tc>
        <w:tc>
          <w:tcPr>
            <w:tcW w:w="1960" w:type="dxa"/>
            <w:vAlign w:val="bottom"/>
            <w:gridSpan w:val="2"/>
            <w:vMerge w:val="restart"/>
          </w:tcPr>
          <w:p>
            <w:pPr>
              <w:jc w:val="right"/>
              <w:ind w:right="299"/>
              <w:spacing w:after="0"/>
              <w:rPr>
                <w:sz w:val="20"/>
                <w:szCs w:val="20"/>
                <w:color w:val="auto"/>
              </w:rPr>
            </w:pPr>
            <w:r>
              <w:rPr>
                <w:rFonts w:ascii="Arial" w:cs="Arial" w:eastAsia="Arial" w:hAnsi="Arial"/>
                <w:sz w:val="16"/>
                <w:szCs w:val="16"/>
                <w:b w:val="1"/>
                <w:bCs w:val="1"/>
                <w:color w:val="auto"/>
                <w:w w:val="97"/>
              </w:rPr>
              <w:t>Performance Results</w:t>
            </w:r>
          </w:p>
        </w:tc>
        <w:tc>
          <w:tcPr>
            <w:tcW w:w="1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5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1960" w:type="dxa"/>
            <w:vAlign w:val="bottom"/>
            <w:gridSpan w:val="2"/>
            <w:vMerge w:val="continue"/>
          </w:tcPr>
          <w:p>
            <w:pPr>
              <w:spacing w:after="0"/>
              <w:rPr>
                <w:sz w:val="8"/>
                <w:szCs w:val="8"/>
                <w:color w:val="auto"/>
              </w:rPr>
            </w:pPr>
          </w:p>
        </w:tc>
        <w:tc>
          <w:tcPr>
            <w:tcW w:w="1860" w:type="dxa"/>
            <w:vAlign w:val="bottom"/>
            <w:gridSpan w:val="2"/>
            <w:vMerge w:val="restart"/>
          </w:tcPr>
          <w:p>
            <w:pPr>
              <w:jc w:val="center"/>
              <w:ind w:right="139"/>
              <w:spacing w:after="0"/>
              <w:rPr>
                <w:sz w:val="20"/>
                <w:szCs w:val="20"/>
                <w:color w:val="auto"/>
              </w:rPr>
            </w:pPr>
            <w:r>
              <w:rPr>
                <w:rFonts w:ascii="Arial" w:cs="Arial" w:eastAsia="Arial" w:hAnsi="Arial"/>
                <w:sz w:val="16"/>
                <w:szCs w:val="16"/>
                <w:b w:val="1"/>
                <w:bCs w:val="1"/>
                <w:color w:val="auto"/>
                <w:w w:val="89"/>
              </w:rPr>
              <w:t>Results</w:t>
            </w:r>
          </w:p>
        </w:tc>
        <w:tc>
          <w:tcPr>
            <w:tcW w:w="0" w:type="dxa"/>
            <w:vAlign w:val="bottom"/>
          </w:tcPr>
          <w:p>
            <w:pPr>
              <w:spacing w:after="0"/>
              <w:rPr>
                <w:sz w:val="1"/>
                <w:szCs w:val="1"/>
                <w:color w:val="auto"/>
              </w:rPr>
            </w:pPr>
          </w:p>
        </w:tc>
      </w:tr>
      <w:tr>
        <w:trPr>
          <w:trHeight w:val="108"/>
        </w:trPr>
        <w:tc>
          <w:tcPr>
            <w:tcW w:w="45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12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15,318</w:t>
            </w:r>
          </w:p>
        </w:tc>
        <w:tc>
          <w:tcPr>
            <w:tcW w:w="24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81,887</w:t>
            </w:r>
          </w:p>
        </w:tc>
        <w:tc>
          <w:tcPr>
            <w:tcW w:w="260" w:type="dxa"/>
            <w:vAlign w:val="bottom"/>
            <w:tcBorders>
              <w:top w:val="single" w:sz="8" w:color="E5FFFF"/>
            </w:tcBorders>
            <w:shd w:val="clear" w:color="auto" w:fill="E5FFFF"/>
          </w:tcPr>
          <w:p>
            <w:pPr>
              <w:spacing w:after="0"/>
              <w:rPr>
                <w:sz w:val="17"/>
                <w:szCs w:val="17"/>
                <w:color w:val="auto"/>
              </w:rPr>
            </w:pPr>
          </w:p>
        </w:tc>
        <w:tc>
          <w:tcPr>
            <w:tcW w:w="16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97,205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Net pool allocation</w:t>
            </w:r>
          </w:p>
        </w:tc>
        <w:tc>
          <w:tcPr>
            <w:tcW w:w="1120" w:type="dxa"/>
            <w:vAlign w:val="bottom"/>
          </w:tcPr>
          <w:p>
            <w:pPr>
              <w:spacing w:after="0"/>
              <w:rPr>
                <w:sz w:val="17"/>
                <w:szCs w:val="17"/>
                <w:color w:val="auto"/>
              </w:rPr>
            </w:pPr>
          </w:p>
        </w:tc>
        <w:tc>
          <w:tcPr>
            <w:tcW w:w="19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ind w:right="179"/>
              <w:spacing w:after="0"/>
              <w:rPr>
                <w:sz w:val="20"/>
                <w:szCs w:val="20"/>
                <w:color w:val="auto"/>
              </w:rPr>
            </w:pPr>
            <w:r>
              <w:rPr>
                <w:rFonts w:ascii="Arial" w:cs="Arial" w:eastAsia="Arial" w:hAnsi="Arial"/>
                <w:sz w:val="16"/>
                <w:szCs w:val="16"/>
                <w:color w:val="auto"/>
              </w:rPr>
              <w:t>780</w:t>
            </w:r>
          </w:p>
        </w:tc>
        <w:tc>
          <w:tcPr>
            <w:tcW w:w="1640" w:type="dxa"/>
            <w:vAlign w:val="bottom"/>
          </w:tcPr>
          <w:p>
            <w:pPr>
              <w:jc w:val="right"/>
              <w:spacing w:after="0"/>
              <w:rPr>
                <w:sz w:val="20"/>
                <w:szCs w:val="20"/>
                <w:color w:val="auto"/>
              </w:rPr>
            </w:pPr>
            <w:r>
              <w:rPr>
                <w:rFonts w:ascii="Arial" w:cs="Arial" w:eastAsia="Arial" w:hAnsi="Arial"/>
                <w:sz w:val="16"/>
                <w:szCs w:val="16"/>
                <w:color w:val="auto"/>
              </w:rPr>
              <w:t>780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3100" w:type="dxa"/>
            <w:vAlign w:val="bottom"/>
            <w:gridSpan w:val="3"/>
            <w:shd w:val="clear" w:color="auto" w:fill="E5FFFF"/>
          </w:tcPr>
          <w:p>
            <w:pPr>
              <w:jc w:val="right"/>
              <w:ind w:right="159"/>
              <w:spacing w:after="0"/>
              <w:rPr>
                <w:sz w:val="20"/>
                <w:szCs w:val="20"/>
                <w:color w:val="auto"/>
              </w:rPr>
            </w:pPr>
            <w:r>
              <w:rPr>
                <w:rFonts w:ascii="Arial" w:cs="Arial" w:eastAsia="Arial" w:hAnsi="Arial"/>
                <w:sz w:val="16"/>
                <w:szCs w:val="16"/>
                <w:color w:val="auto"/>
              </w:rPr>
              <w:t>(191)</w:t>
            </w:r>
          </w:p>
        </w:tc>
        <w:tc>
          <w:tcPr>
            <w:tcW w:w="1960" w:type="dxa"/>
            <w:vAlign w:val="bottom"/>
            <w:gridSpan w:val="2"/>
            <w:shd w:val="clear" w:color="auto" w:fill="E5FFFF"/>
          </w:tcPr>
          <w:p>
            <w:pPr>
              <w:jc w:val="right"/>
              <w:ind w:right="119"/>
              <w:spacing w:after="0"/>
              <w:rPr>
                <w:sz w:val="20"/>
                <w:szCs w:val="20"/>
                <w:color w:val="auto"/>
              </w:rPr>
            </w:pPr>
            <w:r>
              <w:rPr>
                <w:rFonts w:ascii="Arial" w:cs="Arial" w:eastAsia="Arial" w:hAnsi="Arial"/>
                <w:sz w:val="16"/>
                <w:szCs w:val="16"/>
                <w:color w:val="auto"/>
              </w:rPr>
              <w:t>(3,359)</w:t>
            </w:r>
          </w:p>
        </w:tc>
        <w:tc>
          <w:tcPr>
            <w:tcW w:w="1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(3,550)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Vessel operating costs</w:t>
            </w:r>
          </w:p>
        </w:tc>
        <w:tc>
          <w:tcPr>
            <w:tcW w:w="3100" w:type="dxa"/>
            <w:vAlign w:val="bottom"/>
            <w:gridSpan w:val="3"/>
          </w:tcPr>
          <w:p>
            <w:pPr>
              <w:jc w:val="right"/>
              <w:ind w:right="159"/>
              <w:spacing w:after="0"/>
              <w:rPr>
                <w:sz w:val="20"/>
                <w:szCs w:val="20"/>
                <w:color w:val="auto"/>
              </w:rPr>
            </w:pPr>
            <w:r>
              <w:rPr>
                <w:rFonts w:ascii="Arial" w:cs="Arial" w:eastAsia="Arial" w:hAnsi="Arial"/>
                <w:sz w:val="16"/>
                <w:szCs w:val="16"/>
                <w:color w:val="auto"/>
              </w:rPr>
              <w:t>(2,832)</w:t>
            </w:r>
          </w:p>
        </w:tc>
        <w:tc>
          <w:tcPr>
            <w:tcW w:w="1960" w:type="dxa"/>
            <w:vAlign w:val="bottom"/>
            <w:gridSpan w:val="2"/>
          </w:tcPr>
          <w:p>
            <w:pPr>
              <w:jc w:val="right"/>
              <w:ind w:right="119"/>
              <w:spacing w:after="0"/>
              <w:rPr>
                <w:sz w:val="20"/>
                <w:szCs w:val="20"/>
                <w:color w:val="auto"/>
              </w:rPr>
            </w:pPr>
            <w:r>
              <w:rPr>
                <w:rFonts w:ascii="Arial" w:cs="Arial" w:eastAsia="Arial" w:hAnsi="Arial"/>
                <w:sz w:val="16"/>
                <w:szCs w:val="16"/>
                <w:color w:val="auto"/>
              </w:rPr>
              <w:t>(15,765)</w:t>
            </w:r>
          </w:p>
        </w:tc>
        <w:tc>
          <w:tcPr>
            <w:tcW w:w="1640" w:type="dxa"/>
            <w:vAlign w:val="bottom"/>
          </w:tcPr>
          <w:p>
            <w:pPr>
              <w:jc w:val="right"/>
              <w:spacing w:after="0"/>
              <w:rPr>
                <w:sz w:val="20"/>
                <w:szCs w:val="20"/>
                <w:color w:val="auto"/>
              </w:rPr>
            </w:pPr>
            <w:r>
              <w:rPr>
                <w:rFonts w:ascii="Arial" w:cs="Arial" w:eastAsia="Arial" w:hAnsi="Arial"/>
                <w:sz w:val="16"/>
                <w:szCs w:val="16"/>
                <w:color w:val="auto"/>
              </w:rPr>
              <w:t>(18,597)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3100" w:type="dxa"/>
            <w:vAlign w:val="bottom"/>
            <w:gridSpan w:val="3"/>
            <w:shd w:val="clear" w:color="auto" w:fill="E5FFFF"/>
          </w:tcPr>
          <w:p>
            <w:pPr>
              <w:jc w:val="right"/>
              <w:ind w:right="159"/>
              <w:spacing w:after="0"/>
              <w:rPr>
                <w:sz w:val="20"/>
                <w:szCs w:val="20"/>
                <w:color w:val="auto"/>
              </w:rPr>
            </w:pPr>
            <w:r>
              <w:rPr>
                <w:rFonts w:ascii="Arial" w:cs="Arial" w:eastAsia="Arial" w:hAnsi="Arial"/>
                <w:sz w:val="16"/>
                <w:szCs w:val="16"/>
                <w:color w:val="auto"/>
              </w:rPr>
              <w:t>(3,423)</w:t>
            </w:r>
          </w:p>
        </w:tc>
        <w:tc>
          <w:tcPr>
            <w:tcW w:w="1960" w:type="dxa"/>
            <w:vAlign w:val="bottom"/>
            <w:gridSpan w:val="2"/>
            <w:shd w:val="clear" w:color="auto" w:fill="E5FFFF"/>
          </w:tcPr>
          <w:p>
            <w:pPr>
              <w:jc w:val="right"/>
              <w:ind w:right="119"/>
              <w:spacing w:after="0"/>
              <w:rPr>
                <w:sz w:val="20"/>
                <w:szCs w:val="20"/>
                <w:color w:val="auto"/>
              </w:rPr>
            </w:pPr>
            <w:r>
              <w:rPr>
                <w:rFonts w:ascii="Arial" w:cs="Arial" w:eastAsia="Arial" w:hAnsi="Arial"/>
                <w:sz w:val="16"/>
                <w:szCs w:val="16"/>
                <w:color w:val="auto"/>
              </w:rPr>
              <w:t>(18,710)</w:t>
            </w:r>
          </w:p>
        </w:tc>
        <w:tc>
          <w:tcPr>
            <w:tcW w:w="1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(22,133)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3100" w:type="dxa"/>
            <w:vAlign w:val="bottom"/>
            <w:gridSpan w:val="3"/>
          </w:tcPr>
          <w:p>
            <w:pPr>
              <w:jc w:val="right"/>
              <w:ind w:right="159"/>
              <w:spacing w:after="0"/>
              <w:rPr>
                <w:sz w:val="20"/>
                <w:szCs w:val="20"/>
                <w:color w:val="auto"/>
              </w:rPr>
            </w:pPr>
            <w:r>
              <w:rPr>
                <w:rFonts w:ascii="Arial" w:cs="Arial" w:eastAsia="Arial" w:hAnsi="Arial"/>
                <w:sz w:val="16"/>
                <w:szCs w:val="16"/>
                <w:color w:val="auto"/>
              </w:rPr>
              <w:t>(189)</w:t>
            </w:r>
          </w:p>
        </w:tc>
        <w:tc>
          <w:tcPr>
            <w:tcW w:w="1960" w:type="dxa"/>
            <w:vAlign w:val="bottom"/>
            <w:gridSpan w:val="2"/>
          </w:tcPr>
          <w:p>
            <w:pPr>
              <w:jc w:val="right"/>
              <w:ind w:right="119"/>
              <w:spacing w:after="0"/>
              <w:rPr>
                <w:sz w:val="20"/>
                <w:szCs w:val="20"/>
                <w:color w:val="auto"/>
              </w:rPr>
            </w:pPr>
            <w:r>
              <w:rPr>
                <w:rFonts w:ascii="Arial" w:cs="Arial" w:eastAsia="Arial" w:hAnsi="Arial"/>
                <w:sz w:val="16"/>
                <w:szCs w:val="16"/>
                <w:color w:val="auto"/>
              </w:rPr>
              <w:t>(4,693)</w:t>
            </w:r>
          </w:p>
        </w:tc>
        <w:tc>
          <w:tcPr>
            <w:tcW w:w="1640" w:type="dxa"/>
            <w:vAlign w:val="bottom"/>
          </w:tcPr>
          <w:p>
            <w:pPr>
              <w:jc w:val="right"/>
              <w:spacing w:after="0"/>
              <w:rPr>
                <w:sz w:val="20"/>
                <w:szCs w:val="20"/>
                <w:color w:val="auto"/>
              </w:rPr>
            </w:pPr>
            <w:r>
              <w:rPr>
                <w:rFonts w:ascii="Arial" w:cs="Arial" w:eastAsia="Arial" w:hAnsi="Arial"/>
                <w:sz w:val="16"/>
                <w:szCs w:val="16"/>
                <w:color w:val="auto"/>
              </w:rPr>
              <w:t>(4,882)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12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8,683</w:t>
            </w:r>
          </w:p>
        </w:tc>
        <w:tc>
          <w:tcPr>
            <w:tcW w:w="24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40,140</w:t>
            </w:r>
          </w:p>
        </w:tc>
        <w:tc>
          <w:tcPr>
            <w:tcW w:w="260" w:type="dxa"/>
            <w:vAlign w:val="bottom"/>
            <w:tcBorders>
              <w:top w:val="single" w:sz="8" w:color="E5FFFF"/>
            </w:tcBorders>
            <w:shd w:val="clear" w:color="auto" w:fill="E5FFFF"/>
          </w:tcPr>
          <w:p>
            <w:pPr>
              <w:spacing w:after="0"/>
              <w:rPr>
                <w:sz w:val="17"/>
                <w:szCs w:val="17"/>
                <w:color w:val="auto"/>
              </w:rPr>
            </w:pPr>
          </w:p>
        </w:tc>
        <w:tc>
          <w:tcPr>
            <w:tcW w:w="1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48,823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Pr>
          <w:p>
            <w:pPr>
              <w:spacing w:after="0"/>
              <w:rPr>
                <w:sz w:val="20"/>
                <w:szCs w:val="20"/>
                <w:color w:val="auto"/>
              </w:rPr>
            </w:pPr>
            <w:r>
              <w:rPr>
                <w:rFonts w:ascii="Arial" w:cs="Arial" w:eastAsia="Arial" w:hAnsi="Arial"/>
                <w:sz w:val="16"/>
                <w:szCs w:val="16"/>
                <w:color w:val="auto"/>
              </w:rPr>
              <w:t>Financial costs</w:t>
            </w:r>
          </w:p>
        </w:tc>
        <w:tc>
          <w:tcPr>
            <w:tcW w:w="1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(2,937</w:t>
            </w:r>
          </w:p>
        </w:tc>
        <w:tc>
          <w:tcPr>
            <w:tcW w:w="240" w:type="dxa"/>
            <w:vAlign w:val="bottom"/>
          </w:tcPr>
          <w:p>
            <w:pPr>
              <w:jc w:val="right"/>
              <w:ind w:right="159"/>
              <w:spacing w:after="0"/>
              <w:rPr>
                <w:sz w:val="20"/>
                <w:szCs w:val="20"/>
                <w:color w:val="auto"/>
              </w:rPr>
            </w:pPr>
            <w:r>
              <w:rPr>
                <w:rFonts w:ascii="Arial" w:cs="Arial" w:eastAsia="Arial" w:hAnsi="Arial"/>
                <w:sz w:val="8"/>
                <w:szCs w:val="8"/>
                <w:color w:val="auto"/>
                <w:w w:val="73"/>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(15,533</w:t>
            </w:r>
          </w:p>
        </w:tc>
        <w:tc>
          <w:tcPr>
            <w:tcW w:w="260" w:type="dxa"/>
            <w:vAlign w:val="bottom"/>
          </w:tcPr>
          <w:p>
            <w:pPr>
              <w:jc w:val="right"/>
              <w:ind w:right="119"/>
              <w:spacing w:after="0"/>
              <w:rPr>
                <w:sz w:val="20"/>
                <w:szCs w:val="20"/>
                <w:color w:val="auto"/>
              </w:rPr>
            </w:pPr>
            <w:r>
              <w:rPr>
                <w:rFonts w:ascii="Arial" w:cs="Arial" w:eastAsia="Arial" w:hAnsi="Arial"/>
                <w:sz w:val="16"/>
                <w:szCs w:val="16"/>
                <w:color w:val="auto"/>
                <w:w w:val="74"/>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(18,470)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28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12</w:t>
            </w:r>
          </w:p>
        </w:tc>
        <w:tc>
          <w:tcPr>
            <w:tcW w:w="24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581</w:t>
            </w:r>
          </w:p>
        </w:tc>
        <w:tc>
          <w:tcPr>
            <w:tcW w:w="1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593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Gain on derivatives</w:t>
            </w:r>
          </w:p>
        </w:tc>
        <w:tc>
          <w:tcPr>
            <w:tcW w:w="1120" w:type="dxa"/>
            <w:vAlign w:val="bottom"/>
          </w:tcPr>
          <w:p>
            <w:pPr>
              <w:spacing w:after="0"/>
              <w:rPr>
                <w:sz w:val="17"/>
                <w:szCs w:val="17"/>
                <w:color w:val="auto"/>
              </w:rPr>
            </w:pPr>
          </w:p>
        </w:tc>
        <w:tc>
          <w:tcPr>
            <w:tcW w:w="19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ind w:right="179"/>
              <w:spacing w:after="0"/>
              <w:rPr>
                <w:sz w:val="20"/>
                <w:szCs w:val="20"/>
                <w:color w:val="auto"/>
              </w:rPr>
            </w:pPr>
            <w:r>
              <w:rPr>
                <w:rFonts w:ascii="Arial" w:cs="Arial" w:eastAsia="Arial" w:hAnsi="Arial"/>
                <w:sz w:val="16"/>
                <w:szCs w:val="16"/>
                <w:color w:val="auto"/>
              </w:rPr>
              <w:t>2,082</w:t>
            </w:r>
          </w:p>
        </w:tc>
        <w:tc>
          <w:tcPr>
            <w:tcW w:w="1640" w:type="dxa"/>
            <w:vAlign w:val="bottom"/>
          </w:tcPr>
          <w:p>
            <w:pPr>
              <w:jc w:val="right"/>
              <w:spacing w:after="0"/>
              <w:rPr>
                <w:sz w:val="20"/>
                <w:szCs w:val="20"/>
                <w:color w:val="auto"/>
              </w:rPr>
            </w:pPr>
            <w:r>
              <w:rPr>
                <w:rFonts w:ascii="Arial" w:cs="Arial" w:eastAsia="Arial" w:hAnsi="Arial"/>
                <w:sz w:val="16"/>
                <w:szCs w:val="16"/>
                <w:color w:val="auto"/>
              </w:rPr>
              <w:t>2,082</w:t>
            </w:r>
          </w:p>
        </w:tc>
        <w:tc>
          <w:tcPr>
            <w:tcW w:w="2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4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12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(2,925</w:t>
            </w:r>
          </w:p>
        </w:tc>
        <w:tc>
          <w:tcPr>
            <w:tcW w:w="240" w:type="dxa"/>
            <w:vAlign w:val="bottom"/>
            <w:tcBorders>
              <w:top w:val="single" w:sz="8" w:color="E5FFFF"/>
            </w:tcBorders>
            <w:shd w:val="clear" w:color="auto" w:fill="E5FFFF"/>
          </w:tcPr>
          <w:p>
            <w:pPr>
              <w:jc w:val="right"/>
              <w:ind w:right="159"/>
              <w:spacing w:after="0"/>
              <w:rPr>
                <w:sz w:val="20"/>
                <w:szCs w:val="20"/>
                <w:color w:val="auto"/>
              </w:rPr>
            </w:pPr>
            <w:r>
              <w:rPr>
                <w:rFonts w:ascii="Arial" w:cs="Arial" w:eastAsia="Arial" w:hAnsi="Arial"/>
                <w:sz w:val="8"/>
                <w:szCs w:val="8"/>
                <w:b w:val="1"/>
                <w:bCs w:val="1"/>
                <w:color w:val="auto"/>
                <w:w w:val="73"/>
              </w:rPr>
              <w:t>)</w:t>
            </w: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(12,870</w:t>
            </w:r>
          </w:p>
        </w:tc>
        <w:tc>
          <w:tcPr>
            <w:tcW w:w="260" w:type="dxa"/>
            <w:vAlign w:val="bottom"/>
            <w:tcBorders>
              <w:top w:val="single" w:sz="8" w:color="E5FFFF"/>
            </w:tcBorders>
            <w:shd w:val="clear" w:color="auto" w:fill="E5FFFF"/>
          </w:tcPr>
          <w:p>
            <w:pPr>
              <w:jc w:val="right"/>
              <w:ind w:right="119"/>
              <w:spacing w:after="0"/>
              <w:rPr>
                <w:sz w:val="20"/>
                <w:szCs w:val="20"/>
                <w:color w:val="auto"/>
              </w:rPr>
            </w:pPr>
            <w:r>
              <w:rPr>
                <w:rFonts w:ascii="Arial" w:cs="Arial" w:eastAsia="Arial" w:hAnsi="Arial"/>
                <w:sz w:val="16"/>
                <w:szCs w:val="16"/>
                <w:b w:val="1"/>
                <w:bCs w:val="1"/>
                <w:color w:val="auto"/>
                <w:w w:val="74"/>
              </w:rPr>
              <w:t>)</w:t>
            </w:r>
          </w:p>
        </w:tc>
        <w:tc>
          <w:tcPr>
            <w:tcW w:w="1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(15,795</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1120" w:type="dxa"/>
            <w:vAlign w:val="bottom"/>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5,758</w:t>
            </w:r>
          </w:p>
        </w:tc>
        <w:tc>
          <w:tcPr>
            <w:tcW w:w="24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27,270</w:t>
            </w:r>
          </w:p>
        </w:tc>
        <w:tc>
          <w:tcPr>
            <w:tcW w:w="26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33,028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40" w:type="dxa"/>
            <w:vAlign w:val="bottom"/>
          </w:tcPr>
          <w:p>
            <w:pPr>
              <w:spacing w:after="0"/>
              <w:rPr>
                <w:sz w:val="24"/>
                <w:szCs w:val="24"/>
                <w:color w:val="auto"/>
              </w:rPr>
            </w:pPr>
          </w:p>
        </w:tc>
        <w:tc>
          <w:tcPr>
            <w:tcW w:w="3100" w:type="dxa"/>
            <w:vAlign w:val="bottom"/>
            <w:gridSpan w:val="3"/>
          </w:tcPr>
          <w:p>
            <w:pPr>
              <w:jc w:val="right"/>
              <w:ind w:right="1739"/>
              <w:spacing w:after="0"/>
              <w:rPr>
                <w:sz w:val="20"/>
                <w:szCs w:val="20"/>
                <w:color w:val="auto"/>
              </w:rPr>
            </w:pPr>
            <w:r>
              <w:rPr>
                <w:rFonts w:ascii="Arial" w:cs="Arial" w:eastAsia="Arial" w:hAnsi="Arial"/>
                <w:sz w:val="18"/>
                <w:szCs w:val="18"/>
                <w:color w:val="auto"/>
              </w:rPr>
              <w:t>A-1</w:t>
            </w: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5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45" w:name="page46"/>
    <w:bookmarkEnd w:id="45"/>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All amounts expressed in thousands of U.S. dollars</w:t>
      </w:r>
      <w:r>
        <w:rPr>
          <w:rFonts w:ascii="Arial" w:cs="Arial" w:eastAsia="Arial" w:hAnsi="Arial"/>
          <w:sz w:val="14"/>
          <w:szCs w:val="14"/>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Voyage expenses and commissions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Vessel operating costs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Depreciation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from operations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Financial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income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Loss on derivatives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other expenses, net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for the period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All amounts expressed in thousands of U.S. dollars</w:t>
      </w:r>
      <w:r>
        <w:rPr>
          <w:rFonts w:ascii="Arial" w:cs="Arial" w:eastAsia="Arial" w:hAnsi="Arial"/>
          <w:sz w:val="14"/>
          <w:szCs w:val="14"/>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pool allocation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Voyage expenses and commissions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Vessel operating costs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Depreciation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from operations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Financial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income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Gain on derivatives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other expenses, net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for the period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All amounts expressed in thousands of U.S. dollars</w:t>
      </w:r>
      <w:r>
        <w:rPr>
          <w:rFonts w:ascii="Arial" w:cs="Arial" w:eastAsia="Arial" w:hAnsi="Arial"/>
          <w:sz w:val="14"/>
          <w:szCs w:val="14"/>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pool allocation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Voyage expenses and commissions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Vessel operating costs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Depreciation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from operations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Financial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income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Loss on derivatives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other expenses, net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for the period</w:t>
      </w:r>
    </w:p>
    <w:p>
      <w:pPr>
        <w:spacing w:after="0" w:line="20" w:lineRule="exact"/>
        <w:rPr>
          <w:sz w:val="20"/>
          <w:szCs w:val="20"/>
          <w:color w:val="auto"/>
        </w:rPr>
      </w:pPr>
      <w:r>
        <w:rPr>
          <w:sz w:val="20"/>
          <w:szCs w:val="20"/>
          <w:color w:val="auto"/>
        </w:rPr>
        <w:br w:type="column"/>
      </w:r>
    </w:p>
    <w:p>
      <w:pPr>
        <w:ind w:left="1200"/>
        <w:spacing w:after="0"/>
        <w:rPr>
          <w:sz w:val="20"/>
          <w:szCs w:val="20"/>
          <w:color w:val="auto"/>
        </w:rPr>
      </w:pPr>
      <w:r>
        <w:rPr>
          <w:rFonts w:ascii="Arial" w:cs="Arial" w:eastAsia="Arial" w:hAnsi="Arial"/>
          <w:sz w:val="16"/>
          <w:szCs w:val="16"/>
          <w:b w:val="1"/>
          <w:bCs w:val="1"/>
          <w:color w:val="auto"/>
        </w:rPr>
        <w:t>For the three months ended September 30, 2019</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3"/>
          </w:tcPr>
          <w:p>
            <w:pPr>
              <w:jc w:val="center"/>
              <w:ind w:right="19"/>
              <w:spacing w:after="0"/>
              <w:rPr>
                <w:sz w:val="20"/>
                <w:szCs w:val="20"/>
                <w:color w:val="auto"/>
              </w:rPr>
            </w:pPr>
            <w:r>
              <w:rPr>
                <w:rFonts w:ascii="Arial" w:cs="Arial" w:eastAsia="Arial" w:hAnsi="Arial"/>
                <w:sz w:val="16"/>
                <w:szCs w:val="16"/>
                <w:b w:val="1"/>
                <w:bCs w:val="1"/>
                <w:color w:val="auto"/>
                <w:w w:val="96"/>
              </w:rPr>
              <w:t>IFRS Common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2"/>
              </w:rPr>
              <w:t>Results attributable</w:t>
            </w:r>
          </w:p>
        </w:tc>
        <w:tc>
          <w:tcPr>
            <w:tcW w:w="1980" w:type="dxa"/>
            <w:vAlign w:val="bottom"/>
            <w:gridSpan w:val="2"/>
          </w:tcPr>
          <w:p>
            <w:pPr>
              <w:jc w:val="center"/>
              <w:ind w:right="219"/>
              <w:spacing w:after="0"/>
              <w:rPr>
                <w:sz w:val="20"/>
                <w:szCs w:val="20"/>
                <w:color w:val="auto"/>
              </w:rPr>
            </w:pPr>
            <w:r>
              <w:rPr>
                <w:rFonts w:ascii="Arial" w:cs="Arial" w:eastAsia="Arial" w:hAnsi="Arial"/>
                <w:sz w:val="16"/>
                <w:szCs w:val="16"/>
                <w:b w:val="1"/>
                <w:bCs w:val="1"/>
                <w:color w:val="auto"/>
                <w:w w:val="94"/>
              </w:rPr>
              <w:t>Partnership</w:t>
            </w:r>
          </w:p>
        </w:tc>
        <w:tc>
          <w:tcPr>
            <w:tcW w:w="1720" w:type="dxa"/>
            <w:vAlign w:val="bottom"/>
            <w:gridSpan w:val="3"/>
          </w:tcPr>
          <w:p>
            <w:pPr>
              <w:jc w:val="center"/>
              <w:ind w:right="19"/>
              <w:spacing w:after="0"/>
              <w:rPr>
                <w:sz w:val="20"/>
                <w:szCs w:val="20"/>
                <w:color w:val="auto"/>
              </w:rPr>
            </w:pPr>
            <w:r>
              <w:rPr>
                <w:rFonts w:ascii="Arial" w:cs="Arial" w:eastAsia="Arial" w:hAnsi="Arial"/>
                <w:sz w:val="16"/>
                <w:szCs w:val="16"/>
                <w:b w:val="1"/>
                <w:bCs w:val="1"/>
                <w:color w:val="auto"/>
                <w:w w:val="92"/>
              </w:rPr>
              <w:t>Control Reported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2"/>
          </w:tcPr>
          <w:p>
            <w:pPr>
              <w:jc w:val="center"/>
              <w:ind w:right="179"/>
              <w:spacing w:after="0"/>
              <w:rPr>
                <w:sz w:val="20"/>
                <w:szCs w:val="20"/>
                <w:color w:val="auto"/>
              </w:rPr>
            </w:pPr>
            <w:r>
              <w:rPr>
                <w:rFonts w:ascii="Arial" w:cs="Arial" w:eastAsia="Arial" w:hAnsi="Arial"/>
                <w:sz w:val="16"/>
                <w:szCs w:val="16"/>
                <w:b w:val="1"/>
                <w:bCs w:val="1"/>
                <w:color w:val="auto"/>
                <w:w w:val="90"/>
              </w:rPr>
              <w:t>to GasLog</w:t>
            </w:r>
          </w:p>
        </w:tc>
        <w:tc>
          <w:tcPr>
            <w:tcW w:w="1980" w:type="dxa"/>
            <w:vAlign w:val="bottom"/>
            <w:gridSpan w:val="2"/>
          </w:tcPr>
          <w:p>
            <w:pPr>
              <w:jc w:val="center"/>
              <w:ind w:right="219"/>
              <w:spacing w:after="0"/>
              <w:rPr>
                <w:sz w:val="20"/>
                <w:szCs w:val="20"/>
                <w:color w:val="auto"/>
              </w:rPr>
            </w:pPr>
            <w:r>
              <w:rPr>
                <w:rFonts w:ascii="Arial" w:cs="Arial" w:eastAsia="Arial" w:hAnsi="Arial"/>
                <w:sz w:val="16"/>
                <w:szCs w:val="16"/>
                <w:b w:val="1"/>
                <w:bCs w:val="1"/>
                <w:color w:val="auto"/>
                <w:w w:val="89"/>
              </w:rPr>
              <w:t>Performance Results</w:t>
            </w:r>
          </w:p>
        </w:tc>
        <w:tc>
          <w:tcPr>
            <w:tcW w:w="1720" w:type="dxa"/>
            <w:vAlign w:val="bottom"/>
            <w:gridSpan w:val="3"/>
          </w:tcPr>
          <w:p>
            <w:pPr>
              <w:jc w:val="center"/>
              <w:ind w:right="19"/>
              <w:spacing w:after="0"/>
              <w:rPr>
                <w:sz w:val="20"/>
                <w:szCs w:val="20"/>
                <w:color w:val="auto"/>
              </w:rPr>
            </w:pPr>
            <w:r>
              <w:rPr>
                <w:rFonts w:ascii="Arial" w:cs="Arial" w:eastAsia="Arial" w:hAnsi="Arial"/>
                <w:sz w:val="16"/>
                <w:szCs w:val="16"/>
                <w:b w:val="1"/>
                <w:bCs w:val="1"/>
                <w:color w:val="auto"/>
                <w:w w:val="86"/>
              </w:rPr>
              <w:t>Results</w:t>
            </w:r>
          </w:p>
        </w:tc>
        <w:tc>
          <w:tcPr>
            <w:tcW w:w="0" w:type="dxa"/>
            <w:vAlign w:val="bottom"/>
          </w:tcPr>
          <w:p>
            <w:pPr>
              <w:spacing w:after="0"/>
              <w:rPr>
                <w:sz w:val="1"/>
                <w:szCs w:val="1"/>
                <w:color w:val="auto"/>
              </w:rPr>
            </w:pPr>
          </w:p>
        </w:tc>
      </w:tr>
      <w:tr>
        <w:trPr>
          <w:trHeight w:val="189"/>
        </w:trPr>
        <w:tc>
          <w:tcPr>
            <w:tcW w:w="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96,485</w:t>
            </w:r>
          </w:p>
        </w:tc>
        <w:tc>
          <w:tcPr>
            <w:tcW w:w="240" w:type="dxa"/>
            <w:vAlign w:val="bottom"/>
          </w:tcPr>
          <w:p>
            <w:pPr>
              <w:spacing w:after="0"/>
              <w:rPr>
                <w:sz w:val="16"/>
                <w:szCs w:val="16"/>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96,485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(1,673)</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(1,673)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(18,116)</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(18,116)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(22,819)</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(22,819)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(4,917)</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(4,917)</w:t>
            </w:r>
          </w:p>
        </w:tc>
        <w:tc>
          <w:tcPr>
            <w:tcW w:w="0" w:type="dxa"/>
            <w:vAlign w:val="bottom"/>
          </w:tcPr>
          <w:p>
            <w:pPr>
              <w:spacing w:after="0"/>
              <w:rPr>
                <w:sz w:val="1"/>
                <w:szCs w:val="1"/>
                <w:color w:val="auto"/>
              </w:rPr>
            </w:pPr>
          </w:p>
        </w:tc>
      </w:tr>
      <w:tr>
        <w:trPr>
          <w:trHeight w:val="199"/>
        </w:trPr>
        <w:tc>
          <w:tcPr>
            <w:tcW w:w="2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48,960</w:t>
            </w:r>
          </w:p>
        </w:tc>
        <w:tc>
          <w:tcPr>
            <w:tcW w:w="240" w:type="dxa"/>
            <w:vAlign w:val="bottom"/>
            <w:vMerge w:val="restart"/>
          </w:tcPr>
          <w:p>
            <w:pPr>
              <w:jc w:val="right"/>
              <w:ind w:right="159"/>
              <w:spacing w:after="0"/>
              <w:rPr>
                <w:sz w:val="20"/>
                <w:szCs w:val="20"/>
                <w:color w:val="auto"/>
              </w:rPr>
            </w:pPr>
            <w:r>
              <w:rPr>
                <w:rFonts w:ascii="Arial" w:cs="Arial" w:eastAsia="Arial" w:hAnsi="Arial"/>
                <w:sz w:val="8"/>
                <w:szCs w:val="8"/>
                <w:color w:val="auto"/>
                <w:w w:val="73"/>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48,960</w:t>
            </w: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(17,534</w:t>
            </w:r>
          </w:p>
        </w:tc>
        <w:tc>
          <w:tcPr>
            <w:tcW w:w="240" w:type="dxa"/>
            <w:vAlign w:val="bottom"/>
            <w:vMerge w:val="continue"/>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(17,534</w:t>
            </w:r>
          </w:p>
        </w:tc>
        <w:tc>
          <w:tcPr>
            <w:tcW w:w="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393</w:t>
            </w:r>
          </w:p>
        </w:tc>
        <w:tc>
          <w:tcPr>
            <w:tcW w:w="2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393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(2,385)</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(2,385)</w:t>
            </w:r>
          </w:p>
        </w:tc>
        <w:tc>
          <w:tcPr>
            <w:tcW w:w="0" w:type="dxa"/>
            <w:vAlign w:val="bottom"/>
          </w:tcPr>
          <w:p>
            <w:pPr>
              <w:spacing w:after="0"/>
              <w:rPr>
                <w:sz w:val="1"/>
                <w:szCs w:val="1"/>
                <w:color w:val="auto"/>
              </w:rPr>
            </w:pPr>
          </w:p>
        </w:tc>
      </w:tr>
      <w:tr>
        <w:trPr>
          <w:trHeight w:val="202"/>
        </w:trPr>
        <w:tc>
          <w:tcPr>
            <w:tcW w:w="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(19,526</w:t>
            </w:r>
          </w:p>
        </w:tc>
        <w:tc>
          <w:tcPr>
            <w:tcW w:w="240" w:type="dxa"/>
            <w:vAlign w:val="bottom"/>
          </w:tcPr>
          <w:p>
            <w:pPr>
              <w:jc w:val="right"/>
              <w:ind w:right="159"/>
              <w:spacing w:after="0"/>
              <w:rPr>
                <w:sz w:val="20"/>
                <w:szCs w:val="20"/>
                <w:color w:val="auto"/>
              </w:rPr>
            </w:pPr>
            <w:r>
              <w:rPr>
                <w:rFonts w:ascii="Arial" w:cs="Arial" w:eastAsia="Arial" w:hAnsi="Arial"/>
                <w:sz w:val="8"/>
                <w:szCs w:val="8"/>
                <w:b w:val="1"/>
                <w:bCs w:val="1"/>
                <w:color w:val="auto"/>
                <w:w w:val="73"/>
              </w:rPr>
              <w:t>)</w:t>
            </w:r>
          </w:p>
        </w:tc>
        <w:tc>
          <w:tcPr>
            <w:tcW w:w="16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(19,526</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2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29,434</w:t>
            </w:r>
          </w:p>
        </w:tc>
        <w:tc>
          <w:tcPr>
            <w:tcW w:w="240" w:type="dxa"/>
            <w:vAlign w:val="bottom"/>
            <w:tcBorders>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29,434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5620" w:type="dxa"/>
            <w:vAlign w:val="bottom"/>
            <w:tcBorders>
              <w:bottom w:val="single" w:sz="8" w:color="auto"/>
            </w:tcBorders>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680" w:type="dxa"/>
            <w:vAlign w:val="bottom"/>
            <w:gridSpan w:val="7"/>
          </w:tcPr>
          <w:p>
            <w:pPr>
              <w:jc w:val="right"/>
              <w:ind w:right="1199"/>
              <w:spacing w:after="0"/>
              <w:rPr>
                <w:sz w:val="20"/>
                <w:szCs w:val="20"/>
                <w:color w:val="auto"/>
              </w:rPr>
            </w:pPr>
            <w:r>
              <w:rPr>
                <w:rFonts w:ascii="Arial" w:cs="Arial" w:eastAsia="Arial" w:hAnsi="Arial"/>
                <w:sz w:val="16"/>
                <w:szCs w:val="16"/>
                <w:b w:val="1"/>
                <w:bCs w:val="1"/>
                <w:color w:val="auto"/>
              </w:rPr>
              <w:t>For the nine months ended September 30, 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gridSpan w:val="2"/>
            <w:vMerge w:val="restart"/>
          </w:tcPr>
          <w:p>
            <w:pPr>
              <w:jc w:val="center"/>
              <w:ind w:right="159"/>
              <w:spacing w:after="0"/>
              <w:rPr>
                <w:sz w:val="20"/>
                <w:szCs w:val="20"/>
                <w:color w:val="auto"/>
              </w:rPr>
            </w:pPr>
            <w:r>
              <w:rPr>
                <w:rFonts w:ascii="Arial" w:cs="Arial" w:eastAsia="Arial" w:hAnsi="Arial"/>
                <w:sz w:val="16"/>
                <w:szCs w:val="16"/>
                <w:b w:val="1"/>
                <w:bCs w:val="1"/>
                <w:color w:val="auto"/>
                <w:w w:val="92"/>
              </w:rPr>
              <w:t>Results attributable</w:t>
            </w:r>
          </w:p>
        </w:tc>
        <w:tc>
          <w:tcPr>
            <w:tcW w:w="1980" w:type="dxa"/>
            <w:vAlign w:val="bottom"/>
            <w:gridSpan w:val="2"/>
            <w:vMerge w:val="restart"/>
          </w:tcPr>
          <w:p>
            <w:pPr>
              <w:jc w:val="center"/>
              <w:ind w:right="219"/>
              <w:spacing w:after="0"/>
              <w:rPr>
                <w:sz w:val="20"/>
                <w:szCs w:val="20"/>
                <w:color w:val="auto"/>
              </w:rPr>
            </w:pPr>
            <w:r>
              <w:rPr>
                <w:rFonts w:ascii="Arial" w:cs="Arial" w:eastAsia="Arial" w:hAnsi="Arial"/>
                <w:sz w:val="16"/>
                <w:szCs w:val="16"/>
                <w:b w:val="1"/>
                <w:bCs w:val="1"/>
                <w:color w:val="auto"/>
                <w:w w:val="94"/>
              </w:rPr>
              <w:t>Partnership</w:t>
            </w:r>
          </w:p>
        </w:tc>
        <w:tc>
          <w:tcPr>
            <w:tcW w:w="1720" w:type="dxa"/>
            <w:vAlign w:val="bottom"/>
            <w:gridSpan w:val="3"/>
          </w:tcPr>
          <w:p>
            <w:pPr>
              <w:jc w:val="center"/>
              <w:ind w:right="19"/>
              <w:spacing w:after="0"/>
              <w:rPr>
                <w:sz w:val="20"/>
                <w:szCs w:val="20"/>
                <w:color w:val="auto"/>
              </w:rPr>
            </w:pPr>
            <w:r>
              <w:rPr>
                <w:rFonts w:ascii="Arial" w:cs="Arial" w:eastAsia="Arial" w:hAnsi="Arial"/>
                <w:sz w:val="16"/>
                <w:szCs w:val="16"/>
                <w:b w:val="1"/>
                <w:bCs w:val="1"/>
                <w:color w:val="auto"/>
                <w:w w:val="96"/>
              </w:rPr>
              <w:t>IFRS Common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1720" w:type="dxa"/>
            <w:vAlign w:val="bottom"/>
            <w:gridSpan w:val="3"/>
            <w:vMerge w:val="restart"/>
          </w:tcPr>
          <w:p>
            <w:pPr>
              <w:jc w:val="center"/>
              <w:ind w:right="19"/>
              <w:spacing w:after="0"/>
              <w:rPr>
                <w:sz w:val="20"/>
                <w:szCs w:val="20"/>
                <w:color w:val="auto"/>
              </w:rPr>
            </w:pPr>
            <w:r>
              <w:rPr>
                <w:rFonts w:ascii="Arial" w:cs="Arial" w:eastAsia="Arial" w:hAnsi="Arial"/>
                <w:sz w:val="16"/>
                <w:szCs w:val="16"/>
                <w:b w:val="1"/>
                <w:bCs w:val="1"/>
                <w:color w:val="auto"/>
                <w:w w:val="92"/>
              </w:rPr>
              <w:t>Control Reported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80" w:type="dxa"/>
            <w:vAlign w:val="bottom"/>
            <w:gridSpan w:val="2"/>
            <w:vMerge w:val="restart"/>
          </w:tcPr>
          <w:p>
            <w:pPr>
              <w:jc w:val="center"/>
              <w:ind w:right="159"/>
              <w:spacing w:after="0"/>
              <w:rPr>
                <w:sz w:val="20"/>
                <w:szCs w:val="20"/>
                <w:color w:val="auto"/>
              </w:rPr>
            </w:pPr>
            <w:r>
              <w:rPr>
                <w:rFonts w:ascii="Arial" w:cs="Arial" w:eastAsia="Arial" w:hAnsi="Arial"/>
                <w:sz w:val="16"/>
                <w:szCs w:val="16"/>
                <w:b w:val="1"/>
                <w:bCs w:val="1"/>
                <w:color w:val="auto"/>
                <w:w w:val="88"/>
              </w:rPr>
              <w:t>to GasLog</w:t>
            </w:r>
          </w:p>
        </w:tc>
        <w:tc>
          <w:tcPr>
            <w:tcW w:w="1980" w:type="dxa"/>
            <w:vAlign w:val="bottom"/>
            <w:gridSpan w:val="2"/>
            <w:vMerge w:val="restart"/>
          </w:tcPr>
          <w:p>
            <w:pPr>
              <w:jc w:val="center"/>
              <w:ind w:right="219"/>
              <w:spacing w:after="0"/>
              <w:rPr>
                <w:sz w:val="20"/>
                <w:szCs w:val="20"/>
                <w:color w:val="auto"/>
              </w:rPr>
            </w:pPr>
            <w:r>
              <w:rPr>
                <w:rFonts w:ascii="Arial" w:cs="Arial" w:eastAsia="Arial" w:hAnsi="Arial"/>
                <w:sz w:val="16"/>
                <w:szCs w:val="16"/>
                <w:b w:val="1"/>
                <w:bCs w:val="1"/>
                <w:color w:val="auto"/>
                <w:w w:val="89"/>
              </w:rPr>
              <w:t>Performance Results</w:t>
            </w: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1720" w:type="dxa"/>
            <w:vAlign w:val="bottom"/>
            <w:gridSpan w:val="3"/>
            <w:vMerge w:val="restart"/>
          </w:tcPr>
          <w:p>
            <w:pPr>
              <w:jc w:val="center"/>
              <w:ind w:right="19"/>
              <w:spacing w:after="0"/>
              <w:rPr>
                <w:sz w:val="20"/>
                <w:szCs w:val="20"/>
                <w:color w:val="auto"/>
              </w:rPr>
            </w:pPr>
            <w:r>
              <w:rPr>
                <w:rFonts w:ascii="Arial" w:cs="Arial" w:eastAsia="Arial" w:hAnsi="Arial"/>
                <w:sz w:val="16"/>
                <w:szCs w:val="16"/>
                <w:b w:val="1"/>
                <w:bCs w:val="1"/>
                <w:color w:val="auto"/>
                <w:w w:val="86"/>
              </w:rPr>
              <w:t>Results</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54,769</w:t>
            </w:r>
          </w:p>
        </w:tc>
        <w:tc>
          <w:tcPr>
            <w:tcW w:w="240" w:type="dxa"/>
            <w:vAlign w:val="bottom"/>
          </w:tcPr>
          <w:p>
            <w:pPr>
              <w:spacing w:after="0"/>
              <w:rPr>
                <w:sz w:val="16"/>
                <w:szCs w:val="16"/>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233,857</w:t>
            </w:r>
          </w:p>
        </w:tc>
        <w:tc>
          <w:tcPr>
            <w:tcW w:w="240" w:type="dxa"/>
            <w:vAlign w:val="bottom"/>
          </w:tcPr>
          <w:p>
            <w:pPr>
              <w:spacing w:after="0"/>
              <w:rPr>
                <w:sz w:val="16"/>
                <w:szCs w:val="16"/>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288,626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423</w:t>
            </w:r>
          </w:p>
        </w:tc>
        <w:tc>
          <w:tcPr>
            <w:tcW w:w="2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423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gridSpan w:val="2"/>
          </w:tcPr>
          <w:p>
            <w:pPr>
              <w:jc w:val="right"/>
              <w:ind w:right="99"/>
              <w:spacing w:after="0"/>
              <w:rPr>
                <w:sz w:val="20"/>
                <w:szCs w:val="20"/>
                <w:color w:val="auto"/>
              </w:rPr>
            </w:pPr>
            <w:r>
              <w:rPr>
                <w:rFonts w:ascii="Arial" w:cs="Arial" w:eastAsia="Arial" w:hAnsi="Arial"/>
                <w:sz w:val="16"/>
                <w:szCs w:val="16"/>
                <w:color w:val="auto"/>
              </w:rPr>
              <w:t>(684)</w:t>
            </w: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(5,925)</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(6,609)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gridSpan w:val="2"/>
          </w:tcPr>
          <w:p>
            <w:pPr>
              <w:jc w:val="right"/>
              <w:ind w:right="99"/>
              <w:spacing w:after="0"/>
              <w:rPr>
                <w:sz w:val="20"/>
                <w:szCs w:val="20"/>
                <w:color w:val="auto"/>
              </w:rPr>
            </w:pPr>
            <w:r>
              <w:rPr>
                <w:rFonts w:ascii="Arial" w:cs="Arial" w:eastAsia="Arial" w:hAnsi="Arial"/>
                <w:sz w:val="16"/>
                <w:szCs w:val="16"/>
                <w:color w:val="auto"/>
              </w:rPr>
              <w:t>(10,464)</w:t>
            </w: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(46,466)</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(56,930)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gridSpan w:val="2"/>
          </w:tcPr>
          <w:p>
            <w:pPr>
              <w:jc w:val="right"/>
              <w:ind w:right="99"/>
              <w:spacing w:after="0"/>
              <w:rPr>
                <w:sz w:val="20"/>
                <w:szCs w:val="20"/>
                <w:color w:val="auto"/>
              </w:rPr>
            </w:pPr>
            <w:r>
              <w:rPr>
                <w:rFonts w:ascii="Arial" w:cs="Arial" w:eastAsia="Arial" w:hAnsi="Arial"/>
                <w:sz w:val="16"/>
                <w:szCs w:val="16"/>
                <w:color w:val="auto"/>
              </w:rPr>
              <w:t>(11,988)</w:t>
            </w: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(53,470)</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(65,458)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80" w:type="dxa"/>
            <w:vAlign w:val="bottom"/>
            <w:gridSpan w:val="2"/>
          </w:tcPr>
          <w:p>
            <w:pPr>
              <w:jc w:val="right"/>
              <w:ind w:right="99"/>
              <w:spacing w:after="0"/>
              <w:rPr>
                <w:sz w:val="20"/>
                <w:szCs w:val="20"/>
                <w:color w:val="auto"/>
              </w:rPr>
            </w:pPr>
            <w:r>
              <w:rPr>
                <w:rFonts w:ascii="Arial" w:cs="Arial" w:eastAsia="Arial" w:hAnsi="Arial"/>
                <w:sz w:val="16"/>
                <w:szCs w:val="16"/>
                <w:color w:val="auto"/>
              </w:rPr>
              <w:t>(719)</w:t>
            </w: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(13,949)</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(14,668)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30,914</w:t>
            </w:r>
          </w:p>
        </w:tc>
        <w:tc>
          <w:tcPr>
            <w:tcW w:w="240" w:type="dxa"/>
            <w:vAlign w:val="bottom"/>
            <w:vMerge w:val="restart"/>
          </w:tcPr>
          <w:p>
            <w:pPr>
              <w:jc w:val="right"/>
              <w:ind w:right="99"/>
              <w:spacing w:after="0"/>
              <w:rPr>
                <w:sz w:val="20"/>
                <w:szCs w:val="20"/>
                <w:color w:val="auto"/>
              </w:rPr>
            </w:pPr>
            <w:r>
              <w:rPr>
                <w:rFonts w:ascii="Arial" w:cs="Arial" w:eastAsia="Arial" w:hAnsi="Arial"/>
                <w:sz w:val="16"/>
                <w:szCs w:val="16"/>
                <w:color w:val="auto"/>
                <w:w w:val="74"/>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114,470</w:t>
            </w:r>
          </w:p>
        </w:tc>
        <w:tc>
          <w:tcPr>
            <w:tcW w:w="240" w:type="dxa"/>
            <w:vAlign w:val="bottom"/>
            <w:vMerge w:val="restart"/>
          </w:tcPr>
          <w:p>
            <w:pPr>
              <w:jc w:val="right"/>
              <w:ind w:right="159"/>
              <w:spacing w:after="0"/>
              <w:rPr>
                <w:sz w:val="20"/>
                <w:szCs w:val="20"/>
                <w:color w:val="auto"/>
              </w:rPr>
            </w:pPr>
            <w:r>
              <w:rPr>
                <w:rFonts w:ascii="Arial" w:cs="Arial" w:eastAsia="Arial" w:hAnsi="Arial"/>
                <w:sz w:val="8"/>
                <w:szCs w:val="8"/>
                <w:color w:val="auto"/>
                <w:w w:val="73"/>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145,384</w:t>
            </w: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(10,140</w:t>
            </w:r>
          </w:p>
        </w:tc>
        <w:tc>
          <w:tcPr>
            <w:tcW w:w="240" w:type="dxa"/>
            <w:vAlign w:val="bottom"/>
            <w:vMerge w:val="continue"/>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(43,973</w:t>
            </w:r>
          </w:p>
        </w:tc>
        <w:tc>
          <w:tcPr>
            <w:tcW w:w="240" w:type="dxa"/>
            <w:vAlign w:val="bottom"/>
            <w:vMerge w:val="continue"/>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(54,113</w:t>
            </w:r>
          </w:p>
        </w:tc>
        <w:tc>
          <w:tcPr>
            <w:tcW w:w="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1,679</w:t>
            </w:r>
          </w:p>
        </w:tc>
        <w:tc>
          <w:tcPr>
            <w:tcW w:w="2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1,718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9,997</w:t>
            </w:r>
          </w:p>
        </w:tc>
        <w:tc>
          <w:tcPr>
            <w:tcW w:w="2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9,997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(10,101</w:t>
            </w:r>
          </w:p>
        </w:tc>
        <w:tc>
          <w:tcPr>
            <w:tcW w:w="240" w:type="dxa"/>
            <w:vAlign w:val="bottom"/>
          </w:tcPr>
          <w:p>
            <w:pPr>
              <w:jc w:val="right"/>
              <w:ind w:right="99"/>
              <w:spacing w:after="0"/>
              <w:rPr>
                <w:sz w:val="20"/>
                <w:szCs w:val="20"/>
                <w:color w:val="auto"/>
              </w:rPr>
            </w:pPr>
            <w:r>
              <w:rPr>
                <w:rFonts w:ascii="Arial" w:cs="Arial" w:eastAsia="Arial" w:hAnsi="Arial"/>
                <w:sz w:val="16"/>
                <w:szCs w:val="16"/>
                <w:b w:val="1"/>
                <w:bCs w:val="1"/>
                <w:color w:val="auto"/>
                <w:w w:val="74"/>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(32,297</w:t>
            </w:r>
          </w:p>
        </w:tc>
        <w:tc>
          <w:tcPr>
            <w:tcW w:w="240" w:type="dxa"/>
            <w:vAlign w:val="bottom"/>
          </w:tcPr>
          <w:p>
            <w:pPr>
              <w:jc w:val="right"/>
              <w:ind w:right="159"/>
              <w:spacing w:after="0"/>
              <w:rPr>
                <w:sz w:val="20"/>
                <w:szCs w:val="20"/>
                <w:color w:val="auto"/>
              </w:rPr>
            </w:pPr>
            <w:r>
              <w:rPr>
                <w:rFonts w:ascii="Arial" w:cs="Arial" w:eastAsia="Arial" w:hAnsi="Arial"/>
                <w:sz w:val="8"/>
                <w:szCs w:val="8"/>
                <w:b w:val="1"/>
                <w:bCs w:val="1"/>
                <w:color w:val="auto"/>
                <w:w w:val="73"/>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(42,398</w:t>
            </w:r>
          </w:p>
        </w:tc>
        <w:tc>
          <w:tcPr>
            <w:tcW w:w="6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20,813</w:t>
            </w: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82,173</w:t>
            </w: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102,986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bottom w:val="single" w:sz="8" w:color="auto"/>
            </w:tcBorders>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680" w:type="dxa"/>
            <w:vAlign w:val="bottom"/>
            <w:gridSpan w:val="7"/>
          </w:tcPr>
          <w:p>
            <w:pPr>
              <w:jc w:val="right"/>
              <w:ind w:right="1199"/>
              <w:spacing w:after="0"/>
              <w:rPr>
                <w:sz w:val="20"/>
                <w:szCs w:val="20"/>
                <w:color w:val="auto"/>
              </w:rPr>
            </w:pPr>
            <w:r>
              <w:rPr>
                <w:rFonts w:ascii="Arial" w:cs="Arial" w:eastAsia="Arial" w:hAnsi="Arial"/>
                <w:sz w:val="16"/>
                <w:szCs w:val="16"/>
                <w:b w:val="1"/>
                <w:bCs w:val="1"/>
                <w:color w:val="auto"/>
              </w:rPr>
              <w:t>For the nine months ended September 30, 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gridSpan w:val="2"/>
            <w:vMerge w:val="restart"/>
          </w:tcPr>
          <w:p>
            <w:pPr>
              <w:jc w:val="center"/>
              <w:ind w:right="159"/>
              <w:spacing w:after="0"/>
              <w:rPr>
                <w:sz w:val="20"/>
                <w:szCs w:val="20"/>
                <w:color w:val="auto"/>
              </w:rPr>
            </w:pPr>
            <w:r>
              <w:rPr>
                <w:rFonts w:ascii="Arial" w:cs="Arial" w:eastAsia="Arial" w:hAnsi="Arial"/>
                <w:sz w:val="16"/>
                <w:szCs w:val="16"/>
                <w:b w:val="1"/>
                <w:bCs w:val="1"/>
                <w:color w:val="auto"/>
                <w:w w:val="92"/>
              </w:rPr>
              <w:t>Results attributable</w:t>
            </w:r>
          </w:p>
        </w:tc>
        <w:tc>
          <w:tcPr>
            <w:tcW w:w="1980" w:type="dxa"/>
            <w:vAlign w:val="bottom"/>
            <w:gridSpan w:val="2"/>
            <w:vMerge w:val="restart"/>
          </w:tcPr>
          <w:p>
            <w:pPr>
              <w:jc w:val="center"/>
              <w:ind w:right="219"/>
              <w:spacing w:after="0"/>
              <w:rPr>
                <w:sz w:val="20"/>
                <w:szCs w:val="20"/>
                <w:color w:val="auto"/>
              </w:rPr>
            </w:pPr>
            <w:r>
              <w:rPr>
                <w:rFonts w:ascii="Arial" w:cs="Arial" w:eastAsia="Arial" w:hAnsi="Arial"/>
                <w:sz w:val="16"/>
                <w:szCs w:val="16"/>
                <w:b w:val="1"/>
                <w:bCs w:val="1"/>
                <w:color w:val="auto"/>
                <w:w w:val="94"/>
              </w:rPr>
              <w:t>Partnership</w:t>
            </w:r>
          </w:p>
        </w:tc>
        <w:tc>
          <w:tcPr>
            <w:tcW w:w="1720" w:type="dxa"/>
            <w:vAlign w:val="bottom"/>
            <w:gridSpan w:val="3"/>
          </w:tcPr>
          <w:p>
            <w:pPr>
              <w:jc w:val="center"/>
              <w:ind w:right="19"/>
              <w:spacing w:after="0"/>
              <w:rPr>
                <w:sz w:val="20"/>
                <w:szCs w:val="20"/>
                <w:color w:val="auto"/>
              </w:rPr>
            </w:pPr>
            <w:r>
              <w:rPr>
                <w:rFonts w:ascii="Arial" w:cs="Arial" w:eastAsia="Arial" w:hAnsi="Arial"/>
                <w:sz w:val="16"/>
                <w:szCs w:val="16"/>
                <w:b w:val="1"/>
                <w:bCs w:val="1"/>
                <w:color w:val="auto"/>
                <w:w w:val="96"/>
              </w:rPr>
              <w:t>IFRS Common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1720" w:type="dxa"/>
            <w:vAlign w:val="bottom"/>
            <w:gridSpan w:val="3"/>
            <w:vMerge w:val="restart"/>
          </w:tcPr>
          <w:p>
            <w:pPr>
              <w:jc w:val="center"/>
              <w:ind w:right="19"/>
              <w:spacing w:after="0"/>
              <w:rPr>
                <w:sz w:val="20"/>
                <w:szCs w:val="20"/>
                <w:color w:val="auto"/>
              </w:rPr>
            </w:pPr>
            <w:r>
              <w:rPr>
                <w:rFonts w:ascii="Arial" w:cs="Arial" w:eastAsia="Arial" w:hAnsi="Arial"/>
                <w:sz w:val="16"/>
                <w:szCs w:val="16"/>
                <w:b w:val="1"/>
                <w:bCs w:val="1"/>
                <w:color w:val="auto"/>
                <w:w w:val="92"/>
              </w:rPr>
              <w:t>Control Reported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80" w:type="dxa"/>
            <w:vAlign w:val="bottom"/>
            <w:gridSpan w:val="2"/>
            <w:vMerge w:val="restart"/>
          </w:tcPr>
          <w:p>
            <w:pPr>
              <w:jc w:val="center"/>
              <w:ind w:right="159"/>
              <w:spacing w:after="0"/>
              <w:rPr>
                <w:sz w:val="20"/>
                <w:szCs w:val="20"/>
                <w:color w:val="auto"/>
              </w:rPr>
            </w:pPr>
            <w:r>
              <w:rPr>
                <w:rFonts w:ascii="Arial" w:cs="Arial" w:eastAsia="Arial" w:hAnsi="Arial"/>
                <w:sz w:val="16"/>
                <w:szCs w:val="16"/>
                <w:b w:val="1"/>
                <w:bCs w:val="1"/>
                <w:color w:val="auto"/>
                <w:w w:val="88"/>
              </w:rPr>
              <w:t>to GasLog</w:t>
            </w:r>
          </w:p>
        </w:tc>
        <w:tc>
          <w:tcPr>
            <w:tcW w:w="1980" w:type="dxa"/>
            <w:vAlign w:val="bottom"/>
            <w:gridSpan w:val="2"/>
            <w:vMerge w:val="restart"/>
          </w:tcPr>
          <w:p>
            <w:pPr>
              <w:jc w:val="center"/>
              <w:ind w:right="219"/>
              <w:spacing w:after="0"/>
              <w:rPr>
                <w:sz w:val="20"/>
                <w:szCs w:val="20"/>
                <w:color w:val="auto"/>
              </w:rPr>
            </w:pPr>
            <w:r>
              <w:rPr>
                <w:rFonts w:ascii="Arial" w:cs="Arial" w:eastAsia="Arial" w:hAnsi="Arial"/>
                <w:sz w:val="16"/>
                <w:szCs w:val="16"/>
                <w:b w:val="1"/>
                <w:bCs w:val="1"/>
                <w:color w:val="auto"/>
                <w:w w:val="89"/>
              </w:rPr>
              <w:t>Performance Results</w:t>
            </w: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1720" w:type="dxa"/>
            <w:vAlign w:val="bottom"/>
            <w:gridSpan w:val="3"/>
            <w:vMerge w:val="restart"/>
          </w:tcPr>
          <w:p>
            <w:pPr>
              <w:jc w:val="center"/>
              <w:ind w:right="19"/>
              <w:spacing w:after="0"/>
              <w:rPr>
                <w:sz w:val="20"/>
                <w:szCs w:val="20"/>
                <w:color w:val="auto"/>
              </w:rPr>
            </w:pPr>
            <w:r>
              <w:rPr>
                <w:rFonts w:ascii="Arial" w:cs="Arial" w:eastAsia="Arial" w:hAnsi="Arial"/>
                <w:sz w:val="16"/>
                <w:szCs w:val="16"/>
                <w:b w:val="1"/>
                <w:bCs w:val="1"/>
                <w:color w:val="auto"/>
                <w:w w:val="86"/>
              </w:rPr>
              <w:t>Results</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7,560</w:t>
            </w:r>
          </w:p>
        </w:tc>
        <w:tc>
          <w:tcPr>
            <w:tcW w:w="240" w:type="dxa"/>
            <w:vAlign w:val="bottom"/>
          </w:tcPr>
          <w:p>
            <w:pPr>
              <w:spacing w:after="0"/>
              <w:rPr>
                <w:sz w:val="16"/>
                <w:szCs w:val="16"/>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274,615</w:t>
            </w:r>
          </w:p>
        </w:tc>
        <w:tc>
          <w:tcPr>
            <w:tcW w:w="240" w:type="dxa"/>
            <w:vAlign w:val="bottom"/>
          </w:tcPr>
          <w:p>
            <w:pPr>
              <w:spacing w:after="0"/>
              <w:rPr>
                <w:sz w:val="16"/>
                <w:szCs w:val="16"/>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282,175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1,058</w:t>
            </w:r>
          </w:p>
        </w:tc>
        <w:tc>
          <w:tcPr>
            <w:tcW w:w="2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1,058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gridSpan w:val="2"/>
          </w:tcPr>
          <w:p>
            <w:pPr>
              <w:jc w:val="right"/>
              <w:ind w:right="99"/>
              <w:spacing w:after="0"/>
              <w:rPr>
                <w:sz w:val="20"/>
                <w:szCs w:val="20"/>
                <w:color w:val="auto"/>
              </w:rPr>
            </w:pPr>
            <w:r>
              <w:rPr>
                <w:rFonts w:ascii="Arial" w:cs="Arial" w:eastAsia="Arial" w:hAnsi="Arial"/>
                <w:sz w:val="16"/>
                <w:szCs w:val="16"/>
                <w:color w:val="auto"/>
              </w:rPr>
              <w:t>(95)</w:t>
            </w: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(5,452)</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(5,547)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gridSpan w:val="2"/>
          </w:tcPr>
          <w:p>
            <w:pPr>
              <w:jc w:val="right"/>
              <w:ind w:right="99"/>
              <w:spacing w:after="0"/>
              <w:rPr>
                <w:sz w:val="20"/>
                <w:szCs w:val="20"/>
                <w:color w:val="auto"/>
              </w:rPr>
            </w:pPr>
            <w:r>
              <w:rPr>
                <w:rFonts w:ascii="Arial" w:cs="Arial" w:eastAsia="Arial" w:hAnsi="Arial"/>
                <w:sz w:val="16"/>
                <w:szCs w:val="16"/>
                <w:color w:val="auto"/>
              </w:rPr>
              <w:t>(1,513)</w:t>
            </w: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(53,782)</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(55,295)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gridSpan w:val="2"/>
          </w:tcPr>
          <w:p>
            <w:pPr>
              <w:jc w:val="right"/>
              <w:ind w:right="99"/>
              <w:spacing w:after="0"/>
              <w:rPr>
                <w:sz w:val="20"/>
                <w:szCs w:val="20"/>
                <w:color w:val="auto"/>
              </w:rPr>
            </w:pPr>
            <w:r>
              <w:rPr>
                <w:rFonts w:ascii="Arial" w:cs="Arial" w:eastAsia="Arial" w:hAnsi="Arial"/>
                <w:sz w:val="16"/>
                <w:szCs w:val="16"/>
                <w:color w:val="auto"/>
              </w:rPr>
              <w:t>(1,490)</w:t>
            </w: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(65,336)</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(66,826)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80" w:type="dxa"/>
            <w:vAlign w:val="bottom"/>
            <w:gridSpan w:val="2"/>
          </w:tcPr>
          <w:p>
            <w:pPr>
              <w:jc w:val="right"/>
              <w:ind w:right="99"/>
              <w:spacing w:after="0"/>
              <w:rPr>
                <w:sz w:val="20"/>
                <w:szCs w:val="20"/>
                <w:color w:val="auto"/>
              </w:rPr>
            </w:pPr>
            <w:r>
              <w:rPr>
                <w:rFonts w:ascii="Arial" w:cs="Arial" w:eastAsia="Arial" w:hAnsi="Arial"/>
                <w:sz w:val="16"/>
                <w:szCs w:val="16"/>
                <w:color w:val="auto"/>
              </w:rPr>
              <w:t>(96)</w:t>
            </w: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(14,256)</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(14,352)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4,366</w:t>
            </w:r>
          </w:p>
        </w:tc>
        <w:tc>
          <w:tcPr>
            <w:tcW w:w="240" w:type="dxa"/>
            <w:vAlign w:val="bottom"/>
            <w:vMerge w:val="restart"/>
          </w:tcPr>
          <w:p>
            <w:pPr>
              <w:jc w:val="right"/>
              <w:ind w:right="99"/>
              <w:spacing w:after="0"/>
              <w:rPr>
                <w:sz w:val="20"/>
                <w:szCs w:val="20"/>
                <w:color w:val="auto"/>
              </w:rPr>
            </w:pPr>
            <w:r>
              <w:rPr>
                <w:rFonts w:ascii="Arial" w:cs="Arial" w:eastAsia="Arial" w:hAnsi="Arial"/>
                <w:sz w:val="16"/>
                <w:szCs w:val="16"/>
                <w:color w:val="auto"/>
                <w:w w:val="74"/>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136,847</w:t>
            </w:r>
          </w:p>
        </w:tc>
        <w:tc>
          <w:tcPr>
            <w:tcW w:w="240" w:type="dxa"/>
            <w:vAlign w:val="bottom"/>
            <w:vMerge w:val="restart"/>
          </w:tcPr>
          <w:p>
            <w:pPr>
              <w:jc w:val="right"/>
              <w:ind w:right="159"/>
              <w:spacing w:after="0"/>
              <w:rPr>
                <w:sz w:val="20"/>
                <w:szCs w:val="20"/>
                <w:color w:val="auto"/>
              </w:rPr>
            </w:pPr>
            <w:r>
              <w:rPr>
                <w:rFonts w:ascii="Arial" w:cs="Arial" w:eastAsia="Arial" w:hAnsi="Arial"/>
                <w:sz w:val="8"/>
                <w:szCs w:val="8"/>
                <w:color w:val="auto"/>
                <w:w w:val="73"/>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141,213</w:t>
            </w: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(1,730</w:t>
            </w:r>
          </w:p>
        </w:tc>
        <w:tc>
          <w:tcPr>
            <w:tcW w:w="240" w:type="dxa"/>
            <w:vAlign w:val="bottom"/>
            <w:vMerge w:val="continue"/>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(53,920</w:t>
            </w:r>
          </w:p>
        </w:tc>
        <w:tc>
          <w:tcPr>
            <w:tcW w:w="240" w:type="dxa"/>
            <w:vAlign w:val="bottom"/>
            <w:vMerge w:val="continue"/>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(55,650</w:t>
            </w:r>
          </w:p>
        </w:tc>
        <w:tc>
          <w:tcPr>
            <w:tcW w:w="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1,544</w:t>
            </w:r>
          </w:p>
        </w:tc>
        <w:tc>
          <w:tcPr>
            <w:tcW w:w="2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1,558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980" w:type="dxa"/>
            <w:vAlign w:val="bottom"/>
            <w:gridSpan w:val="2"/>
          </w:tcPr>
          <w:p>
            <w:pPr>
              <w:jc w:val="right"/>
              <w:ind w:right="159"/>
              <w:spacing w:after="0"/>
              <w:rPr>
                <w:sz w:val="20"/>
                <w:szCs w:val="20"/>
                <w:color w:val="auto"/>
              </w:rPr>
            </w:pPr>
            <w:r>
              <w:rPr>
                <w:rFonts w:ascii="Arial" w:cs="Arial" w:eastAsia="Arial" w:hAnsi="Arial"/>
                <w:sz w:val="16"/>
                <w:szCs w:val="16"/>
                <w:color w:val="auto"/>
              </w:rPr>
              <w:t>(15,528)</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(15,528)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(1,716</w:t>
            </w:r>
          </w:p>
        </w:tc>
        <w:tc>
          <w:tcPr>
            <w:tcW w:w="240" w:type="dxa"/>
            <w:vAlign w:val="bottom"/>
          </w:tcPr>
          <w:p>
            <w:pPr>
              <w:jc w:val="right"/>
              <w:ind w:right="99"/>
              <w:spacing w:after="0"/>
              <w:rPr>
                <w:sz w:val="20"/>
                <w:szCs w:val="20"/>
                <w:color w:val="auto"/>
              </w:rPr>
            </w:pPr>
            <w:r>
              <w:rPr>
                <w:rFonts w:ascii="Arial" w:cs="Arial" w:eastAsia="Arial" w:hAnsi="Arial"/>
                <w:sz w:val="16"/>
                <w:szCs w:val="16"/>
                <w:b w:val="1"/>
                <w:bCs w:val="1"/>
                <w:color w:val="auto"/>
                <w:w w:val="74"/>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(67,904</w:t>
            </w:r>
          </w:p>
        </w:tc>
        <w:tc>
          <w:tcPr>
            <w:tcW w:w="240" w:type="dxa"/>
            <w:vAlign w:val="bottom"/>
          </w:tcPr>
          <w:p>
            <w:pPr>
              <w:jc w:val="right"/>
              <w:ind w:right="159"/>
              <w:spacing w:after="0"/>
              <w:rPr>
                <w:sz w:val="20"/>
                <w:szCs w:val="20"/>
                <w:color w:val="auto"/>
              </w:rPr>
            </w:pPr>
            <w:r>
              <w:rPr>
                <w:rFonts w:ascii="Arial" w:cs="Arial" w:eastAsia="Arial" w:hAnsi="Arial"/>
                <w:sz w:val="8"/>
                <w:szCs w:val="8"/>
                <w:b w:val="1"/>
                <w:bCs w:val="1"/>
                <w:color w:val="auto"/>
                <w:w w:val="73"/>
              </w:rPr>
              <w:t>)</w:t>
            </w:r>
          </w:p>
        </w:tc>
        <w:tc>
          <w:tcPr>
            <w:tcW w:w="16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(69,620</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2,650</w:t>
            </w:r>
          </w:p>
        </w:tc>
        <w:tc>
          <w:tcPr>
            <w:tcW w:w="240" w:type="dxa"/>
            <w:vAlign w:val="bottom"/>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68,943</w:t>
            </w:r>
          </w:p>
        </w:tc>
        <w:tc>
          <w:tcPr>
            <w:tcW w:w="240" w:type="dxa"/>
            <w:vAlign w:val="bottom"/>
          </w:tcPr>
          <w:p>
            <w:pPr>
              <w:spacing w:after="0"/>
              <w:rPr>
                <w:sz w:val="17"/>
                <w:szCs w:val="17"/>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71,593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-5993765</wp:posOffset>
            </wp:positionV>
            <wp:extent cx="714375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375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-5727700</wp:posOffset>
            </wp:positionV>
            <wp:extent cx="714375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3750" cy="1289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-5470525</wp:posOffset>
            </wp:positionV>
            <wp:extent cx="714375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3750" cy="1289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-5205095</wp:posOffset>
            </wp:positionV>
            <wp:extent cx="714375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375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-4939030</wp:posOffset>
            </wp:positionV>
            <wp:extent cx="714375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3750" cy="1289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-4672965</wp:posOffset>
            </wp:positionV>
            <wp:extent cx="714375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3750" cy="1460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-3867150</wp:posOffset>
            </wp:positionV>
            <wp:extent cx="714375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375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-3601085</wp:posOffset>
            </wp:positionV>
            <wp:extent cx="714375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3750" cy="1289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-3343910</wp:posOffset>
            </wp:positionV>
            <wp:extent cx="714375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3750" cy="1289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-3086735</wp:posOffset>
            </wp:positionV>
            <wp:extent cx="71437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375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-2812415</wp:posOffset>
            </wp:positionV>
            <wp:extent cx="714375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3750" cy="1289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-2555240</wp:posOffset>
            </wp:positionV>
            <wp:extent cx="714375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375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-1611630</wp:posOffset>
            </wp:positionV>
            <wp:extent cx="714375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375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-1345565</wp:posOffset>
            </wp:positionV>
            <wp:extent cx="714375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3750" cy="1289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-1088390</wp:posOffset>
            </wp:positionV>
            <wp:extent cx="714375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3750" cy="1289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-831215</wp:posOffset>
            </wp:positionV>
            <wp:extent cx="714375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375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-556895</wp:posOffset>
            </wp:positionV>
            <wp:extent cx="714375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3750" cy="1289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-299720</wp:posOffset>
            </wp:positionV>
            <wp:extent cx="714375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3750" cy="1371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2">
        <w:col w:w="4860" w:space="720"/>
        <w:col w:w="5740"/>
      </w:cols>
      <w:pgMar w:left="240" w:top="3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lowerLetter"/>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2"/>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lowerLetter"/>
      <w:start w:val="3"/>
    </w:lvl>
  </w:abstractNum>
  <w:abstractNum w:abstractNumId="19">
    <w:nsid w:val="75A2A8D4"/>
    <w:multiLevelType w:val="hybridMultilevel"/>
    <w:lvl w:ilvl="0">
      <w:lvlJc w:val="left"/>
      <w:lvlText w:val="(%1)"/>
      <w:numFmt w:val="lowerLetter"/>
      <w:start w:val="3"/>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Roman"/>
      <w:start w:val="1"/>
    </w:lvl>
  </w:abstractNum>
  <w:abstractNum w:abstractNumId="22">
    <w:nsid w:val="4353D0CD"/>
    <w:multiLevelType w:val="hybridMultilevel"/>
    <w:lvl w:ilvl="0">
      <w:lvlJc w:val="left"/>
      <w:lvlText w:val="%1"/>
      <w:numFmt w:val="decimal"/>
      <w:start w:val="1"/>
    </w:lvl>
    <w:lvl w:ilvl="1">
      <w:lvlJc w:val="left"/>
      <w:lvlText w:val="(%2)"/>
      <w:numFmt w:val="lowerRoman"/>
      <w:start w:val="3"/>
    </w:lvl>
  </w:abstractNum>
  <w:abstractNum w:abstractNumId="23">
    <w:nsid w:val="B03E0C6"/>
    <w:multiLevelType w:val="hybridMultilevel"/>
    <w:lvl w:ilvl="0">
      <w:lvlJc w:val="left"/>
      <w:lvlText w:val="%1."/>
      <w:numFmt w:val="decimal"/>
      <w:start w:val="4"/>
    </w:lvl>
    <w:lvl w:ilvl="1">
      <w:lvlJc w:val="left"/>
      <w:lvlText w:val="%2"/>
      <w:numFmt w:val="lowerRoman"/>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2019-12-04T22:36:25Z</dcterms:created>
  <dcterms:modified xsi:type="dcterms:W3CDTF">2019-12-04T22:36:25Z</dcterms:modified>
</cp:coreProperties>
</file>