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16.jpeg" ContentType="image/jpeg"/>
  <Override PartName="/word/media/image315.jpeg" ContentType="image/jpeg"/>
  <Override PartName="/word/media/image314.jpeg" ContentType="image/jpeg"/>
  <Override PartName="/word/media/image313.jpeg" ContentType="image/jpeg"/>
  <Override PartName="/word/media/image312.jpeg" ContentType="image/jpeg"/>
  <Override PartName="/word/media/image311.jpeg" ContentType="image/jpeg"/>
  <Override PartName="/word/media/image310.jpeg" ContentType="image/jpeg"/>
  <Override PartName="/word/media/image303.jpeg" ContentType="image/jpeg"/>
  <Override PartName="/word/media/image301.jpeg" ContentType="image/jpeg"/>
  <Override PartName="/word/media/image300.jpeg" ContentType="image/jpeg"/>
  <Override PartName="/word/media/image299.jpeg" ContentType="image/jpeg"/>
  <Override PartName="/word/media/image298.jpeg" ContentType="image/jpeg"/>
  <Override PartName="/word/media/image297.jpeg" ContentType="image/jpeg"/>
  <Override PartName="/word/media/image296.jpeg" ContentType="image/jpeg"/>
  <Override PartName="/word/media/image295.jpeg" ContentType="image/jpeg"/>
  <Override PartName="/word/media/image289.jpeg" ContentType="image/jpeg"/>
  <Override PartName="/word/media/image294.jpeg" ContentType="image/jpeg"/>
  <Override PartName="/word/media/image288.jpeg" ContentType="image/jpeg"/>
  <Override PartName="/word/media/image293.jpeg" ContentType="image/jpeg"/>
  <Override PartName="/word/media/image287.jpeg" ContentType="image/jpeg"/>
  <Override PartName="/word/media/image292.jpeg" ContentType="image/jpeg"/>
  <Override PartName="/word/media/image286.jpeg" ContentType="image/jpeg"/>
  <Override PartName="/word/media/image291.jpeg" ContentType="image/jpeg"/>
  <Override PartName="/word/media/image285.jpeg" ContentType="image/jpeg"/>
  <Override PartName="/word/media/image290.jpeg" ContentType="image/jpeg"/>
  <Override PartName="/word/media/image284.jpeg" ContentType="image/jpeg"/>
  <Override PartName="/word/media/image283.jpeg" ContentType="image/jpeg"/>
  <Override PartName="/word/media/image282.jpeg" ContentType="image/jpeg"/>
  <Override PartName="/word/media/image281.jpeg" ContentType="image/jpeg"/>
  <Override PartName="/word/media/image280.jpeg" ContentType="image/jpeg"/>
  <Override PartName="/word/media/image279.jpeg" ContentType="image/jpeg"/>
  <Override PartName="/word/media/image278.jpeg" ContentType="image/jpeg"/>
  <Override PartName="/word/media/image277.jpeg" ContentType="image/jpeg"/>
  <Override PartName="/word/media/image276.jpeg" ContentType="image/jpeg"/>
  <Override PartName="/word/media/image275.jpeg" ContentType="image/jpeg"/>
  <Override PartName="/word/media/image269.jpeg" ContentType="image/jpeg"/>
  <Override PartName="/word/media/image274.jpeg" ContentType="image/jpeg"/>
  <Override PartName="/word/media/image268.jpeg" ContentType="image/jpeg"/>
  <Override PartName="/word/media/image273.jpeg" ContentType="image/jpeg"/>
  <Override PartName="/word/media/image267.jpeg" ContentType="image/jpeg"/>
  <Override PartName="/word/media/image272.jpeg" ContentType="image/jpeg"/>
  <Override PartName="/word/media/image266.jpeg" ContentType="image/jpeg"/>
  <Override PartName="/word/media/image271.jpeg" ContentType="image/jpeg"/>
  <Override PartName="/word/media/image265.jpeg" ContentType="image/jpeg"/>
  <Override PartName="/word/media/image259.jpeg" ContentType="image/jpeg"/>
  <Override PartName="/word/media/image264.jpeg" ContentType="image/jpeg"/>
  <Override PartName="/word/media/image258.jpeg" ContentType="image/jpeg"/>
  <Override PartName="/word/media/image263.jpeg" ContentType="image/jpeg"/>
  <Override PartName="/word/media/image257.jpeg" ContentType="image/jpeg"/>
  <Override PartName="/word/media/image262.jpeg" ContentType="image/jpeg"/>
  <Override PartName="/word/media/image256.jpeg" ContentType="image/jpeg"/>
  <Override PartName="/word/media/image261.jpeg" ContentType="image/jpeg"/>
  <Override PartName="/word/media/image255.jpeg" ContentType="image/jpeg"/>
  <Override PartName="/word/media/image260.jpeg" ContentType="image/jpeg"/>
  <Override PartName="/word/media/image254.jpeg" ContentType="image/jpeg"/>
  <Override PartName="/word/media/image253.jpeg" ContentType="image/jpeg"/>
  <Override PartName="/word/media/image252.jpeg" ContentType="image/jpeg"/>
  <Override PartName="/word/media/image251.jpeg" ContentType="image/jpeg"/>
  <Override PartName="/word/media/image250.jpeg" ContentType="image/jpeg"/>
  <Override PartName="/word/media/image249.jpeg" ContentType="image/jpeg"/>
  <Override PartName="/word/media/image248.jpeg" ContentType="image/jpeg"/>
  <Override PartName="/word/media/image247.jpeg" ContentType="image/jpeg"/>
  <Override PartName="/word/media/image246.jpeg" ContentType="image/jpeg"/>
  <Override PartName="/word/media/image245.jpeg" ContentType="image/jpeg"/>
  <Override PartName="/word/media/image239.jpeg" ContentType="image/jpeg"/>
  <Override PartName="/word/media/image244.jpeg" ContentType="image/jpeg"/>
  <Override PartName="/word/media/image238.jpeg" ContentType="image/jpeg"/>
  <Override PartName="/word/media/image243.jpeg" ContentType="image/jpeg"/>
  <Override PartName="/word/media/image237.jpeg" ContentType="image/jpeg"/>
  <Override PartName="/word/media/image242.jpeg" ContentType="image/jpeg"/>
  <Override PartName="/word/media/image236.jpeg" ContentType="image/jpeg"/>
  <Override PartName="/word/media/image241.jpeg" ContentType="image/jpeg"/>
  <Override PartName="/word/media/image235.jpeg" ContentType="image/jpeg"/>
  <Override PartName="/word/media/image240.jpeg" ContentType="image/jpeg"/>
  <Override PartName="/word/media/image234.jpeg" ContentType="image/jpeg"/>
  <Override PartName="/word/media/image233.jpeg" ContentType="image/jpeg"/>
  <Override PartName="/word/media/image232.jpeg" ContentType="image/jpeg"/>
  <Override PartName="/word/media/image231.jpeg" ContentType="image/jpeg"/>
  <Override PartName="/word/media/image230.jpeg" ContentType="image/jpeg"/>
  <Override PartName="/word/media/image229.jpeg" ContentType="image/jpeg"/>
  <Override PartName="/word/media/image228.jpeg" ContentType="image/jpeg"/>
  <Override PartName="/word/media/image227.jpeg" ContentType="image/jpeg"/>
  <Override PartName="/word/media/image226.jpeg" ContentType="image/jpeg"/>
  <Override PartName="/word/media/image225.jpeg" ContentType="image/jpeg"/>
  <Override PartName="/word/media/image219.jpeg" ContentType="image/jpeg"/>
  <Override PartName="/word/media/image224.jpeg" ContentType="image/jpeg"/>
  <Override PartName="/word/media/image218.jpeg" ContentType="image/jpeg"/>
  <Override PartName="/word/media/image223.jpeg" ContentType="image/jpeg"/>
  <Override PartName="/word/media/image217.jpeg" ContentType="image/jpeg"/>
  <Override PartName="/word/media/image222.jpeg" ContentType="image/jpeg"/>
  <Override PartName="/word/media/image216.jpeg" ContentType="image/jpeg"/>
  <Override PartName="/word/media/image221.jpeg" ContentType="image/jpeg"/>
  <Override PartName="/word/media/image215.jpeg" ContentType="image/jpeg"/>
  <Override PartName="/word/media/image220.jpeg" ContentType="image/jpeg"/>
  <Override PartName="/word/media/image214.jpeg" ContentType="image/jpeg"/>
  <Override PartName="/word/media/image209.jpeg" ContentType="image/jpeg"/>
  <Override PartName="/word/media/image208.jpeg" ContentType="image/jpeg"/>
  <Override PartName="/word/media/image213.jpeg" ContentType="image/jpeg"/>
  <Override PartName="/word/media/image207.jpeg" ContentType="image/jpeg"/>
  <Override PartName="/word/media/image212.jpeg" ContentType="image/jpeg"/>
  <Override PartName="/word/media/image206.jpeg" ContentType="image/jpeg"/>
  <Override PartName="/word/media/image211.jpeg" ContentType="image/jpeg"/>
  <Override PartName="/word/media/image205.jpeg" ContentType="image/jpeg"/>
  <Override PartName="/word/media/image210.jpeg" ContentType="image/jpeg"/>
  <Override PartName="/word/media/image204.jpeg" ContentType="image/jpeg"/>
  <Override PartName="/word/media/image203.jpeg" ContentType="image/jpeg"/>
  <Override PartName="/word/media/image202.jpeg" ContentType="image/jpeg"/>
  <Override PartName="/word/media/image201.jpeg" ContentType="image/jpeg"/>
  <Override PartName="/word/media/image200.jpeg" ContentType="image/jpeg"/>
  <Override PartName="/word/media/image199.jpeg" ContentType="image/jpeg"/>
  <Override PartName="/word/media/image96.jpeg" ContentType="image/jpeg"/>
  <Override PartName="/word/media/image95.jpeg" ContentType="image/jpeg"/>
  <Override PartName="/word/media/image149.jpeg" ContentType="image/jpeg"/>
  <Override PartName="/word/media/image94.jpeg" ContentType="image/jpeg"/>
  <Override PartName="/word/media/image148.jpeg" ContentType="image/jpeg"/>
  <Override PartName="/word/media/image93.jpeg" ContentType="image/jpeg"/>
  <Override PartName="/word/media/image147.jpeg" ContentType="image/jpeg"/>
  <Override PartName="/word/media/image83.jpeg" ContentType="image/jpeg"/>
  <Override PartName="/word/media/image82.jpeg" ContentType="image/jpeg"/>
  <Override PartName="/word/media/image81.jpeg" ContentType="image/jpeg"/>
  <Override PartName="/word/media/image80.jpeg" ContentType="image/jpeg"/>
  <Override PartName="/word/media/image119.jpeg" ContentType="image/jpeg"/>
  <Override PartName="/word/media/image118.jpeg" ContentType="image/jpeg"/>
  <Override PartName="/word/media/image63.jpeg" ContentType="image/jpeg"/>
  <Override PartName="/word/media/image117.jpeg" ContentType="image/jpeg"/>
  <Override PartName="/word/media/image62.jpeg" ContentType="image/jpeg"/>
  <Override PartName="/word/media/image116.jpeg" ContentType="image/jpeg"/>
  <Override PartName="/word/media/image61.jpeg" ContentType="image/jpeg"/>
  <Override PartName="/word/media/image60.jpeg" ContentType="image/jpeg"/>
  <Override PartName="/word/media/image66.jpeg" ContentType="image/jpeg"/>
  <Override PartName="/word/media/image72.jpeg" ContentType="image/jpeg"/>
  <Override PartName="/word/media/image39.jpeg" ContentType="image/jpeg"/>
  <Override PartName="/word/media/image59.jpeg" ContentType="image/jpeg"/>
  <Override PartName="/word/media/image86.jpeg" ContentType="image/jpeg"/>
  <Override PartName="/word/media/image92.jpeg" ContentType="image/jpeg"/>
  <Override PartName="/word/media/image22.jpeg" ContentType="image/jpeg"/>
  <Override PartName="/word/media/image16.jpeg" ContentType="image/jpeg"/>
  <Override PartName="/word/media/image302.jpeg" ContentType="image/jpeg"/>
  <Override PartName="/word/media/image89.jpeg" ContentType="image/jpeg"/>
  <Override PartName="/word/media/image65.jpeg" ContentType="image/jpeg"/>
  <Override PartName="/word/media/image71.jpeg" ContentType="image/jpeg"/>
  <Override PartName="/word/media/image38.jpeg" ContentType="image/jpeg"/>
  <Override PartName="/word/media/image99.jpeg" ContentType="image/jpeg"/>
  <Override PartName="/word/media/image58.jpeg" ContentType="image/jpeg"/>
  <Override PartName="/word/media/image85.jpeg" ContentType="image/jpeg"/>
  <Override PartName="/word/media/image91.jpeg" ContentType="image/jpeg"/>
  <Override PartName="/word/media/image21.jpeg" ContentType="image/jpeg"/>
  <Override PartName="/word/media/image15.jpeg" ContentType="image/jpeg"/>
  <Override PartName="/word/media/image64.jpeg" ContentType="image/jpeg"/>
  <Override PartName="/word/media/image70.jpeg" ContentType="image/jpeg"/>
  <Override PartName="/word/media/image98.jpeg" ContentType="image/jpeg"/>
  <Override PartName="/word/media/image57.jpeg" ContentType="image/jpeg"/>
  <Override PartName="/word/media/image84.jpeg" ContentType="image/jpeg"/>
  <Override PartName="/word/media/image90.jpeg" ContentType="image/jpeg"/>
  <Override PartName="/word/media/image20.jpeg" ContentType="image/jpeg"/>
  <Override PartName="/word/media/image14.jpeg" ContentType="image/jpeg"/>
  <Override PartName="/word/media/image50.jpeg" ContentType="image/jpeg"/>
  <Override PartName="/word/media/image44.jpeg" ContentType="image/jpeg"/>
  <Override PartName="/word/media/image165.jpeg" ContentType="image/jpeg"/>
  <Override PartName="/word/media/image159.jpeg" ContentType="image/jpeg"/>
  <Override PartName="/word/media/image56.jpeg" ContentType="image/jpeg"/>
  <Override PartName="/word/media/image13.jpeg" ContentType="image/jpeg"/>
  <Override PartName="/word/media/image43.jpeg" ContentType="image/jpeg"/>
  <Override PartName="/word/media/image49.jpeg" ContentType="image/jpeg"/>
  <Override PartName="/word/media/image55.jpeg" ContentType="image/jpeg"/>
  <Override PartName="/word/media/image12.jpeg" ContentType="image/jpeg"/>
  <Override PartName="/word/media/image42.jpeg" ContentType="image/jpeg"/>
  <Override PartName="/word/media/image48.jpeg" ContentType="image/jpeg"/>
  <Override PartName="/word/media/image54.jpeg" ContentType="image/jpeg"/>
  <Override PartName="/word/media/image169.jpeg" ContentType="image/jpeg"/>
  <Override PartName="/word/media/image11.jpeg" ContentType="image/jpeg"/>
  <Override PartName="/word/media/image79.jpeg" ContentType="image/jpeg"/>
  <Override PartName="/word/media/image36.jpeg" ContentType="image/jpeg"/>
  <Override PartName="/word/media/image4.jpeg" ContentType="image/jpeg"/>
  <Override PartName="/word/media/image47.jpeg" ContentType="image/jpeg"/>
  <Override PartName="/word/media/image53.jpeg" ContentType="image/jpeg"/>
  <Override PartName="/word/media/image168.jpeg" ContentType="image/jpeg"/>
  <Override PartName="/word/media/image10.jpeg" ContentType="image/jpeg"/>
  <Override PartName="/word/media/image270.jpeg" ContentType="image/jpeg"/>
  <Override PartName="/word/media/image37.jpeg" ContentType="image/jpeg"/>
  <Override PartName="/word/media/image5.jpeg" ContentType="image/jpeg"/>
  <Override PartName="/word/media/image78.jpeg" ContentType="image/jpeg"/>
  <Override PartName="/word/media/image41.jpeg" ContentType="image/jpeg"/>
  <Override PartName="/word/media/image35.jpeg" ContentType="image/jpeg"/>
  <Override PartName="/word/media/image3.jpeg" ContentType="image/jpeg"/>
  <Override PartName="/word/media/image175.jpeg" ContentType="image/jpeg"/>
  <Override PartName="/word/media/image176.jpeg" ContentType="image/jpeg"/>
  <Override PartName="/word/media/image177.jpeg" ContentType="image/jpeg"/>
  <Override PartName="/word/media/image26.jpeg" ContentType="image/jpeg"/>
  <Override PartName="/word/media/image87.jpeg" ContentType="image/jpeg"/>
  <Override PartName="/word/media/image27.jpeg" ContentType="image/jpeg"/>
  <Override PartName="/word/media/image88.jpeg" ContentType="image/jpeg"/>
  <Override PartName="/word/media/image28.jpeg" ContentType="image/jpeg"/>
  <Override PartName="/word/media/image29.jpeg" ContentType="image/jpeg"/>
  <Override PartName="/word/media/image67.jpeg" ContentType="image/jpeg"/>
  <Override PartName="/word/media/image73.jpeg" ContentType="image/jpeg"/>
  <Override PartName="/word/media/image23.jpeg" ContentType="image/jpeg"/>
  <Override PartName="/word/media/image17.jpeg" ContentType="image/jpeg"/>
  <Override PartName="/word/media/image6.jpeg" ContentType="image/jpeg"/>
  <Override PartName="/word/media/image30.jpeg" ContentType="image/jpeg"/>
  <Override PartName="/word/media/image68.jpeg" ContentType="image/jpeg"/>
  <Override PartName="/word/media/image74.jpeg" ContentType="image/jpeg"/>
  <Override PartName="/word/media/image24.jpeg" ContentType="image/jpeg"/>
  <Override PartName="/word/media/image18.jpeg" ContentType="image/jpeg"/>
  <Override PartName="/word/media/image1.jpeg" ContentType="image/jpeg"/>
  <Override PartName="/word/media/image7.jpeg" ContentType="image/jpeg"/>
  <Override PartName="/word/media/image31.jpeg" ContentType="image/jpeg"/>
  <Override PartName="/word/media/image69.jpeg" ContentType="image/jpeg"/>
  <Override PartName="/word/media/image75.jpeg" ContentType="image/jpeg"/>
  <Override PartName="/word/media/image25.jpeg" ContentType="image/jpeg"/>
  <Override PartName="/word/media/image19.jpeg" ContentType="image/jpeg"/>
  <Override PartName="/word/media/image2.jpeg" ContentType="image/jpeg"/>
  <Override PartName="/word/media/image8.jpeg" ContentType="image/jpeg"/>
  <Override PartName="/word/media/image32.jpeg" ContentType="image/jpeg"/>
  <Override PartName="/word/media/image76.jpeg" ContentType="image/jpeg"/>
  <Override PartName="/word/media/image9.jpeg" ContentType="image/jpeg"/>
  <Override PartName="/word/media/image33.jpeg" ContentType="image/jpeg"/>
  <Override PartName="/word/media/image77.jpeg" ContentType="image/jpeg"/>
  <Override PartName="/word/media/image40.jpeg" ContentType="image/jpeg"/>
  <Override PartName="/word/media/image34.jpeg" ContentType="image/jpeg"/>
  <Override PartName="/word/media/image45.jpeg" ContentType="image/jpeg"/>
  <Override PartName="/word/media/image51.jpeg" ContentType="image/jpeg"/>
  <Override PartName="/word/media/image166.jpeg" ContentType="image/jpeg"/>
  <Override PartName="/word/media/image46.jpeg" ContentType="image/jpeg"/>
  <Override PartName="/word/media/image52.jpeg" ContentType="image/jpeg"/>
  <Override PartName="/word/media/image167.jpeg" ContentType="image/jpeg"/>
  <Override PartName="/word/media/image97.jpeg" ContentType="image/jpeg"/>
  <Override PartName="/word/media/image100.jpeg" ContentType="image/jpeg"/>
  <Override PartName="/word/media/image101.jpeg" ContentType="image/jpeg"/>
  <Override PartName="/word/media/image102.jpeg" ContentType="image/jpeg"/>
  <Override PartName="/word/media/image103.jpeg" ContentType="image/jpeg"/>
  <Override PartName="/word/media/image114.jpeg" ContentType="image/jpeg"/>
  <Override PartName="/word/media/image108.jpeg" ContentType="image/jpeg"/>
  <Override PartName="/word/media/image115.jpeg" ContentType="image/jpeg"/>
  <Override PartName="/word/media/image109.jpeg" ContentType="image/jpeg"/>
  <Override PartName="/word/media/image104.jpeg" ContentType="image/jpeg"/>
  <Override PartName="/word/media/image110.jpeg" ContentType="image/jpeg"/>
  <Override PartName="/word/media/image171.jpeg" ContentType="image/jpeg"/>
  <Override PartName="/word/media/image105.jpeg" ContentType="image/jpeg"/>
  <Override PartName="/word/media/image111.jpeg" ContentType="image/jpeg"/>
  <Override PartName="/word/media/image172.jpeg" ContentType="image/jpeg"/>
  <Override PartName="/word/media/image106.jpeg" ContentType="image/jpeg"/>
  <Override PartName="/word/media/image112.jpeg" ContentType="image/jpeg"/>
  <Override PartName="/word/media/image173.jpeg" ContentType="image/jpeg"/>
  <Override PartName="/word/media/image107.jpeg" ContentType="image/jpeg"/>
  <Override PartName="/word/media/image113.jpeg" ContentType="image/jpeg"/>
  <Override PartName="/word/media/image174.jpeg" ContentType="image/jpeg"/>
  <Override PartName="/word/media/image120.jpeg" ContentType="image/jpeg"/>
  <Override PartName="/word/media/image121.jpeg" ContentType="image/jpeg"/>
  <Override PartName="/word/media/image122.jpeg" ContentType="image/jpeg"/>
  <Override PartName="/word/media/image123.jpeg" ContentType="image/jpeg"/>
  <Override PartName="/word/media/image124.jpeg" ContentType="image/jpeg"/>
  <Override PartName="/word/media/image125.jpeg" ContentType="image/jpeg"/>
  <Override PartName="/word/media/image126.jpeg" ContentType="image/jpeg"/>
  <Override PartName="/word/media/image127.jpeg" ContentType="image/jpeg"/>
  <Override PartName="/word/media/image128.jpeg" ContentType="image/jpeg"/>
  <Override PartName="/word/media/image129.jpeg" ContentType="image/jpeg"/>
  <Override PartName="/word/media/image130.jpeg" ContentType="image/jpeg"/>
  <Override PartName="/word/media/image131.jpeg" ContentType="image/jpeg"/>
  <Override PartName="/word/media/image132.jpeg" ContentType="image/jpeg"/>
  <Override PartName="/word/media/image133.jpeg" ContentType="image/jpeg"/>
  <Override PartName="/word/media/image170.jpeg" ContentType="image/jpeg"/>
  <Override PartName="/word/media/image134.jpeg" ContentType="image/jpeg"/>
  <Override PartName="/word/media/image140.jpeg" ContentType="image/jpeg"/>
  <Override PartName="/word/media/image135.jpeg" ContentType="image/jpeg"/>
  <Override PartName="/word/media/image141.jpeg" ContentType="image/jpeg"/>
  <Override PartName="/word/media/image136.jpeg" ContentType="image/jpeg"/>
  <Override PartName="/word/media/image142.jpeg" ContentType="image/jpeg"/>
  <Override PartName="/word/media/image137.jpeg" ContentType="image/jpeg"/>
  <Override PartName="/word/media/image143.jpeg" ContentType="image/jpeg"/>
  <Override PartName="/word/media/image138.jpeg" ContentType="image/jpeg"/>
  <Override PartName="/word/media/image144.jpeg" ContentType="image/jpeg"/>
  <Override PartName="/word/media/image139.jpeg" ContentType="image/jpeg"/>
  <Override PartName="/word/media/image145.jpeg" ContentType="image/jpeg"/>
  <Override PartName="/word/media/image146.jpeg" ContentType="image/jpeg"/>
  <Override PartName="/word/media/image150.jpeg" ContentType="image/jpeg"/>
  <Override PartName="/word/media/image151.jpeg" ContentType="image/jpeg"/>
  <Override PartName="/word/media/image152.jpeg" ContentType="image/jpeg"/>
  <Override PartName="/word/media/image153.jpeg" ContentType="image/jpeg"/>
  <Override PartName="/word/media/image160.jpeg" ContentType="image/jpeg"/>
  <Override PartName="/word/media/image154.jpeg" ContentType="image/jpeg"/>
  <Override PartName="/word/media/image161.jpeg" ContentType="image/jpeg"/>
  <Override PartName="/word/media/image155.jpeg" ContentType="image/jpeg"/>
  <Override PartName="/word/media/image162.jpeg" ContentType="image/jpeg"/>
  <Override PartName="/word/media/image156.jpeg" ContentType="image/jpeg"/>
  <Override PartName="/word/media/image157.jpeg" ContentType="image/jpeg"/>
  <Override PartName="/word/media/image163.jpeg" ContentType="image/jpeg"/>
  <Override PartName="/word/media/image158.jpeg" ContentType="image/jpeg"/>
  <Override PartName="/word/media/image164.jpeg" ContentType="image/jpeg"/>
  <Override PartName="/word/media/image178.jpeg" ContentType="image/jpeg"/>
  <Override PartName="/word/media/image179.jpeg" ContentType="image/jpeg"/>
  <Override PartName="/word/media/image304.jpeg" ContentType="image/jpeg"/>
  <Override PartName="/word/media/image180.jpeg" ContentType="image/jpeg"/>
  <Override PartName="/word/media/image305.jpeg" ContentType="image/jpeg"/>
  <Override PartName="/word/media/image181.jpeg" ContentType="image/jpeg"/>
  <Override PartName="/word/media/image306.jpeg" ContentType="image/jpeg"/>
  <Override PartName="/word/media/image182.jpeg" ContentType="image/jpeg"/>
  <Override PartName="/word/media/image307.jpeg" ContentType="image/jpeg"/>
  <Override PartName="/word/media/image183.jpeg" ContentType="image/jpeg"/>
  <Override PartName="/word/media/image308.jpeg" ContentType="image/jpeg"/>
  <Override PartName="/word/media/image184.jpeg" ContentType="image/jpeg"/>
  <Override PartName="/word/media/image190.jpeg" ContentType="image/jpeg"/>
  <Override PartName="/word/media/image309.jpeg" ContentType="image/jpeg"/>
  <Override PartName="/word/media/image185.jpeg" ContentType="image/jpeg"/>
  <Override PartName="/word/media/image191.jpeg" ContentType="image/jpeg"/>
  <Override PartName="/word/media/image186.jpeg" ContentType="image/jpeg"/>
  <Override PartName="/word/media/image192.jpeg" ContentType="image/jpeg"/>
  <Override PartName="/word/media/image187.jpeg" ContentType="image/jpeg"/>
  <Override PartName="/word/media/image193.jpeg" ContentType="image/jpeg"/>
  <Override PartName="/word/media/image188.jpeg" ContentType="image/jpeg"/>
  <Override PartName="/word/media/image194.jpeg" ContentType="image/jpeg"/>
  <Override PartName="/word/media/image189.jpeg" ContentType="image/jpeg"/>
  <Override PartName="/word/media/image195.jpeg" ContentType="image/jpeg"/>
  <Override PartName="/word/media/image196.jpeg" ContentType="image/jpeg"/>
  <Override PartName="/word/media/image197.jpeg" ContentType="image/jpeg"/>
  <Override PartName="/word/media/image198.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240" w:after="60"/>
        <w:rPr>
          <w:bdr w:val="single" w:sz="16" w:space="1" w:color="000000"/>
        </w:rPr>
      </w:pPr>
      <w:bookmarkStart w:id="0" w:name="tm2314213d1_sc13e3.htm"/>
      <w:bookmarkStart w:id="1" w:name="kstm2314213d1_sc13e3"/>
      <w:bookmarkEnd w:id="0"/>
      <w:bookmarkEnd w:id="1"/>
      <w:r>
        <w:rPr>
          <w:bdr w:val="single" w:sz="16" w:space="1" w:color="000000"/>
        </w:rPr>
        <w:t> </w:t>
      </w:r>
    </w:p>
    <w:p>
      <w:pPr>
        <w:pStyle w:val="TextBody"/>
        <w:rPr/>
      </w:pPr>
      <w:r>
        <w:rPr/>
        <w:t> </w:t>
      </w:r>
    </w:p>
    <w:p>
      <w:pPr>
        <w:pStyle w:val="TextBody"/>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hanging="0"/>
        <w:rPr>
          <w:caps w:val="false"/>
          <w:smallCaps w:val="false"/>
        </w:rPr>
      </w:pPr>
      <w:r>
        <w:rPr>
          <w:caps w:val="false"/>
          <w:smallCaps w:val="false"/>
        </w:rPr>
        <w:t> </w:t>
      </w:r>
    </w:p>
    <w:p>
      <w:pPr>
        <w:pStyle w:val="TextBody"/>
        <w:spacing w:before="60" w:after="60"/>
        <w:ind w:left="60" w:right="6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SCHEDULE 13E-3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13 E-3 TRANSACTION STATEMENT UNDER SECTION 13(E)</w:t>
        <w:br/>
        <w:t>OF THE SECURITIES AND EXCHANGE ACT OF 1934</w:t>
      </w:r>
    </w:p>
    <w:p>
      <w:pPr>
        <w:pStyle w:val="TextBody"/>
        <w:spacing w:before="0" w:after="0"/>
        <w:ind w:left="0" w:right="0" w:hanging="0"/>
        <w:rPr>
          <w:caps w:val="false"/>
          <w:smallCaps w:val="false"/>
        </w:rPr>
      </w:pPr>
      <w:r>
        <w:rPr>
          <w:caps w:val="false"/>
          <w:smallCaps w:val="false"/>
        </w:rPr>
        <w:t> </w:t>
      </w:r>
    </w:p>
    <w:p>
      <w:pPr>
        <w:pStyle w:val="TextBody"/>
        <w:spacing w:before="60" w:after="60"/>
        <w:ind w:left="60" w:right="6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GasLog Partners LP</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the Issuer)</w:t>
      </w:r>
    </w:p>
    <w:p>
      <w:pPr>
        <w:pStyle w:val="TextBody"/>
        <w:spacing w:before="0" w:after="0"/>
        <w:ind w:left="0" w:right="0" w:hanging="0"/>
        <w:rPr>
          <w:caps w:val="false"/>
          <w:smallCaps w:val="false"/>
        </w:rPr>
      </w:pPr>
      <w:r>
        <w:rPr>
          <w:caps w:val="false"/>
          <w:smallCaps w:val="false"/>
        </w:rPr>
        <w:t> </w:t>
      </w:r>
    </w:p>
    <w:p>
      <w:pPr>
        <w:pStyle w:val="TextBody"/>
        <w:spacing w:before="60" w:after="60"/>
        <w:ind w:left="60" w:right="6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GasLog Ltd.</w:t>
        <w:br/>
        <w:t>GasLog Partners GP LLC</w:t>
        <w:br/>
        <w:t>Saturn Merger Sub LLC</w:t>
        <w:br/>
        <w:t>GasLog Partners LP</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Person(s) Filing Statement)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Units Representing Limited Partner Interests</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 of Securities)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Y2687W108</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 of Class of Securities)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Alexandros Laios, General Counsel</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 GasLog LNG Services Ltd.</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 Akti Miaouli</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18537 Piraeus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Greece</w:t>
        <w:br/>
        <w:t>+30 210 459 1000</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Numbers of Person Authorized to Receive Notices and Communications on Behalf of the Persons Filing Statement)</w:t>
      </w:r>
      <w:r>
        <w:rPr>
          <w:rFonts w:ascii="Times New Roman;Times;Serif" w:hAnsi="Times New Roman;Times;Serif"/>
          <w:b/>
          <w:i/>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With copies to</w:t>
      </w:r>
    </w:p>
    <w:p>
      <w:pPr>
        <w:pStyle w:val="TextBody"/>
        <w:spacing w:before="0" w:after="0"/>
        <w:ind w:left="0" w:right="0" w:hanging="0"/>
        <w:rPr>
          <w:caps w:val="false"/>
          <w:smallCaps w:val="false"/>
        </w:rPr>
      </w:pPr>
      <w:r>
        <w:rPr>
          <w:caps w:val="false"/>
          <w:smallCaps w:val="false"/>
        </w:rPr>
        <w:t> </w:t>
      </w:r>
    </w:p>
    <w:tbl>
      <w:tblPr>
        <w:tblW w:w="5815" w:type="dxa"/>
        <w:jc w:val="left"/>
        <w:tblInd w:w="0" w:type="dxa"/>
        <w:tblCellMar>
          <w:top w:w="0" w:type="dxa"/>
          <w:left w:w="0" w:type="dxa"/>
          <w:bottom w:w="0" w:type="dxa"/>
          <w:right w:w="0" w:type="dxa"/>
        </w:tblCellMar>
      </w:tblPr>
      <w:tblGrid>
        <w:gridCol w:w="2690"/>
        <w:gridCol w:w="3125"/>
      </w:tblGrid>
      <w:tr>
        <w:trPr/>
        <w:tc>
          <w:tcPr>
            <w:tcW w:w="2690" w:type="dxa"/>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Scott Bennett</w:t>
              <w:br/>
              <w:t>Andrew C. Elken</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Jin-Kyu Baek</w:t>
              <w:br/>
              <w:t>Cravath, Swaine &amp; Moore LLP</w:t>
              <w:br/>
              <w:t>825 Eighth Avenue</w:t>
              <w:br/>
              <w:t>New York, NY 10019</w:t>
              <w:br/>
              <w:t>(212) 474-1000</w:t>
            </w:r>
          </w:p>
        </w:tc>
        <w:tc>
          <w:tcPr>
            <w:tcW w:w="3125" w:type="dxa"/>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Kenneth Jackman</w:t>
              <w:br/>
              <w:t>Srinivas M. Raju</w:t>
              <w:br/>
              <w:t>Richards, Layton &amp; Finger, P.A.</w:t>
              <w:br/>
              <w:t>One Rodney Square, 920 King Street</w:t>
              <w:br/>
              <w:t>Wilmington, DE 19801</w:t>
              <w:br/>
              <w:t>(302) 651-7700</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statement is filed in connection with (check the appropriate box):</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00"/>
        <w:gridCol w:w="230"/>
        <w:gridCol w:w="9775"/>
      </w:tblGrid>
      <w:tr>
        <w:trPr/>
        <w:tc>
          <w:tcPr>
            <w:tcW w:w="20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a.</w:t>
            </w:r>
          </w:p>
        </w:tc>
        <w:tc>
          <w:tcPr>
            <w:tcW w:w="230" w:type="dxa"/>
            <w:tcBorders/>
            <w:shd w:fill="auto" w:val="clear"/>
            <w:vAlign w:val="center"/>
          </w:tcPr>
          <w:p>
            <w:pPr>
              <w:pStyle w:val="TableContents"/>
              <w:spacing w:before="0" w:after="283"/>
              <w:rPr/>
            </w:pPr>
            <w:r>
              <w:rPr/>
              <w:t>☐</w:t>
            </w:r>
          </w:p>
        </w:tc>
        <w:tc>
          <w:tcPr>
            <w:tcW w:w="9775" w:type="dxa"/>
            <w:tcBorders/>
            <w:shd w:fill="auto" w:val="clear"/>
            <w:vAlign w:val="center"/>
          </w:tcPr>
          <w:p>
            <w:pPr>
              <w:pStyle w:val="TableContents"/>
              <w:spacing w:before="0" w:after="283"/>
              <w:rPr/>
            </w:pPr>
            <w:r>
              <w:rPr/>
              <w:t>The filing of solicitation materials or an information statement subject to Regulation 14A, Regulation 14C or Rule 13e-3(c) under the Securities Exchange Act of 1934.</w:t>
            </w:r>
          </w:p>
        </w:tc>
      </w:tr>
    </w:tbl>
    <w:p>
      <w:pPr>
        <w:pStyle w:val="TextBody"/>
        <w:spacing w:before="0" w:after="0"/>
        <w:ind w:left="0" w:right="0" w:hanging="0"/>
        <w:rPr>
          <w:caps w:val="false"/>
          <w:smallCaps w:val="false"/>
        </w:rPr>
      </w:pPr>
      <w:r>
        <w:rPr>
          <w:caps w:val="false"/>
          <w:smallCaps w:val="false"/>
        </w:rPr>
        <w:t> </w:t>
      </w:r>
    </w:p>
    <w:tbl>
      <w:tblPr>
        <w:tblW w:w="7065" w:type="dxa"/>
        <w:jc w:val="left"/>
        <w:tblInd w:w="0" w:type="dxa"/>
        <w:tblCellMar>
          <w:top w:w="0" w:type="dxa"/>
          <w:left w:w="0" w:type="dxa"/>
          <w:bottom w:w="0" w:type="dxa"/>
          <w:right w:w="0" w:type="dxa"/>
        </w:tblCellMar>
      </w:tblPr>
      <w:tblGrid>
        <w:gridCol w:w="215"/>
        <w:gridCol w:w="230"/>
        <w:gridCol w:w="6620"/>
      </w:tblGrid>
      <w:tr>
        <w:trPr/>
        <w:tc>
          <w:tcPr>
            <w:tcW w:w="215"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b.</w:t>
            </w:r>
          </w:p>
        </w:tc>
        <w:tc>
          <w:tcPr>
            <w:tcW w:w="230" w:type="dxa"/>
            <w:tcBorders/>
            <w:shd w:fill="auto" w:val="clear"/>
            <w:vAlign w:val="center"/>
          </w:tcPr>
          <w:p>
            <w:pPr>
              <w:pStyle w:val="TableContents"/>
              <w:spacing w:before="0" w:after="283"/>
              <w:rPr/>
            </w:pPr>
            <w:r>
              <w:rPr/>
              <w:t>☐</w:t>
            </w:r>
          </w:p>
        </w:tc>
        <w:tc>
          <w:tcPr>
            <w:tcW w:w="6620" w:type="dxa"/>
            <w:tcBorders/>
            <w:shd w:fill="auto" w:val="clear"/>
            <w:vAlign w:val="center"/>
          </w:tcPr>
          <w:p>
            <w:pPr>
              <w:pStyle w:val="TableContents"/>
              <w:spacing w:before="0" w:after="283"/>
              <w:rPr/>
            </w:pPr>
            <w:r>
              <w:rPr/>
              <w:t>The filing of a registration statement under the Securities Act of 1933.</w:t>
            </w:r>
          </w:p>
        </w:tc>
      </w:tr>
    </w:tbl>
    <w:p>
      <w:pPr>
        <w:pStyle w:val="TextBody"/>
        <w:spacing w:before="0" w:after="0"/>
        <w:ind w:left="0" w:right="0" w:hanging="0"/>
        <w:rPr>
          <w:caps w:val="false"/>
          <w:smallCaps w:val="false"/>
        </w:rPr>
      </w:pPr>
      <w:r>
        <w:rPr>
          <w:caps w:val="false"/>
          <w:smallCaps w:val="false"/>
        </w:rPr>
        <w:t> </w:t>
      </w:r>
    </w:p>
    <w:tbl>
      <w:tblPr>
        <w:tblW w:w="1860" w:type="dxa"/>
        <w:jc w:val="left"/>
        <w:tblInd w:w="0" w:type="dxa"/>
        <w:tblCellMar>
          <w:top w:w="0" w:type="dxa"/>
          <w:left w:w="0" w:type="dxa"/>
          <w:bottom w:w="0" w:type="dxa"/>
          <w:right w:w="0" w:type="dxa"/>
        </w:tblCellMar>
      </w:tblPr>
      <w:tblGrid>
        <w:gridCol w:w="200"/>
        <w:gridCol w:w="230"/>
        <w:gridCol w:w="1430"/>
      </w:tblGrid>
      <w:tr>
        <w:trPr/>
        <w:tc>
          <w:tcPr>
            <w:tcW w:w="20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c.</w:t>
            </w:r>
          </w:p>
        </w:tc>
        <w:tc>
          <w:tcPr>
            <w:tcW w:w="230" w:type="dxa"/>
            <w:tcBorders/>
            <w:shd w:fill="auto" w:val="clear"/>
            <w:vAlign w:val="center"/>
          </w:tcPr>
          <w:p>
            <w:pPr>
              <w:pStyle w:val="TableContents"/>
              <w:spacing w:before="0" w:after="283"/>
              <w:rPr/>
            </w:pPr>
            <w:r>
              <w:rPr/>
              <w:t>☐</w:t>
            </w:r>
          </w:p>
        </w:tc>
        <w:tc>
          <w:tcPr>
            <w:tcW w:w="1430" w:type="dxa"/>
            <w:tcBorders/>
            <w:shd w:fill="auto" w:val="clear"/>
            <w:vAlign w:val="center"/>
          </w:tcPr>
          <w:p>
            <w:pPr>
              <w:pStyle w:val="TableContents"/>
              <w:spacing w:before="0" w:after="283"/>
              <w:rPr/>
            </w:pPr>
            <w:r>
              <w:rPr/>
              <w:t>A tender offer.</w:t>
            </w:r>
          </w:p>
        </w:tc>
      </w:tr>
    </w:tbl>
    <w:p>
      <w:pPr>
        <w:pStyle w:val="TextBody"/>
        <w:spacing w:before="0" w:after="0"/>
        <w:ind w:left="0" w:right="0" w:hanging="0"/>
        <w:rPr>
          <w:caps w:val="false"/>
          <w:smallCaps w:val="false"/>
        </w:rPr>
      </w:pPr>
      <w:r>
        <w:rPr>
          <w:caps w:val="false"/>
          <w:smallCaps w:val="false"/>
        </w:rPr>
        <w:t> </w:t>
      </w:r>
    </w:p>
    <w:tbl>
      <w:tblPr>
        <w:tblW w:w="2295" w:type="dxa"/>
        <w:jc w:val="left"/>
        <w:tblInd w:w="0" w:type="dxa"/>
        <w:tblCellMar>
          <w:top w:w="0" w:type="dxa"/>
          <w:left w:w="0" w:type="dxa"/>
          <w:bottom w:w="0" w:type="dxa"/>
          <w:right w:w="0" w:type="dxa"/>
        </w:tblCellMar>
      </w:tblPr>
      <w:tblGrid>
        <w:gridCol w:w="215"/>
        <w:gridCol w:w="230"/>
        <w:gridCol w:w="1850"/>
      </w:tblGrid>
      <w:tr>
        <w:trPr/>
        <w:tc>
          <w:tcPr>
            <w:tcW w:w="215" w:type="dxa"/>
            <w:tcBorders/>
            <w:shd w:fill="auto" w:val="clear"/>
            <w:vAlign w:val="center"/>
          </w:tcPr>
          <w:p>
            <w:pPr>
              <w:pStyle w:val="TableContents"/>
              <w:spacing w:before="0" w:after="283"/>
              <w:rPr/>
            </w:pPr>
            <w:r>
              <w:rPr/>
              <w:t>d.</w:t>
            </w:r>
          </w:p>
        </w:tc>
        <w:tc>
          <w:tcPr>
            <w:tcW w:w="230" w:type="dxa"/>
            <w:tcBorders/>
            <w:shd w:fill="auto" w:val="clear"/>
            <w:vAlign w:val="center"/>
          </w:tcPr>
          <w:p>
            <w:pPr>
              <w:pStyle w:val="TableContents"/>
              <w:spacing w:before="0" w:after="283"/>
              <w:rPr/>
            </w:pPr>
            <w:r>
              <w:rPr/>
              <w:t>☒</w:t>
            </w:r>
          </w:p>
        </w:tc>
        <w:tc>
          <w:tcPr>
            <w:tcW w:w="1850" w:type="dxa"/>
            <w:tcBorders/>
            <w:shd w:fill="auto" w:val="clear"/>
            <w:vAlign w:val="center"/>
          </w:tcPr>
          <w:p>
            <w:pPr>
              <w:pStyle w:val="TableContents"/>
              <w:spacing w:before="0" w:after="283"/>
              <w:rPr/>
            </w:pPr>
            <w:r>
              <w:rPr/>
              <w:t>None of the above.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following box if the soliciting materials or information statement referred to in checking box (a) are preliminary copies: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following box if the filing is a final amendment reporting the results of the transaction: ☐</w:t>
      </w:r>
    </w:p>
    <w:p>
      <w:pPr>
        <w:pStyle w:val="TextBody"/>
        <w:spacing w:before="0" w:after="0"/>
        <w:ind w:left="0" w:right="0" w:hanging="0"/>
        <w:rPr>
          <w:caps w:val="false"/>
          <w:smallCaps w:val="false"/>
        </w:rPr>
      </w:pPr>
      <w:r>
        <w:rPr>
          <w:caps w:val="false"/>
          <w:smallCaps w:val="false"/>
        </w:rPr>
        <w:t> </w:t>
      </w:r>
    </w:p>
    <w:p>
      <w:pPr>
        <w:pStyle w:val="TextBody"/>
        <w:spacing w:before="60" w:after="24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Transaction Statement on Schedule 13E-3 (this “Transaction Statement”), together with the exhibits hereto, is being filed with the Securities and Exchange Commission pursuant to Section 13(e) of the Securities Exchange Act of 1934, as amended (the “Exchange Act”), and Rule 13e-3 thereunder, by: (a) GasLog Partners LP, a Marshall Islands limited partnership (the “Partnership”) and the issuer of the common units representing limited partner interests in the Partnership (the “Common Units”) that are subject to the Rule 13e-3 transaction, (b) GasLog Ltd., a Bermuda exempted company (“Parent”), (c) GasLog Partners GP LLC, a Marshall Islands limited liability company and the general partner of the Partnership (the “General Partner”), and (d) Saturn Merger Sub LLC, a Marshall Islands limited liability company and a direct wholly owned subsidiary of Parent (“Merger Sub”). Collectively, the persons filing this Transaction Statement are referred to as the “filing persons”.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Transaction Statement relates to the Agreement and Plan of Merger, dated April 6, 2023 (as it may be amended from time to time, the “Merger Agreement”), by and among the Partnership, the General Partner, Parent and Merger Sub, pursuant to which Merger Sub will merge with and into the Partnership (the “Merger”), with the Partnership surviving the Merger as a Marshall Islands limited partnership and as a direct subsidiary of Parent.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 Merger, each Common Unit issued and outstanding immediately prior to the effective time of the Merger (the “Effective Time”), other than those Common Units held by Parent or its affiliates (the “Sponsor Units”), will be converted into the right to receive $5.37 per Common Unit in cash (the “Merger Consideration”), without interest and reduced by any applicable tax withholding. In addition, as soon as reasonably practicable following the affirmative vote of the holders of at least a majority of the outstanding Common Units, including those held by Parent, in favor of the approval of the Merger Agreement, pursuant to the terms of the Merger Agreement, the board of directors of the Partnership (the “Partnership Board”) will declare a special distribution of $3.28 per Common Unit (with a corresponding amount distributed in respect of each General Partner Unit (as defined in the Partnership Agreement (as defined below))) (the “Special Distribution” and, together with the Merger Consideration, the “Consideration”) with a record date on a business day prior to the anticipated closing date of the Merger and a payment date occurring on or prior to the closing date of the Merger, which dates will be reasonably agreed between the Partnership and Parent. Accordingly, holders of Common Units (other than the Sponsor Units) will, assuming that such holders hold Common Units both on the record date of the Special Distribution and at the Effective Time, receive overall consideration of $8.65 per Common Unit. The Sponsor Units and the General Partner Units will remain outstanding after the Merger, and the General Partner will remain the sole general partner of the Partnership. Each of the Partnership’s Class B Units (as defined in the Proxy Statement (as defined below)) issued and outstanding immediately prior to the Effective Time, all of which are held by Parent, will be canceled and cease to exist, and no consideration will be delivered in respect thereof. Each of the issued and outstanding Partnership’s Series A Preference Units, Series B Preference Units and Series C Preference Units (in each case as defined in the Partnership Agreement (as defined below)) which entitle the holder thereof to a preference with respect to distributions, or as to the distribution of assets upon any liquidation event, over Common Units (collectively, the “Preference Units”) will remain outstanding upon completion of the Merger and continue to trade on the New York Stock Exchange immediately following completion of the Merger, and no consideration will be delivered in respect thereof.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conflicts committee (the “Conflicts Committee”) of the Partnership Board, comprised solely of two independent directors who meet the requirements for membership on the Conflicts Committee set forth in the Seventh Amended and Restated Agreement of Limited Partnership of the Partnership (the “Partnership Agreement”) and advised by its own independent legal and financial advisors, has unanimously (a) determined that the Merger Agreement and the transactions contemplated thereby, including the Merger, are fair to and in the best interests of the Partnership and the common unitholders (the “Common Unitholders”) other than Parent and its affiliates (the “Unaffiliated Unitholders”), (b) approved the Merger Agreement and the transactions contemplated thereby, including the Merger (the foregoing constituting Special Approval (as defined in the Partnership Agreement)), and (c) recommended to the Partnership Board that the Partnership Board (i) approve the Merger Agreement and the transactions contemplated thereby, including the Merger, and (ii) recommend approval of the Merger Agreement and the transactions contemplated thereby, including the Merger, to the Common Unitholders.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to make its recommendation, the Conflicts Committee considered, among other things, the opinion of Evercore Group L.L.C. (“Evercore”), the financial advisor to the Conflicts Committee, to the effect that, as of the date of such opinion, and based upon and subject to the assumptions, limitations, qualifications and conditions described in Evercore’s written opinion, the Consideration to be received by the Unaffiliated Unitholders in the Merger is fair, from a financial point of view, to the Partnership and to the Unaffiliated Unitholders.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6, 2023, the Partnership Board, acting upon the recommendation of the Conflicts Committee, unanimously (a) determined that the Merger Agreement and the transactions contemplated thereby, including the Merger, are fair to and in the best interests of the Partnership and the Unaffiliated Unitholders, (b) approved the Merger Agreement and the transactions contemplated thereby, including the Merger, (c) directed that the Merger Agreement and the transactions contemplated thereby, including the Merger, be submitted to a vote of the Common Unitholders and (d) resolved to recommend approval of the Merger Agreement and the transactions contemplated thereby, including the Merger, to the Common Unitholders.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the board of directors of Parent (the “Parent Board”) (a) reviewed and evaluated the Merger and the Merger Agreement, the Voting and Support Agreement, dated as of April 6, 2023 (the “Support Agreement”), by and between Parent and the Partnership, the debt commitment letter, dated as of April 6, 2023, by and between Parent and DNB (UK) Ltd. (the “Debt Commitment Letter”), and various other agreements (collectively, the “Transaction Documents”) for the purpose of determining whether the Merger is in the best interests of Parent and (b) determined whether or not to approve the Merger and the Transaction Documents. The Parent Board along with its advisors conducted a review and evaluation of the proposed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Parent Board, by unanimous vote at a meeting held on April 6, 2023, (a) determined that the Transaction Documents and the transactions contemplated thereby, including the Merger, on the terms and conditions set forth in the Transaction Documents, were in the best interests of Parent, (b) approved the Transaction Documents and the transactions contemplated thereby, including the Merger, upon the terms and conditions set forth in the Transaction Documents, and (c) passed resolutions approving and adopting the Transaction Documents and the transactions contemplated thereby, including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in its capacity as the sole member of Merger Sub, by written consent dated as of April 6, 2023, (a) determined that the Merger Agreement and the transactions contemplated thereby, including the Merger, were in the best interests of Merger Sub, (b) declared it advisable to enter into the Merger Agreement and consummate the Merger and the other transactions contemplated thereby and (c) approved the adoption of the Transaction Documents, the execution, delivery and performance of the Transaction Documents and the transactions contemplated thereby, including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in its capacity as the sole member of the General Partner, by written consent dated as of April 6, 2023, (a) consented to and approved the terms and conditions of the Merger Agreement, the execution and delivery thereof and the performance by the Partnership of its obligations thereunder, the consummation of the transactions contemplated thereby, including the Merger, and all other actions or matters necessary or appropriate to give effect to the foregoing, (b) approved the execution and delivery by the Partnership of the Support Agreement and (c) approved the adoption, execution, delivery and performance of the Transaction Documents.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Partnership will make available to its Common Unitholders a proxy statement (the “Proxy Statement”, a copy of which is attached as Exhibit (a)(1) to this Transaction Statement), relating to the special meeting of the Common Unitholders, at which the Common Unitholders will consider and vote upon, among another proposals, a proposal to approve the Merger Agreement and the transactions contemplated thereby, including the Merger. A copy of the Merger Agreement is attached to the Proxy Statement as Annex A and is incorporated herein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General Instruction F to Schedule 13E-3, the information contained in the Proxy Statement, including all annexes thereto, is incorporated by reference in its entirety herein, and the responses to each item in this Schedule 13E-3 are qualified in their entirety by the information contained in the Proxy Statement and the annexes thereto. As of the date hereof, the Proxy Statement is in preliminary form and is subject to completion or amendment. Capitalized terms used but not defined in this Transaction Statement shall have the meanings given to them in the Proxy Statement.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each of the filing persons acknowledges that the Merger is a going private transaction for purposes of Rule 13e-3 under the Exchange Act, the filing of this Transaction Statement shall not be construed as an admission by any filing person, or by any affiliate of a filing person, that the Partnership is “controlled” by any of the filing persons and/or their respective affiliates.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information concerning the Partnership contained in, or incorporated by reference into, this Transaction Statement was supplied by the Partnership. Similarly, all information concerning each other filing person contained in, or incorporated by reference into, this Transaction Statement was supplied by such filing person.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 SUMMARY TERM SHEET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M-A Item 1001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the Proxy Statement under the following captions is incorporated herein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Summary Term Sheet”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 SUBJECT COMPANY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M-A Item 1002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Name and Address. </w:t>
      </w:r>
      <w:r>
        <w:rPr>
          <w:rFonts w:ascii="Times New Roman;Times;Serif" w:hAnsi="Times New Roman;Times;Serif"/>
          <w:b w:val="false"/>
          <w:i w:val="false"/>
          <w:caps w:val="false"/>
          <w:smallCaps w:val="false"/>
          <w:sz w:val="20"/>
        </w:rPr>
        <w:t>The information set forth in the Proxy Statement under the following captions is incorporated herein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Summary Term Sheet”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Parties to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Securities. </w:t>
      </w:r>
      <w:r>
        <w:rPr>
          <w:rFonts w:ascii="Times New Roman;Times;Serif" w:hAnsi="Times New Roman;Times;Serif"/>
          <w:b w:val="false"/>
          <w:i w:val="false"/>
          <w:caps w:val="false"/>
          <w:smallCaps w:val="false"/>
          <w:sz w:val="20"/>
        </w:rPr>
        <w:t>The information set forth in the Proxy Statement under the following caption is incorporated herein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Summary Term Sheet”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The Partnership Special Meeting of Common Unitholders</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caps w:val="false"/>
          <w:smallCaps w:val="false"/>
          <w:sz w:val="20"/>
        </w:rPr>
        <w:t>Who Can Vote at the Special Meeting”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Trading Market and Price. </w:t>
      </w:r>
      <w:r>
        <w:rPr>
          <w:rFonts w:ascii="Times New Roman;Times;Serif" w:hAnsi="Times New Roman;Times;Serif"/>
          <w:b w:val="false"/>
          <w:i w:val="false"/>
          <w:caps w:val="false"/>
          <w:smallCaps w:val="false"/>
          <w:sz w:val="20"/>
        </w:rPr>
        <w:t>The information set forth in the Proxy Statement under the following caption is incorporated herein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Common Unit Market Price and Distribution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Dividends. </w:t>
      </w:r>
      <w:r>
        <w:rPr>
          <w:rFonts w:ascii="Times New Roman;Times;Serif" w:hAnsi="Times New Roman;Times;Serif"/>
          <w:b w:val="false"/>
          <w:i w:val="false"/>
          <w:caps w:val="false"/>
          <w:smallCaps w:val="false"/>
          <w:sz w:val="20"/>
        </w:rPr>
        <w:t>The information set forth in the Proxy Statement under the following caption is incorporated herein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Common Unit Market Price and Distribution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Prior Public Offerings. </w:t>
      </w:r>
      <w:r>
        <w:rPr>
          <w:rFonts w:ascii="Times New Roman;Times;Serif" w:hAnsi="Times New Roman;Times;Serif"/>
          <w:b w:val="false"/>
          <w:i w:val="false"/>
          <w:caps w:val="false"/>
          <w:smallCaps w:val="false"/>
          <w:sz w:val="20"/>
        </w:rPr>
        <w:t>The information set forth in the Proxy Statement under the following caption is incorporated herein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Common Unit Market Price and Distribution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Prior Stock Purchases. </w:t>
      </w:r>
      <w:r>
        <w:rPr>
          <w:rFonts w:ascii="Times New Roman;Times;Serif" w:hAnsi="Times New Roman;Times;Serif"/>
          <w:b w:val="false"/>
          <w:i w:val="false"/>
          <w:caps w:val="false"/>
          <w:smallCaps w:val="false"/>
          <w:sz w:val="20"/>
        </w:rPr>
        <w:t>The information set forth in the Proxy Statement under the following captions is incorporated herein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Summary Term Sheet”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Parties to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Certain Purchases and Sales of Common Units”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IDENTITY AND BACKGROUND OF FILING PERSON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M-A Item 1003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(a)-(c)      Name and Address; Business and Background of Entities; Business and Background of Natural Persons.</w:t>
      </w:r>
      <w:r>
        <w:rPr>
          <w:rFonts w:ascii="Times New Roman;Times;Serif" w:hAnsi="Times New Roman;Times;Serif"/>
          <w:b w:val="false"/>
          <w:i w:val="false"/>
          <w:caps w:val="false"/>
          <w:smallCaps w:val="false"/>
          <w:sz w:val="20"/>
        </w:rPr>
        <w:t xml:space="preserve"> The information set forth in the Proxy Statement under the following captions is incorporated herein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Summary Term Sheet”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Parties to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Information Concerning Parent, the General Partner and Merger Sub”</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Information Concerning Partnership”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 TERMS OF THE TRANSACTION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M-A Item 1004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Material Terms. </w:t>
      </w:r>
      <w:r>
        <w:rPr>
          <w:rFonts w:ascii="Times New Roman;Times;Serif" w:hAnsi="Times New Roman;Times;Serif"/>
          <w:b w:val="false"/>
          <w:i w:val="false"/>
          <w:caps w:val="false"/>
          <w:smallCaps w:val="false"/>
          <w:sz w:val="20"/>
        </w:rPr>
        <w:t>The information set forth in the Proxy Statement under the following captions is incorporated herein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Summary Term Sheet”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Questions and Answers about the Merger, the Special Distribution and the Special Meeting”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The Partnership Special Meeting of Common Unitholders”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Proposal No. 1. The Merger Agreement”“Material U.S. Federal Income Tax Consequences of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Material Non-United States Tax Considerations”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A: The Merger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5</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Different Terms. </w:t>
      </w:r>
      <w:r>
        <w:rPr>
          <w:rFonts w:ascii="Times New Roman;Times;Serif" w:hAnsi="Times New Roman;Times;Serif"/>
          <w:b w:val="false"/>
          <w:i w:val="false"/>
          <w:caps w:val="false"/>
          <w:smallCaps w:val="false"/>
          <w:sz w:val="20"/>
        </w:rPr>
        <w:t>The information set forth in the Proxy Statement under the following captions is incorporated herein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Summary Term Sheet”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Questions and Answers about the Merger, the Special Distribution and the Special Meeting”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The Partnership Special Meeting of Common Unitholders – Who Can Vote at the Special Meeting”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The Partnership Special Meeting of Common Unitholders – Quorum”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The Partnership Special Meeting of Common Unitholders – Vote Required for Approval”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Effect of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Interests of the Directors and Executive Officers of the Partnership in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Provisions for Unaffiliated Unitholders”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Proposal No. 1. The Merger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Unit Ownership”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Proposal No. 2. Possible Adjournment to Solicit Additional Proxies If Necessary or Appropriate”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A: The Merger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Appraisal Rights. </w:t>
      </w:r>
      <w:r>
        <w:rPr>
          <w:rFonts w:ascii="Times New Roman;Times;Serif" w:hAnsi="Times New Roman;Times;Serif"/>
          <w:b w:val="false"/>
          <w:i w:val="false"/>
          <w:caps w:val="false"/>
          <w:smallCaps w:val="false"/>
          <w:sz w:val="20"/>
        </w:rPr>
        <w:t>The information set forth in the Proxy Statement under the following captions is incorporated herein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Summary Term Sheet”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Questions and Answers about the Merger, the Special Distribution and the Special Meeting”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No Appraisal Rights”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Provisions for Unaffiliated Security Holders. </w:t>
      </w:r>
      <w:r>
        <w:rPr>
          <w:rFonts w:ascii="Times New Roman;Times;Serif" w:hAnsi="Times New Roman;Times;Serif"/>
          <w:b w:val="false"/>
          <w:i w:val="false"/>
          <w:caps w:val="false"/>
          <w:smallCaps w:val="false"/>
          <w:sz w:val="20"/>
        </w:rPr>
        <w:t>The information set forth in the Proxy Statement under the following caption is incorporated herein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Provisions for Unaffiliated Unitholders”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Eligibility for Listing or Trading. </w:t>
      </w:r>
      <w:r>
        <w:rPr>
          <w:rFonts w:ascii="Times New Roman;Times;Serif" w:hAnsi="Times New Roman;Times;Serif"/>
          <w:b w:val="false"/>
          <w:i w:val="false"/>
          <w:caps w:val="false"/>
          <w:smallCaps w:val="false"/>
          <w:sz w:val="20"/>
        </w:rPr>
        <w:t>Not applicable.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 PAST CONTACTS, TRANSACTIONS, NEGOTIATIONS AND AGREEMENTS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M-A Item 1005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Transactions. </w:t>
      </w:r>
      <w:r>
        <w:rPr>
          <w:rFonts w:ascii="Times New Roman;Times;Serif" w:hAnsi="Times New Roman;Times;Serif"/>
          <w:b w:val="false"/>
          <w:i w:val="false"/>
          <w:caps w:val="false"/>
          <w:smallCaps w:val="false"/>
          <w:sz w:val="20"/>
        </w:rPr>
        <w:t>The information set forth in the Proxy Statement under the following captions is incorporated herein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Summary Term Sheet”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Interests of the Directors and Executive Officers of the Partnership in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Information Concerning Parent, the General Partner and Merger Sub”</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6</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Information Concerning the Partnership”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Where You Can Find More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(b)-(c)      Significant Corporate Events; Negotiations or Contacts. </w:t>
      </w:r>
      <w:r>
        <w:rPr>
          <w:rFonts w:ascii="Times New Roman;Times;Serif" w:hAnsi="Times New Roman;Times;Serif"/>
          <w:b w:val="false"/>
          <w:i w:val="false"/>
          <w:caps w:val="false"/>
          <w:smallCaps w:val="false"/>
          <w:sz w:val="20"/>
        </w:rPr>
        <w:t>The information set forth in the Proxy Statement under the following captions is incorporated herein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Summary Term Sheet”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Effect of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Background of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Recommendation of the Conflicts Committee and the Partnership Board; Reasons for Recommending Approval of the Merger Proposal”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Interests of the Directors and Executive Officers of the Partnership in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Position of Parent, the General Partner, Merger Sub, the Conflicts Committee and the Partnership Board as to the Fairness of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Purpose of Parent and Reasons for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Proposal No. 1. The Merger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Information Concerning Parent, the General Partner and Merger Sub”</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Information Concerning the Partnership”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A: The Merger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Agreements Involving the Subject Company’s Securities. </w:t>
      </w:r>
      <w:r>
        <w:rPr>
          <w:rFonts w:ascii="Times New Roman;Times;Serif" w:hAnsi="Times New Roman;Times;Serif"/>
          <w:b w:val="false"/>
          <w:i w:val="false"/>
          <w:caps w:val="false"/>
          <w:smallCaps w:val="false"/>
          <w:sz w:val="20"/>
        </w:rPr>
        <w:t>The information set forth in the Proxy Statement under the following captions is incorporated herein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Summary Term Sheet”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Questions and Answers about the Merger, the Special Distribution and the Special Meeting”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The Partnership Special Meeting of Common Unitholders – Vote Required for Approval”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Effect of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Background of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Interests of the Directors and Executive Officers of the Partnership in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Delisting and Deregistration of Common Units”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Proposal No. 1. The Merger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The Support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Unit Ownership”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Information Concerning Parent, the General Partner and Merger Sub”</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7</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Information Concerning the Partnership”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A: The Merger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B: The Support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PURPOSES OF THE TRANSACTION AND PLANS OR PROPOSALS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M-A Item 1006</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Use of Securities Acquired. </w:t>
      </w:r>
      <w:r>
        <w:rPr>
          <w:rFonts w:ascii="Times New Roman;Times;Serif" w:hAnsi="Times New Roman;Times;Serif"/>
          <w:b w:val="false"/>
          <w:i w:val="false"/>
          <w:caps w:val="false"/>
          <w:smallCaps w:val="false"/>
          <w:sz w:val="20"/>
        </w:rPr>
        <w:t>The information set forth in the Proxy Statement under the following captions is incorporated herein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Summary Term Sheet”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Questions and Answers about the Merger, the Special Distribution and the Special Meeting”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Effect of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Recommendation of the Conflicts Committee and the Partnership Board; Reasons for Recommending Approval of the Merger Proposal”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Interests of the Directors and Executive Officers of the Partnership in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Position of Parent, the General Partner, Merger Sub, the Conflicts Committee and the Partnership Board as to the Fairness of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Purpose of Parent and Reasons for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Primary Benefits and Detriments of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Ownership of Partnership After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Delisting and Deregistration of Common Units”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Proposal No. 1. The Merger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Delisting and Deregistration”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A: The Merger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(c)(1)-(8) Plans. </w:t>
      </w:r>
      <w:r>
        <w:rPr>
          <w:rFonts w:ascii="Times New Roman;Times;Serif" w:hAnsi="Times New Roman;Times;Serif"/>
          <w:b w:val="false"/>
          <w:i w:val="false"/>
          <w:caps w:val="false"/>
          <w:smallCaps w:val="false"/>
          <w:sz w:val="20"/>
        </w:rPr>
        <w:t>The information set forth in the Proxy Statement under the following captions is incorporated herein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Summary Term Sheet”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Questions and Answers about the Merger, the Special Distribution and the Special Meeting”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Effect of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Background of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Recommendation of the Conflicts Committee and the Partnership Board; Reasons for Recommending Approval of the Merger Proposal”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8</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Interests of the Directors and Executive Officers of the Partnership in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Position of Parent, the General Partner, Merger Sub, the Conflicts Committee and the Partnership Board as to the Fairness of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Purpose of Parent and Reasons for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Primary Benefits and Detriments of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Delisting and Deregistration of Common Units”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Proposal No. 1. The Merger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Delisting and Deregistration”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A: The Merger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B: The Support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 PURPOSES, ALTERNATIVES, REASONS AND EFFECTS IN A GOING-PRIVATE TRANSACTION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M-A Item 1013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Purposes. </w:t>
      </w:r>
      <w:r>
        <w:rPr>
          <w:rFonts w:ascii="Times New Roman;Times;Serif" w:hAnsi="Times New Roman;Times;Serif"/>
          <w:b w:val="false"/>
          <w:i w:val="false"/>
          <w:caps w:val="false"/>
          <w:smallCaps w:val="false"/>
          <w:sz w:val="20"/>
        </w:rPr>
        <w:t>The information set forth in the Proxy Statement under the following captions is incorporated herein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Summary Term Sheet”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Effect of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Background of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Recommendation of the Conflicts Committee and the Partnership Board; Reasons for Recommending Approval of the Merger Proposal”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Position of Parent, the General Partner, Merger Sub, the Conflicts Committee and the Partnership Board as to the Fairness of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Purpose of Parent and Reasons for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Primary Benefits and Detriments of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Alternatives. </w:t>
      </w:r>
      <w:r>
        <w:rPr>
          <w:rFonts w:ascii="Times New Roman;Times;Serif" w:hAnsi="Times New Roman;Times;Serif"/>
          <w:b w:val="false"/>
          <w:i w:val="false"/>
          <w:caps w:val="false"/>
          <w:smallCaps w:val="false"/>
          <w:sz w:val="20"/>
        </w:rPr>
        <w:t>The information set forth in the Proxy Statement under the following captions is incorporated herein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Summary Term Sheet”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Background of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Recommendation of the Conflicts Committee and the Partnership Board; Reasons for Recommending Approval of the Merger Proposal”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Position of Parent, the General Partner, Merger Sub, the Conflicts Committee and the Partnership Board as to the Fairness of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9</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Purpose of Parent and Reasons for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Opinion of Financial Advisor of the Conflicts Committee”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Reasons. </w:t>
      </w:r>
      <w:r>
        <w:rPr>
          <w:rFonts w:ascii="Times New Roman;Times;Serif" w:hAnsi="Times New Roman;Times;Serif"/>
          <w:b w:val="false"/>
          <w:i w:val="false"/>
          <w:caps w:val="false"/>
          <w:smallCaps w:val="false"/>
          <w:sz w:val="20"/>
        </w:rPr>
        <w:t>The information set forth in the Proxy Statement under the following captions is incorporated herein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Summary Term Sheet”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Effect of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Background of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Recommendation of the Conflicts Committee and the Partnership Board; Reasons for Recommending Approval of the Merger Proposal”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Interests of the Directors and Executive Officers of Partnership in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Position of Parent, the General Partner, Merger Sub, the Conflicts Committee and the Partnership Board as to the Fairness of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Purpose of Parent and Reasons for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Primary Benefits and Detriments of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Opinion of Financial Advisor of the Conflicts Committee”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Effects. </w:t>
      </w:r>
      <w:r>
        <w:rPr>
          <w:rFonts w:ascii="Times New Roman;Times;Serif" w:hAnsi="Times New Roman;Times;Serif"/>
          <w:b w:val="false"/>
          <w:i w:val="false"/>
          <w:caps w:val="false"/>
          <w:smallCaps w:val="false"/>
          <w:sz w:val="20"/>
        </w:rPr>
        <w:t>The information set forth in the Proxy Statement under the following captions is incorporated herein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Summary Term Sheet”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Questions and Answers about the Merger, the Special Distribution and the Special Meeting”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Effect of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Background of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Recommendation of the Conflicts Committee and the Partnership Board; Reasons for Recommending Approval of the Merger Proposal”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Interests of the Directors and Executive Officers of Partnership in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Position of Parent, the General Partner, Merger Sub, the Conflicts Committee and the Partnership Board as to the Fairness of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Purpose of Parent and Reasons for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Primary Benefits and Detriments of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Delisting and Deregistration of Common Units”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Proposal No. 1. The Merger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Delisting and Deregistration”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10</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Material U.S. Federal Income Tax Consequences of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Material Non-United States Tax Considerations”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A: The Merger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FAIRNESS OF THE GOING-PRIVATE TRANSACTION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M-A Item 1014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(a)-(b)      Fairness; Factors Considered in Determining Fairness. </w:t>
      </w:r>
      <w:r>
        <w:rPr>
          <w:rFonts w:ascii="Times New Roman;Times;Serif" w:hAnsi="Times New Roman;Times;Serif"/>
          <w:b w:val="false"/>
          <w:i w:val="false"/>
          <w:caps w:val="false"/>
          <w:smallCaps w:val="false"/>
          <w:sz w:val="20"/>
        </w:rPr>
        <w:t>The information set forth in the Proxy Statement under the following captions is incorporated herein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Summary Term Sheet”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Questions and Answers about the Merger, the Special Distribution and the Special Meeting”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Background of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Recommendation of the Conflicts Committee and the Partnership Board; Reasons for Recommending Approval of the Merger Proposal”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Interests of the Directors and Executive Officers of Partnership in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Position of Parent, the General Partner, Merger Sub, the Conflicts Committee and the Partnership Board as to the Fairness of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Purpose of Parent and Reasons for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Opinion of Financial Advisor of the Conflicts Committee”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C: Opinion of Evercore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Approval of Security Holders. </w:t>
      </w:r>
      <w:r>
        <w:rPr>
          <w:rFonts w:ascii="Times New Roman;Times;Serif" w:hAnsi="Times New Roman;Times;Serif"/>
          <w:b w:val="false"/>
          <w:i w:val="false"/>
          <w:caps w:val="false"/>
          <w:smallCaps w:val="false"/>
          <w:sz w:val="20"/>
        </w:rPr>
        <w:t>The information set forth in the Proxy Statement under the following captions is incorporated herein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Summary Term Sheet”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Questions and Answers about the Merger, the Special Distribution and the Special Meeting”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The Partnership Special Meeting of Common Unitholders – Who Can Vote at the Special Meeting”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The Partnership Special Meeting of Common Unitholders – Quorum”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The Partnership Special Meeting of Common Unitholders – Vote Required for Approval”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Proposal No. 1. The Merger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A: The Merger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Unaffiliated Representative. </w:t>
      </w:r>
      <w:r>
        <w:rPr>
          <w:rFonts w:ascii="Times New Roman;Times;Serif" w:hAnsi="Times New Roman;Times;Serif"/>
          <w:b w:val="false"/>
          <w:i w:val="false"/>
          <w:caps w:val="false"/>
          <w:smallCaps w:val="false"/>
          <w:sz w:val="20"/>
        </w:rPr>
        <w:t>The information set forth in the Proxy Statement under the following captions is incorporated herein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Summary Term Sheet”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11</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Background of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Recommendation of the Conflicts Committee and the Partnership Board; Reasons for Recommending Approval of the Merger Proposal”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Interests of the Directors and Executive Officers of Partnership in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Position of Parent, the General Partner, Merger Sub, the Conflicts Committee and the Partnership Board as to the Fairness of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Opinion of Financial Advisor of the Conflicts Committee”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C: Opinion of Evercore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Approval of Directors. </w:t>
      </w:r>
      <w:r>
        <w:rPr>
          <w:rFonts w:ascii="Times New Roman;Times;Serif" w:hAnsi="Times New Roman;Times;Serif"/>
          <w:b w:val="false"/>
          <w:i w:val="false"/>
          <w:caps w:val="false"/>
          <w:smallCaps w:val="false"/>
          <w:sz w:val="20"/>
        </w:rPr>
        <w:t>The information set forth in the Proxy Statement under the following captions is incorporated herein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Summary Term Sheet”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Questions and Answers about the Merger, the Special Distribution and the Special Meeting”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Background of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Recommendation of the Conflicts Committee and the Partnership Board; Reasons for Recommending Approval of the Merger Proposal”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Position of Parent, the General Partner, Merger Sub, the Conflicts Committee and the Partnership Board as to the Fairness of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Other Offers. </w:t>
      </w:r>
      <w:r>
        <w:rPr>
          <w:rFonts w:ascii="Times New Roman;Times;Serif" w:hAnsi="Times New Roman;Times;Serif"/>
          <w:b w:val="false"/>
          <w:i w:val="false"/>
          <w:caps w:val="false"/>
          <w:smallCaps w:val="false"/>
          <w:sz w:val="20"/>
        </w:rPr>
        <w:t>The information set forth in the Proxy Statement under the following caption is incorporated herein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Summary Term Sheet”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Background of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Recommendation of the Conflicts Committee and the Partnership Board; Reasons for Recommending Approval of the Merger Proposal”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Proposal No. 1. The Merger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Information Concerning the Partnership”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REPORTS, OPINIONS, APPRAISALS AND NEGOTIATIONS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M-A Item 1015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(a)-(b)      Report, Opinion or Appraisal; Preparer and Summary of the Report, Opinion or Appraisal. </w:t>
      </w:r>
      <w:r>
        <w:rPr>
          <w:rFonts w:ascii="Times New Roman;Times;Serif" w:hAnsi="Times New Roman;Times;Serif"/>
          <w:b w:val="false"/>
          <w:i w:val="false"/>
          <w:caps w:val="false"/>
          <w:smallCaps w:val="false"/>
          <w:sz w:val="20"/>
        </w:rPr>
        <w:t>The discussion materials prepared by Evercore and provided to the Conflicts Committee on February 3, 2023, February 9, 2023, February 27, 2023, March 3, 2023, March 13, 2023, March 14, 2023, March 19, 2023, March 30, 2023, April 1, 2023, and April 6, 2023, are set forth as Exhibits (c)(2)-(c)(11) hereto, respectively, and are incorporated herein by reference.</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The information set forth in the Proxy Statement under the following captions is incorporated herein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Summary Term Sheet”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Background of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Recommendation of the Conflicts Committee and the Partnership Board; Reasons for Recommending Approval of the Merger Proposal”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Position of Parent, the General Partner, Merger Sub, the Conflicts Committee and the Partnership Board as to the Fairness of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Opinion of Financial Advisor to the Conflicts Committee”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Fees and Expenses”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Where You Can Find More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C: Opinion of Evercore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Availability of Documents. </w:t>
      </w:r>
      <w:r>
        <w:rPr>
          <w:rFonts w:ascii="Times New Roman;Times;Serif" w:hAnsi="Times New Roman;Times;Serif"/>
          <w:b w:val="false"/>
          <w:i w:val="false"/>
          <w:caps w:val="false"/>
          <w:smallCaps w:val="false"/>
          <w:sz w:val="20"/>
        </w:rPr>
        <w:t>The information set forth in the Proxy Statement under the following caption is incorporated herein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Where You Can Find More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reports, opinions or appraisals referenced in this Item 9 are filed herewith and will be made available for inspection and copying at the principal executive offices of Partnership during its regular business hours by any interested Common Unitholder or representative who has been so designated in writing.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 SOURCE AND AMOUNTS OF FUNDS OR OTHER CONSIDERATION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M-A Item 1007</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(a)-(b)      Source of Funds; Conditions. </w:t>
      </w:r>
      <w:r>
        <w:rPr>
          <w:rFonts w:ascii="Times New Roman;Times;Serif" w:hAnsi="Times New Roman;Times;Serif"/>
          <w:b w:val="false"/>
          <w:i w:val="false"/>
          <w:caps w:val="false"/>
          <w:smallCaps w:val="false"/>
          <w:sz w:val="20"/>
        </w:rPr>
        <w:t>The information set forth in the Proxy Statement under the following captions is incorporated herein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Summary Term Sheet”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Financing of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Fees and Expenses”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Proposal No.1. The Merger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Expenses. </w:t>
      </w:r>
      <w:r>
        <w:rPr>
          <w:rFonts w:ascii="Times New Roman;Times;Serif" w:hAnsi="Times New Roman;Times;Serif"/>
          <w:b w:val="false"/>
          <w:i w:val="false"/>
          <w:caps w:val="false"/>
          <w:smallCaps w:val="false"/>
          <w:sz w:val="20"/>
        </w:rPr>
        <w:t>The information set forth in the Proxy Statement under the following captions is incorporated herein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Summary Term Sheet”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Fees and Expenses”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Proposal No.1. The Merger Agreement – Fees and Expenses”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Borrowed Funds. </w:t>
      </w:r>
      <w:r>
        <w:rPr>
          <w:rFonts w:ascii="Times New Roman;Times;Serif" w:hAnsi="Times New Roman;Times;Serif"/>
          <w:b w:val="false"/>
          <w:i w:val="false"/>
          <w:caps w:val="false"/>
          <w:smallCaps w:val="false"/>
          <w:sz w:val="20"/>
        </w:rPr>
        <w:t>The information set forth in the Proxy Statement under the following captions is incorporated herein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Summary Term Sheet”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Financing of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11. INTEREST IN SECURITIES OF THE SUBJECT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M-A Item 1008</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(a)-(b)      Securities Ownership; Securities Transactions. </w:t>
      </w:r>
      <w:r>
        <w:rPr>
          <w:rFonts w:ascii="Times New Roman;Times;Serif" w:hAnsi="Times New Roman;Times;Serif"/>
          <w:b w:val="false"/>
          <w:i w:val="false"/>
          <w:caps w:val="false"/>
          <w:smallCaps w:val="false"/>
          <w:sz w:val="20"/>
        </w:rPr>
        <w:t>The information set forth in the Proxy Statement under the following captions is incorporated herein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Summary Term Sheet”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Parties to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Interests of the Directors and Executive Officers of Partnership in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Unit Ownership”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Certain Purchases and Sales of Common Units”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12. THE SOLICITATION OR RECOMMENDATION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M-A Item 1012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(d)-(e)      Intent to Tender or Vote in a Going-Private Transaction; Recommendation of Others. </w:t>
      </w:r>
      <w:r>
        <w:rPr>
          <w:rFonts w:ascii="Times New Roman;Times;Serif" w:hAnsi="Times New Roman;Times;Serif"/>
          <w:b w:val="false"/>
          <w:i w:val="false"/>
          <w:caps w:val="false"/>
          <w:smallCaps w:val="false"/>
          <w:sz w:val="20"/>
        </w:rPr>
        <w:t>The information set forth in the Proxy Statement under the following captions is incorporated herein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Summary Term Sheet”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Questions and Answers about the Merger, the Special Distribution and the Special Meeting”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The Partnership Special Meeting of Common Unitholders – Vote Required for Approval”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The Partnership Special Meeting of Common Unitholders – Recommendation of the Partnership Board”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Recommendation of the Conflicts Committee and the Partnership Board; Reasons for Recommending Approval of the Merger Proposal”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Interests of the Directors and Executive Officers of Partnership in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Parent Board Approval of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Position of Parent, the General Partner, Merger Sub, the Conflicts Committee and the Partnership Board as to the Fairness of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Purpose of Parent and Reasons for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The Support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B: The Support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13.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M-A Item 1010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Financial Statements. </w:t>
      </w:r>
      <w:r>
        <w:rPr>
          <w:rFonts w:ascii="Times New Roman;Times;Serif" w:hAnsi="Times New Roman;Times;Serif"/>
          <w:b w:val="false"/>
          <w:i w:val="false"/>
          <w:caps w:val="false"/>
          <w:smallCaps w:val="false"/>
          <w:sz w:val="20"/>
        </w:rPr>
        <w:t>The information set forth in the Proxy Statement under the following captions is incorporated herein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Selected Historical Consolidated Financial Data of Partnership”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Where You Can Find More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Partnership’s Annual Report on Form 20-F for the year ended December 31, 2022, and the unaudited condensed consolidated financial statements for the quarter ended March 31, 2023, included in the Partnership’s Form 6-K are incorporated herein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Pro Forma Information. </w:t>
      </w:r>
      <w:r>
        <w:rPr>
          <w:rFonts w:ascii="Times New Roman;Times;Serif" w:hAnsi="Times New Roman;Times;Serif"/>
          <w:b w:val="false"/>
          <w:i w:val="false"/>
          <w:caps w:val="false"/>
          <w:smallCaps w:val="false"/>
          <w:sz w:val="20"/>
        </w:rPr>
        <w:t>Not applicable. Paragraph (c)(6) of Item 1010 of Regulation M-A requires the presentation of such pro forma data only if material. Since the Special Distribution will be paid before the Merger and the Merger Consideration will be paid solely in cash, and, as a result, Common Unitholders will have no continuing interest in Partnership after the Merger, such pro forma data is not material to Common Unitholders and, as such, has not been presented.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PERSONS/ASSETS, RETAINED, EMPLOYED, COMPENSATED OR USED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M-A Item 1009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(a)-(b)      Solicitations or Recommendations; Employees and Corporate Assets. </w:t>
      </w:r>
      <w:r>
        <w:rPr>
          <w:rFonts w:ascii="Times New Roman;Times;Serif" w:hAnsi="Times New Roman;Times;Serif"/>
          <w:b w:val="false"/>
          <w:i w:val="false"/>
          <w:caps w:val="false"/>
          <w:smallCaps w:val="false"/>
          <w:sz w:val="20"/>
        </w:rPr>
        <w:t>The information set forth in the Proxy Statement under the following captions is incorporated herein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Summary Term Sheet”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Questions and Answers about the Merger, the Special Distribution and the Special Meeting”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The Partnership Special Meeting of Common Unitholders – Recommendation of the Partnership Board”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The Partnership Special Meeting of Common Unitholders – Solicitation of Proxies”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Background of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Recommendation of the Conflicts Committee and the Partnership Board; Reasons for Recommending Approval of the Merger Proposal”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Opinion of Financial Advisor of the Conflicts Committee”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Interests of the Directors and Executive Officers of Partnership in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Special Factors – Fees and Expenses”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ADDITIONAL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M-A Item 1011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Golden Parachute Compensation.</w:t>
      </w:r>
      <w:r>
        <w:rPr>
          <w:rFonts w:ascii="Times New Roman;Times;Serif" w:hAnsi="Times New Roman;Times;Serif"/>
          <w:b w:val="false"/>
          <w:i w:val="false"/>
          <w:caps w:val="false"/>
          <w:smallCaps w:val="false"/>
          <w:sz w:val="20"/>
        </w:rPr>
        <w:t xml:space="preserve"> Not applicable.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15</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Other Material Information.</w:t>
      </w:r>
      <w:r>
        <w:rPr>
          <w:rFonts w:ascii="Times New Roman;Times;Serif" w:hAnsi="Times New Roman;Times;Serif"/>
          <w:b w:val="false"/>
          <w:i w:val="false"/>
          <w:caps w:val="false"/>
          <w:smallCaps w:val="false"/>
          <w:sz w:val="20"/>
        </w:rPr>
        <w:t xml:space="preserve"> The information set forth in the Proxy Statement, including all annexes thereto, is incorporated herein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M-A Item 1016</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1205"/>
        <w:gridCol w:w="60"/>
        <w:gridCol w:w="8940"/>
      </w:tblGrid>
      <w:tr>
        <w:trPr/>
        <w:tc>
          <w:tcPr>
            <w:tcW w:w="1205" w:type="dxa"/>
            <w:tcBorders>
              <w:bottom w:val="single" w:sz="8" w:space="0" w:color="000000"/>
            </w:tcBorders>
            <w:shd w:fill="auto" w:val="clear"/>
            <w:vAlign w:val="center"/>
          </w:tcPr>
          <w:p>
            <w:pPr>
              <w:pStyle w:val="TableContents"/>
              <w:spacing w:before="0" w:after="283"/>
              <w:jc w:val="center"/>
              <w:rPr>
                <w:b/>
              </w:rPr>
            </w:pPr>
            <w:r>
              <w:rPr>
                <w:b/>
              </w:rPr>
              <w:t>Exhibit No.</w:t>
            </w:r>
          </w:p>
        </w:tc>
        <w:tc>
          <w:tcPr>
            <w:tcW w:w="60" w:type="dxa"/>
            <w:tcBorders/>
            <w:shd w:fill="auto" w:val="clear"/>
            <w:tcMar>
              <w:bottom w:w="0" w:type="dxa"/>
            </w:tcMar>
            <w:vAlign w:val="center"/>
          </w:tcPr>
          <w:p>
            <w:pPr>
              <w:pStyle w:val="TableContents"/>
              <w:spacing w:before="0" w:after="283"/>
              <w:rPr/>
            </w:pPr>
            <w:r>
              <w:rPr/>
              <w:t> </w:t>
            </w:r>
          </w:p>
        </w:tc>
        <w:tc>
          <w:tcPr>
            <w:tcW w:w="8940" w:type="dxa"/>
            <w:tcBorders>
              <w:bottom w:val="single" w:sz="8" w:space="0" w:color="000000"/>
            </w:tcBorders>
            <w:shd w:fill="auto" w:val="clear"/>
            <w:vAlign w:val="center"/>
          </w:tcPr>
          <w:p>
            <w:pPr>
              <w:pStyle w:val="TableContents"/>
              <w:spacing w:before="0" w:after="283"/>
              <w:jc w:val="center"/>
              <w:rPr>
                <w:b/>
              </w:rPr>
            </w:pPr>
            <w:r>
              <w:rPr>
                <w:b/>
              </w:rPr>
              <w:t>Description</w:t>
            </w:r>
          </w:p>
        </w:tc>
      </w:tr>
      <w:tr>
        <w:trPr/>
        <w:tc>
          <w:tcPr>
            <w:tcW w:w="1205" w:type="dxa"/>
            <w:tcBorders/>
            <w:shd w:fill="auto" w:val="clear"/>
            <w:tcMar>
              <w:bottom w:w="0" w:type="dxa"/>
            </w:tcMar>
            <w:vAlign w:val="center"/>
          </w:tcPr>
          <w:p>
            <w:pPr>
              <w:pStyle w:val="TableContents"/>
              <w:spacing w:before="0" w:after="283"/>
              <w:jc w:val="center"/>
              <w:rPr/>
            </w:pPr>
            <w:hyperlink w:anchor="tm2314213d1_ex99-a1.htm">
              <w:r>
                <w:rPr>
                  <w:rStyle w:val="InternetLink"/>
                </w:rPr>
                <w:t>(a)(1)</w:t>
              </w:r>
            </w:hyperlink>
          </w:p>
        </w:tc>
        <w:tc>
          <w:tcPr>
            <w:tcW w:w="60" w:type="dxa"/>
            <w:tcBorders/>
            <w:shd w:fill="auto" w:val="clear"/>
            <w:tcMar>
              <w:bottom w:w="0" w:type="dxa"/>
            </w:tcMar>
            <w:vAlign w:val="center"/>
          </w:tcPr>
          <w:p>
            <w:pPr>
              <w:pStyle w:val="TableContents"/>
              <w:spacing w:before="0" w:after="283"/>
              <w:rPr/>
            </w:pPr>
            <w:r>
              <w:rPr/>
              <w:t> </w:t>
            </w:r>
          </w:p>
        </w:tc>
        <w:tc>
          <w:tcPr>
            <w:tcW w:w="8940" w:type="dxa"/>
            <w:tcBorders/>
            <w:shd w:fill="auto" w:val="clear"/>
            <w:tcMar>
              <w:bottom w:w="0" w:type="dxa"/>
            </w:tcMar>
            <w:vAlign w:val="center"/>
          </w:tcPr>
          <w:p>
            <w:pPr>
              <w:pStyle w:val="TableContents"/>
              <w:spacing w:before="0" w:after="283"/>
              <w:rPr/>
            </w:pPr>
            <w:hyperlink w:anchor="tm2314213d1_ex99-a1.htm">
              <w:r>
                <w:rPr>
                  <w:rStyle w:val="InternetLink"/>
                </w:rPr>
                <w:t>Proxy Statement of the Partnership (the “Proxy Statement”).</w:t>
              </w:r>
            </w:hyperlink>
          </w:p>
        </w:tc>
      </w:tr>
      <w:tr>
        <w:trPr/>
        <w:tc>
          <w:tcPr>
            <w:tcW w:w="1205" w:type="dxa"/>
            <w:tcBorders/>
            <w:shd w:fill="auto" w:val="clear"/>
            <w:tcMar>
              <w:bottom w:w="0" w:type="dxa"/>
            </w:tcMar>
            <w:vAlign w:val="center"/>
          </w:tcPr>
          <w:p>
            <w:pPr>
              <w:pStyle w:val="TableContents"/>
              <w:spacing w:before="0" w:after="283"/>
              <w:jc w:val="center"/>
              <w:rPr/>
            </w:pPr>
            <w:hyperlink w:anchor="ad_001">
              <w:r>
                <w:rPr>
                  <w:rStyle w:val="InternetLink"/>
                </w:rPr>
                <w:t>(a)(2)</w:t>
              </w:r>
            </w:hyperlink>
          </w:p>
        </w:tc>
        <w:tc>
          <w:tcPr>
            <w:tcW w:w="60" w:type="dxa"/>
            <w:tcBorders/>
            <w:shd w:fill="auto" w:val="clear"/>
            <w:tcMar>
              <w:bottom w:w="0" w:type="dxa"/>
            </w:tcMar>
            <w:vAlign w:val="center"/>
          </w:tcPr>
          <w:p>
            <w:pPr>
              <w:pStyle w:val="TableContents"/>
              <w:spacing w:before="0" w:after="283"/>
              <w:rPr/>
            </w:pPr>
            <w:r>
              <w:rPr/>
              <w:t> </w:t>
            </w:r>
          </w:p>
        </w:tc>
        <w:tc>
          <w:tcPr>
            <w:tcW w:w="8940" w:type="dxa"/>
            <w:tcBorders/>
            <w:shd w:fill="auto" w:val="clear"/>
            <w:tcMar>
              <w:bottom w:w="0" w:type="dxa"/>
            </w:tcMar>
            <w:vAlign w:val="center"/>
          </w:tcPr>
          <w:p>
            <w:pPr>
              <w:pStyle w:val="TableContents"/>
              <w:spacing w:before="0" w:after="283"/>
              <w:rPr/>
            </w:pPr>
            <w:hyperlink w:anchor="ad_001">
              <w:r>
                <w:rPr>
                  <w:rStyle w:val="InternetLink"/>
                </w:rPr>
                <w:t>Form of Proxy Card (incorporated herein by reference to Annex D of the Proxy Statement).</w:t>
              </w:r>
            </w:hyperlink>
          </w:p>
        </w:tc>
      </w:tr>
      <w:tr>
        <w:trPr/>
        <w:tc>
          <w:tcPr>
            <w:tcW w:w="1205" w:type="dxa"/>
            <w:tcBorders/>
            <w:shd w:fill="auto" w:val="clear"/>
            <w:tcMar>
              <w:bottom w:w="0" w:type="dxa"/>
            </w:tcMar>
            <w:vAlign w:val="center"/>
          </w:tcPr>
          <w:p>
            <w:pPr>
              <w:pStyle w:val="TableContents"/>
              <w:spacing w:before="0" w:after="283"/>
              <w:jc w:val="center"/>
              <w:rPr/>
            </w:pPr>
            <w:hyperlink w:anchor="tm2314213d1_ex99-a1.htm">
              <w:r>
                <w:rPr>
                  <w:rStyle w:val="InternetLink"/>
                </w:rPr>
                <w:t>(a)(3)</w:t>
              </w:r>
            </w:hyperlink>
          </w:p>
        </w:tc>
        <w:tc>
          <w:tcPr>
            <w:tcW w:w="60" w:type="dxa"/>
            <w:tcBorders/>
            <w:shd w:fill="auto" w:val="clear"/>
            <w:tcMar>
              <w:bottom w:w="0" w:type="dxa"/>
            </w:tcMar>
            <w:vAlign w:val="center"/>
          </w:tcPr>
          <w:p>
            <w:pPr>
              <w:pStyle w:val="TableContents"/>
              <w:spacing w:before="0" w:after="283"/>
              <w:rPr/>
            </w:pPr>
            <w:r>
              <w:rPr/>
              <w:t> </w:t>
            </w:r>
          </w:p>
        </w:tc>
        <w:tc>
          <w:tcPr>
            <w:tcW w:w="8940" w:type="dxa"/>
            <w:tcBorders/>
            <w:shd w:fill="auto" w:val="clear"/>
            <w:tcMar>
              <w:bottom w:w="0" w:type="dxa"/>
            </w:tcMar>
            <w:vAlign w:val="center"/>
          </w:tcPr>
          <w:p>
            <w:pPr>
              <w:pStyle w:val="TableContents"/>
              <w:spacing w:before="0" w:after="283"/>
              <w:rPr/>
            </w:pPr>
            <w:hyperlink w:anchor="tm2314213d1_ex99-a1.htm">
              <w:r>
                <w:rPr>
                  <w:rStyle w:val="InternetLink"/>
                </w:rPr>
                <w:t>Letter to the Common Unitholders of the Partnership (incorporated herein by reference to the Proxy Statement).</w:t>
              </w:r>
            </w:hyperlink>
          </w:p>
        </w:tc>
      </w:tr>
      <w:tr>
        <w:trPr/>
        <w:tc>
          <w:tcPr>
            <w:tcW w:w="1205" w:type="dxa"/>
            <w:tcBorders/>
            <w:shd w:fill="auto" w:val="clear"/>
            <w:tcMar>
              <w:bottom w:w="0" w:type="dxa"/>
            </w:tcMar>
            <w:vAlign w:val="center"/>
          </w:tcPr>
          <w:p>
            <w:pPr>
              <w:pStyle w:val="TableContents"/>
              <w:spacing w:before="0" w:after="283"/>
              <w:jc w:val="center"/>
              <w:rPr/>
            </w:pPr>
            <w:hyperlink w:anchor="exa4">
              <w:r>
                <w:rPr>
                  <w:rStyle w:val="InternetLink"/>
                </w:rPr>
                <w:t>(a)(4)</w:t>
              </w:r>
            </w:hyperlink>
          </w:p>
        </w:tc>
        <w:tc>
          <w:tcPr>
            <w:tcW w:w="60" w:type="dxa"/>
            <w:tcBorders/>
            <w:shd w:fill="auto" w:val="clear"/>
            <w:tcMar>
              <w:bottom w:w="0" w:type="dxa"/>
            </w:tcMar>
            <w:vAlign w:val="center"/>
          </w:tcPr>
          <w:p>
            <w:pPr>
              <w:pStyle w:val="TableContents"/>
              <w:spacing w:before="0" w:after="283"/>
              <w:rPr/>
            </w:pPr>
            <w:r>
              <w:rPr/>
              <w:t> </w:t>
            </w:r>
          </w:p>
        </w:tc>
        <w:tc>
          <w:tcPr>
            <w:tcW w:w="8940" w:type="dxa"/>
            <w:tcBorders/>
            <w:shd w:fill="auto" w:val="clear"/>
            <w:tcMar>
              <w:bottom w:w="0" w:type="dxa"/>
            </w:tcMar>
            <w:vAlign w:val="center"/>
          </w:tcPr>
          <w:p>
            <w:pPr>
              <w:pStyle w:val="TableContents"/>
              <w:spacing w:before="0" w:after="283"/>
              <w:rPr/>
            </w:pPr>
            <w:hyperlink w:anchor="exa4">
              <w:r>
                <w:rPr>
                  <w:rStyle w:val="InternetLink"/>
                </w:rPr>
                <w:t>Notice of Special Meeting of Common Unitholders (incorporated herein by reference to the Proxy Statement).</w:t>
              </w:r>
            </w:hyperlink>
          </w:p>
        </w:tc>
      </w:tr>
      <w:tr>
        <w:trPr/>
        <w:tc>
          <w:tcPr>
            <w:tcW w:w="1205" w:type="dxa"/>
            <w:tcBorders/>
            <w:shd w:fill="auto" w:val="clear"/>
            <w:tcMar>
              <w:bottom w:w="0" w:type="dxa"/>
            </w:tcMar>
            <w:vAlign w:val="center"/>
          </w:tcPr>
          <w:p>
            <w:pPr>
              <w:pStyle w:val="TableContents"/>
              <w:spacing w:before="0" w:after="283"/>
              <w:jc w:val="center"/>
              <w:rPr/>
            </w:pPr>
            <w:hyperlink r:id="rId2">
              <w:r>
                <w:rPr>
                  <w:rStyle w:val="InternetLink"/>
                </w:rPr>
                <w:t>(a)(5)</w:t>
              </w:r>
            </w:hyperlink>
          </w:p>
        </w:tc>
        <w:tc>
          <w:tcPr>
            <w:tcW w:w="60" w:type="dxa"/>
            <w:tcBorders/>
            <w:shd w:fill="auto" w:val="clear"/>
            <w:tcMar>
              <w:bottom w:w="0" w:type="dxa"/>
            </w:tcMar>
            <w:vAlign w:val="center"/>
          </w:tcPr>
          <w:p>
            <w:pPr>
              <w:pStyle w:val="TableContents"/>
              <w:spacing w:before="0" w:after="283"/>
              <w:rPr/>
            </w:pPr>
            <w:r>
              <w:rPr/>
              <w:t> </w:t>
            </w:r>
          </w:p>
        </w:tc>
        <w:tc>
          <w:tcPr>
            <w:tcW w:w="8940" w:type="dxa"/>
            <w:tcBorders/>
            <w:shd w:fill="auto" w:val="clear"/>
            <w:tcMar>
              <w:bottom w:w="0" w:type="dxa"/>
            </w:tcMar>
            <w:vAlign w:val="center"/>
          </w:tcPr>
          <w:p>
            <w:pPr>
              <w:pStyle w:val="TableContents"/>
              <w:spacing w:before="0" w:after="283"/>
              <w:rPr/>
            </w:pPr>
            <w:hyperlink r:id="rId3">
              <w:r>
                <w:rPr>
                  <w:rStyle w:val="InternetLink"/>
                </w:rPr>
                <w:t>Press Release of the Partnership, dated April 6, 2023 (incorporated herein by reference to Exhibit 99.1 to Partnership’s Current Report on Form 6-K, furnished April 6, 2023).</w:t>
              </w:r>
            </w:hyperlink>
          </w:p>
        </w:tc>
      </w:tr>
      <w:tr>
        <w:trPr/>
        <w:tc>
          <w:tcPr>
            <w:tcW w:w="1205" w:type="dxa"/>
            <w:tcBorders/>
            <w:shd w:fill="auto" w:val="clear"/>
            <w:tcMar>
              <w:bottom w:w="0" w:type="dxa"/>
            </w:tcMar>
            <w:vAlign w:val="center"/>
          </w:tcPr>
          <w:p>
            <w:pPr>
              <w:pStyle w:val="TableContents"/>
              <w:spacing w:before="0" w:after="283"/>
              <w:jc w:val="center"/>
              <w:rPr/>
            </w:pPr>
            <w:hyperlink w:anchor="tm2314213d1_ex99-b1.htm">
              <w:r>
                <w:rPr>
                  <w:rStyle w:val="InternetLink"/>
                </w:rPr>
                <w:t>(b)(1)</w:t>
              </w:r>
            </w:hyperlink>
          </w:p>
        </w:tc>
        <w:tc>
          <w:tcPr>
            <w:tcW w:w="60" w:type="dxa"/>
            <w:tcBorders/>
            <w:shd w:fill="auto" w:val="clear"/>
            <w:tcMar>
              <w:bottom w:w="0" w:type="dxa"/>
            </w:tcMar>
            <w:vAlign w:val="center"/>
          </w:tcPr>
          <w:p>
            <w:pPr>
              <w:pStyle w:val="TableContents"/>
              <w:spacing w:before="0" w:after="283"/>
              <w:rPr/>
            </w:pPr>
            <w:r>
              <w:rPr/>
              <w:t> </w:t>
            </w:r>
          </w:p>
        </w:tc>
        <w:tc>
          <w:tcPr>
            <w:tcW w:w="8940" w:type="dxa"/>
            <w:tcBorders/>
            <w:shd w:fill="auto" w:val="clear"/>
            <w:tcMar>
              <w:bottom w:w="0" w:type="dxa"/>
            </w:tcMar>
            <w:vAlign w:val="center"/>
          </w:tcPr>
          <w:p>
            <w:pPr>
              <w:pStyle w:val="TableContents"/>
              <w:spacing w:before="0" w:after="283"/>
              <w:rPr/>
            </w:pPr>
            <w:hyperlink w:anchor="tm2314213d1_ex99-b1.htm">
              <w:r>
                <w:rPr>
                  <w:rStyle w:val="InternetLink"/>
                </w:rPr>
                <w:t>Debt Commitment Letter, dated April 6, 2023, between Parent and DNB (UK) Ltd.</w:t>
              </w:r>
            </w:hyperlink>
          </w:p>
        </w:tc>
      </w:tr>
      <w:tr>
        <w:trPr/>
        <w:tc>
          <w:tcPr>
            <w:tcW w:w="1205" w:type="dxa"/>
            <w:tcBorders/>
            <w:shd w:fill="auto" w:val="clear"/>
            <w:tcMar>
              <w:bottom w:w="0" w:type="dxa"/>
            </w:tcMar>
            <w:vAlign w:val="center"/>
          </w:tcPr>
          <w:p>
            <w:pPr>
              <w:pStyle w:val="TableContents"/>
              <w:spacing w:before="0" w:after="283"/>
              <w:jc w:val="center"/>
              <w:rPr/>
            </w:pPr>
            <w:hyperlink w:anchor="sss_003">
              <w:r>
                <w:rPr>
                  <w:rStyle w:val="InternetLink"/>
                </w:rPr>
                <w:t>(c)(1)</w:t>
              </w:r>
            </w:hyperlink>
          </w:p>
        </w:tc>
        <w:tc>
          <w:tcPr>
            <w:tcW w:w="60" w:type="dxa"/>
            <w:tcBorders/>
            <w:shd w:fill="auto" w:val="clear"/>
            <w:tcMar>
              <w:bottom w:w="0" w:type="dxa"/>
            </w:tcMar>
            <w:vAlign w:val="center"/>
          </w:tcPr>
          <w:p>
            <w:pPr>
              <w:pStyle w:val="TableContents"/>
              <w:spacing w:before="0" w:after="283"/>
              <w:rPr/>
            </w:pPr>
            <w:r>
              <w:rPr/>
              <w:t> </w:t>
            </w:r>
          </w:p>
        </w:tc>
        <w:tc>
          <w:tcPr>
            <w:tcW w:w="8940" w:type="dxa"/>
            <w:tcBorders/>
            <w:shd w:fill="auto" w:val="clear"/>
            <w:tcMar>
              <w:bottom w:w="0" w:type="dxa"/>
            </w:tcMar>
            <w:vAlign w:val="center"/>
          </w:tcPr>
          <w:p>
            <w:pPr>
              <w:pStyle w:val="TableContents"/>
              <w:spacing w:before="0" w:after="283"/>
              <w:rPr/>
            </w:pPr>
            <w:hyperlink w:anchor="sss_003">
              <w:r>
                <w:rPr>
                  <w:rStyle w:val="InternetLink"/>
                </w:rPr>
                <w:t>Opinion of Evercore, dated April, 6 2023 (incorporated herein by reference to Annex C of the Proxy Statement).</w:t>
              </w:r>
            </w:hyperlink>
          </w:p>
        </w:tc>
      </w:tr>
      <w:tr>
        <w:trPr/>
        <w:tc>
          <w:tcPr>
            <w:tcW w:w="1205" w:type="dxa"/>
            <w:tcBorders/>
            <w:shd w:fill="auto" w:val="clear"/>
            <w:tcMar>
              <w:bottom w:w="0" w:type="dxa"/>
            </w:tcMar>
            <w:vAlign w:val="center"/>
          </w:tcPr>
          <w:p>
            <w:pPr>
              <w:pStyle w:val="TableContents"/>
              <w:spacing w:before="0" w:after="283"/>
              <w:jc w:val="center"/>
              <w:rPr/>
            </w:pPr>
            <w:hyperlink w:anchor="tm2314213d1_ex99-c2.htm">
              <w:r>
                <w:rPr>
                  <w:rStyle w:val="InternetLink"/>
                </w:rPr>
                <w:t>(c)(2)</w:t>
              </w:r>
            </w:hyperlink>
          </w:p>
        </w:tc>
        <w:tc>
          <w:tcPr>
            <w:tcW w:w="60" w:type="dxa"/>
            <w:tcBorders/>
            <w:shd w:fill="auto" w:val="clear"/>
            <w:tcMar>
              <w:bottom w:w="0" w:type="dxa"/>
            </w:tcMar>
            <w:vAlign w:val="center"/>
          </w:tcPr>
          <w:p>
            <w:pPr>
              <w:pStyle w:val="TableContents"/>
              <w:spacing w:before="0" w:after="283"/>
              <w:rPr/>
            </w:pPr>
            <w:r>
              <w:rPr/>
              <w:t> </w:t>
            </w:r>
          </w:p>
        </w:tc>
        <w:tc>
          <w:tcPr>
            <w:tcW w:w="8940" w:type="dxa"/>
            <w:tcBorders/>
            <w:shd w:fill="auto" w:val="clear"/>
            <w:tcMar>
              <w:bottom w:w="0" w:type="dxa"/>
            </w:tcMar>
            <w:vAlign w:val="center"/>
          </w:tcPr>
          <w:p>
            <w:pPr>
              <w:pStyle w:val="TableContents"/>
              <w:spacing w:before="0" w:after="283"/>
              <w:rPr/>
            </w:pPr>
            <w:hyperlink w:anchor="tm2314213d1_ex99-c2.htm">
              <w:r>
                <w:rPr>
                  <w:rStyle w:val="InternetLink"/>
                </w:rPr>
                <w:t>Discussion materials prepared by Evercore, dated February 3, 2023, for the Conflicts Committee of the Partnership Board.</w:t>
              </w:r>
            </w:hyperlink>
          </w:p>
        </w:tc>
      </w:tr>
      <w:tr>
        <w:trPr/>
        <w:tc>
          <w:tcPr>
            <w:tcW w:w="1205" w:type="dxa"/>
            <w:tcBorders/>
            <w:shd w:fill="auto" w:val="clear"/>
            <w:tcMar>
              <w:bottom w:w="0" w:type="dxa"/>
            </w:tcMar>
            <w:vAlign w:val="center"/>
          </w:tcPr>
          <w:p>
            <w:pPr>
              <w:pStyle w:val="TableContents"/>
              <w:spacing w:before="0" w:after="283"/>
              <w:jc w:val="center"/>
              <w:rPr/>
            </w:pPr>
            <w:hyperlink w:anchor="tm2314213d1_ex99-c3.htm">
              <w:r>
                <w:rPr>
                  <w:rStyle w:val="InternetLink"/>
                </w:rPr>
                <w:t>(c)(3)</w:t>
              </w:r>
            </w:hyperlink>
          </w:p>
        </w:tc>
        <w:tc>
          <w:tcPr>
            <w:tcW w:w="60" w:type="dxa"/>
            <w:tcBorders/>
            <w:shd w:fill="auto" w:val="clear"/>
            <w:tcMar>
              <w:bottom w:w="0" w:type="dxa"/>
            </w:tcMar>
            <w:vAlign w:val="center"/>
          </w:tcPr>
          <w:p>
            <w:pPr>
              <w:pStyle w:val="TableContents"/>
              <w:spacing w:before="0" w:after="283"/>
              <w:rPr/>
            </w:pPr>
            <w:r>
              <w:rPr/>
              <w:t> </w:t>
            </w:r>
          </w:p>
        </w:tc>
        <w:tc>
          <w:tcPr>
            <w:tcW w:w="8940" w:type="dxa"/>
            <w:tcBorders/>
            <w:shd w:fill="auto" w:val="clear"/>
            <w:tcMar>
              <w:bottom w:w="0" w:type="dxa"/>
            </w:tcMar>
            <w:vAlign w:val="center"/>
          </w:tcPr>
          <w:p>
            <w:pPr>
              <w:pStyle w:val="TableContents"/>
              <w:spacing w:before="0" w:after="283"/>
              <w:rPr/>
            </w:pPr>
            <w:hyperlink w:anchor="tm2314213d1_ex99-c3.htm">
              <w:r>
                <w:rPr>
                  <w:rStyle w:val="InternetLink"/>
                </w:rPr>
                <w:t>Discussion materials prepared by Evercore, dated February 9, 2023, for the Conflicts Committee of the Partnership Board.</w:t>
              </w:r>
            </w:hyperlink>
          </w:p>
        </w:tc>
      </w:tr>
      <w:tr>
        <w:trPr/>
        <w:tc>
          <w:tcPr>
            <w:tcW w:w="1205" w:type="dxa"/>
            <w:tcBorders/>
            <w:shd w:fill="auto" w:val="clear"/>
            <w:tcMar>
              <w:bottom w:w="0" w:type="dxa"/>
            </w:tcMar>
            <w:vAlign w:val="center"/>
          </w:tcPr>
          <w:p>
            <w:pPr>
              <w:pStyle w:val="TableContents"/>
              <w:spacing w:before="0" w:after="283"/>
              <w:jc w:val="center"/>
              <w:rPr/>
            </w:pPr>
            <w:hyperlink w:anchor="tm2314213d1_ex99-c4.htm">
              <w:r>
                <w:rPr>
                  <w:rStyle w:val="InternetLink"/>
                </w:rPr>
                <w:t>(c)(4)</w:t>
              </w:r>
            </w:hyperlink>
          </w:p>
        </w:tc>
        <w:tc>
          <w:tcPr>
            <w:tcW w:w="60" w:type="dxa"/>
            <w:tcBorders/>
            <w:shd w:fill="auto" w:val="clear"/>
            <w:tcMar>
              <w:bottom w:w="0" w:type="dxa"/>
            </w:tcMar>
            <w:vAlign w:val="center"/>
          </w:tcPr>
          <w:p>
            <w:pPr>
              <w:pStyle w:val="TableContents"/>
              <w:spacing w:before="0" w:after="283"/>
              <w:rPr/>
            </w:pPr>
            <w:r>
              <w:rPr/>
              <w:t> </w:t>
            </w:r>
          </w:p>
        </w:tc>
        <w:tc>
          <w:tcPr>
            <w:tcW w:w="8940" w:type="dxa"/>
            <w:tcBorders/>
            <w:shd w:fill="auto" w:val="clear"/>
            <w:tcMar>
              <w:bottom w:w="0" w:type="dxa"/>
            </w:tcMar>
            <w:vAlign w:val="center"/>
          </w:tcPr>
          <w:p>
            <w:pPr>
              <w:pStyle w:val="TableContents"/>
              <w:spacing w:before="0" w:after="283"/>
              <w:rPr/>
            </w:pPr>
            <w:hyperlink w:anchor="tm2314213d1_ex99-c4.htm">
              <w:r>
                <w:rPr>
                  <w:rStyle w:val="InternetLink"/>
                </w:rPr>
                <w:t>Discussion materials prepared by Evercore, dated February 27, 2023, for the Conflicts Committee of the Partnership Board.</w:t>
              </w:r>
            </w:hyperlink>
          </w:p>
        </w:tc>
      </w:tr>
      <w:tr>
        <w:trPr/>
        <w:tc>
          <w:tcPr>
            <w:tcW w:w="1205" w:type="dxa"/>
            <w:tcBorders/>
            <w:shd w:fill="auto" w:val="clear"/>
            <w:tcMar>
              <w:bottom w:w="0" w:type="dxa"/>
            </w:tcMar>
            <w:vAlign w:val="center"/>
          </w:tcPr>
          <w:p>
            <w:pPr>
              <w:pStyle w:val="TableContents"/>
              <w:spacing w:before="0" w:after="283"/>
              <w:jc w:val="center"/>
              <w:rPr/>
            </w:pPr>
            <w:hyperlink w:anchor="tm2314213d1_ex99-c5.htm">
              <w:r>
                <w:rPr>
                  <w:rStyle w:val="InternetLink"/>
                </w:rPr>
                <w:t>(c)(5)</w:t>
              </w:r>
            </w:hyperlink>
          </w:p>
        </w:tc>
        <w:tc>
          <w:tcPr>
            <w:tcW w:w="60" w:type="dxa"/>
            <w:tcBorders/>
            <w:shd w:fill="auto" w:val="clear"/>
            <w:tcMar>
              <w:bottom w:w="0" w:type="dxa"/>
            </w:tcMar>
            <w:vAlign w:val="center"/>
          </w:tcPr>
          <w:p>
            <w:pPr>
              <w:pStyle w:val="TableContents"/>
              <w:spacing w:before="0" w:after="283"/>
              <w:rPr/>
            </w:pPr>
            <w:r>
              <w:rPr/>
              <w:t> </w:t>
            </w:r>
          </w:p>
        </w:tc>
        <w:tc>
          <w:tcPr>
            <w:tcW w:w="8940" w:type="dxa"/>
            <w:tcBorders/>
            <w:shd w:fill="auto" w:val="clear"/>
            <w:tcMar>
              <w:bottom w:w="0" w:type="dxa"/>
            </w:tcMar>
            <w:vAlign w:val="center"/>
          </w:tcPr>
          <w:p>
            <w:pPr>
              <w:pStyle w:val="TableContents"/>
              <w:spacing w:before="0" w:after="283"/>
              <w:rPr/>
            </w:pPr>
            <w:hyperlink w:anchor="tm2314213d1_ex99-c5.htm">
              <w:r>
                <w:rPr>
                  <w:rStyle w:val="InternetLink"/>
                </w:rPr>
                <w:t>Discussion materials prepared by Evercore, dated March 3, 2023, for the Conflicts Committee of the Partnership Board.</w:t>
              </w:r>
            </w:hyperlink>
          </w:p>
        </w:tc>
      </w:tr>
      <w:tr>
        <w:trPr/>
        <w:tc>
          <w:tcPr>
            <w:tcW w:w="1205" w:type="dxa"/>
            <w:tcBorders/>
            <w:shd w:fill="auto" w:val="clear"/>
            <w:tcMar>
              <w:bottom w:w="0" w:type="dxa"/>
            </w:tcMar>
            <w:vAlign w:val="center"/>
          </w:tcPr>
          <w:p>
            <w:pPr>
              <w:pStyle w:val="TableContents"/>
              <w:spacing w:before="0" w:after="283"/>
              <w:jc w:val="center"/>
              <w:rPr/>
            </w:pPr>
            <w:hyperlink w:anchor="tm2314213d1_ex99-c6.htm">
              <w:r>
                <w:rPr>
                  <w:rStyle w:val="InternetLink"/>
                </w:rPr>
                <w:t>(c)(6)</w:t>
              </w:r>
            </w:hyperlink>
          </w:p>
        </w:tc>
        <w:tc>
          <w:tcPr>
            <w:tcW w:w="60" w:type="dxa"/>
            <w:tcBorders/>
            <w:shd w:fill="auto" w:val="clear"/>
            <w:tcMar>
              <w:bottom w:w="0" w:type="dxa"/>
            </w:tcMar>
            <w:vAlign w:val="center"/>
          </w:tcPr>
          <w:p>
            <w:pPr>
              <w:pStyle w:val="TableContents"/>
              <w:spacing w:before="0" w:after="283"/>
              <w:rPr/>
            </w:pPr>
            <w:r>
              <w:rPr/>
              <w:t> </w:t>
            </w:r>
          </w:p>
        </w:tc>
        <w:tc>
          <w:tcPr>
            <w:tcW w:w="8940" w:type="dxa"/>
            <w:tcBorders/>
            <w:shd w:fill="auto" w:val="clear"/>
            <w:tcMar>
              <w:bottom w:w="0" w:type="dxa"/>
            </w:tcMar>
            <w:vAlign w:val="center"/>
          </w:tcPr>
          <w:p>
            <w:pPr>
              <w:pStyle w:val="TableContents"/>
              <w:spacing w:before="0" w:after="283"/>
              <w:rPr/>
            </w:pPr>
            <w:hyperlink w:anchor="tm2314213d1_ex99-c6.htm">
              <w:r>
                <w:rPr>
                  <w:rStyle w:val="InternetLink"/>
                </w:rPr>
                <w:t>Discussion materials prepared by Evercore, dated March 13, 2023, for the Conflicts Committee of the Partnership Board.</w:t>
              </w:r>
            </w:hyperlink>
          </w:p>
        </w:tc>
      </w:tr>
      <w:tr>
        <w:trPr/>
        <w:tc>
          <w:tcPr>
            <w:tcW w:w="1205" w:type="dxa"/>
            <w:tcBorders/>
            <w:shd w:fill="auto" w:val="clear"/>
            <w:tcMar>
              <w:bottom w:w="0" w:type="dxa"/>
            </w:tcMar>
            <w:vAlign w:val="center"/>
          </w:tcPr>
          <w:p>
            <w:pPr>
              <w:pStyle w:val="TableContents"/>
              <w:spacing w:before="0" w:after="283"/>
              <w:jc w:val="center"/>
              <w:rPr/>
            </w:pPr>
            <w:hyperlink w:anchor="tm2314213d1_ex99-c7.htm">
              <w:r>
                <w:rPr>
                  <w:rStyle w:val="InternetLink"/>
                </w:rPr>
                <w:t>(c)(7)</w:t>
              </w:r>
            </w:hyperlink>
          </w:p>
        </w:tc>
        <w:tc>
          <w:tcPr>
            <w:tcW w:w="60" w:type="dxa"/>
            <w:tcBorders/>
            <w:shd w:fill="auto" w:val="clear"/>
            <w:tcMar>
              <w:bottom w:w="0" w:type="dxa"/>
            </w:tcMar>
            <w:vAlign w:val="center"/>
          </w:tcPr>
          <w:p>
            <w:pPr>
              <w:pStyle w:val="TableContents"/>
              <w:spacing w:before="0" w:after="283"/>
              <w:rPr/>
            </w:pPr>
            <w:r>
              <w:rPr/>
              <w:t> </w:t>
            </w:r>
          </w:p>
        </w:tc>
        <w:tc>
          <w:tcPr>
            <w:tcW w:w="8940" w:type="dxa"/>
            <w:tcBorders/>
            <w:shd w:fill="auto" w:val="clear"/>
            <w:tcMar>
              <w:bottom w:w="0" w:type="dxa"/>
            </w:tcMar>
            <w:vAlign w:val="center"/>
          </w:tcPr>
          <w:p>
            <w:pPr>
              <w:pStyle w:val="TableContents"/>
              <w:spacing w:before="0" w:after="283"/>
              <w:rPr/>
            </w:pPr>
            <w:hyperlink w:anchor="tm2314213d1_ex99-c7.htm">
              <w:r>
                <w:rPr>
                  <w:rStyle w:val="InternetLink"/>
                </w:rPr>
                <w:t>Discussion materials prepared by Evercore, dated March 14, 2023, for the Conflicts Committee of the Partnership Board.</w:t>
              </w:r>
            </w:hyperlink>
          </w:p>
        </w:tc>
      </w:tr>
      <w:tr>
        <w:trPr/>
        <w:tc>
          <w:tcPr>
            <w:tcW w:w="1205" w:type="dxa"/>
            <w:tcBorders/>
            <w:shd w:fill="auto" w:val="clear"/>
            <w:tcMar>
              <w:bottom w:w="0" w:type="dxa"/>
            </w:tcMar>
            <w:vAlign w:val="center"/>
          </w:tcPr>
          <w:p>
            <w:pPr>
              <w:pStyle w:val="TableContents"/>
              <w:spacing w:before="0" w:after="283"/>
              <w:jc w:val="center"/>
              <w:rPr/>
            </w:pPr>
            <w:hyperlink w:anchor="tm2314213d1_ex99-c8.htm">
              <w:r>
                <w:rPr>
                  <w:rStyle w:val="InternetLink"/>
                </w:rPr>
                <w:t>(c)(8)</w:t>
              </w:r>
            </w:hyperlink>
          </w:p>
        </w:tc>
        <w:tc>
          <w:tcPr>
            <w:tcW w:w="60" w:type="dxa"/>
            <w:tcBorders/>
            <w:shd w:fill="auto" w:val="clear"/>
            <w:tcMar>
              <w:bottom w:w="0" w:type="dxa"/>
            </w:tcMar>
            <w:vAlign w:val="center"/>
          </w:tcPr>
          <w:p>
            <w:pPr>
              <w:pStyle w:val="TableContents"/>
              <w:spacing w:before="0" w:after="283"/>
              <w:rPr/>
            </w:pPr>
            <w:r>
              <w:rPr/>
              <w:t> </w:t>
            </w:r>
          </w:p>
        </w:tc>
        <w:tc>
          <w:tcPr>
            <w:tcW w:w="8940" w:type="dxa"/>
            <w:tcBorders/>
            <w:shd w:fill="auto" w:val="clear"/>
            <w:tcMar>
              <w:bottom w:w="0" w:type="dxa"/>
            </w:tcMar>
            <w:vAlign w:val="center"/>
          </w:tcPr>
          <w:p>
            <w:pPr>
              <w:pStyle w:val="TableContents"/>
              <w:spacing w:before="0" w:after="283"/>
              <w:rPr/>
            </w:pPr>
            <w:hyperlink w:anchor="tm2314213d1_ex99-c8.htm">
              <w:r>
                <w:rPr>
                  <w:rStyle w:val="InternetLink"/>
                </w:rPr>
                <w:t>Discussion materials prepared by Evercore, dated March 19, 2023, for the Conflicts Committee of the Partnership Board.</w:t>
              </w:r>
            </w:hyperlink>
          </w:p>
        </w:tc>
      </w:tr>
      <w:tr>
        <w:trPr/>
        <w:tc>
          <w:tcPr>
            <w:tcW w:w="1205" w:type="dxa"/>
            <w:tcBorders/>
            <w:shd w:fill="auto" w:val="clear"/>
            <w:tcMar>
              <w:bottom w:w="0" w:type="dxa"/>
            </w:tcMar>
            <w:vAlign w:val="center"/>
          </w:tcPr>
          <w:p>
            <w:pPr>
              <w:pStyle w:val="TableContents"/>
              <w:spacing w:before="0" w:after="283"/>
              <w:jc w:val="center"/>
              <w:rPr/>
            </w:pPr>
            <w:hyperlink w:anchor="tm2314213d1_ex99-c9.htm">
              <w:r>
                <w:rPr>
                  <w:rStyle w:val="InternetLink"/>
                </w:rPr>
                <w:t>(c)(9)</w:t>
              </w:r>
            </w:hyperlink>
          </w:p>
        </w:tc>
        <w:tc>
          <w:tcPr>
            <w:tcW w:w="60" w:type="dxa"/>
            <w:tcBorders/>
            <w:shd w:fill="auto" w:val="clear"/>
            <w:tcMar>
              <w:bottom w:w="0" w:type="dxa"/>
            </w:tcMar>
            <w:vAlign w:val="center"/>
          </w:tcPr>
          <w:p>
            <w:pPr>
              <w:pStyle w:val="TableContents"/>
              <w:spacing w:before="0" w:after="283"/>
              <w:rPr/>
            </w:pPr>
            <w:r>
              <w:rPr/>
              <w:t> </w:t>
            </w:r>
          </w:p>
        </w:tc>
        <w:tc>
          <w:tcPr>
            <w:tcW w:w="8940" w:type="dxa"/>
            <w:tcBorders/>
            <w:shd w:fill="auto" w:val="clear"/>
            <w:tcMar>
              <w:bottom w:w="0" w:type="dxa"/>
            </w:tcMar>
            <w:vAlign w:val="center"/>
          </w:tcPr>
          <w:p>
            <w:pPr>
              <w:pStyle w:val="TableContents"/>
              <w:spacing w:before="0" w:after="283"/>
              <w:rPr/>
            </w:pPr>
            <w:hyperlink w:anchor="tm2314213d1_ex99-c9.htm">
              <w:r>
                <w:rPr>
                  <w:rStyle w:val="InternetLink"/>
                </w:rPr>
                <w:t>Discussion materials prepared by Evercore, dated March 30, 2023, for the Conflicts Committee of the Partnership Board.</w:t>
              </w:r>
            </w:hyperlink>
          </w:p>
        </w:tc>
      </w:tr>
      <w:tr>
        <w:trPr/>
        <w:tc>
          <w:tcPr>
            <w:tcW w:w="1205" w:type="dxa"/>
            <w:tcBorders/>
            <w:shd w:fill="auto" w:val="clear"/>
            <w:tcMar>
              <w:bottom w:w="0" w:type="dxa"/>
            </w:tcMar>
            <w:vAlign w:val="center"/>
          </w:tcPr>
          <w:p>
            <w:pPr>
              <w:pStyle w:val="TableContents"/>
              <w:spacing w:before="0" w:after="283"/>
              <w:jc w:val="center"/>
              <w:rPr/>
            </w:pPr>
            <w:hyperlink w:anchor="tm2314213d1_ex99-c10.htm">
              <w:r>
                <w:rPr>
                  <w:rStyle w:val="InternetLink"/>
                </w:rPr>
                <w:t>(c)(10)</w:t>
              </w:r>
            </w:hyperlink>
          </w:p>
        </w:tc>
        <w:tc>
          <w:tcPr>
            <w:tcW w:w="60" w:type="dxa"/>
            <w:tcBorders/>
            <w:shd w:fill="auto" w:val="clear"/>
            <w:tcMar>
              <w:bottom w:w="0" w:type="dxa"/>
            </w:tcMar>
            <w:vAlign w:val="center"/>
          </w:tcPr>
          <w:p>
            <w:pPr>
              <w:pStyle w:val="TableContents"/>
              <w:spacing w:before="0" w:after="283"/>
              <w:rPr/>
            </w:pPr>
            <w:r>
              <w:rPr/>
              <w:t> </w:t>
            </w:r>
          </w:p>
        </w:tc>
        <w:tc>
          <w:tcPr>
            <w:tcW w:w="8940" w:type="dxa"/>
            <w:tcBorders/>
            <w:shd w:fill="auto" w:val="clear"/>
            <w:tcMar>
              <w:bottom w:w="0" w:type="dxa"/>
            </w:tcMar>
            <w:vAlign w:val="center"/>
          </w:tcPr>
          <w:p>
            <w:pPr>
              <w:pStyle w:val="TableContents"/>
              <w:spacing w:before="0" w:after="283"/>
              <w:rPr/>
            </w:pPr>
            <w:hyperlink w:anchor="tm2314213d1_ex99-c10.htm">
              <w:r>
                <w:rPr>
                  <w:rStyle w:val="InternetLink"/>
                </w:rPr>
                <w:t>Discussion materials prepared by Evercore, dated April 1, 2023, for the Conflicts Committee of the Partnership Board.</w:t>
              </w:r>
            </w:hyperlink>
          </w:p>
        </w:tc>
      </w:tr>
      <w:tr>
        <w:trPr/>
        <w:tc>
          <w:tcPr>
            <w:tcW w:w="1205" w:type="dxa"/>
            <w:tcBorders/>
            <w:shd w:fill="auto" w:val="clear"/>
            <w:tcMar>
              <w:bottom w:w="0" w:type="dxa"/>
            </w:tcMar>
            <w:vAlign w:val="center"/>
          </w:tcPr>
          <w:p>
            <w:pPr>
              <w:pStyle w:val="TableContents"/>
              <w:spacing w:before="0" w:after="283"/>
              <w:jc w:val="center"/>
              <w:rPr/>
            </w:pPr>
            <w:hyperlink w:anchor="tm2314213d1_ex99-c11.htm">
              <w:r>
                <w:rPr>
                  <w:rStyle w:val="InternetLink"/>
                </w:rPr>
                <w:t>(c)(11)</w:t>
              </w:r>
            </w:hyperlink>
          </w:p>
        </w:tc>
        <w:tc>
          <w:tcPr>
            <w:tcW w:w="60" w:type="dxa"/>
            <w:tcBorders/>
            <w:shd w:fill="auto" w:val="clear"/>
            <w:tcMar>
              <w:bottom w:w="0" w:type="dxa"/>
            </w:tcMar>
            <w:vAlign w:val="center"/>
          </w:tcPr>
          <w:p>
            <w:pPr>
              <w:pStyle w:val="TableContents"/>
              <w:spacing w:before="0" w:after="283"/>
              <w:rPr/>
            </w:pPr>
            <w:r>
              <w:rPr/>
              <w:t> </w:t>
            </w:r>
          </w:p>
        </w:tc>
        <w:tc>
          <w:tcPr>
            <w:tcW w:w="8940" w:type="dxa"/>
            <w:tcBorders/>
            <w:shd w:fill="auto" w:val="clear"/>
            <w:tcMar>
              <w:bottom w:w="0" w:type="dxa"/>
            </w:tcMar>
            <w:vAlign w:val="center"/>
          </w:tcPr>
          <w:p>
            <w:pPr>
              <w:pStyle w:val="TableContents"/>
              <w:spacing w:before="0" w:after="283"/>
              <w:rPr/>
            </w:pPr>
            <w:hyperlink w:anchor="tm2314213d1_ex99-c11.htm">
              <w:r>
                <w:rPr>
                  <w:rStyle w:val="InternetLink"/>
                </w:rPr>
                <w:t>Discussion materials prepared by Evercore, dated April 6, 2023, for the Conflicts Committee of the Partnership Board.</w:t>
              </w:r>
            </w:hyperlink>
          </w:p>
        </w:tc>
      </w:tr>
      <w:tr>
        <w:trPr/>
        <w:tc>
          <w:tcPr>
            <w:tcW w:w="1205" w:type="dxa"/>
            <w:tcBorders/>
            <w:shd w:fill="auto" w:val="clear"/>
            <w:tcMar>
              <w:bottom w:w="0" w:type="dxa"/>
            </w:tcMar>
            <w:vAlign w:val="center"/>
          </w:tcPr>
          <w:p>
            <w:pPr>
              <w:pStyle w:val="TableContents"/>
              <w:spacing w:before="0" w:after="283"/>
              <w:jc w:val="center"/>
              <w:rPr/>
            </w:pPr>
            <w:hyperlink w:anchor="sss_001">
              <w:r>
                <w:rPr>
                  <w:rStyle w:val="InternetLink"/>
                </w:rPr>
                <w:t>(d)(1)</w:t>
              </w:r>
            </w:hyperlink>
          </w:p>
        </w:tc>
        <w:tc>
          <w:tcPr>
            <w:tcW w:w="60" w:type="dxa"/>
            <w:tcBorders/>
            <w:shd w:fill="auto" w:val="clear"/>
            <w:tcMar>
              <w:bottom w:w="0" w:type="dxa"/>
            </w:tcMar>
            <w:vAlign w:val="center"/>
          </w:tcPr>
          <w:p>
            <w:pPr>
              <w:pStyle w:val="TableContents"/>
              <w:spacing w:before="0" w:after="283"/>
              <w:rPr/>
            </w:pPr>
            <w:r>
              <w:rPr/>
              <w:t> </w:t>
            </w:r>
          </w:p>
        </w:tc>
        <w:tc>
          <w:tcPr>
            <w:tcW w:w="8940" w:type="dxa"/>
            <w:tcBorders/>
            <w:shd w:fill="auto" w:val="clear"/>
            <w:tcMar>
              <w:bottom w:w="0" w:type="dxa"/>
            </w:tcMar>
            <w:vAlign w:val="center"/>
          </w:tcPr>
          <w:p>
            <w:pPr>
              <w:pStyle w:val="TableContents"/>
              <w:spacing w:before="0" w:after="283"/>
              <w:rPr/>
            </w:pPr>
            <w:hyperlink w:anchor="sss_001">
              <w:r>
                <w:rPr>
                  <w:rStyle w:val="InternetLink"/>
                </w:rPr>
                <w:t>Agreement and Plan of Merger, dated April 6, 2023, by and among the Partnership,  the General Partner, Parent and Merger Sub. (incorporated herein by reference to Annex A of the Proxy Statement).</w:t>
              </w:r>
            </w:hyperlink>
          </w:p>
        </w:tc>
      </w:tr>
    </w:tbl>
    <w:p>
      <w:pPr>
        <w:pStyle w:val="TextBody"/>
        <w:rPr/>
      </w:pPr>
      <w:r>
        <w:rPr/>
        <w:t> </w:t>
      </w:r>
    </w:p>
    <w:p>
      <w:pPr>
        <w:pStyle w:val="TextBody"/>
        <w:spacing w:before="0" w:after="0"/>
        <w:ind w:left="0" w:right="0" w:hanging="0"/>
        <w:jc w:val="center"/>
        <w:rPr>
          <w:sz w:val="20"/>
          <w:bdr w:val="single" w:sz="8" w:space="1" w:color="000000"/>
        </w:rPr>
      </w:pPr>
      <w:r>
        <w:rPr>
          <w:sz w:val="20"/>
          <w:bdr w:val="single" w:sz="8" w:space="1" w:color="000000"/>
        </w:rPr>
        <w:t>16</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1205"/>
        <w:gridCol w:w="60"/>
        <w:gridCol w:w="8940"/>
      </w:tblGrid>
      <w:tr>
        <w:trPr/>
        <w:tc>
          <w:tcPr>
            <w:tcW w:w="1205" w:type="dxa"/>
            <w:tcBorders>
              <w:bottom w:val="single" w:sz="8" w:space="0" w:color="000000"/>
            </w:tcBorders>
            <w:shd w:fill="auto" w:val="clear"/>
            <w:vAlign w:val="center"/>
          </w:tcPr>
          <w:p>
            <w:pPr>
              <w:pStyle w:val="TableContents"/>
              <w:spacing w:before="0" w:after="283"/>
              <w:jc w:val="center"/>
              <w:rPr>
                <w:b/>
              </w:rPr>
            </w:pPr>
            <w:r>
              <w:rPr>
                <w:b/>
              </w:rPr>
              <w:t>Exhibit No.</w:t>
            </w:r>
          </w:p>
        </w:tc>
        <w:tc>
          <w:tcPr>
            <w:tcW w:w="60" w:type="dxa"/>
            <w:tcBorders/>
            <w:shd w:fill="auto" w:val="clear"/>
            <w:tcMar>
              <w:bottom w:w="0" w:type="dxa"/>
            </w:tcMar>
            <w:vAlign w:val="center"/>
          </w:tcPr>
          <w:p>
            <w:pPr>
              <w:pStyle w:val="TableContents"/>
              <w:spacing w:before="0" w:after="283"/>
              <w:rPr/>
            </w:pPr>
            <w:r>
              <w:rPr/>
              <w:t> </w:t>
            </w:r>
          </w:p>
        </w:tc>
        <w:tc>
          <w:tcPr>
            <w:tcW w:w="8940" w:type="dxa"/>
            <w:tcBorders>
              <w:bottom w:val="single" w:sz="8" w:space="0" w:color="000000"/>
            </w:tcBorders>
            <w:shd w:fill="auto" w:val="clear"/>
            <w:vAlign w:val="center"/>
          </w:tcPr>
          <w:p>
            <w:pPr>
              <w:pStyle w:val="TableContents"/>
              <w:spacing w:before="0" w:after="283"/>
              <w:jc w:val="center"/>
              <w:rPr>
                <w:b/>
              </w:rPr>
            </w:pPr>
            <w:r>
              <w:rPr>
                <w:b/>
              </w:rPr>
              <w:t>Description</w:t>
            </w:r>
          </w:p>
        </w:tc>
      </w:tr>
      <w:tr>
        <w:trPr/>
        <w:tc>
          <w:tcPr>
            <w:tcW w:w="1205" w:type="dxa"/>
            <w:tcBorders/>
            <w:shd w:fill="auto" w:val="clear"/>
            <w:tcMar>
              <w:bottom w:w="0" w:type="dxa"/>
            </w:tcMar>
            <w:vAlign w:val="center"/>
          </w:tcPr>
          <w:p>
            <w:pPr>
              <w:pStyle w:val="TableContents"/>
              <w:spacing w:before="0" w:after="283"/>
              <w:jc w:val="center"/>
              <w:rPr/>
            </w:pPr>
            <w:hyperlink r:id="rId4">
              <w:r>
                <w:rPr>
                  <w:rStyle w:val="InternetLink"/>
                </w:rPr>
                <w:t>(d)(2)</w:t>
              </w:r>
            </w:hyperlink>
          </w:p>
        </w:tc>
        <w:tc>
          <w:tcPr>
            <w:tcW w:w="60" w:type="dxa"/>
            <w:tcBorders/>
            <w:shd w:fill="auto" w:val="clear"/>
            <w:tcMar>
              <w:bottom w:w="0" w:type="dxa"/>
            </w:tcMar>
            <w:vAlign w:val="center"/>
          </w:tcPr>
          <w:p>
            <w:pPr>
              <w:pStyle w:val="TableContents"/>
              <w:spacing w:before="0" w:after="283"/>
              <w:rPr/>
            </w:pPr>
            <w:r>
              <w:rPr/>
              <w:t> </w:t>
            </w:r>
          </w:p>
        </w:tc>
        <w:tc>
          <w:tcPr>
            <w:tcW w:w="8940" w:type="dxa"/>
            <w:tcBorders/>
            <w:shd w:fill="auto" w:val="clear"/>
            <w:tcMar>
              <w:bottom w:w="0" w:type="dxa"/>
            </w:tcMar>
            <w:vAlign w:val="center"/>
          </w:tcPr>
          <w:p>
            <w:pPr>
              <w:pStyle w:val="TableContents"/>
              <w:spacing w:before="0" w:after="283"/>
              <w:rPr/>
            </w:pPr>
            <w:hyperlink r:id="rId5">
              <w:r>
                <w:rPr>
                  <w:rStyle w:val="InternetLink"/>
                </w:rPr>
                <w:t>Seventh Amended and Restated Agreement of Limited Partnership of the Partnership, dated as of August 5, 2020 (incorporated by reference to Exhibit 3.2 to the Current Report on Form 6-K, filed by the Partnership on August 5, 2020).</w:t>
              </w:r>
            </w:hyperlink>
          </w:p>
        </w:tc>
      </w:tr>
      <w:tr>
        <w:trPr/>
        <w:tc>
          <w:tcPr>
            <w:tcW w:w="1205" w:type="dxa"/>
            <w:tcBorders/>
            <w:shd w:fill="auto" w:val="clear"/>
            <w:tcMar>
              <w:bottom w:w="0" w:type="dxa"/>
            </w:tcMar>
            <w:vAlign w:val="center"/>
          </w:tcPr>
          <w:p>
            <w:pPr>
              <w:pStyle w:val="TableContents"/>
              <w:spacing w:before="0" w:after="283"/>
              <w:jc w:val="center"/>
              <w:rPr/>
            </w:pPr>
            <w:hyperlink w:anchor="sss_002">
              <w:r>
                <w:rPr>
                  <w:rStyle w:val="InternetLink"/>
                </w:rPr>
                <w:t>(d)(3)</w:t>
              </w:r>
            </w:hyperlink>
          </w:p>
        </w:tc>
        <w:tc>
          <w:tcPr>
            <w:tcW w:w="60" w:type="dxa"/>
            <w:tcBorders/>
            <w:shd w:fill="auto" w:val="clear"/>
            <w:tcMar>
              <w:bottom w:w="0" w:type="dxa"/>
            </w:tcMar>
            <w:vAlign w:val="center"/>
          </w:tcPr>
          <w:p>
            <w:pPr>
              <w:pStyle w:val="TableContents"/>
              <w:spacing w:before="0" w:after="283"/>
              <w:rPr/>
            </w:pPr>
            <w:r>
              <w:rPr/>
              <w:t> </w:t>
            </w:r>
          </w:p>
        </w:tc>
        <w:tc>
          <w:tcPr>
            <w:tcW w:w="8940" w:type="dxa"/>
            <w:tcBorders/>
            <w:shd w:fill="auto" w:val="clear"/>
            <w:tcMar>
              <w:bottom w:w="0" w:type="dxa"/>
            </w:tcMar>
            <w:vAlign w:val="center"/>
          </w:tcPr>
          <w:p>
            <w:pPr>
              <w:pStyle w:val="TableContents"/>
              <w:spacing w:before="0" w:after="283"/>
              <w:rPr/>
            </w:pPr>
            <w:hyperlink w:anchor="sss_002">
              <w:r>
                <w:rPr>
                  <w:rStyle w:val="InternetLink"/>
                </w:rPr>
                <w:t>Voting and Support Agreement, dated as of April 6, 2023, by and between Parent and the Partnership (incorporated herein by reference to Annex B of the Proxy Statement).</w:t>
              </w:r>
            </w:hyperlink>
          </w:p>
        </w:tc>
      </w:tr>
      <w:tr>
        <w:trPr/>
        <w:tc>
          <w:tcPr>
            <w:tcW w:w="1205" w:type="dxa"/>
            <w:tcBorders/>
            <w:shd w:fill="auto" w:val="clear"/>
            <w:tcMar>
              <w:bottom w:w="0" w:type="dxa"/>
            </w:tcMar>
            <w:vAlign w:val="center"/>
          </w:tcPr>
          <w:p>
            <w:pPr>
              <w:pStyle w:val="TableContents"/>
              <w:spacing w:before="0" w:after="283"/>
              <w:jc w:val="center"/>
              <w:rPr/>
            </w:pPr>
            <w:r>
              <w:rPr/>
              <w:t>(f)</w:t>
            </w:r>
          </w:p>
        </w:tc>
        <w:tc>
          <w:tcPr>
            <w:tcW w:w="60" w:type="dxa"/>
            <w:tcBorders/>
            <w:shd w:fill="auto" w:val="clear"/>
            <w:tcMar>
              <w:bottom w:w="0" w:type="dxa"/>
            </w:tcMar>
            <w:vAlign w:val="center"/>
          </w:tcPr>
          <w:p>
            <w:pPr>
              <w:pStyle w:val="TableContents"/>
              <w:spacing w:before="0" w:after="283"/>
              <w:rPr/>
            </w:pPr>
            <w:r>
              <w:rPr/>
              <w:t> </w:t>
            </w:r>
          </w:p>
        </w:tc>
        <w:tc>
          <w:tcPr>
            <w:tcW w:w="8940" w:type="dxa"/>
            <w:tcBorders/>
            <w:shd w:fill="auto" w:val="clear"/>
            <w:tcMar>
              <w:bottom w:w="0" w:type="dxa"/>
            </w:tcMar>
            <w:vAlign w:val="center"/>
          </w:tcPr>
          <w:p>
            <w:pPr>
              <w:pStyle w:val="TableContents"/>
              <w:spacing w:before="0" w:after="283"/>
              <w:rPr/>
            </w:pPr>
            <w:r>
              <w:rPr/>
              <w:t>None.</w:t>
            </w:r>
          </w:p>
        </w:tc>
      </w:tr>
      <w:tr>
        <w:trPr/>
        <w:tc>
          <w:tcPr>
            <w:tcW w:w="1205" w:type="dxa"/>
            <w:tcBorders/>
            <w:shd w:fill="auto" w:val="clear"/>
            <w:tcMar>
              <w:bottom w:w="0" w:type="dxa"/>
            </w:tcMar>
            <w:vAlign w:val="center"/>
          </w:tcPr>
          <w:p>
            <w:pPr>
              <w:pStyle w:val="TableContents"/>
              <w:spacing w:before="0" w:after="283"/>
              <w:jc w:val="center"/>
              <w:rPr/>
            </w:pPr>
            <w:r>
              <w:rPr/>
              <w:t>(g)</w:t>
            </w:r>
          </w:p>
        </w:tc>
        <w:tc>
          <w:tcPr>
            <w:tcW w:w="60" w:type="dxa"/>
            <w:tcBorders/>
            <w:shd w:fill="auto" w:val="clear"/>
            <w:tcMar>
              <w:bottom w:w="0" w:type="dxa"/>
            </w:tcMar>
            <w:vAlign w:val="center"/>
          </w:tcPr>
          <w:p>
            <w:pPr>
              <w:pStyle w:val="TableContents"/>
              <w:spacing w:before="0" w:after="283"/>
              <w:rPr/>
            </w:pPr>
            <w:r>
              <w:rPr/>
              <w:t> </w:t>
            </w:r>
          </w:p>
        </w:tc>
        <w:tc>
          <w:tcPr>
            <w:tcW w:w="8940" w:type="dxa"/>
            <w:tcBorders/>
            <w:shd w:fill="auto" w:val="clear"/>
            <w:tcMar>
              <w:bottom w:w="0" w:type="dxa"/>
            </w:tcMar>
            <w:vAlign w:val="center"/>
          </w:tcPr>
          <w:p>
            <w:pPr>
              <w:pStyle w:val="TableContents"/>
              <w:spacing w:before="0" w:after="283"/>
              <w:rPr/>
            </w:pPr>
            <w:r>
              <w:rPr/>
              <w:t>None.</w:t>
            </w:r>
          </w:p>
        </w:tc>
      </w:tr>
      <w:tr>
        <w:trPr/>
        <w:tc>
          <w:tcPr>
            <w:tcW w:w="1205" w:type="dxa"/>
            <w:tcBorders/>
            <w:shd w:fill="auto" w:val="clear"/>
            <w:tcMar>
              <w:bottom w:w="0" w:type="dxa"/>
            </w:tcMar>
            <w:vAlign w:val="center"/>
          </w:tcPr>
          <w:p>
            <w:pPr>
              <w:pStyle w:val="TableContents"/>
              <w:spacing w:before="0" w:after="283"/>
              <w:jc w:val="center"/>
              <w:rPr/>
            </w:pPr>
            <w:hyperlink w:anchor="tm2314213d1_ex-filingfees.htm">
              <w:r>
                <w:rPr>
                  <w:rStyle w:val="InternetLink"/>
                </w:rPr>
                <w:t>107</w:t>
              </w:r>
            </w:hyperlink>
          </w:p>
        </w:tc>
        <w:tc>
          <w:tcPr>
            <w:tcW w:w="60" w:type="dxa"/>
            <w:tcBorders/>
            <w:shd w:fill="auto" w:val="clear"/>
            <w:tcMar>
              <w:bottom w:w="0" w:type="dxa"/>
            </w:tcMar>
            <w:vAlign w:val="center"/>
          </w:tcPr>
          <w:p>
            <w:pPr>
              <w:pStyle w:val="TableContents"/>
              <w:spacing w:before="0" w:after="283"/>
              <w:rPr/>
            </w:pPr>
            <w:r>
              <w:rPr/>
              <w:t> </w:t>
            </w:r>
          </w:p>
        </w:tc>
        <w:tc>
          <w:tcPr>
            <w:tcW w:w="8940" w:type="dxa"/>
            <w:tcBorders/>
            <w:shd w:fill="auto" w:val="clear"/>
            <w:tcMar>
              <w:bottom w:w="0" w:type="dxa"/>
            </w:tcMar>
            <w:vAlign w:val="center"/>
          </w:tcPr>
          <w:p>
            <w:pPr>
              <w:pStyle w:val="TableContents"/>
              <w:spacing w:before="0" w:after="283"/>
              <w:rPr/>
            </w:pPr>
            <w:hyperlink w:anchor="tm2314213d1_ex-filingfees.htm">
              <w:r>
                <w:rPr>
                  <w:rStyle w:val="InternetLink"/>
                </w:rPr>
                <w:t>Filing Fee Table.</w:t>
              </w:r>
            </w:hyperlink>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17</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due inquiry and to the best of each of the undersigned’s knowledge and belief, each of the undersigned certifies that the information set forth in this statement is true, complete and correct.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May 5, 2023</w:t>
      </w:r>
    </w:p>
    <w:p>
      <w:pPr>
        <w:pStyle w:val="TextBody"/>
        <w:spacing w:before="0" w:after="0"/>
        <w:ind w:left="0" w:right="0" w:hanging="0"/>
        <w:rPr>
          <w:caps w:val="false"/>
          <w:smallCaps w:val="false"/>
        </w:rPr>
      </w:pPr>
      <w:r>
        <w:rPr>
          <w:caps w:val="false"/>
          <w:smallCaps w:val="false"/>
        </w:rPr>
        <w:t> </w:t>
      </w:r>
    </w:p>
    <w:tbl>
      <w:tblPr>
        <w:tblW w:w="2898" w:type="dxa"/>
        <w:jc w:val="left"/>
        <w:tblInd w:w="0" w:type="dxa"/>
        <w:tblCellMar>
          <w:top w:w="0" w:type="dxa"/>
          <w:left w:w="0" w:type="dxa"/>
          <w:bottom w:w="0" w:type="dxa"/>
          <w:right w:w="0" w:type="dxa"/>
        </w:tblCellMar>
      </w:tblPr>
      <w:tblGrid>
        <w:gridCol w:w="75"/>
        <w:gridCol w:w="392"/>
        <w:gridCol w:w="699"/>
        <w:gridCol w:w="1732"/>
      </w:tblGrid>
      <w:tr>
        <w:trPr/>
        <w:tc>
          <w:tcPr>
            <w:tcW w:w="75" w:type="dxa"/>
            <w:tcBorders/>
            <w:shd w:fill="auto" w:val="clear"/>
            <w:vAlign w:val="center"/>
          </w:tcPr>
          <w:p>
            <w:pPr>
              <w:pStyle w:val="TableContents"/>
              <w:spacing w:before="0" w:after="283"/>
              <w:rPr/>
            </w:pPr>
            <w:r>
              <w:rPr/>
              <w:t> </w:t>
            </w:r>
          </w:p>
        </w:tc>
        <w:tc>
          <w:tcPr>
            <w:tcW w:w="2823" w:type="dxa"/>
            <w:gridSpan w:val="3"/>
            <w:tcBorders/>
            <w:shd w:fill="auto" w:val="clear"/>
            <w:vAlign w:val="center"/>
          </w:tcPr>
          <w:p>
            <w:pPr>
              <w:pStyle w:val="TableContents"/>
              <w:spacing w:before="0" w:after="283"/>
              <w:rPr>
                <w:b/>
              </w:rPr>
            </w:pPr>
            <w:r>
              <w:rPr>
                <w:b/>
              </w:rPr>
              <w:t>GASLOG PARTNERS LP</w:t>
            </w:r>
          </w:p>
        </w:tc>
      </w:tr>
      <w:tr>
        <w:trPr/>
        <w:tc>
          <w:tcPr>
            <w:tcW w:w="75" w:type="dxa"/>
            <w:tcBorders/>
            <w:shd w:fill="auto" w:val="clear"/>
            <w:vAlign w:val="center"/>
          </w:tcPr>
          <w:p>
            <w:pPr>
              <w:pStyle w:val="TableContents"/>
              <w:spacing w:before="0" w:after="283"/>
              <w:rPr/>
            </w:pPr>
            <w:r>
              <w:rPr/>
              <w:t> </w:t>
            </w:r>
          </w:p>
        </w:tc>
        <w:tc>
          <w:tcPr>
            <w:tcW w:w="1091" w:type="dxa"/>
            <w:gridSpan w:val="2"/>
            <w:tcBorders/>
            <w:shd w:fill="auto" w:val="clear"/>
            <w:vAlign w:val="center"/>
          </w:tcPr>
          <w:p>
            <w:pPr>
              <w:pStyle w:val="TableContents"/>
              <w:spacing w:before="0" w:after="283"/>
              <w:rPr/>
            </w:pPr>
            <w:r>
              <w:rPr/>
              <w:t> </w:t>
            </w:r>
          </w:p>
        </w:tc>
        <w:tc>
          <w:tcPr>
            <w:tcW w:w="1732"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pPr>
            <w:r>
              <w:rPr/>
              <w:t>By:</w:t>
            </w:r>
          </w:p>
        </w:tc>
        <w:tc>
          <w:tcPr>
            <w:tcW w:w="2431" w:type="dxa"/>
            <w:gridSpan w:val="2"/>
            <w:tcBorders>
              <w:bottom w:val="single" w:sz="8" w:space="0" w:color="000000"/>
            </w:tcBorders>
            <w:shd w:fill="auto" w:val="clear"/>
            <w:tcMar>
              <w:bottom w:w="28" w:type="dxa"/>
            </w:tcMar>
            <w:vAlign w:val="center"/>
          </w:tcPr>
          <w:p>
            <w:pPr>
              <w:pStyle w:val="TableContents"/>
              <w:spacing w:before="0" w:after="283"/>
              <w:rPr/>
            </w:pPr>
            <w:r>
              <w:rPr/>
              <w:t>/s/ Paolo Enoizi</w:t>
            </w:r>
          </w:p>
        </w:tc>
      </w:tr>
      <w:tr>
        <w:trPr/>
        <w:tc>
          <w:tcPr>
            <w:tcW w:w="75"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pPr>
            <w:r>
              <w:rPr/>
              <w:t> </w:t>
            </w:r>
          </w:p>
        </w:tc>
        <w:tc>
          <w:tcPr>
            <w:tcW w:w="699" w:type="dxa"/>
            <w:tcBorders/>
            <w:shd w:fill="auto" w:val="clear"/>
            <w:vAlign w:val="center"/>
          </w:tcPr>
          <w:p>
            <w:pPr>
              <w:pStyle w:val="TableContents"/>
              <w:spacing w:before="0" w:after="283"/>
              <w:rPr/>
            </w:pPr>
            <w:r>
              <w:rPr/>
              <w:t>Name:</w:t>
            </w:r>
          </w:p>
        </w:tc>
        <w:tc>
          <w:tcPr>
            <w:tcW w:w="1732" w:type="dxa"/>
            <w:tcBorders/>
            <w:shd w:fill="auto" w:val="clear"/>
            <w:vAlign w:val="center"/>
          </w:tcPr>
          <w:p>
            <w:pPr>
              <w:pStyle w:val="TableContents"/>
              <w:spacing w:before="0" w:after="283"/>
              <w:rPr/>
            </w:pPr>
            <w:r>
              <w:rPr/>
              <w:t>Paolo Enoizi</w:t>
            </w:r>
          </w:p>
        </w:tc>
      </w:tr>
      <w:tr>
        <w:trPr/>
        <w:tc>
          <w:tcPr>
            <w:tcW w:w="75"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pPr>
            <w:r>
              <w:rPr/>
              <w:t> </w:t>
            </w:r>
          </w:p>
        </w:tc>
        <w:tc>
          <w:tcPr>
            <w:tcW w:w="699" w:type="dxa"/>
            <w:tcBorders/>
            <w:shd w:fill="auto" w:val="clear"/>
            <w:vAlign w:val="center"/>
          </w:tcPr>
          <w:p>
            <w:pPr>
              <w:pStyle w:val="TableContents"/>
              <w:spacing w:before="0" w:after="283"/>
              <w:rPr/>
            </w:pPr>
            <w:r>
              <w:rPr/>
              <w:t>Title:</w:t>
            </w:r>
          </w:p>
        </w:tc>
        <w:tc>
          <w:tcPr>
            <w:tcW w:w="1732" w:type="dxa"/>
            <w:tcBorders/>
            <w:shd w:fill="auto" w:val="clear"/>
            <w:vAlign w:val="center"/>
          </w:tcPr>
          <w:p>
            <w:pPr>
              <w:pStyle w:val="TableContents"/>
              <w:spacing w:before="0" w:after="283"/>
              <w:rPr/>
            </w:pPr>
            <w:r>
              <w:rPr/>
              <w:t>Director &amp; CEO</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2340" w:type="dxa"/>
        <w:jc w:val="left"/>
        <w:tblInd w:w="0" w:type="dxa"/>
        <w:tblCellMar>
          <w:top w:w="0" w:type="dxa"/>
          <w:left w:w="0" w:type="dxa"/>
          <w:bottom w:w="0" w:type="dxa"/>
          <w:right w:w="0" w:type="dxa"/>
        </w:tblCellMar>
      </w:tblPr>
      <w:tblGrid>
        <w:gridCol w:w="75"/>
        <w:gridCol w:w="365"/>
        <w:gridCol w:w="650"/>
        <w:gridCol w:w="1250"/>
      </w:tblGrid>
      <w:tr>
        <w:trPr/>
        <w:tc>
          <w:tcPr>
            <w:tcW w:w="75" w:type="dxa"/>
            <w:tcBorders/>
            <w:shd w:fill="auto" w:val="clear"/>
            <w:vAlign w:val="center"/>
          </w:tcPr>
          <w:p>
            <w:pPr>
              <w:pStyle w:val="TableContents"/>
              <w:spacing w:before="0" w:after="283"/>
              <w:rPr/>
            </w:pPr>
            <w:r>
              <w:rPr/>
              <w:t> </w:t>
            </w:r>
          </w:p>
        </w:tc>
        <w:tc>
          <w:tcPr>
            <w:tcW w:w="2265" w:type="dxa"/>
            <w:gridSpan w:val="3"/>
            <w:tcBorders/>
            <w:shd w:fill="auto" w:val="clear"/>
            <w:vAlign w:val="center"/>
          </w:tcPr>
          <w:p>
            <w:pPr>
              <w:pStyle w:val="TableContents"/>
              <w:spacing w:before="0" w:after="283"/>
              <w:rPr>
                <w:b/>
              </w:rPr>
            </w:pPr>
            <w:r>
              <w:rPr>
                <w:b/>
              </w:rPr>
              <w:t>GASLOG LTD.</w:t>
            </w:r>
          </w:p>
        </w:tc>
      </w:tr>
      <w:tr>
        <w:trPr/>
        <w:tc>
          <w:tcPr>
            <w:tcW w:w="75" w:type="dxa"/>
            <w:tcBorders/>
            <w:shd w:fill="auto" w:val="clear"/>
            <w:vAlign w:val="center"/>
          </w:tcPr>
          <w:p>
            <w:pPr>
              <w:pStyle w:val="TableContents"/>
              <w:spacing w:before="0" w:after="283"/>
              <w:rPr/>
            </w:pPr>
            <w:r>
              <w:rPr/>
              <w:t> </w:t>
            </w:r>
          </w:p>
        </w:tc>
        <w:tc>
          <w:tcPr>
            <w:tcW w:w="1015" w:type="dxa"/>
            <w:gridSpan w:val="2"/>
            <w:tcBorders/>
            <w:shd w:fill="auto" w:val="clear"/>
            <w:vAlign w:val="center"/>
          </w:tcPr>
          <w:p>
            <w:pPr>
              <w:pStyle w:val="TableContents"/>
              <w:spacing w:before="0" w:after="283"/>
              <w:rPr/>
            </w:pPr>
            <w:r>
              <w:rPr/>
              <w:t> </w:t>
            </w:r>
          </w:p>
        </w:tc>
        <w:tc>
          <w:tcPr>
            <w:tcW w:w="125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pPr>
            <w:r>
              <w:rPr/>
              <w:t>By:</w:t>
            </w:r>
          </w:p>
        </w:tc>
        <w:tc>
          <w:tcPr>
            <w:tcW w:w="1900" w:type="dxa"/>
            <w:gridSpan w:val="2"/>
            <w:tcBorders>
              <w:bottom w:val="single" w:sz="8" w:space="0" w:color="000000"/>
            </w:tcBorders>
            <w:shd w:fill="auto" w:val="clear"/>
            <w:tcMar>
              <w:bottom w:w="28" w:type="dxa"/>
            </w:tcMar>
            <w:vAlign w:val="center"/>
          </w:tcPr>
          <w:p>
            <w:pPr>
              <w:pStyle w:val="TableContents"/>
              <w:spacing w:before="0" w:after="283"/>
              <w:rPr/>
            </w:pPr>
            <w:r>
              <w:rPr/>
              <w:t>/s/ Paolo Enoizi</w:t>
            </w:r>
          </w:p>
        </w:tc>
      </w:tr>
      <w:tr>
        <w:trPr/>
        <w:tc>
          <w:tcPr>
            <w:tcW w:w="75"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rPr/>
            </w:pPr>
            <w:r>
              <w:rPr/>
              <w:t>Name:</w:t>
            </w:r>
          </w:p>
        </w:tc>
        <w:tc>
          <w:tcPr>
            <w:tcW w:w="1250" w:type="dxa"/>
            <w:tcBorders/>
            <w:shd w:fill="auto" w:val="clear"/>
            <w:vAlign w:val="center"/>
          </w:tcPr>
          <w:p>
            <w:pPr>
              <w:pStyle w:val="TableContents"/>
              <w:spacing w:before="0" w:after="283"/>
              <w:rPr/>
            </w:pPr>
            <w:r>
              <w:rPr/>
              <w:t>Paolo Enoizi</w:t>
            </w:r>
          </w:p>
        </w:tc>
      </w:tr>
      <w:tr>
        <w:trPr/>
        <w:tc>
          <w:tcPr>
            <w:tcW w:w="75"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rPr/>
            </w:pPr>
            <w:r>
              <w:rPr/>
              <w:t>Title:</w:t>
            </w:r>
          </w:p>
        </w:tc>
        <w:tc>
          <w:tcPr>
            <w:tcW w:w="1250" w:type="dxa"/>
            <w:tcBorders/>
            <w:shd w:fill="auto" w:val="clear"/>
            <w:vAlign w:val="center"/>
          </w:tcPr>
          <w:p>
            <w:pPr>
              <w:pStyle w:val="TableContents"/>
              <w:spacing w:before="0" w:after="283"/>
              <w:rPr/>
            </w:pPr>
            <w:r>
              <w:rPr/>
              <w:t>CEO</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7530" w:type="dxa"/>
        <w:jc w:val="left"/>
        <w:tblInd w:w="0" w:type="dxa"/>
        <w:tblCellMar>
          <w:top w:w="0" w:type="dxa"/>
          <w:left w:w="0" w:type="dxa"/>
          <w:bottom w:w="0" w:type="dxa"/>
          <w:right w:w="0" w:type="dxa"/>
        </w:tblCellMar>
      </w:tblPr>
      <w:tblGrid>
        <w:gridCol w:w="75"/>
        <w:gridCol w:w="365"/>
        <w:gridCol w:w="650"/>
        <w:gridCol w:w="6440"/>
      </w:tblGrid>
      <w:tr>
        <w:trPr/>
        <w:tc>
          <w:tcPr>
            <w:tcW w:w="75" w:type="dxa"/>
            <w:tcBorders/>
            <w:shd w:fill="auto" w:val="clear"/>
            <w:vAlign w:val="center"/>
          </w:tcPr>
          <w:p>
            <w:pPr>
              <w:pStyle w:val="TableContents"/>
              <w:spacing w:before="0" w:after="283"/>
              <w:rPr/>
            </w:pPr>
            <w:r>
              <w:rPr/>
              <w:t> </w:t>
            </w:r>
          </w:p>
        </w:tc>
        <w:tc>
          <w:tcPr>
            <w:tcW w:w="7455" w:type="dxa"/>
            <w:gridSpan w:val="3"/>
            <w:tcBorders/>
            <w:shd w:fill="auto" w:val="clear"/>
            <w:vAlign w:val="center"/>
          </w:tcPr>
          <w:p>
            <w:pPr>
              <w:pStyle w:val="TableContents"/>
              <w:spacing w:before="0" w:after="283"/>
              <w:rPr>
                <w:b/>
              </w:rPr>
            </w:pPr>
            <w:r>
              <w:rPr>
                <w:b/>
              </w:rPr>
              <w:t>GASLOG PARTNERS GP LLC</w:t>
            </w:r>
          </w:p>
        </w:tc>
      </w:tr>
      <w:tr>
        <w:trPr/>
        <w:tc>
          <w:tcPr>
            <w:tcW w:w="75" w:type="dxa"/>
            <w:tcBorders/>
            <w:shd w:fill="auto" w:val="clear"/>
            <w:vAlign w:val="center"/>
          </w:tcPr>
          <w:p>
            <w:pPr>
              <w:pStyle w:val="TableContents"/>
              <w:spacing w:before="0" w:after="283"/>
              <w:rPr/>
            </w:pPr>
            <w:r>
              <w:rPr/>
              <w:t> </w:t>
            </w:r>
          </w:p>
        </w:tc>
        <w:tc>
          <w:tcPr>
            <w:tcW w:w="1015" w:type="dxa"/>
            <w:gridSpan w:val="2"/>
            <w:tcBorders/>
            <w:shd w:fill="auto" w:val="clear"/>
            <w:vAlign w:val="center"/>
          </w:tcPr>
          <w:p>
            <w:pPr>
              <w:pStyle w:val="TableContents"/>
              <w:spacing w:before="0" w:after="283"/>
              <w:rPr/>
            </w:pPr>
            <w:r>
              <w:rPr/>
              <w:t> </w:t>
            </w:r>
          </w:p>
        </w:tc>
        <w:tc>
          <w:tcPr>
            <w:tcW w:w="644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pPr>
            <w:r>
              <w:rPr/>
              <w:t>By:</w:t>
            </w:r>
          </w:p>
        </w:tc>
        <w:tc>
          <w:tcPr>
            <w:tcW w:w="7090" w:type="dxa"/>
            <w:gridSpan w:val="2"/>
            <w:tcBorders>
              <w:bottom w:val="single" w:sz="8" w:space="0" w:color="000000"/>
            </w:tcBorders>
            <w:shd w:fill="auto" w:val="clear"/>
            <w:tcMar>
              <w:bottom w:w="28" w:type="dxa"/>
            </w:tcMar>
            <w:vAlign w:val="center"/>
          </w:tcPr>
          <w:p>
            <w:pPr>
              <w:pStyle w:val="TableContents"/>
              <w:spacing w:before="0" w:after="283"/>
              <w:rPr/>
            </w:pPr>
            <w:r>
              <w:rPr/>
              <w:t>/s/ Paolo Enoizi</w:t>
            </w:r>
          </w:p>
        </w:tc>
      </w:tr>
      <w:tr>
        <w:trPr/>
        <w:tc>
          <w:tcPr>
            <w:tcW w:w="75"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rPr/>
            </w:pPr>
            <w:r>
              <w:rPr/>
              <w:t>Name:</w:t>
            </w:r>
          </w:p>
        </w:tc>
        <w:tc>
          <w:tcPr>
            <w:tcW w:w="6440" w:type="dxa"/>
            <w:tcBorders/>
            <w:shd w:fill="auto" w:val="clear"/>
            <w:vAlign w:val="center"/>
          </w:tcPr>
          <w:p>
            <w:pPr>
              <w:pStyle w:val="TableContents"/>
              <w:spacing w:before="0" w:after="283"/>
              <w:rPr/>
            </w:pPr>
            <w:r>
              <w:rPr/>
              <w:t>Paolo Enoizi</w:t>
            </w:r>
          </w:p>
        </w:tc>
      </w:tr>
      <w:tr>
        <w:trPr/>
        <w:tc>
          <w:tcPr>
            <w:tcW w:w="75"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rPr/>
            </w:pPr>
            <w:r>
              <w:rPr/>
              <w:t>Title:</w:t>
            </w:r>
          </w:p>
        </w:tc>
        <w:tc>
          <w:tcPr>
            <w:tcW w:w="6440" w:type="dxa"/>
            <w:tcBorders/>
            <w:shd w:fill="auto" w:val="clear"/>
            <w:vAlign w:val="center"/>
          </w:tcPr>
          <w:p>
            <w:pPr>
              <w:pStyle w:val="TableContents"/>
              <w:spacing w:before="0" w:after="283"/>
              <w:rPr/>
            </w:pPr>
            <w:r>
              <w:rPr/>
              <w:t>CEO of GasLog Ltd., the sole member of Gaslog Partners GP LLC</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3394" w:type="dxa"/>
        <w:jc w:val="left"/>
        <w:tblInd w:w="0" w:type="dxa"/>
        <w:tblCellMar>
          <w:top w:w="0" w:type="dxa"/>
          <w:left w:w="0" w:type="dxa"/>
          <w:bottom w:w="0" w:type="dxa"/>
          <w:right w:w="0" w:type="dxa"/>
        </w:tblCellMar>
      </w:tblPr>
      <w:tblGrid>
        <w:gridCol w:w="75"/>
        <w:gridCol w:w="535"/>
        <w:gridCol w:w="952"/>
        <w:gridCol w:w="1832"/>
      </w:tblGrid>
      <w:tr>
        <w:trPr/>
        <w:tc>
          <w:tcPr>
            <w:tcW w:w="75" w:type="dxa"/>
            <w:tcBorders/>
            <w:shd w:fill="auto" w:val="clear"/>
            <w:vAlign w:val="center"/>
          </w:tcPr>
          <w:p>
            <w:pPr>
              <w:pStyle w:val="TableContents"/>
              <w:spacing w:before="0" w:after="283"/>
              <w:rPr/>
            </w:pPr>
            <w:r>
              <w:rPr/>
              <w:t> </w:t>
            </w:r>
          </w:p>
        </w:tc>
        <w:tc>
          <w:tcPr>
            <w:tcW w:w="3319" w:type="dxa"/>
            <w:gridSpan w:val="3"/>
            <w:tcBorders/>
            <w:shd w:fill="auto" w:val="clear"/>
            <w:vAlign w:val="center"/>
          </w:tcPr>
          <w:p>
            <w:pPr>
              <w:pStyle w:val="TableContents"/>
              <w:spacing w:before="0" w:after="283"/>
              <w:rPr>
                <w:b/>
              </w:rPr>
            </w:pPr>
            <w:r>
              <w:rPr>
                <w:b/>
              </w:rPr>
              <w:t>SATURN MERGER SUB LLC</w:t>
            </w:r>
          </w:p>
        </w:tc>
      </w:tr>
      <w:tr>
        <w:trPr/>
        <w:tc>
          <w:tcPr>
            <w:tcW w:w="75" w:type="dxa"/>
            <w:tcBorders/>
            <w:shd w:fill="auto" w:val="clear"/>
            <w:vAlign w:val="center"/>
          </w:tcPr>
          <w:p>
            <w:pPr>
              <w:pStyle w:val="TableContents"/>
              <w:spacing w:before="0" w:after="283"/>
              <w:rPr/>
            </w:pPr>
            <w:r>
              <w:rPr/>
              <w:t> </w:t>
            </w:r>
          </w:p>
        </w:tc>
        <w:tc>
          <w:tcPr>
            <w:tcW w:w="1487" w:type="dxa"/>
            <w:gridSpan w:val="2"/>
            <w:tcBorders/>
            <w:shd w:fill="auto" w:val="clear"/>
            <w:vAlign w:val="center"/>
          </w:tcPr>
          <w:p>
            <w:pPr>
              <w:pStyle w:val="TableContents"/>
              <w:spacing w:before="0" w:after="283"/>
              <w:rPr/>
            </w:pPr>
            <w:r>
              <w:rPr/>
              <w:t> </w:t>
            </w:r>
          </w:p>
        </w:tc>
        <w:tc>
          <w:tcPr>
            <w:tcW w:w="1832"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pPr>
            <w:r>
              <w:rPr/>
              <w:t>By:</w:t>
            </w:r>
          </w:p>
        </w:tc>
        <w:tc>
          <w:tcPr>
            <w:tcW w:w="2784" w:type="dxa"/>
            <w:gridSpan w:val="2"/>
            <w:tcBorders>
              <w:bottom w:val="single" w:sz="8" w:space="0" w:color="000000"/>
            </w:tcBorders>
            <w:shd w:fill="auto" w:val="clear"/>
            <w:tcMar>
              <w:bottom w:w="28" w:type="dxa"/>
            </w:tcMar>
            <w:vAlign w:val="center"/>
          </w:tcPr>
          <w:p>
            <w:pPr>
              <w:pStyle w:val="TableContents"/>
              <w:spacing w:before="0" w:after="283"/>
              <w:rPr/>
            </w:pPr>
            <w:r>
              <w:rPr/>
              <w:t>/s/ Paolo Enoizi</w:t>
            </w:r>
          </w:p>
        </w:tc>
      </w:tr>
      <w:tr>
        <w:trPr/>
        <w:tc>
          <w:tcPr>
            <w:tcW w:w="75"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pPr>
            <w:r>
              <w:rPr/>
              <w:t> </w:t>
            </w:r>
          </w:p>
        </w:tc>
        <w:tc>
          <w:tcPr>
            <w:tcW w:w="952" w:type="dxa"/>
            <w:tcBorders/>
            <w:shd w:fill="auto" w:val="clear"/>
            <w:vAlign w:val="center"/>
          </w:tcPr>
          <w:p>
            <w:pPr>
              <w:pStyle w:val="TableContents"/>
              <w:spacing w:before="0" w:after="283"/>
              <w:rPr/>
            </w:pPr>
            <w:r>
              <w:rPr/>
              <w:t>Name:</w:t>
            </w:r>
          </w:p>
        </w:tc>
        <w:tc>
          <w:tcPr>
            <w:tcW w:w="1832" w:type="dxa"/>
            <w:tcBorders/>
            <w:shd w:fill="auto" w:val="clear"/>
            <w:vAlign w:val="center"/>
          </w:tcPr>
          <w:p>
            <w:pPr>
              <w:pStyle w:val="TableContents"/>
              <w:spacing w:before="0" w:after="283"/>
              <w:rPr/>
            </w:pPr>
            <w:r>
              <w:rPr/>
              <w:t>Paolo Enoizi</w:t>
            </w:r>
          </w:p>
        </w:tc>
      </w:tr>
      <w:tr>
        <w:trPr/>
        <w:tc>
          <w:tcPr>
            <w:tcW w:w="75"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pPr>
            <w:r>
              <w:rPr/>
              <w:t> </w:t>
            </w:r>
          </w:p>
        </w:tc>
        <w:tc>
          <w:tcPr>
            <w:tcW w:w="952" w:type="dxa"/>
            <w:tcBorders/>
            <w:shd w:fill="auto" w:val="clear"/>
            <w:vAlign w:val="center"/>
          </w:tcPr>
          <w:p>
            <w:pPr>
              <w:pStyle w:val="TableContents"/>
              <w:spacing w:before="0" w:after="283"/>
              <w:rPr/>
            </w:pPr>
            <w:r>
              <w:rPr/>
              <w:t>Title:</w:t>
            </w:r>
          </w:p>
        </w:tc>
        <w:tc>
          <w:tcPr>
            <w:tcW w:w="1832" w:type="dxa"/>
            <w:tcBorders/>
            <w:shd w:fill="auto" w:val="clear"/>
            <w:vAlign w:val="center"/>
          </w:tcPr>
          <w:p>
            <w:pPr>
              <w:pStyle w:val="TableContents"/>
              <w:spacing w:before="0" w:after="283"/>
              <w:rPr/>
            </w:pPr>
            <w:r>
              <w:rPr/>
              <w:t>CEO</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r>
        <w:br w:type="page"/>
      </w:r>
    </w:p>
    <w:p>
      <w:pPr>
        <w:pStyle w:val="TextBody"/>
        <w:ind w:left="0" w:right="0" w:hanging="0"/>
        <w:rPr/>
      </w:pPr>
      <w:bookmarkStart w:id="2" w:name="tm2314213d1_ex99-a1.htm"/>
      <w:bookmarkStart w:id="3" w:name="kstm2314213d1_ex99a1"/>
      <w:bookmarkEnd w:id="2"/>
      <w:bookmarkEnd w:id="3"/>
      <w:r>
        <w:rPr/>
        <w:t> </w:t>
      </w:r>
    </w:p>
    <w:p>
      <w:pPr>
        <w:pStyle w:val="TextBody"/>
        <w:jc w:val="right"/>
        <w:rPr>
          <w:b/>
        </w:rPr>
      </w:pPr>
      <w:r>
        <w:rPr>
          <w:b/>
        </w:rPr>
        <w:t>Exhibit (a)(1)</w:t>
      </w:r>
    </w:p>
    <w:p>
      <w:pPr>
        <w:pStyle w:val="TextBody"/>
        <w:rPr/>
      </w:pPr>
      <w:r>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 COMMON UNITHOLDERS OF GASLOG PARTNERS LP MERGER</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 YOUR VOTE IS VERY IMPORTANT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Common Unitholder of GasLog Partners LP: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cordially invite you to attend a special meeting (the “Special Meeting”) of common unitholders (the “Common Unitholders”) of GasLog Partners LP, a Marshall Islands limited partnership (the “Partnership”), on                     , 2023, at                      (Eastern Time).</w:t>
      </w:r>
    </w:p>
    <w:p>
      <w:pPr>
        <w:pStyle w:val="TextBody"/>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Attendance at the Special Meeting will be limited to virtual attendance and the proceedings of the Special Meeting are scheduled to be held exclusively online via live webcast. The Special Meeting can only be accessed by visiting www.virtualshareholdermeeting.com/GLOP2023SM, where you will be able to attend the Special Meeting, vote and submit questions online during the Special Meeting. Please note that you will not be able to attend the Special Meeting in person.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6, 2023, the Partnership, GasLog Partners GP LLC, a Marshall Islands limited liability company and the general partner of the Partnership (the “General Partner”), GasLog Ltd., a Bermuda exempted company (“Parent”), and Saturn Merger Sub LLC, a Marshall Islands limited liability company and a direct wholly owned subsidiary of Parent (“Merger Sub”), entered into an Agreement and Plan of Merger (the “Merger Agreement”), a copy of which is attached as Annex A to this proxy statement, pursuant to which Merger Sub will merge with and into the Partnership (the “Merger”), with the Partnership surviving the Merger as a Marshall Islands limited partnership and as a direct subsidiary of Parent.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transactions contemplated by the Merger Agreement, holders of each common unit representing a limited partner interest in the Partnership (each, a “Common Unit”) issued and outstanding immediately prior to the effective time of the Merger (the “Effective Time”), other than those Common Units held by Parent or its affiliates (the “Sponsor Units”) will, assuming that such holders hold Common Units both on the record date of the Special Distribution (as defined below) and at the Effective Time, receive overall consideration of $8.65 per Common Unit, consisting of the Special Distribution and the Merger Consideration (as defined below). Upon completion of the Merger, each Common Unit issued and outstanding immediately prior to the Effective Time, other than the Sponsor Units, will be converted into the right to receive $5.37 per Common Unit in cash (the “Merger Consideration”), without interest and reduced by any applicable tax withholding. In addition, as soon as reasonably practicable following the affirmative vote of the holders of at least a majority of the outstanding Common Units, including those held by Parent, in favor of the approval of the Merger Agreement, pursuant to the terms of the Merger Agreement, the board of directors of the Partnership (the “Partnership Board”) will declare a special distribution of $3.28 per Common Unit (with a corresponding amount distributed in respect of each General Partner Unit (as defined in the Partnership Agreement (as defined below))) (the “Special Distribution”) with a record date on a business day prior to the anticipated closing date of the Merger and a payment date occurring on or prior to the closing date of the Merger, which dates will be reasonably agreed between the Partnership and Parent. The Sponsor Units and the General Partner Units will remain outstanding after the Merger, and the General Partner will remain the sole general partner of the Partnership. Each of the Partnership’s Class B Units (as defined in the Partnership Agreement) issued and outstanding immediately prior to the Effective Time, all of which are held by Parent, will be canceled and cease to exist, and no consideration will be delivered in respect thereof. Each of the issued and outstanding Partnership’s Series A Preference Units, Series B Preference Units and Series C Preference Units (in each case as defined in the Partnership Agreement) which entitle the holder thereof to a preference with respect to distributions, or as to the distribution of assets upon any liquidation event, over Common Units (collectively, the “Preference Units”) will remain outstanding upon completion of the Merger and continue to trade on the New York Stock Exchange immediately following completion of the Merger, and no consideration will be delivered in respect thereof.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conflicts committee (the “Conflicts Committee”) of the Partnership Board, comprised solely of two independent directors who meet the requirements for membership on the Conflicts Committee set forth in the Seventh Amended and Restated Agreement of Limited Partnership of the Partnership (the “Partnership Agreement”) and advised by its own independent legal and financial advisors, has unanimously (a) determined that the Merger Agreement and the transactions contemplated thereby, including the Merger, are fair to and in the best interests of the Partnership and Common Unitholders other than Parent and its affiliates (the “Unaffiliated Unitholders”), (b) approved the Merger Agreement and the transactions contemplated thereby, including the Merger (the foregoing constituting Special Approval as defined in the Partnership Agreement), and (c) recommended to the Partnership Board that the Partnership Board (i) approve the Merger Agreement and the transactions contemplated thereby, including the Merger, and (ii) recommend approval of the Merger Agreement and the transactions contemplated thereby, including the Merger, to the Common Unitholders.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Your vote is very important regardless of the number of Common Units you own. </w:t>
      </w:r>
      <w:r>
        <w:rPr>
          <w:rFonts w:ascii="Times New Roman;Times;Serif" w:hAnsi="Times New Roman;Times;Serif"/>
          <w:b w:val="false"/>
          <w:i w:val="false"/>
          <w:caps w:val="false"/>
          <w:smallCaps w:val="false"/>
          <w:sz w:val="20"/>
        </w:rPr>
        <w:t>The Merger cannot be completed unless holders of at least a majority of the issued and outstanding Common Units, subject to a cutback for certain unitholders beneficially owning more than 4.9% of the outstanding Common Units to the extent described in the proxy statement (the “Cutback”), including those held by Parent, approve the Merger Agreement and transactions contemplated thereby, including the Merger. Common Units held by Parent and its affiliates are not subject to the Cutback. Accordingly, the Common Unitholders will be asked to consider and vote on a proposal to approve the Merger Agreement and the transactions contemplated thereby, including the Merger (collectively, the “Merger Proposal”), and the Common Unitholders will be asked to consider and vote on a proposal to adjourn the Special Meeting, if necessary, to solicit additional proxies if there are not sufficient votes to approve the Merger Agreement and transactions contemplated thereby, including the Merger, at the time of the Special Meeting (the “Adjournment Proposal”). Pursuant to the Voting and Support Agreement, dated as of April 6, 2023 (the “Support Agreement”), by and between Parent and the Partnership, a copy of which is attached as Annex B to this proxy statement, Parent has agreed to appear at the Special Meeting and vote all of its Common Units in favor of the Merger Agreement and transactions contemplated thereby, including the Merger, and against any competing proposals. As of                     , 2023, Parent owns 15,621,602 Common Units (representing 30.2% of the Common Units issued and outstanding as of                     , 2023). The holders of Preference Units do not have the right to vote at the Special Meeting in their capacities as holders of Preference Units.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Partnership Board, acting upon the recommendation of the Conflicts Committee, has unanimously (a) determined that the Merger Agreement and the transactions contemplated thereby, including the Merger, are fair to and in the best interests of the Partnership and the Unaffiliated Unitholders, (b) approved the Merger Agreement and the transactions contemplated thereby, including the Merger, (c) directed that the Merger Agreement and the transactions contemplated thereby, including the Merger, be submitted to a vote of the Common Unitholders and (d) resolved to recommend approval of the Merger Agreement and the transactions contemplated thereby, including the Merger, to the Common Unitholders. The Partnership Board has also called this Special Meeting.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Accordingly, the Partnership Board recommends that the Common Unitholders vote “FOR” the Merger Proposal and that the Common Unitholders vote “FOR” the Adjournment Proposal.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Whether or not you plan to attend the Special Meeting, please take the time to cause your Common Units to be voted by completing and returning the enclosed proxy card to the Partnership by mail or, if the option is available to you, by granting your proxy electronically over the Internet or by telephone. If your Common Units are held in “street name”, you must follow the instructions provided by your broker in order to cause your Common Units to be voted. </w:t>
      </w:r>
      <w:r>
        <w:rPr>
          <w:rFonts w:ascii="Times New Roman;Times;Serif" w:hAnsi="Times New Roman;Times;Serif"/>
          <w:b/>
          <w:i w:val="false"/>
          <w:caps w:val="false"/>
          <w:smallCaps w:val="false"/>
          <w:sz w:val="20"/>
        </w:rPr>
        <w:t>The failure to instruct your bank, brokerage firm or other nominee to cause your Common Units to be voted “FOR” approval of the Merger Proposal or the Adjournment Proposal will have the same effect as voting “AGAINST” approval of the Merger Proposal or, so long as a quorum is present, the Adjournment Proposal, as applicable.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 information about the Partnership and the Merger is contained in the accompanying proxy statement. We encourage you to read carefully the accompanying proxy statement (and the documents incorporated by reference into the accompanying proxy statement) before submitting a proxy card.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any questions or need assistance voting your Common Units, please contact D.F. King &amp; Co., Inc., our proxy solicitor, by calling toll-free at (866) 342-4883.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in advance for your cooperation and continued support.</w:t>
      </w:r>
    </w:p>
    <w:p>
      <w:pPr>
        <w:pStyle w:val="TextBody"/>
        <w:spacing w:before="0" w:after="0"/>
        <w:ind w:left="0" w:right="0" w:hanging="0"/>
        <w:rPr>
          <w:caps w:val="false"/>
          <w:smallCaps w:val="false"/>
        </w:rPr>
      </w:pPr>
      <w:r>
        <w:rPr>
          <w:caps w:val="false"/>
          <w:smallCaps w:val="false"/>
        </w:rPr>
        <w:t> </w:t>
      </w:r>
    </w:p>
    <w:tbl>
      <w:tblPr>
        <w:tblW w:w="4730" w:type="dxa"/>
        <w:jc w:val="left"/>
        <w:tblInd w:w="0" w:type="dxa"/>
        <w:tblCellMar>
          <w:top w:w="0" w:type="dxa"/>
          <w:left w:w="0" w:type="dxa"/>
          <w:bottom w:w="0" w:type="dxa"/>
          <w:right w:w="0" w:type="dxa"/>
        </w:tblCellMar>
      </w:tblPr>
      <w:tblGrid>
        <w:gridCol w:w="75"/>
        <w:gridCol w:w="4655"/>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465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 of GasLog Partners LP</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465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465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465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4655" w:type="dxa"/>
            <w:tcBorders>
              <w:bottom w:val="single" w:sz="8"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4655" w:type="dxa"/>
            <w:tcBorders/>
            <w:shd w:fill="auto" w:val="cle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Curtis V. Anastasio</w:t>
            </w:r>
          </w:p>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Chairman of GasLog Partners LP</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proxy statement is dated                     , 2023, and is first being mailed to Common Unitholders on or about                     ,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Partnership is a “Foreign Private Issuer” within the meaning of Rule 3B-4 of the Securities Exchange Act of 1934, as amended (the “Exchange Act”), and, as a result, the Partnership is not required to comply with U.S. proxy requirements.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the Merger, passed upon the merits of fairness of the Merger or passed upon the adequacy or accuracy of the disclosure in this proxy statement. Any representation to the contrary is a criminal offense.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4" w:name="exa4"/>
      <w:bookmarkEnd w:id="4"/>
      <w:r>
        <w:rPr>
          <w:rFonts w:ascii="Times New Roman;Times;Serif" w:hAnsi="Times New Roman;Times;Serif"/>
          <w:b/>
          <w:i w:val="false"/>
          <w:caps w:val="false"/>
          <w:smallCaps w:val="false"/>
          <w:sz w:val="20"/>
        </w:rPr>
        <w:t>GasLog Partners LP</w:t>
        <w:br/>
        <w:t>c/o GasLog LNG Services Ltd.</w:t>
        <w:br/>
        <w:t>69 Akti Miaouli 18537</w:t>
        <w:br/>
        <w:t>Piraeus, Greece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SPECIAL MEETING OF COMMON UNITHOLDERS</w:t>
        <w:br/>
        <w:t>TO BE HELD ON                     ,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is hereby given that GasLog Partners LP (the “Partnership”) will hold a special meeting of its common unitholders (the “Common Unitholders”) on                      2023, beginning at                      (Eastern Time) (the “Special Meeting”), for the purpose of considering and voting on the following matters:</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i/>
              </w:rPr>
              <w:t xml:space="preserve">Merger Proposal: </w:t>
            </w:r>
            <w:r>
              <w:rPr/>
              <w:t>To consider and vote on a proposal to approve the Agreement and Plan of Merger, dated as of April 6, 2023 (the “Merger Agreement”) by and among the Partnership, GasLog GP LLC, the general partner of the Partnership (the “General Partner”), GasLog Ltd. (“Parent”), and Saturn Merger Sub LLC, a direct wholly owned subsidiary of Parent (“Merger Sub”), a copy of which is attached as Annex A to the proxy statement accompanying this notice, as such agreement may be amended from time to time, and the transactions contemplated thereby, including the merger of Merger Sub with and into the Partnership (the “Merger”), with the Partnership surviving the Merger as a Marshall Islands limited partnership and as a direct subsidiary of Parent; and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i/>
              </w:rPr>
              <w:t xml:space="preserve">Adjournment Proposal: </w:t>
            </w:r>
            <w:r>
              <w:rPr/>
              <w:t>To consider and vote on a proposal to approve the adjournment of the Special Meeting, if necessary or appropriate, to solicit additional proxies if there are not sufficient votes to approve the Merger Agreement and the transactions contemplated by the Merger Agreement, including the Merger, at the time of the Special Meeting.</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items of business are more fully described in the accompanying proxy statement.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Meeting will be held exclusively online via live webcast, which can be accessed by visiting www.virtualshareholdermeeting.com/GLOP2023SM (the “virtual meeting website”), where you will be able to attend the Special Meeting, vote and submit questions online during the Special Meeting.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conflicts committee (the “Conflicts Committee”) of the board of directors of the Partnership (the “Partnership Board”), comprised solely of two independent directors who meet the requirements for membership on the Conflicts Committee set forth in the Seventh Amended and Restated Agreement of Limited Partnership of the Partnership (the “Partnership Agreement”) and advised by its own independent legal and financial advisors, has unanimously (a) determined that the Merger Agreement and the transactions contemplated thereby, including the Merger, are fair to and in the best interests of the Partnership and Common Unitholders other than Parent and its affiliates (the “Unaffiliated Unitholders”), (b) approved the Merger Agreement and the transactions contemplated thereby, including the Merger (the foregoing constituting Special Approval as defined in the Partnership Agreement), and (c) recommended to the Partnership Board that the Partnership Board (i) approve the Merger Agreement and the transactions contemplated thereby, including the Merger, and (ii) recommend approval of the Merger Agreement and the transactions contemplated thereby, including the Merger, to the Common Unitholders.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Common Unitholders of record as of the close of business on                     , 2023, are entitled to notice of the Special Meeting and to vote at the Special Meeting or at any adjournment or postponement thereof. A list of Common Unitholders entitled to vote at the Special Meeting will be available in the Partnership’s offices located at c/o GasLog LNG Services Ltd., 69 Akti Miaouli 18537, Piraeus, Greece, during regular business hours for a period of ten days before the Special Meeting.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cannot be completed unless holders of at least a majority of the issued and outstanding common units representing limited partner interests in the Partnership (the “Common Units”) (subject to a cutback for certain unitholders beneficially owning more than 4.9% of the outstanding Common Units to the extent described in the proxy statement), including those held by Parent or its affiliates (the “Sponsor Units”), approve the Merger Agreement and transactions contemplated thereby, including the Merger. Accordingly, the Common Unitholders will be asked to consider and vote on a proposal to approve the Merger Agreement and the transactions contemplated thereby, including the Merger (collectively, the “Merger Proposal”), and the Common Unitholders will be asked to consider and vote on a proposal to adjourn the Special Meeting, if necessary, to solicit additional proxies if there are not sufficient votes to approve the Merger Agreement and transactions contemplated thereby, including the Merger, at the time of the Special Meeting (the “Adjournment Proposal”). Pursuant to the Voting and Support Agreement, dated as of April 6, 2023 (the “Support Agreement”), by and between Parent and the Partnership, a copy of which is attached as Annex B to the proxy statement accompanying this notice, Parent has agreed to appear at the Special Meeting and vote all of its Common Units in favor of the Merger Agreement and transactions contemplated thereby, including the Merger, and against any competing proposals. As of                     , 2023, Parent owns 15,621,602 Common Units (representing 30.2% of the Common Units issued and outstanding as of                     ,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Partnership Board, acting upon the recommendation of the Conflicts Committee, has unanimously (a) determined that the Merger Agreement and the transactions contemplated thereby, including the Merger, are fair to and in the best interests of the Partnership and the Unaffiliated Unitholders, (b) approved the Merger Agreement and the transactions contemplated thereby, including the Merger, (c) directed that the Merger Agreement and the transactions contemplated thereby, including the Merger, be submitted to a vote of the Common Unitholders and (d) resolved to recommend approval of the Merger Agreement and the transactions contemplated thereby, including the Merger, to the Common Unitholders. </w:t>
      </w:r>
      <w:r>
        <w:rPr>
          <w:rFonts w:ascii="Times New Roman;Times;Serif" w:hAnsi="Times New Roman;Times;Serif"/>
          <w:b/>
          <w:i w:val="false"/>
          <w:caps w:val="false"/>
          <w:smallCaps w:val="false"/>
          <w:sz w:val="20"/>
        </w:rPr>
        <w:t>Accordingly, the Partnership Board recommends that the Common Unitholders vote “FOR” the Merger Proposal and that the Common Unitholders vote “FOR” the Adjournment Proposal.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Your vote is very important. </w:t>
      </w:r>
      <w:r>
        <w:rPr>
          <w:rFonts w:ascii="Times New Roman;Times;Serif" w:hAnsi="Times New Roman;Times;Serif"/>
          <w:b/>
          <w:i w:val="false"/>
          <w:caps w:val="false"/>
          <w:smallCaps w:val="false"/>
          <w:sz w:val="20"/>
        </w:rPr>
        <w:t>Your failure to vote your Common Units will have the same effect as a vote “AGAINST” the approval of the Merger Proposal and, so long as a quorum is present, “AGAINST” the approval of the Adjournment Proposal.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can cause your Common Units to be voted by completing and returning a proxy card. Most Common Unitholders can also submit a proxy over the Internet or by telephone. If Internet and telephone proxy submission are available to you, you can find voting instructions in the materials accompanying the proxy statement. You can revoke a proxy at any time prior to its exercise at the Special Meeting by following the instructions in the enclosed proxy statement. The Partnership Board has called the Special Meeting.</w:t>
      </w:r>
    </w:p>
    <w:p>
      <w:pPr>
        <w:pStyle w:val="TextBody"/>
        <w:spacing w:before="0" w:after="0"/>
        <w:ind w:left="0" w:right="0" w:hanging="0"/>
        <w:rPr>
          <w:caps w:val="false"/>
          <w:smallCaps w:val="false"/>
        </w:rPr>
      </w:pPr>
      <w:r>
        <w:rPr>
          <w:caps w:val="false"/>
          <w:smallCaps w:val="false"/>
        </w:rPr>
        <w:t> </w:t>
      </w:r>
    </w:p>
    <w:tbl>
      <w:tblPr>
        <w:tblW w:w="5120" w:type="dxa"/>
        <w:jc w:val="left"/>
        <w:tblInd w:w="0" w:type="dxa"/>
        <w:tblCellMar>
          <w:top w:w="0" w:type="dxa"/>
          <w:left w:w="0" w:type="dxa"/>
          <w:bottom w:w="0" w:type="dxa"/>
          <w:right w:w="0" w:type="dxa"/>
        </w:tblCellMar>
      </w:tblPr>
      <w:tblGrid>
        <w:gridCol w:w="75"/>
        <w:gridCol w:w="5045"/>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504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Order of the Board of Directors of GasLog Partners LP,</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504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50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504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5045" w:type="dxa"/>
            <w:tcBorders>
              <w:bottom w:val="single" w:sz="8"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50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Curtis V. Anastasio </w:t>
              <w:br/>
            </w:r>
            <w:r>
              <w:rPr>
                <w:rFonts w:ascii="Times New Roman;Times;Serif" w:hAnsi="Times New Roman;Times;Serif"/>
                <w:b w:val="false"/>
                <w:i/>
                <w:caps w:val="false"/>
                <w:smallCaps w:val="false"/>
                <w:sz w:val="20"/>
              </w:rPr>
              <w:t>Chairman of GasLog Partners LP</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504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5045" w:type="dxa"/>
            <w:tcBorders/>
            <w:shd w:fill="auto" w:val="clear"/>
            <w:vAlign w:val="center"/>
          </w:tcPr>
          <w:p>
            <w:pPr>
              <w:pStyle w:val="TableContents"/>
              <w:spacing w:before="0" w:after="283"/>
              <w:rPr>
                <w:caps w:val="false"/>
                <w:smallCaps w:val="false"/>
              </w:rPr>
            </w:pPr>
            <w:r>
              <w:rPr>
                <w:caps w:val="false"/>
                <w:smallCaps w:val="false"/>
              </w:rPr>
              <w:t>                       </w:t>
            </w:r>
            <w:r>
              <w:rPr>
                <w:rFonts w:ascii="Times New Roman;Times;Serif" w:hAnsi="Times New Roman;Times;Serif"/>
                <w:b/>
                <w:i w:val="false"/>
                <w:caps w:val="false"/>
                <w:smallCaps w:val="false"/>
                <w:sz w:val="20"/>
              </w:rPr>
              <w:t>, 2023</w:t>
              <w:br/>
              <w:t>Piraeus, Greece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VOTE IS IMPORTANT!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WHETHER OR NOT YOU EXPECT TO ATTEND THE SPECIAL MEETING VIA THE VIRTUAL MEETING WEBSITE, WE URGE YOU TO SUBMIT YOUR PROXY AS PROMPTLY AS POSSIBLE (1) BY TELEPHONE, (2) VIA THE INTERNET OR (3) BY MARKING, SIGNING AND DATING THE ENCLOSED PROXY CARD AND RETURNING IT IN THE PREPAID ENVELOPE PROVIDED.</w:t>
      </w:r>
      <w:r>
        <w:rPr>
          <w:rFonts w:ascii="Times New Roman;Times;Serif" w:hAnsi="Times New Roman;Times;Serif"/>
          <w:b w:val="false"/>
          <w:i w:val="false"/>
          <w:caps w:val="false"/>
          <w:smallCaps w:val="false"/>
          <w:sz w:val="20"/>
        </w:rPr>
        <w:t xml:space="preserve"> You may revoke your proxy or change your voting instructions at any time before the Special Meeting. If your Common Units are held in the name of a bank, broker or other fiduciary, please follow the instructions on the voting instruction card furnished to you by such record holder.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urge you to read the accompanying proxy statement, including all documents incorporated by reference into the accompanying proxy statement, and its annexes, carefully and in their entirety. If you have any questions concerning the Merger Proposal, the Adjournment Proposal, the Special Meeting or the accompanying proxy statement or would like additional copies of the accompanying proxy statement or need help voting your Common Units, please contact the Partnership’s proxy solicitor: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D.F. King &amp; Co., Inc.</w:t>
        <w:br/>
        <w:t>48 Wall Street, 22nd Floor</w:t>
        <w:br/>
        <w:t>New York, New York 10005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Banks and Brokerage Firms, please call: (212) 269-5550</w:t>
        <w:br/>
        <w:t>Common Unitholders, please call toll free: (866) 342-4883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GLOG@dfking.com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REFERENCES TO ADDITIONAL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proxy statement incorporates by reference important business and financial information about the Partnership from other documents that are not included in or delivered with the proxy statement. For a more detailed discussion of the information about the Partnership incorporated by reference into the proxy statement, see “Where You Can Find More Information”. This information is available to you without charge upon your request. You can obtain the documents incorporated by reference into this proxy statement by requesting them in writing or by telephone from the Partnership at the following address and telephone number: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GasLog Partners LP</w:t>
        <w:br/>
      </w:r>
      <w:r>
        <w:rPr>
          <w:rFonts w:ascii="Times New Roman;Times;Serif" w:hAnsi="Times New Roman;Times;Serif"/>
          <w:b w:val="false"/>
          <w:i w:val="false"/>
          <w:caps w:val="false"/>
          <w:smallCaps w:val="false"/>
          <w:sz w:val="20"/>
        </w:rPr>
        <w:t>c/o GasLog LNG Services Ltd.</w:t>
        <w:br/>
        <w:t>69 Akti Miaouli 18537</w:t>
        <w:br/>
        <w:t>Piraeus, Greece</w:t>
        <w:br/>
        <w:t>Phone: +30 210 459 1000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obtain timely delivery of these documents, you must request them no later than five business days before the date of the Special Meeting. This means that Common Unitholders requesting documents must do so by                     , 2023, in order to receive them before the Special Meeting.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THIS DOCUMENT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constitutes a notice of meeting and a proxy statement with respect to the Special Meeting of Common Unitholders, during which Common Unitholders will be asked to consider and vote on, among other matters, a proposal to approve the Merger Agreement and the transactions contemplated thereby, including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or incorporated by reference into this proxy statement. No one has been authorized to provide you with information that is different from that contained in, or incorporated by reference into, this proxy statement. This proxy statement is dated                     , 2023. The information contained in this proxy statement is accurate only as of that date or, in the case of information in a document incorporated by reference, as of the date of such document, unless the information specifically indicates that another date applies. Neither the mailing of this proxy statement to the Common Unitholders nor the payment of the Merger Consideration or the Special Distribution pursuant to the Merger Agreement will create any implication to the contrary.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does not constitute the solicitation of a proxy in any jurisdiction in which or from any person to whom it is unlawful to make any such offer or solicitation in such jurisdiction.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Page</w:t>
      </w:r>
    </w:p>
    <w:p>
      <w:pPr>
        <w:pStyle w:val="TextBody"/>
        <w:spacing w:before="0" w:after="0"/>
        <w:ind w:left="0" w:right="0" w:hanging="0"/>
        <w:rPr>
          <w:caps w:val="false"/>
          <w:smallCaps w:val="false"/>
        </w:rPr>
      </w:pPr>
      <w:r>
        <w:rPr>
          <w:caps w:val="false"/>
          <w:smallCaps w:val="false"/>
        </w:rPr>
        <w:t> </w:t>
      </w:r>
    </w:p>
    <w:tbl>
      <w:tblPr>
        <w:tblW w:w="10135" w:type="dxa"/>
        <w:jc w:val="left"/>
        <w:tblInd w:w="0" w:type="dxa"/>
        <w:tblCellMar>
          <w:top w:w="0" w:type="dxa"/>
          <w:left w:w="0" w:type="dxa"/>
          <w:bottom w:w="0" w:type="dxa"/>
          <w:right w:w="0" w:type="dxa"/>
        </w:tblCellMar>
      </w:tblPr>
      <w:tblGrid>
        <w:gridCol w:w="9770"/>
        <w:gridCol w:w="60"/>
        <w:gridCol w:w="60"/>
        <w:gridCol w:w="245"/>
      </w:tblGrid>
      <w:tr>
        <w:trPr/>
        <w:tc>
          <w:tcPr>
            <w:tcW w:w="9770" w:type="dxa"/>
            <w:tcBorders/>
            <w:shd w:fill="auto" w:val="clear"/>
            <w:vAlign w:val="center"/>
          </w:tcPr>
          <w:p>
            <w:pPr>
              <w:pStyle w:val="TableContents"/>
              <w:spacing w:before="0" w:after="283"/>
              <w:ind w:left="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TERM SHEET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77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Parties to the Merger</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77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977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Consideration</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977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Treatment of General Partner Units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977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Treatment of Class B Units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977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Treatment of Preference Units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977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Treatment of Partnership Awards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977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Effects of the Merger</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977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Partnership Special Meeting</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977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Conflicts Committee and the Partnership Board’s Approval of the Merger</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977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Conflicts Committee and the Partnership Board Recommendations and Reasons for the Merger</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977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Opinion of the Financial Advisor to the Conflicts Committee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977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Interests of the Directors and Executive Officers of the Partnership in the Merger</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977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to Consummation of the Merger</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977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Approvals Required for the Merger</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977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Solicitation by the Partnership of Alternative Proposals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977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the Partnership Board Recommendation</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977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of the Merger Agreement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77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of the Merger</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977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and Expense Reimbursement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977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Support Agreement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977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U.S. Federal Income Tax Consequences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977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Republic of the Marshall Islands Tax Consequences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977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Appraisal Rights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977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Treatment of the Merger</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977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Delisting and Deregistration of Common Units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977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Organizational Structure Prior to and Following the Merger</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977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QUESTIONS AND ANSWERS ABOUT THE MERGER, THE SPECIAL DISTRIBUTION AND THE SPECIAL MEETING</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9840"/>
        <w:gridCol w:w="60"/>
        <w:gridCol w:w="60"/>
        <w:gridCol w:w="245"/>
      </w:tblGrid>
      <w:tr>
        <w:trPr/>
        <w:tc>
          <w:tcPr>
            <w:tcW w:w="9840" w:type="dxa"/>
            <w:tcBorders/>
            <w:shd w:fill="auto" w:val="clear"/>
            <w:vAlign w:val="center"/>
          </w:tcPr>
          <w:p>
            <w:pPr>
              <w:pStyle w:val="TableContents"/>
              <w:spacing w:before="0" w:after="283"/>
              <w:ind w:left="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FACTORS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984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CAUTIONARY STATEMENT REGARDING FORWARD-LOOKING STATEMENTS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984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PARTIES TO THE MERGER</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984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PARTNERSHIP SPECIAL MEETING OF COMMON UNITHOLDERS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984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Time and Place of the Special Meeting</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984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Matters to be Considered at the Special Meeting</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984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Recommendation of the Partnership Board</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984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Who Can Vote at the Special Meeting</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984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Quorum</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984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Vote Required for Approval</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984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of Common Units by Holders of Record</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984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of Common Units Held in Street Name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984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Revocability of Proxies; Changing Your Voting Instructions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98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Solicitation of Proxies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984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Business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984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Adjournments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984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Assistance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984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FACTORS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984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the Merger</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984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Background of the Merger</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984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Resolution of Conflicts of Interest; Standards of Conduct and Modification of Duties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984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Recommendation of the Conflicts Committee and the Partnership Board; Reasons for Recommending Approval of the Merger Proposal</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984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Opinion of the Financial Advisor to the Conflicts Committee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984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 Management Forecasts of the Partnership</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r>
      <w:tr>
        <w:trPr/>
        <w:tc>
          <w:tcPr>
            <w:tcW w:w="984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Interests of the Directors and Executive Officers of the Partnership in the Merger</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r>
      <w:tr>
        <w:trPr/>
        <w:tc>
          <w:tcPr>
            <w:tcW w:w="984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Board Approval of the Merger</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r>
      <w:tr>
        <w:trPr/>
        <w:tc>
          <w:tcPr>
            <w:tcW w:w="984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Position of Parent, the General Partner, Merger Sub, the Conflicts Committee and the Partnership Board as to the Fairness of the Merger</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r>
      <w:tr>
        <w:trPr/>
        <w:tc>
          <w:tcPr>
            <w:tcW w:w="984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Purpose of Parent and Reasons for the Merger</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r>
      <w:tr>
        <w:trPr/>
        <w:tc>
          <w:tcPr>
            <w:tcW w:w="984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Primary Benefits and Detriments of the Merger</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r>
      <w:tr>
        <w:trPr/>
        <w:tc>
          <w:tcPr>
            <w:tcW w:w="984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Partnership After the Merger</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r>
      <w:tr>
        <w:trPr/>
        <w:tc>
          <w:tcPr>
            <w:tcW w:w="984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Approvals and Clearances Required for the Merger</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r>
      <w:tr>
        <w:trPr/>
        <w:tc>
          <w:tcPr>
            <w:tcW w:w="984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of the Merger</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7855" w:type="dxa"/>
        <w:jc w:val="left"/>
        <w:tblInd w:w="0" w:type="dxa"/>
        <w:tblCellMar>
          <w:top w:w="0" w:type="dxa"/>
          <w:left w:w="0" w:type="dxa"/>
          <w:bottom w:w="0" w:type="dxa"/>
          <w:right w:w="0" w:type="dxa"/>
        </w:tblCellMar>
      </w:tblPr>
      <w:tblGrid>
        <w:gridCol w:w="7385"/>
        <w:gridCol w:w="60"/>
        <w:gridCol w:w="60"/>
        <w:gridCol w:w="350"/>
      </w:tblGrid>
      <w:tr>
        <w:trPr/>
        <w:tc>
          <w:tcPr>
            <w:tcW w:w="7385" w:type="dxa"/>
            <w:tcBorders/>
            <w:shd w:fill="auto" w:val="clear"/>
            <w:vAlign w:val="center"/>
          </w:tcPr>
          <w:p>
            <w:pPr>
              <w:pStyle w:val="TableContents"/>
              <w:spacing w:before="0" w:after="283"/>
              <w:ind w:left="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Expenses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50"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r>
      <w:tr>
        <w:trPr/>
        <w:tc>
          <w:tcPr>
            <w:tcW w:w="738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Treatment of the Merger</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50"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r>
      <w:tr>
        <w:trPr/>
        <w:tc>
          <w:tcPr>
            <w:tcW w:w="738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50"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r>
      <w:tr>
        <w:trPr/>
        <w:tc>
          <w:tcPr>
            <w:tcW w:w="738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for Unaffiliated Unitholders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50"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r>
      <w:tr>
        <w:trPr/>
        <w:tc>
          <w:tcPr>
            <w:tcW w:w="738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Delisting and Deregistration of Common Units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50"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r>
      <w:tr>
        <w:trPr/>
        <w:tc>
          <w:tcPr>
            <w:tcW w:w="738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Appraisal Rights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50"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r>
      <w:tr>
        <w:trPr/>
        <w:tc>
          <w:tcPr>
            <w:tcW w:w="738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1. THE MERGER AGREEMENT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50"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r>
      <w:tr>
        <w:trPr/>
        <w:tc>
          <w:tcPr>
            <w:tcW w:w="738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50"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r>
      <w:tr>
        <w:trPr/>
        <w:tc>
          <w:tcPr>
            <w:tcW w:w="738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Time; Closing</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50"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r>
      <w:tr>
        <w:trPr/>
        <w:tc>
          <w:tcPr>
            <w:tcW w:w="738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to Consummation of the Merger</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50"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r>
      <w:tr>
        <w:trPr/>
        <w:tc>
          <w:tcPr>
            <w:tcW w:w="738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Unitholder Approval</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50"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r>
      <w:tr>
        <w:trPr/>
        <w:tc>
          <w:tcPr>
            <w:tcW w:w="738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Solicitation by the Partnership of Alternative Proposals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50"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r>
      <w:tr>
        <w:trPr/>
        <w:tc>
          <w:tcPr>
            <w:tcW w:w="738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the Partnership Board Recommendation</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50"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r>
      <w:tr>
        <w:trPr/>
        <w:tc>
          <w:tcPr>
            <w:tcW w:w="738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Consideration</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50"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r>
      <w:tr>
        <w:trPr/>
        <w:tc>
          <w:tcPr>
            <w:tcW w:w="738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Treatment of General Partner Units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50"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r>
      <w:tr>
        <w:trPr/>
        <w:tc>
          <w:tcPr>
            <w:tcW w:w="738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Treatment of Preference Units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50"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r>
      <w:tr>
        <w:trPr/>
        <w:tc>
          <w:tcPr>
            <w:tcW w:w="738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Treatment of Partnership Awards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50"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r>
      <w:tr>
        <w:trPr/>
        <w:tc>
          <w:tcPr>
            <w:tcW w:w="738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Prevent Dilution</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50"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r>
      <w:tr>
        <w:trPr/>
        <w:tc>
          <w:tcPr>
            <w:tcW w:w="738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Withholding</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50"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r>
      <w:tr>
        <w:trPr/>
        <w:tc>
          <w:tcPr>
            <w:tcW w:w="738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Conflicts Committee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50"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r>
      <w:tr>
        <w:trPr/>
        <w:tc>
          <w:tcPr>
            <w:tcW w:w="738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Matters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50"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r>
      <w:tr>
        <w:trPr/>
        <w:tc>
          <w:tcPr>
            <w:tcW w:w="738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of the Merger Agreement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50"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r>
      <w:tr>
        <w:trPr/>
        <w:tc>
          <w:tcPr>
            <w:tcW w:w="738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Expenses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50"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r>
      <w:tr>
        <w:trPr/>
        <w:tc>
          <w:tcPr>
            <w:tcW w:w="738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 of Business Pending the Consummation of the Merger</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50"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r>
      <w:tr>
        <w:trPr/>
        <w:tc>
          <w:tcPr>
            <w:tcW w:w="738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Indemnification; Directors’ and Officers’ Insurance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50"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r>
      <w:tr>
        <w:trPr/>
        <w:tc>
          <w:tcPr>
            <w:tcW w:w="738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and Waiver</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50"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r>
      <w:tr>
        <w:trPr/>
        <w:tc>
          <w:tcPr>
            <w:tcW w:w="738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Remedies; Specific Performance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50"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r>
      <w:tr>
        <w:trPr/>
        <w:tc>
          <w:tcPr>
            <w:tcW w:w="738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Representations and Warranties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50"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r>
      <w:tr>
        <w:trPr/>
        <w:tc>
          <w:tcPr>
            <w:tcW w:w="738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for Periods Prior to the Merger</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50"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r>
      <w:tr>
        <w:trPr/>
        <w:tc>
          <w:tcPr>
            <w:tcW w:w="738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Agreements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50"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r>
      <w:tr>
        <w:trPr/>
        <w:tc>
          <w:tcPr>
            <w:tcW w:w="738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SUPPORT AGREEMENT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50"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r>
      <w:tr>
        <w:trPr/>
        <w:tc>
          <w:tcPr>
            <w:tcW w:w="738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SELECTED HISTORICAL CONSOLIDATED FINANCIAL DATA OF THE PARTNERSHIP</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50"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iii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9735"/>
        <w:gridCol w:w="60"/>
        <w:gridCol w:w="60"/>
        <w:gridCol w:w="350"/>
      </w:tblGrid>
      <w:tr>
        <w:trPr/>
        <w:tc>
          <w:tcPr>
            <w:tcW w:w="9735" w:type="dxa"/>
            <w:tcBorders/>
            <w:shd w:fill="auto" w:val="clear"/>
            <w:vAlign w:val="center"/>
          </w:tcPr>
          <w:p>
            <w:pPr>
              <w:pStyle w:val="TableContents"/>
              <w:spacing w:before="0" w:after="283"/>
              <w:ind w:left="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UNIT MARKET PRICE AND DISTRIBUTION INFORMATION</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50"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r>
      <w:tr>
        <w:trPr/>
        <w:tc>
          <w:tcPr>
            <w:tcW w:w="973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 OWNERSHIP</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50"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r>
      <w:tr>
        <w:trPr/>
        <w:tc>
          <w:tcPr>
            <w:tcW w:w="973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PURCHASES AND SALES OF COMMON UNITS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50"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r>
      <w:tr>
        <w:trPr/>
        <w:tc>
          <w:tcPr>
            <w:tcW w:w="973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UNITHOLDER PROPOSALS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50"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r>
      <w:tr>
        <w:trPr/>
        <w:tc>
          <w:tcPr>
            <w:tcW w:w="973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DELISTING AND DEREGISTRATION</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50"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r>
      <w:tr>
        <w:trPr/>
        <w:tc>
          <w:tcPr>
            <w:tcW w:w="973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U.S. FEDERAL INCOME TAX CONSEQUENCES OF THE MERGER</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50"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r>
      <w:tr>
        <w:trPr/>
        <w:tc>
          <w:tcPr>
            <w:tcW w:w="973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Holders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50"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r>
      <w:tr>
        <w:trPr/>
        <w:tc>
          <w:tcPr>
            <w:tcW w:w="973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Non-U.S. Holders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50"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w:t>
            </w:r>
          </w:p>
        </w:tc>
      </w:tr>
      <w:tr>
        <w:trPr/>
        <w:tc>
          <w:tcPr>
            <w:tcW w:w="973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and Information Reporting</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50"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r>
      <w:tr>
        <w:trPr/>
        <w:tc>
          <w:tcPr>
            <w:tcW w:w="973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NON-UNITED STATES TAX CONSIDERATIONS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50"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r>
      <w:tr>
        <w:trPr/>
        <w:tc>
          <w:tcPr>
            <w:tcW w:w="973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Marshall Islands Tax Considerations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50"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r>
      <w:tr>
        <w:trPr/>
        <w:tc>
          <w:tcPr>
            <w:tcW w:w="973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PARENT, THE GENERAL PARTNER AND MERGER SUB</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50"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r>
      <w:tr>
        <w:trPr/>
        <w:tc>
          <w:tcPr>
            <w:tcW w:w="973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and Executive Officers of Parent, the General Partner and Merger Sub</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50"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r>
      <w:tr>
        <w:trPr/>
        <w:tc>
          <w:tcPr>
            <w:tcW w:w="973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Past Transactions and Contacts of Parent, the General Partner and Merger Sub</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50"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r>
      <w:tr>
        <w:trPr/>
        <w:tc>
          <w:tcPr>
            <w:tcW w:w="973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PARTNERSHIP</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50"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r>
      <w:tr>
        <w:trPr/>
        <w:tc>
          <w:tcPr>
            <w:tcW w:w="973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and Executive Officers of the Partnership</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50"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r>
      <w:tr>
        <w:trPr/>
        <w:tc>
          <w:tcPr>
            <w:tcW w:w="973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Past Transactions and Contacts of the Partnership</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50"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r>
      <w:tr>
        <w:trPr/>
        <w:tc>
          <w:tcPr>
            <w:tcW w:w="973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2. POSSIBLE ADJOURNMENT TO SOLICIT ADDITIONAL PROXIES, IF NECESSARY OR APPROPRIATE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50" w:type="dxa"/>
            <w:tcBorders/>
            <w:shd w:fill="auto" w:val="clear"/>
            <w:vAlign w:val="center"/>
          </w:tcPr>
          <w:p>
            <w:pPr>
              <w:pStyle w:val="TableContents"/>
              <w:spacing w:before="0" w:after="283"/>
              <w:ind w:left="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w:t>
            </w:r>
          </w:p>
        </w:tc>
      </w:tr>
      <w:tr>
        <w:trPr/>
        <w:tc>
          <w:tcPr>
            <w:tcW w:w="973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YOU CAN FIND MORE INFORMATION</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50"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ANNEXES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A – The Merger Agreement</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B – The Support Agreement</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C – Opinion of Evercore</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D – Form of Proxy Card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iv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jc w:val="center"/>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SUMMARY TERM SHEET</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following summary highlights selected information in this proxy statement and may not contain all of the information that may be important to you. Accordingly, GasLog Partners LP (the “Partnership”) encourages you to read carefully this entire proxy statement, its annexes and the documents referred to in this proxy statement. You may obtain the information incorporated by reference into this proxy statement without charge by following the instructions in the section entitled “Where You Can Find More Information”.</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Parties to the Merger</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GasLog Ltd.</w:t>
      </w:r>
      <w:r>
        <w:rPr>
          <w:rFonts w:ascii="Times New Roman;Times;Serif" w:hAnsi="Times New Roman;Times;Serif"/>
          <w:b w:val="false"/>
          <w:i w:val="false"/>
          <w:caps w:val="false"/>
          <w:smallCaps w:val="false"/>
          <w:sz w:val="20"/>
          <w:bdr w:val="single" w:sz="8" w:space="1" w:color="000000"/>
        </w:rPr>
        <w:br/>
        <w:t>c/o GasLog LNG Services Ltd.</w:t>
        <w:br/>
        <w:t>69 Akti Miaouli 18537</w:t>
        <w:br/>
        <w:t>Piraeus, Greece</w:t>
        <w:br/>
        <w:t>Phone: +30 210 459 1000</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GasLog Ltd., a Bermuda exempted company (“Parent”), is an international owner, operator and manager of liquefied natural gas (“LNG”) carriers providing support to international energy companies as part of their LNG logistics chain. Parent’s consolidated fleet consists of 38 LNG carriers (33 on the water, four under construction and one vessel undergoing conversion into a floating storage and regasification unit, or “FSRU”). Of these vessels, 18 are owned by Parent, six have been sold and leased back by Parent under long-term bareboat charters and of the remaining 14 LNG carriers, eleven are owned by the Partnership, and three have been sold and leased back by the Partnership.</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Parent’s 8.75% Series A Cumulative Redeemable Perpetual Preference Shares, par value $0.01 per share, are listed and trade on the New York Stock Exchange (the “NYSE”) under the symbol “GLOG PR A”.</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As of                     , 2023, Parent holds 15,621,602 common units representing a limited partner interest in the Partnership (each, a “Common Unit”) (representing 30.2% of the Common Units issued and outstanding as of                     , 2023) and 1,245,000 Class B Units and is also the owner of the General Partner. In the event that the Effective Time does not occur prior to July 1, 2023, the 415,000 Class B-4 Units (as defined in the Partnership Agreement) that are issued and outstanding will become eligible for conversion on a one-for-one basis into 415,000 Common Units at Parent’s option on July 1, 2023.</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GasLog Partners GP LLC</w:t>
        <w:br/>
      </w:r>
      <w:r>
        <w:rPr>
          <w:rFonts w:ascii="Times New Roman;Times;Serif" w:hAnsi="Times New Roman;Times;Serif"/>
          <w:b w:val="false"/>
          <w:i w:val="false"/>
          <w:caps w:val="false"/>
          <w:smallCaps w:val="false"/>
          <w:sz w:val="20"/>
          <w:bdr w:val="single" w:sz="8" w:space="1" w:color="000000"/>
        </w:rPr>
        <w:t>c/o GasLog LNG Services Ltd.</w:t>
        <w:br/>
        <w:t>69 Akti Miaouli 18537</w:t>
        <w:br/>
        <w:t>Piraeus, Greece</w:t>
        <w:br/>
        <w:t>Phone: +30 210 459 1000</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GasLog Partners GP LLC (the “General Partner”) is the general partner of the Partnership and holds the General Partner Units (as defined below). The General Partner is wholly owned by Parent. Under the Seventh Amended and Restated Agreement of Limited Partnership of the Partnership (the “Partnership Agreement”), the General Partner has irrevocably delegated to the board of directors of the Partnership (the “Partnership Board”) all management powers over the business and affairs of the Partnership that it possesses or may possess under applicable law, including the authority to oversee and direct the operation, management and policies of the Partnership on an exclusive basis.</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Saturn Merger Sub LLC</w:t>
        <w:br/>
      </w:r>
      <w:r>
        <w:rPr>
          <w:rFonts w:ascii="Times New Roman;Times;Serif" w:hAnsi="Times New Roman;Times;Serif"/>
          <w:b w:val="false"/>
          <w:i w:val="false"/>
          <w:caps w:val="false"/>
          <w:smallCaps w:val="false"/>
          <w:sz w:val="20"/>
          <w:bdr w:val="single" w:sz="8" w:space="1" w:color="000000"/>
        </w:rPr>
        <w:t>c/o GasLog LNG Services Ltd.</w:t>
        <w:br/>
        <w:t>69 Akti Miaouli 18537</w:t>
        <w:br/>
        <w:t>Piraeus, Greece</w:t>
        <w:br/>
        <w:t>Phone: +30 210 459 1000</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Saturn Merger Sub LLC, a Marshall Islands limited liability company (“Merger Sub”), is a direct wholly owned subsidiary of Parent formed for the sole purpose of effecting the Merger. Merger Sub has not carried out any activities to date, except for activities incidental to its formation and activities undertaken in connection with the transactions contemplated by the Merger Agreement. By operation of the Merger, Merger Sub will be merged with and into the Partnership, with the Partnership surviving the Merger as a direct subsidiary of Parent.</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GasLog Partners LP</w:t>
        <w:br/>
      </w:r>
      <w:r>
        <w:rPr>
          <w:rFonts w:ascii="Times New Roman;Times;Serif" w:hAnsi="Times New Roman;Times;Serif"/>
          <w:b w:val="false"/>
          <w:i w:val="false"/>
          <w:caps w:val="false"/>
          <w:smallCaps w:val="false"/>
          <w:sz w:val="20"/>
          <w:bdr w:val="single" w:sz="8" w:space="1" w:color="000000"/>
        </w:rPr>
        <w:t>c/o GasLog LNG Services Ltd.</w:t>
        <w:br/>
        <w:t>69 Akti Miaouli 18537</w:t>
        <w:br/>
        <w:t>Piraeus, Greece</w:t>
        <w:br/>
        <w:t>Phone: +30 210 459 1000</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Partnership is an owner, operator and acquirer of LNG carriers. The Partnership’s fleet consists of eleven wholly owned LNG carriers as well as three vessels on bareboat charters, with an average carrying capacity of approximately 159,000 cbm. The Partnership is a publicly traded master limited partnership (NYSE: GLOP) but has elected to be treated as a C-corporation for U.S. income tax purposes and therefore its investors receive an Internal Revenue Service Form 1099 with respect to any distributions declared and received.</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The Merger</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Partnership, Parent, the General Partner and Merger Sub have agreed to effect the Merger under the terms of the Agreement and Plan of Merger (the “Merger Agreement”) that is described in this proxy statement. Under the terms of the Merger Agreement, Merger Sub, a direct wholly owned subsidiary of Parent, will merge with and into the Partnership (the “Merger”), with the Partnership surviving the Merger as a Marshall Islands limited partnership and as a direct subsidiary of Parent (such entity, the “Surviving Entity”). The Merger Agreement is attached as Annex A to this proxy statement. We encourage you to read the Merger Agreement because it is the legal document that governs the terms and conditions of the Merger.</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Consideration</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Merger Agreement provides that, in connection with the transactions contemplated by the Merger Agreement, holders of each Common Unit issued and outstanding immediately prior to the Effective Time, other than the Common Units held by Parent or its affiliates (the “Sponsor Units”) will, assuming that such holders hold Common Units both on the record date of the Special Distribution (as defined below) and at the Effective Time, receive overall consideration of $8.65 per Common Unit, consisting of the Special Distribution and the Merger Consideration (as defined below). Upon completion of the Merger, each Common Unit issued and outstanding immediately prior to the Effective Time, other than the Sponsor Units, will be converted into the right to receive $5.37 per Common Unit in cash (the “Merger Consideration”), without interest and reduced by any applicable tax withholding. In addition, as soon as reasonably practicable following the Unitholder Approval (as defined below), pursuant to the terms of the Merger Agreement, the Partnership Board will declare a special distribution of $3.28 per Common Unit (with a corresponding amount distributed in respect of each General Partner Unit) (the “Special Distribution” and, together with the Merger Consideration, the “Consideration”) with a record date on a business day prior to the anticipated closing date of the Merger and a payment date occurring on or prior to the closing date of the Merger, which dates will be reasonably agreed between the Partnership and Parent.</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Treatment of General Partner Units</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General Partner Units (as defined in the Partnership Agreement), issued and outstanding immediately prior to the Effective Time will remain outstanding, and the General Partner will continue as the sole general partner of the Partnership and the sole owner of the General Partner Units. No party will deliver any consideration in respect of the General Partner Units (other than the amount distributed in respect of each General Partner Unit in connection with the Special Distribution).</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Treatment of Class B Units</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Each of the Class B-1 Units, Class B-2 Units, Class B-3 Units, Class B-4 Units, Class B-5 Units and Class B-6 Units (in each case as defined in the Partnership Agreement and collectively, the “Class B Units”) that is issued and outstanding immediately prior to the Effective Time will automatically be cancelled at the Effective Time and will cease to exist, and no consideration will be delivered in respect thereof. As of           , 2023, Parent is the sole holder of all issued and outstanding Class B Units. In the event that the Effective Time does not occur prior to July 1, 2023, the 415,000 Class B-4 Units that are issued and outstanding will become eligible for conversion on a one-for-one basis into 415,000 Common Units at Parent’s option on July 1, 2023.</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Treatment of Preference Units</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Each of the issued and outstanding Series A Preference Units, Series B Preference Units and Series C Preference Units (in each case as defined in the Partnership Agreement and collectively, the “Preference Units”) will remain outstanding immediately upon completion of the Merger and continue to trade on the NYSE immediately following completion of the Merger, and no party will deliver any consideration in respect of any Preference Unit.</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Treatment of Partnership Awards</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Each restricted common unit award of the Partnership (each, a “Partnership Restricted Unit”), whether vested or unvested, that is outstanding immediately prior to the Effective Time, will automatically be cancelled at the Effective Time and converted into the right to receive a cash payment equal to the sum of (a) the product of (i) the number of Common Units subject to such award as of immediately prior to the Effective Time and (ii) the Merger Consideration and (b) the amount of accrued but unpaid distributions, including the Special Distribution, with respect to such award as of immediately prior to the Effective Time, and for purposes of the foregoing, with performance goals deemed achieved based on actual achievement of any performance goals as of immediately prior to the Effective Time.</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Effects of the Merger</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If the Merger is completed, (a) the Partnership will be a direct subsidiary of Parent, (b) Unaffiliated Unitholders will no longer have an equity interest in the Partnership and (c) the Partnership will use its reasonable best efforts to cause the Common Units (i) to be delisted from the NYSE and (ii) to be deregistered with the U.S. Securities and Exchange Commission (the “SEC”) under the Securities Exchange Act of 1934, as amended (the “Exchange Act”), as soon as reasonably practicable following the Effective Time.</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The Partnership Special Meeting</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 xml:space="preserve">Special Meeting. </w:t>
      </w:r>
      <w:r>
        <w:rPr>
          <w:rFonts w:ascii="Times New Roman;Times;Serif" w:hAnsi="Times New Roman;Times;Serif"/>
          <w:b w:val="false"/>
          <w:i w:val="false"/>
          <w:caps w:val="false"/>
          <w:smallCaps w:val="false"/>
          <w:sz w:val="20"/>
          <w:bdr w:val="single" w:sz="8" w:space="1" w:color="000000"/>
        </w:rPr>
        <w:t>The Special Meeting will be held on                     , 2023, at                  (Eastern Time). At the Special Meeting, Common Unitholders will be asked to vote on the following proposals:</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b/>
                <w:i/>
              </w:rPr>
              <w:t xml:space="preserve">Merger Proposal: </w:t>
            </w:r>
            <w:r>
              <w:rPr/>
              <w:t>To approve the Merger Agreement, a copy of which is attached as Annex A to this proxy statement, as such agreement may be amended from time to time, and the transactions contemplated thereby, including the Merger (the “Merger Proposal”); and</w:t>
            </w:r>
          </w:p>
        </w:tc>
      </w:tr>
    </w:tbl>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b/>
                <w:i/>
              </w:rPr>
              <w:t xml:space="preserve">Adjournment Proposal: </w:t>
            </w:r>
            <w:r>
              <w:rPr/>
              <w:t>To approve the adjournment of the Special Meeting, if necessary or appropriate to solicit additional proxies if there are not sufficient votes to approve the Merger Agreement and the transactions contemplated by the Merger Agreement, including the Merger, at the time of the Special Meeting (the “Adjournment Proposal”).</w:t>
            </w:r>
          </w:p>
        </w:tc>
      </w:tr>
    </w:tbl>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Attendance at the Special Meeting will be permitted only online via live webcast. The Special Meeting can be accessed by visiting www.virtualshareholdermeeting.com/GLOP2023SM (the “virtual meeting website”) where you will be able to attend the Special Meeting, vote and submit questions online during the Special Meeting. Please note that you will not be able to attend the Special Meeting in person. Please have your 16-digit control number to join the Special Meeting. Instructions on how to attend and participate online are also posted online at the virtual meeting website.</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 xml:space="preserve">Who Can Vote at the Special Meeting. </w:t>
      </w:r>
      <w:r>
        <w:rPr>
          <w:rFonts w:ascii="Times New Roman;Times;Serif" w:hAnsi="Times New Roman;Times;Serif"/>
          <w:b w:val="false"/>
          <w:i w:val="false"/>
          <w:caps w:val="false"/>
          <w:smallCaps w:val="false"/>
          <w:sz w:val="20"/>
          <w:bdr w:val="single" w:sz="8" w:space="1" w:color="000000"/>
        </w:rPr>
        <w:t>Only Common Unitholders of record at the close of business on                     , 2023, will be entitled to receive notice of the Special Meeting and to vote on the Merger Proposal or the Adjournment Proposal at the Special Meeting. As of the close of business on the record date of                     , 2023, there were                      Common Units held by Common Unitholders entitled to vote on the Merger Proposal and the Adjournment Proposal. Each Common Unitholder, including Parent, is entitled to one vote for each Common Unit owned as of the record date for the Special Meeting, subject to the limitation set forth in the following paragraph.</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Partnership Agreement restricts Common Unitholders’ voting rights (such restriction, the “Cutback”) by providing that if any person or group beneficially owns more than 4.9% of the issued and outstanding Common Units, any such Common Units owned by that person or group in excess of 4.9% may not be voted on any matter and will not be considered to be outstanding when sending notices of a meeting of Common Unitholders, calculating required votes (except for purposes of nominating a person for election to the Partnership Board), determining the presence of a quorum or for other similar purposes under the Partnership Agreement (unless otherwise required by law). Both (a) the General Partner and its affiliates, including Parent, and (b) persons who acquired Common Units with the prior approval of the Partnership Board will not be subject to the Cutback, except with respect to voting their Common Units in the election of elected directors. Other than Parent and the General Partner’s other affiliates and Cobas Asset Management SGIIC SA, the Partnership does not know of any person or group that beneficially owns more than 4.9% of the issued and outstanding Common Units.</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 xml:space="preserve">Required Vote. </w:t>
      </w:r>
      <w:r>
        <w:rPr>
          <w:rFonts w:ascii="Times New Roman;Times;Serif" w:hAnsi="Times New Roman;Times;Serif"/>
          <w:b w:val="false"/>
          <w:i w:val="false"/>
          <w:caps w:val="false"/>
          <w:smallCaps w:val="false"/>
          <w:sz w:val="20"/>
          <w:bdr w:val="single" w:sz="8" w:space="1" w:color="000000"/>
        </w:rPr>
        <w:t>Subject to the Cutback, the affirmative vote of holders of at least a majority of the issued and outstanding Common Units, including those held by Parent, is required to approve the Merger Agreement and the transactions contemplated thereby, including the Merger (“Unitholder Approval”). As of the record date for the Special Meeting, there were                      Common Units issued and outstanding, of which 15,621,602 Common Units were owned by Parent (representing 30.2% of the Common Units issued and outstanding as of such date).</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Subject to the Cutback, if a quorum is present, the affirmative vote of holders of at least a majority of the issued and outstanding Common Units, including those held by Parent, is required to approve the adjournment of the Special Meeting, if necessary, to solicit additional proxies if there are not sufficient votes to approve the Merger Agreement and the transactions contemplated thereby, including the Merger, at the time of the Special Meeting. Subject to the Cutback, if a quorum is not present, the affirmative vote of holders of at least a majority of the issued and outstanding Common Units entitled to vote and present via the virtual meeting website or by proxy at the Special Meeting, including those held by Parent, is required to approve the adjournment of the Special Meeting, if necessary, to solicit additional proxies if there are not sufficient votes to approve the Merger Agreement and the transactions contemplated thereby, including the Merger, at the time of the Special Meeting.</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Abstentions will have the same effect as votes “AGAINST” approval of the Merger Proposal and, so long as a quorum is present, “AGAINST” approval of the Adjournment Proposal, and if you fail to cast your vote by attendance via the virtual meeting website or by proxy or fail to give voting instructions to your broker, bank or other nominee and are otherwise represented by attendance via the virtual meeting website or by proxy, it will have the same effect as a vote “AGAINST” the Merger Proposal and, so long as a quorum is present, “AGAINST” approval of the Adjournment Proposal, as applicable.</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Pursuant to the Voting and Support Agreement, dated as of April 6, 2023 (the “Support Agreement”), by and between Parent and the Partnership, a copy of which is attached as Annex B to this proxy statement, Parent has agreed to appear at the Special Meeting and vote all of its Common Units in favor of the Merger Agreement and transactions contemplated thereby, including the Merger, and against any competing proposals. As of                     , 2023, Parent owns 15,621,602 Common Units (representing 30.2% of the Common Units issued and outstanding as of                     , 2023). The holders of Preference Units do not have the right to vote at the Special Meeting in their capacities as holders of Preference Units.</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The Conflicts Committee and the Partnership Board’s Approval of the Merger</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Following receipt of Parent’s initial offer to acquire all of the Common Units not already owned by Parent, the Partnership Board directed the Conflicts Committee of the Partnership Board (the “Conflicts Committee”), comprised solely of two independent directors who meet the requirements for membership on the Conflicts Committee set forth in the Partnership Agreement and advised by its own independent legal and financial advisors, to (a) propose, review, evaluate and negotiate the proposed transactions on behalf of the Partnership and the Common Unitholders and (b) make any recommendations to the Partnership Board and to the holders of Common Units regarding the proposed transactions as the Conflicts Committee determines in its sole discretion to be advisable or to reject in its sole discretion the proposed transactions and to terminate discussions with Parent.</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Conflicts Committee along with its financial and legal advisors conducted a review and evaluation of the proposed Merger. In the course of reaching its decision to approve the Merger Agreement and the transactions contemplated by the Merger Agreement, including the Merger, the Conflicts Committee and the Partnership Board considered a number of factors in their respective deliberations. For a more complete discussion of these items, see “The Merger – Recommendation of the Conflicts Committee and the Partnership Board; Reasons for Recommending Approval of the Merger Proposal”.</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The Conflicts Committee and the Partnership Board Recommendations and Reasons for the Merger</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Conflicts Committee unanimously (a) determined that the Merger Agreement and the transactions contemplated thereby, including the Merger, are fair to and in the best interests of the Partnership and the Unaffiliated Unitholders, (b) approved the Merger Agreement and the transactions contemplated thereby, including the Merger (the foregoing constituting Special Approval as defined in the Partnership Agreement), and (c) recommended to the Partnership Board that the Partnership Board (i) approve the Merger Agreement and the transactions contemplated thereby, including the Merger, and (ii) recommend approval of the Merger Agreement and the transactions contemplated thereby, including the Merger, to the Common Unitholders.</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The Partnership Board recommends that Common Unitholders vote “FOR” the approval of the Merger Agreement and that Common Unitholders vote “FOR” the adjournment of the Special Meeting, if necessary, to solicit additional proxies if there are not sufficient votes to approve the Merger Agreement at the time of the Special Meeting.</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 the course of reaching its decision to approve the Merger Agreement and the transactions contemplated by the Merger Agreement, including the Merger, the Conflicts Committee and the Partnership Board considered a number of factors in their respective deliberations. For a more complete discussion of these factors, see “The Merger – Recommendation of the Conflicts Committee and the Partnership Board; Reasons for Recommending Approval of the Merger Proposal”.</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Opinion of the Financial Advisor to the Conflicts Committee</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Under the terms of an engagement letter among Evercore Group L.L.C. (“Evercore”), the Partnership and the Conflicts Committee, the Conflicts Committee engaged Evercore to act as its financial advisor in connection with the Merger. As part of this engagement, the Conflicts Committee requested that Evercore evaluate whether the Consideration to be received by holders of the Common Units other than Parent, the General Partner and Merger Sub (collectively, the “Sponsor Entities”) and their affiliates in the Merger is fair, from a financial point of view, to the Partnership and to such holders.</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At a meeting of the Conflicts Committee held on April 6, 2023, Evercore rendered to the Conflicts Committee its oral opinion, subsequently confirmed by delivery of a written opinion dated April 6, 2023, that, as of April 6, 2023, and based upon and subject to the assumptions, limitations, qualifications and conditions described in Evercore’s written opinion, the Consideration to be received by the holders of the Common Units other than the Sponsor Entities and their affiliates in the Merger was fair, from a financial point of view, to the Partnership and to such holders.</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The full text of the written opinion of Evercore, dated as of April 6, 2023, which sets forth, among other things, the procedures followed, assumptions made, matters considered and qualifications and limitations on the scope of review undertaken in rendering its opinion, is attached as Annex C to this proxy statement and is incorporated by reference in its entirety into this proxy statement. You are urged to read this opinion carefully and in its entirety. Evercore’s opinion was addressed to, and provided for the information and benefit of, the Conflicts Committee (in its capacity as such) in connection with its evaluation of the proposed Merger. The opinion does not constitute a recommendation to the Conflicts Committee or to any other persons in respect of the Merger, including as to how any holder of Common Units should vote or act in respect of the Merger.</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Evercore’s opinion does not address the relative merits of the Merger as compared to other business or financial strategies that might be available to the Partnership, nor does it address the underlying business decision of the Partnership to engage in the Merger.</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For further information, see the section of this proxy statement entitled “– </w:t>
      </w:r>
      <w:r>
        <w:rPr>
          <w:rFonts w:ascii="Times New Roman;Times;Serif" w:hAnsi="Times New Roman;Times;Serif"/>
          <w:b w:val="false"/>
          <w:i/>
          <w:caps w:val="false"/>
          <w:smallCaps w:val="false"/>
          <w:sz w:val="20"/>
          <w:bdr w:val="single" w:sz="8" w:space="1" w:color="000000"/>
        </w:rPr>
        <w:t>Opinion of the Financial Advisor to the Conflicts Committee</w:t>
      </w:r>
      <w:r>
        <w:rPr>
          <w:rFonts w:ascii="Times New Roman;Times;Serif" w:hAnsi="Times New Roman;Times;Serif"/>
          <w:b w:val="false"/>
          <w:i w:val="false"/>
          <w:caps w:val="false"/>
          <w:smallCaps w:val="false"/>
          <w:sz w:val="20"/>
          <w:bdr w:val="single" w:sz="8" w:space="1" w:color="000000"/>
        </w:rPr>
        <w:t>” beginning on page 64 and the full text of the written opinion of Evercore attached as Annex C to this proxy statement.</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Interests of the Directors and Executive Officers of the Partnership in the Merger</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Some of the directors and executive officers of the Partnership have financial interests in the Merger that may be different from, or in addition to, those of the Common Unitholders generally. Each of the Partnership Board and the Conflicts Committee were aware of these interests and considered them, among other matters, in approving the Merger Agreement and making its recommendation that the Common Unitholders approve the Merger Agreement and the transactions contemplated thereby, including the Merger. These interests include the following:</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Each Partnership Restricted Unit, whether vested or unvested, that is outstanding immediately prior to the Effective Time, will automatically be cancelled at the Effective Time and converted into the right to receive a cash payment equal to the sum of (a) the product of (i) the number of Common Units subject to such award as of immediately prior to the Effective Time and (ii) the Merger Consideration and (b) the amount of accrued but unpaid distributions, including the Special Distribution, with respect to such award as of immediately prior to the Effective Time, and for purposes of the foregoing, with performance goals deemed achieved based on actual achievement of any performance goals as of immediately prior to the Effective Time.</w:t>
            </w:r>
          </w:p>
        </w:tc>
      </w:tr>
    </w:tbl>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In consideration of the expected time and effort that would be required of the members of the Conflicts Committee in evaluating the Merger, including negotiating the terms and conditions of the Merger Agreement, the Partnership Board determined that each member of the Conflicts Committee would receive as compensation an amount in cash of $50,000. In connection with any litigation involvement relating to, or arising out of, the Merger, each member of the Conflicts Committee will receive $1,000 per hour for time actually spent in connection with litigation-related matters, if any and, to the extent travel is needed, a fee of $2,500 per travel day and reimbursement of travel costs. The foregoing compensation was approved by the Partnership Board and was not, and is not, contingent upon the approval of the Merger Proposal or completion of the Mergers or any other transaction involving the Partnership or Parent.</w:t>
            </w:r>
          </w:p>
        </w:tc>
      </w:tr>
    </w:tbl>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Partnership’s directors and officers are also entitled to continued indemnification and directors’ and officers’ liability insurance coverage for a period of time under the Merger Agreement. For a further discussion of the interests of directors and executive officers in the Merger, see “Special Factors – Interests of the Directors and Executive Officers of the Partnership in the Merger”.</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Conditions to Consummation of the Merger</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Parent and the Partnership currently expect to complete the Merger by the end of the third quarter of 2023, subject to receipt of required Unitholder Approval and to the satisfaction or waiver of certain closing conditions to the transactions contemplated by the Merger Agreement described below.</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As more fully described in this proxy statement, Parent, the Partnership, the General Partner and Merger Sub may not complete the Merger unless each of the following conditions is satisfied or waived, if waiver is permitted by applicable law:</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the Merger Agreement and the transactions contemplated thereby, including the Merger, must have received Unitholder Approval;</w:t>
            </w:r>
          </w:p>
        </w:tc>
      </w:tr>
    </w:tbl>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tbl>
      <w:tblPr>
        <w:tblW w:w="5000" w:type="pct"/>
        <w:jc w:val="left"/>
        <w:tblInd w:w="0" w:type="dxa"/>
        <w:tblCellMar>
          <w:top w:w="0" w:type="dxa"/>
          <w:left w:w="0" w:type="dxa"/>
          <w:bottom w:w="0" w:type="dxa"/>
          <w:right w:w="0" w:type="dxa"/>
        </w:tblCellMar>
      </w:tblPr>
      <w:tblGrid>
        <w:gridCol w:w="37"/>
        <w:gridCol w:w="126"/>
        <w:gridCol w:w="10042"/>
      </w:tblGrid>
      <w:tr>
        <w:trPr/>
        <w:tc>
          <w:tcPr>
            <w:tcW w:w="37"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rFonts w:ascii="Symbol" w:hAnsi="Symbol"/>
              </w:rPr>
            </w:pPr>
            <w:r>
              <w:rPr>
                <w:rFonts w:ascii="Symbol" w:hAnsi="Symbol"/>
              </w:rPr>
              <w:t>·</w:t>
            </w:r>
          </w:p>
        </w:tc>
        <w:tc>
          <w:tcPr>
            <w:tcW w:w="10042" w:type="dxa"/>
            <w:tcBorders/>
            <w:shd w:fill="auto" w:val="clear"/>
            <w:vAlign w:val="center"/>
          </w:tcPr>
          <w:p>
            <w:pPr>
              <w:pStyle w:val="TableContents"/>
              <w:spacing w:before="0" w:after="283"/>
              <w:rPr/>
            </w:pPr>
            <w:r>
              <w:rPr/>
              <w:t>the Special Distribution must have been declared and paid in accordance with the Merger Agreement; and</w:t>
            </w:r>
          </w:p>
        </w:tc>
      </w:tr>
    </w:tbl>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no injunction, order, judgment, ruling, decree or writ enacted, promulgated, issued, entered, amended or enforced by any governmental authority of any competent jurisdiction will be in effect enjoining, restraining, or otherwise making illegal, preventing or prohibiting the consummation of the Merger.</w:t>
            </w:r>
          </w:p>
        </w:tc>
      </w:tr>
    </w:tbl>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obligations of Parent, the General Partner and Merger Sub to effect the Merger are subject to the satisfaction or waiver of the following additional conditions:</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 xml:space="preserve">(a) the representations and warranties of the Partnership in Section 3.3(a) and Section 3.3(c) of the Merger Agreement will be true and correct in all respects, both when made and at and as of the date of the closing of the Merger (except to the extent expressly made as of an earlier date, in which case as of such earlier date); (b) the representations and warranties contained in Section 3.2(a) of the Merger Agreement will be true and correct in all but </w:t>
            </w:r>
            <w:r>
              <w:rPr>
                <w:i/>
              </w:rPr>
              <w:t>de minimis</w:t>
            </w:r>
            <w:r>
              <w:rPr/>
              <w:t xml:space="preserve"> respects, both when made and at and as of the closing of the Merger (except to the extent expressly made as of an earlier date, in which case as of such date); and (c) all other representations and warranties of the Partnership in Article III of the Merger Agreement will be true and correct, both when made and at and as of the date of the closing of the Merger (except to the extent expressly made as of an earlier date, in which case as of such date), except (in the case of this clause (c)) where the failure of such representations and warranties to be so true and correct (without giving effect to any qualification or limitation as to material adverse effect or materiality contained in any individual representation or warranty), does not have, and would not reasonably be expected to have, individually or in the aggregate, a material adverse effect on the Partnership;</w:t>
            </w:r>
          </w:p>
        </w:tc>
      </w:tr>
    </w:tbl>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the Partnership will have performed, in all material respects, all obligations required to be performed by it under the Merger Agreement;</w:t>
            </w:r>
          </w:p>
        </w:tc>
      </w:tr>
    </w:tbl>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no material adverse effect on the Partnership having occurred since the date of the Merger Agreement; and</w:t>
            </w:r>
          </w:p>
        </w:tc>
      </w:tr>
    </w:tbl>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Parent will have received an officer’s certificate executed by an authorized officer of the Partnership, in form and substance reasonably acceptable to Parent, certifying that the three preceding conditions have been satisfied.</w:t>
            </w:r>
          </w:p>
        </w:tc>
      </w:tr>
    </w:tbl>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obligations of the Partnership to effect the Merger are subject to the satisfaction or waiver of the following additional conditions:</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(a) the representations and warranties of Parent, the General Partner and Merger Sub in Section 4.3(a) of the Merger Agreement will be true and correct in all respects, both when made and at and as of the date of the closing of the Merger (except to the extent expressly made as of an earlier date, in which case as of such date); and (b) all other representations and warranties of Parent, the General Partner and Merger Sub in Article IV of the Merger Agreement will be true and correct, both when made and at and as of the date of the closing of the Merger (except to the extent expressly made as of an earlier date, in which case as of such date), except (in the case of this clause (b)) where the failure of such representations and warranties to be so true and correct (without giving effect to any qualification or limitation as to materiality set forth in any individual such representation or warranty), does not, and would not reasonably be expected to, individually or in the aggregate, prevent or materially impede, interfere with or hinder the consummation of the transactions contemplated by the Merger Agreement, including the Merger;</w:t>
            </w:r>
          </w:p>
        </w:tc>
      </w:tr>
    </w:tbl>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Parent, the General Partner and Merger Sub will have performed, in all material respects, all obligations required to be performed by them under the Merger Agreement; and</w:t>
            </w:r>
          </w:p>
        </w:tc>
      </w:tr>
    </w:tbl>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the Partnership will have received an officer’s certificate executed by an authorized officer of Parent, in form and substance reasonably acceptable to the Partnership, certifying that the two preceding conditions have been satisfied.</w:t>
            </w:r>
          </w:p>
        </w:tc>
      </w:tr>
    </w:tbl>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Regulatory Approvals Required for the Merger</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Consummation of the Merger is not subject to the expiration or termination of a waiting period under the Hart-Scott-Rodino Antitrust Improvements Act of 1976, as amended, and the rules and regulations promulgated thereunder (the “HSR Act”), and is not expected to be subject to any other regulatory approvals.</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No Solicitation by the Partnership of Alternative Proposals</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Pursuant to the Merger Agreement, the Partnership has agreed that it will not, and will cause its subsidiaries and will use its commercially reasonable efforts to cause its officers, directors, equityholders, employees, agents, financial advisors, investment bankers, attorneys, accountants, consultants and other advisors and representatives not to, directly or indirectly, solicit, initiate, knowingly facilitate, knowingly encourage (including by way of furnishing non-public information) or knowingly induce or take any other action intended to lead to any inquiries or any proposals that constitute or could reasonably be expected to lead to any inquiry, proposal or offer from any person or “group” (as defined in Section 13(d) of the Exchange Act), other than Parent, its subsidiaries, and their affiliates, relating to (other than the transactions contemplated in the Merger Agreement and other than in the ordinary course of business) any:</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direct or indirect acquisition (whether in a single transaction or a series of related transactions and whether through merger, tender offer, exchange offer, business combination, consolidation or otherwise) of assets of the Partnership and its subsidiaries equal to 20% or more of the Partnership’s consolidated assets (based on their fair market value) or to which 20% or more of the Partnership’s revenues or earnings on a consolidated basis are attributable;</w:t>
            </w:r>
          </w:p>
        </w:tc>
      </w:tr>
    </w:tbl>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direct or indirect acquisition (whether in a single transaction or a series of related transactions) of beneficial ownership (within the meaning of Section 13 under the Exchange Act) of any class of equity securities of the Partnership; or</w:t>
            </w:r>
          </w:p>
        </w:tc>
      </w:tr>
    </w:tbl>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tender offer or exchange offer that if consummated would result in any person or “group” (as defined in Section 13(d) of the Exchange Act) beneficially owning any class of equity securities of the Partnership.</w:t>
            </w:r>
          </w:p>
        </w:tc>
      </w:tr>
    </w:tbl>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Change in the Partnership Board Recommendation</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Merger Agreement provides that the Partnership and its subsidiaries will not, and they will use commercially reasonable efforts to cause their respective representatives not to, directly or indirectly, withdraw, modify or qualify, or propose publicly to withdraw, modify or qualify, in a manner adverse to Parent, the recommendation of the Partnership Board that the Common Unitholders approve the Merger Agreement or fail to include such recommendation of the Partnership Board in this proxy statement.</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Partnership’s taking or failing to take, as applicable, any of the actions described above is referred to as an “Adverse Recommendation Change”.</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Subject to the satisfaction of specified conditions in the Merger Agreement described under “Proposal 1: The Merger Agreement – Change in the Partnership Board Recommendation”, the Conflicts Committee may, on behalf of the Partnership Board, at any time prior to Unitholder Approval, effect an Adverse Recommendation Change.</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Termination of the Merger Agreement</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Parent or the Partnership may terminate the Merger Agreement at any time prior to the Effective Time, by mutual written consent duly authorized by each of the Parent Board (as defined below) and the Conflicts Committee, respectively.</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 addition, either Parent or, following authorization by the Conflicts Committee, the Partnership may terminate the Merger Agreement at any time prior to the Effective Time:</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 xml:space="preserve">if the Merger has not occurred on or before October 6, 2023 (the “Outside Date”); </w:t>
            </w:r>
            <w:r>
              <w:rPr>
                <w:i/>
              </w:rPr>
              <w:t>provided</w:t>
            </w:r>
            <w:r>
              <w:rPr/>
              <w:t xml:space="preserve"> that the right to terminate the Merger Agreement if the Merger has not occurred on or before the Outside Date will not be available to a party (a) if the breach by such party of its representations and warranties set forth in the Merger Agreement or the failure of such party or its affiliates to perform any of its obligations under the Merger Agreement, its failure to act in good faith or its failure to use commercially reasonable efforts to consummate the transactions contemplated by the Merger Agreement were a principal cause of or resulted in the failure of the Merger to be consummated on or prior to the Outside Date or (b) if any other party has filed (and is then pursuing) an action seeking specific performance to enforce the obligations under the Merger Agreement;</w:t>
            </w:r>
          </w:p>
        </w:tc>
      </w:tr>
    </w:tbl>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 xml:space="preserve">if any governmental authority has enacted, promulgated, issued, entered, amended or enforced an injunction, order, judgment, ruling, decree or writ that in effect enjoins, restrains, or otherwise makes illegal, prevents or prohibits the consummation of the Merger and that has become final and nonappealable; </w:t>
            </w:r>
            <w:r>
              <w:rPr>
                <w:i/>
              </w:rPr>
              <w:t>provided</w:t>
            </w:r>
            <w:r>
              <w:rPr/>
              <w:t xml:space="preserve">, </w:t>
            </w:r>
            <w:r>
              <w:rPr>
                <w:i/>
              </w:rPr>
              <w:t>however</w:t>
            </w:r>
            <w:r>
              <w:rPr/>
              <w:t>, that the party seeking to terminate the Merger Agreement has performed in all material respects its obligations under the Merger Agreement, acted in good faith and used commercially reasonable efforts to prevent the entry of and to remove such restraint on the consummation of the Merger in accordance with its obligations under the Merger Agreement; or</w:t>
            </w:r>
          </w:p>
        </w:tc>
      </w:tr>
    </w:tbl>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 xml:space="preserve">if the Special Meeting has concluded and the Unitholder Approval has not been obtained; </w:t>
            </w:r>
            <w:r>
              <w:rPr>
                <w:i/>
              </w:rPr>
              <w:t>provided</w:t>
            </w:r>
            <w:r>
              <w:rPr/>
              <w:t xml:space="preserve">, </w:t>
            </w:r>
            <w:r>
              <w:rPr>
                <w:i/>
              </w:rPr>
              <w:t>however</w:t>
            </w:r>
            <w:r>
              <w:rPr/>
              <w:t>, that the right to terminate will be available to a party only if such party performed in all material respects its obligations under the Merger Agreement with respect to the Special Meeting.</w:t>
            </w:r>
          </w:p>
        </w:tc>
      </w:tr>
    </w:tbl>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 addition, Parent may terminate the Merger Agreement at any time prior to the Effective Time:</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if an Adverse Recommendation Change by the Conflicts Committee on behalf of the Partnership Board has occurred; or</w:t>
            </w:r>
          </w:p>
        </w:tc>
      </w:tr>
    </w:tbl>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 xml:space="preserve">if the Partnership breached any of its representations or warranties or failed to perform any of its obligations or agreements in the Merger Agreement such that such breach or failure to perform (a) would (if it occurred or was continuing as of the closing date) give rise to a failure by the Partnership to adhere to its representations and warranties, or a failure by the Partnership to perform in all material respects all obligations required to be performed by it under the Merger Agreement, and (b) is not reasonably capable of being cured prior to the Outside Date, or is not cured by the Partnership within 30 days following receipt of written notice from Parent of such breach or failure stating Parent’s intention to terminate the Merger Agreement (or in any event, is not cured by the Outside Date); </w:t>
            </w:r>
            <w:r>
              <w:rPr>
                <w:i/>
              </w:rPr>
              <w:t xml:space="preserve">provided </w:t>
            </w:r>
            <w:r>
              <w:rPr/>
              <w:t>that Parent will not have the right to terminate if Parent, the General Partner or Merger Sub is then in material breach of any of its representations, warranties, obligations or agreements contained in the Merger Agreement.</w:t>
            </w:r>
          </w:p>
        </w:tc>
      </w:tr>
    </w:tbl>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In addition, the Partnership may terminate the Merger Agreement at any time prior to the Effective Time if Parent, the General Partner or Merger Sub breached any of its representations or warranties or failed to perform any of its obligations or agreements in the Merger Agreement such that such breach or failure to perform (a) would (if it occurred or was continuing as of the closing date) give rise to a failure by Parent, the General Partner or Merger Sub to adhere to their representations and warranties, or a failure by Parent, the General Partner or Merger Sub to perform in all material respects all obligations required to be performed by them under the Merger Agreement, and (b) is not reasonably capable of being cured prior to the Outside Date, or is not cured by Parent, the General Partner or Merger Sub, as applicable, within 30 days following receipt of written notice from the Partnership of such breach or failure stating the Partnership’s intention to terminate the Merger Agreement; </w:t>
      </w:r>
      <w:r>
        <w:rPr>
          <w:rFonts w:ascii="Times New Roman;Times;Serif" w:hAnsi="Times New Roman;Times;Serif"/>
          <w:b w:val="false"/>
          <w:i/>
          <w:caps w:val="false"/>
          <w:smallCaps w:val="false"/>
          <w:sz w:val="20"/>
          <w:bdr w:val="single" w:sz="8" w:space="1" w:color="000000"/>
        </w:rPr>
        <w:t>provided</w:t>
      </w:r>
      <w:r>
        <w:rPr>
          <w:rFonts w:ascii="Times New Roman;Times;Serif" w:hAnsi="Times New Roman;Times;Serif"/>
          <w:b w:val="false"/>
          <w:i w:val="false"/>
          <w:caps w:val="false"/>
          <w:smallCaps w:val="false"/>
          <w:sz w:val="20"/>
          <w:bdr w:val="single" w:sz="8" w:space="1" w:color="000000"/>
        </w:rPr>
        <w:t xml:space="preserve"> that the Partnership will not have the right to terminate (i) if the Partnership is then in material breach of any of its representations, warranties, obligations or agreements contained in the Merger Agreement and (ii) without such termination first being authorized by the Conflicts Committee.</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Financing of the Merger</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There is no financing condition to the Merger. The Merger Consideration will be financed by means of a senior bridge term loan facility, proceeds of the Special Distribution to be received by Parent and its affiliates, each as described below and available cash on hand.</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Debt Financing</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 order to provide financing for the Merger Consideration, Parent entered into a debt commitment letter with DNB (UK) Ltd. (“DNB”) on April 6, 2023 (the “Debt Commitment Letter”), pursuant to which DNB has committed to underwrite debt financing in an aggregate amount up to the lower of $75,000,000 and 85% of the Merger Consideration in the form of a senior term loan bridge facility (the “Bridge Facility”).</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Subject to the terms and conditions set forth therein, the Debt Commitment Letter provides Parent and Merger Sub with a binding financial commitment that, together with the proceeds of the Special Distribution and available cash on hand, will provide Parent with sufficient funds to pay the Merger Consideration.</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Special Distribution</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Parent and its affiliates, as holders of the Sponsor Units, will receive payment of the Special Distribution on or prior to the closing date of the Merger. The proceeds of the Special Distribution to be received by Parent and its affiliates, along with the proceeds of the Bridge Facility and available cash on hand, will provide Parent with sufficient funds to pay the Merger Consideration and all of the fees and expenses of Parent and Merger Sub required to be paid on the closing date.</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Fee and Expense Reimbursement</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Generally, all fees and expenses incurred in connection with the transactions contemplated by the Merger Agreement will be the obligation of the respective party incurring such fees and expenses. Expenses relating to the preparation, printing, filing and mailing of this proxy statement and the solicitation of the Unitholder Approval will be paid 50% by Parent and 50% by the Partnership.</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In the event the Merger Agreement is terminated by Parent or the Partnership under certain circumstances pursuant to the Merger Agreement, such party will pay the other party its reasonable and documented out-of-pocket costs and expenses (including outside attorney’s fees and disbursements) incurred in connection with the Merger Agreement, the Support Agreement and the Debt Commitment Letter and the transactions contemplated thereby; </w:t>
      </w:r>
      <w:r>
        <w:rPr>
          <w:rFonts w:ascii="Times New Roman;Times;Serif" w:hAnsi="Times New Roman;Times;Serif"/>
          <w:b w:val="false"/>
          <w:i/>
          <w:caps w:val="false"/>
          <w:smallCaps w:val="false"/>
          <w:sz w:val="20"/>
          <w:bdr w:val="single" w:sz="8" w:space="1" w:color="000000"/>
        </w:rPr>
        <w:t>provided</w:t>
      </w:r>
      <w:r>
        <w:rPr>
          <w:rFonts w:ascii="Times New Roman;Times;Serif" w:hAnsi="Times New Roman;Times;Serif"/>
          <w:b w:val="false"/>
          <w:i w:val="false"/>
          <w:caps w:val="false"/>
          <w:smallCaps w:val="false"/>
          <w:sz w:val="20"/>
          <w:bdr w:val="single" w:sz="8" w:space="1" w:color="000000"/>
        </w:rPr>
        <w:t xml:space="preserve"> that in no event shall the Partnership or Parent, as applicable, be required to provide such reimbursement in an aggregate amount in excess of $5,000,000. For more information, see “Proposal No. 1—The Merger Agreement—Termination of the Merger Agreement”.</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The Support Agreement</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April 6, 2023, the Partnership entered into the Support Agreement with Parent. Under the Support Agreement, Parent has agreed to appear at the Special Meeting and vote all of its Common Units in favor of the Merger Agreement and transactions contemplated thereby, including the Merger, and against any competing proposals, subject to certain qualifications as further described in “The Support Agreement”. As of                     , 2023, Parent owns 15,621,602 Common Units (representing 30.2% of the Common Units issued and outstanding as of the record date for the Special Meeting).</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Support Agreement is attached to this proxy statement as Annex B and is incorporated herein by reference. For more information, see “The Support Agreement”.</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Material U.S. Federal Income Tax Consequences</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Special Distribution and the exchange of Common Units for the Merger Consideration pursuant to the Merger will be taxable events for U.S. federal income tax purposes. Therefore, a U.S. Holder (as defined below) generally will recognize dividend income on the Special Distribution, to the extent of the Partnership’s current accumulated earnings and profits, as determined under U.S. federal income tax purposes. Receipt of the Special Distribution to the extent in excess of the Partnership’s earnings and profits will be treated first as a nontaxable return of capital to the extent of the U.S. Holder’s tax basis in its Common Units and thereafter as capital gain. A U.S. Holder will also generally recognize capital gain or loss equal to the difference, if any, between the Merger Consideration received by such U.S. Holder and such U.S. Holder’s adjusted tax basis in its Common Units.</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See “Material U.S. Federal Income Tax Consequences of the Merger” for a more complete discussion of the material U.S. federal income tax consequences of the Merger. Determining the actual U.S. federal income tax consequences of the Merger to you will depend on your specific situation. You are urged to consult your tax advisor for a full understanding of the U.S. federal income tax consequences of the Merger to you.</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Material Republic of the Marshall Islands Tax Consequences</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following discussion is applicable only to persons who are not citizens of, and do not reside in, maintain offices in or carry on business or conduct transactions or operations in the Republic of the Marshall Islands.</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Because we and our subsidiaries do not, and we will not nor will our subsidiaries, maintain offices or carry on business or conduct transactions or operations in the Republic of the Marshall Islands, and because all documentation related to this offering has been and will be executed outside of the Republic of the Marshall Islands, under current Marshall Islands law, unitholders that are not citizens of, and do not reside in, maintain offices in or carry on business or conduct transactions or operations in the Republic of the Marshall Islands, will not be subject to Marshall Islands stamp, capital gains or other taxes on the disposition of our Common Units pursuant to the Merger and receipt of the Special Distribution.</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It is the responsibility of each Common Unitholder to investigate the legal and tax consequences, under the laws of pertinent jurisdictions, including the Marshall Islands, of the disposition of our Common Units pursuant to the Merger and receipt of the Special Distribution. Accordingly, each Common Unitholder is urged to consult its tax counsel or other advisor with regard to those matters. Further, it is the responsibility of each Common Unitholder to file any Marshall Islands tax returns that may be required of such Common Unitholder.</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No Appraisal Rights</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Appraisal rights are not available in connection with the Merger under the laws of the Republic of the Marshall Islands or under the Partnership Agreement.</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Accounting Treatment of the Merger</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Parent prepares its consolidated financial statements under International Financial Reporting Standards (“IFRS”) as issued by the International Accounting Standards Board (the “IASB”) and the Partnership is a de-facto controlled subsidiary. As a result, the Merger will be accounted for as an acquisition of the non-controlling interest in the consolidated financial statements of Parent with a corresponding transfer from non-controlling interest to controlling interest.</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Delisting and Deregistration of Common Units</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Common Units are currently listed on the NYSE under the ticker symbol “GLOP”. If the Merger is completed, the Surviving Entity will use its reasonable best efforts to cause the Common Units to be delisted from the NYSE and deregistered under the Exchange Act as soon as reasonably practicable following the Effective Time.</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Organizational Structure Prior to and Following the Merger</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following represents the simplified organizational structure of the Partnership prior to the Merger:</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jc w:val="center"/>
        <w:rPr>
          <w:caps w:val="false"/>
          <w:smallCaps w:val="false"/>
          <w:bdr w:val="single" w:sz="8" w:space="1" w:color="000000"/>
        </w:rPr>
      </w:pPr>
      <w:r>
        <w:rPr>
          <w:caps w:val="false"/>
          <w:smallCaps w:val="false"/>
          <w:bdr w:val="single" w:sz="8" w:space="1" w:color="000000"/>
        </w:rPr>
        <w:drawing>
          <wp:inline distT="0" distB="0" distL="0" distR="0">
            <wp:extent cx="6762750" cy="5324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6"/>
                    <a:stretch>
                      <a:fillRect/>
                    </a:stretch>
                  </pic:blipFill>
                  <pic:spPr bwMode="auto">
                    <a:xfrm>
                      <a:off x="0" y="0"/>
                      <a:ext cx="6762750" cy="5324475"/>
                    </a:xfrm>
                    <a:prstGeom prst="rect">
                      <a:avLst/>
                    </a:prstGeom>
                  </pic:spPr>
                </pic:pic>
              </a:graphicData>
            </a:graphic>
          </wp:inline>
        </w:drawing>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tbl>
      <w:tblPr>
        <w:tblW w:w="10205" w:type="dxa"/>
        <w:jc w:val="left"/>
        <w:tblInd w:w="0" w:type="dxa"/>
        <w:tblCellMar>
          <w:top w:w="0" w:type="dxa"/>
          <w:left w:w="0" w:type="dxa"/>
          <w:bottom w:w="0" w:type="dxa"/>
          <w:right w:w="0" w:type="dxa"/>
        </w:tblCellMar>
      </w:tblPr>
      <w:tblGrid>
        <w:gridCol w:w="38"/>
        <w:gridCol w:w="195"/>
        <w:gridCol w:w="9972"/>
      </w:tblGrid>
      <w:tr>
        <w:trPr/>
        <w:tc>
          <w:tcPr>
            <w:tcW w:w="38"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(1)</w:t>
            </w:r>
          </w:p>
        </w:tc>
        <w:tc>
          <w:tcPr>
            <w:tcW w:w="9972" w:type="dxa"/>
            <w:tcBorders/>
            <w:shd w:fill="auto" w:val="clear"/>
            <w:vAlign w:val="center"/>
          </w:tcPr>
          <w:p>
            <w:pPr>
              <w:pStyle w:val="TableContents"/>
              <w:spacing w:before="0" w:after="283"/>
              <w:jc w:val="left"/>
              <w:rPr/>
            </w:pPr>
            <w:r>
              <w:rPr>
                <w:rFonts w:ascii="Times New Roman;Times;Serif" w:hAnsi="Times New Roman;Times;Serif"/>
                <w:sz w:val="20"/>
              </w:rPr>
              <w:t xml:space="preserve">Includes 15,621,602 Common Units held by Parent as of                     , 2023 (representing 30.2% of the Common Units issued and outstanding as of </w:t>
            </w:r>
            <w:r>
              <w:rPr/>
              <w:t>                    , 2023). Parent is also the indirect beneficial owner of the General Partner Units. In the event that the Effective Time does not occur prior to July 1, 2023, the 415,000 Class B-4 Units that are issued and outstanding will become eligible for conversion on a one-for-one basis into 415,000 Common Units at Parent’s option on July 1, 2023.</w:t>
            </w:r>
          </w:p>
        </w:tc>
      </w:tr>
    </w:tbl>
    <w:p>
      <w:pPr>
        <w:pStyle w:val="TextBody"/>
        <w:spacing w:before="0" w:after="0"/>
        <w:ind w:left="360" w:right="0" w:hanging="36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following represents the simplified organizational structure of the Surviving Entity immediately following the Effective Time:</w:t>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jc w:val="center"/>
        <w:rPr>
          <w:caps w:val="false"/>
          <w:smallCaps w:val="false"/>
          <w:bdr w:val="single" w:sz="8" w:space="1" w:color="000000"/>
        </w:rPr>
      </w:pPr>
      <w:r>
        <w:rPr>
          <w:caps w:val="false"/>
          <w:smallCaps w:val="false"/>
          <w:bdr w:val="single" w:sz="8" w:space="1" w:color="000000"/>
        </w:rPr>
        <w:drawing>
          <wp:inline distT="0" distB="0" distL="0" distR="0">
            <wp:extent cx="6772275" cy="5476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7"/>
                    <a:stretch>
                      <a:fillRect/>
                    </a:stretch>
                  </pic:blipFill>
                  <pic:spPr bwMode="auto">
                    <a:xfrm>
                      <a:off x="0" y="0"/>
                      <a:ext cx="6772275" cy="5476875"/>
                    </a:xfrm>
                    <a:prstGeom prst="rect">
                      <a:avLst/>
                    </a:prstGeom>
                  </pic:spPr>
                </pic:pic>
              </a:graphicData>
            </a:graphic>
          </wp:inline>
        </w:drawing>
      </w:r>
    </w:p>
    <w:p>
      <w:pPr>
        <w:pStyle w:val="TextBody"/>
        <w:spacing w:before="0" w:after="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QUESTIONS AND ANSWERS ABOUT THE MERGER, THE SPECIAL</w:t>
        <w:br/>
        <w:t>DISTRIBUTION AND THE SPECIAL MEETING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Questions and Answers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Set forth below are questions that you, as a Common Unitholder of the Partnership, may have regarding the Merger, the Special Distribution, the Adjournment Proposal and the Special Meeting, and brief answers to those questions. You are urged to read carefully this proxy statement and the other documents referred to in this proxy statement in their entirety, including the Merger Agreement, which is attached as Annex A to this proxy statement, and the documents incorporated by reference into this proxy statement, because this section may not provide all of the information that is important to you with respect to the Merger and the Special Meeting. You may obtain a list of the documents incorporated by reference into this proxy statement in the section titled “Where You Can Find More Information”.</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84"/>
        <w:gridCol w:w="613"/>
        <w:gridCol w:w="9508"/>
      </w:tblGrid>
      <w:tr>
        <w:trPr/>
        <w:tc>
          <w:tcPr>
            <w:tcW w:w="84"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b/>
              </w:rPr>
            </w:pPr>
            <w:r>
              <w:rPr>
                <w:b/>
              </w:rPr>
              <w:t>Q:</w:t>
            </w:r>
          </w:p>
        </w:tc>
        <w:tc>
          <w:tcPr>
            <w:tcW w:w="9508" w:type="dxa"/>
            <w:tcBorders/>
            <w:shd w:fill="auto" w:val="clear"/>
            <w:vAlign w:val="center"/>
          </w:tcPr>
          <w:p>
            <w:pPr>
              <w:pStyle w:val="TableContents"/>
              <w:spacing w:before="0" w:after="283"/>
              <w:rPr>
                <w:b/>
              </w:rPr>
            </w:pPr>
            <w:r>
              <w:rPr>
                <w:b/>
              </w:rPr>
              <w:t>Why am I receiving this proxy statement?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10"/>
        <w:gridCol w:w="9958"/>
      </w:tblGrid>
      <w:tr>
        <w:trPr/>
        <w:tc>
          <w:tcPr>
            <w:tcW w:w="37"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pPr>
            <w:r>
              <w:rPr/>
              <w:t>A:</w:t>
            </w:r>
          </w:p>
        </w:tc>
        <w:tc>
          <w:tcPr>
            <w:tcW w:w="9958" w:type="dxa"/>
            <w:tcBorders/>
            <w:shd w:fill="auto" w:val="clear"/>
            <w:vAlign w:val="center"/>
          </w:tcPr>
          <w:p>
            <w:pPr>
              <w:pStyle w:val="TableContents"/>
              <w:spacing w:before="0" w:after="283"/>
              <w:rPr/>
            </w:pPr>
            <w:r>
              <w:rPr/>
              <w:t>The Partnership, the General Partner, Parent and Merger Sub have entered into that certain Merger Agreement, a copy of which is attached as Annex A to this proxy statement, pursuant to which Merger Sub will merge with and into the Partnership. In order to complete the Merger, the holders of a majority of the issued and outstanding Common Units, including those held by Parent, must vote to approve the Merger Agreement, subject to the Cutback. The Partnership is holding a special meeting of its Common Unitholders to obtain the Unitholder Approval.</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transactions contemplated by the Merger Agreement, holders of each Common Unit issued and outstanding immediately prior to the Effective Time, other than the Sponsor Units, will, assuming that such holders hold Common Units both on the record date of the Special Distribution (as defined below) and at the Effective Time, receive overall consideration of $8.65 per Common Unit, consisting of the Special Distribution and the Merger Consideration (as defined below). Upon completion of the Merger, each Common Unit issued and outstanding immediately prior to the Effective Time, other than the Sponsor Units, will be converted into the right to receive $5.37 per Common Unit in cash (the “Merger Consideration”), without interest and reduced by any applicable tax withholding. In addition, as soon as reasonably practicable following the Unitholder Approval, pursuant to the terms of the Merger Agreement, the Partnership Board will declare a special distribution of $3.28 per Common Unit (with a corresponding amount distributed in respect of each General Partner Unit) (the “Special Distribution”) with a record date on a business day prior to the anticipated closing date of the Merger and a payment date occurring on or prior to the closing date of the Merger, which dates will be reasonably agreed between the Partnership and Parent. This document is being delivered to you as a proxy statement by which the Partnership Board is soliciting proxies from you to vote on the approval of the Merger Agreement and the transactions contemplated thereby, including the Merger, at the Special Meeting or at any adjournment or postponement of the Special Meeting.</w:t>
      </w:r>
    </w:p>
    <w:p>
      <w:pPr>
        <w:pStyle w:val="TextBody"/>
        <w:spacing w:before="0" w:after="0"/>
        <w:ind w:left="72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03"/>
        <w:gridCol w:w="751"/>
        <w:gridCol w:w="9351"/>
      </w:tblGrid>
      <w:tr>
        <w:trPr/>
        <w:tc>
          <w:tcPr>
            <w:tcW w:w="103"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b/>
              </w:rPr>
            </w:pPr>
            <w:r>
              <w:rPr>
                <w:b/>
              </w:rPr>
              <w:t>Q:</w:t>
            </w:r>
          </w:p>
        </w:tc>
        <w:tc>
          <w:tcPr>
            <w:tcW w:w="9351" w:type="dxa"/>
            <w:tcBorders/>
            <w:shd w:fill="auto" w:val="clear"/>
            <w:vAlign w:val="center"/>
          </w:tcPr>
          <w:p>
            <w:pPr>
              <w:pStyle w:val="TableContents"/>
              <w:spacing w:before="0" w:after="283"/>
              <w:rPr>
                <w:b/>
              </w:rPr>
            </w:pPr>
            <w:r>
              <w:rPr>
                <w:b/>
              </w:rPr>
              <w:t>What will happen in the Merger?</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11"/>
        <w:gridCol w:w="9957"/>
      </w:tblGrid>
      <w:tr>
        <w:trPr/>
        <w:tc>
          <w:tcPr>
            <w:tcW w:w="3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pPr>
            <w:r>
              <w:rPr/>
              <w:t>A:</w:t>
            </w:r>
          </w:p>
        </w:tc>
        <w:tc>
          <w:tcPr>
            <w:tcW w:w="9957" w:type="dxa"/>
            <w:tcBorders/>
            <w:shd w:fill="auto" w:val="clear"/>
            <w:vAlign w:val="center"/>
          </w:tcPr>
          <w:p>
            <w:pPr>
              <w:pStyle w:val="TableContents"/>
              <w:spacing w:before="0" w:after="283"/>
              <w:rPr/>
            </w:pPr>
            <w:r>
              <w:rPr/>
              <w:t>In the Merger, Merger Sub will merge with and into the Partnership. If the Merger is completed, the Surviving Entity will use its reasonable best efforts to cause the Common Units to be delisted from the NYSE and deregistered under the Exchange Act as soon as reasonably practicable following the Effective Time. Following such delisting and deregistration, the Partnership will survive as a direct subsidiary of Parent, but the Partnership’s Common Units will cease to be publicly traded.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62"/>
        <w:gridCol w:w="455"/>
        <w:gridCol w:w="9688"/>
      </w:tblGrid>
      <w:tr>
        <w:trPr/>
        <w:tc>
          <w:tcPr>
            <w:tcW w:w="62"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b/>
              </w:rPr>
            </w:pPr>
            <w:r>
              <w:rPr>
                <w:b/>
              </w:rPr>
              <w:t>Q:</w:t>
            </w:r>
          </w:p>
        </w:tc>
        <w:tc>
          <w:tcPr>
            <w:tcW w:w="9688" w:type="dxa"/>
            <w:tcBorders/>
            <w:shd w:fill="auto" w:val="clear"/>
            <w:vAlign w:val="center"/>
          </w:tcPr>
          <w:p>
            <w:pPr>
              <w:pStyle w:val="TableContents"/>
              <w:spacing w:before="0" w:after="283"/>
              <w:rPr>
                <w:b/>
              </w:rPr>
            </w:pPr>
            <w:r>
              <w:rPr>
                <w:b/>
              </w:rPr>
              <w:t>What will I receive in the Merger for my Common Units?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04"/>
        <w:gridCol w:w="9964"/>
      </w:tblGrid>
      <w:tr>
        <w:trPr/>
        <w:tc>
          <w:tcPr>
            <w:tcW w:w="37"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pPr>
            <w:r>
              <w:rPr/>
              <w:t>A:</w:t>
            </w:r>
          </w:p>
        </w:tc>
        <w:tc>
          <w:tcPr>
            <w:tcW w:w="9964" w:type="dxa"/>
            <w:tcBorders/>
            <w:shd w:fill="auto" w:val="clear"/>
            <w:vAlign w:val="center"/>
          </w:tcPr>
          <w:p>
            <w:pPr>
              <w:pStyle w:val="TableContents"/>
              <w:spacing w:before="0" w:after="283"/>
              <w:rPr/>
            </w:pPr>
            <w:r>
              <w:rPr/>
              <w:t>If the Merger is completed, each Common Unit issued and outstanding immediately prior to the Effective Time, other than the Sponsor Units, will be converted into the right to receive the Merger Consideration, without interest and reduced by any applicable tax withholding. In addition, as soon as reasonably practicable following the Unitholder Approval, pursuant to the terms of the Merger Agreement, the Partnership Board will declare the Special Distribution with a record date on a business day prior to the anticipated closing date of the Merger and a payment date occurring on or prior to the closing date of the Merger, which dates will be reasonably agreed between the Partnership and Parent. Accordingly, holders of Common Units (other than the Sponsor Units) will, assuming that such holders hold Common Units both on the record date of the Special Distribution and at the Effective Time, receive overall consideration of $8.65 per Common Unit. Preference Units will not be cancelled, will not be converted into the Merger Consideration and will remain outstanding as Preference Units immediately following the Effective Time.</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61"/>
        <w:gridCol w:w="442"/>
        <w:gridCol w:w="9702"/>
      </w:tblGrid>
      <w:tr>
        <w:trPr/>
        <w:tc>
          <w:tcPr>
            <w:tcW w:w="61"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b/>
              </w:rPr>
            </w:pPr>
            <w:r>
              <w:rPr>
                <w:b/>
              </w:rPr>
              <w:t>Q:</w:t>
            </w:r>
          </w:p>
        </w:tc>
        <w:tc>
          <w:tcPr>
            <w:tcW w:w="9702" w:type="dxa"/>
            <w:tcBorders/>
            <w:shd w:fill="auto" w:val="clear"/>
            <w:vAlign w:val="center"/>
          </w:tcPr>
          <w:p>
            <w:pPr>
              <w:pStyle w:val="TableContents"/>
              <w:spacing w:before="0" w:after="283"/>
              <w:rPr>
                <w:b/>
              </w:rPr>
            </w:pPr>
            <w:r>
              <w:rPr>
                <w:b/>
              </w:rPr>
              <w:t>How will I receive the consideration to which I am entitled?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08"/>
        <w:gridCol w:w="9960"/>
      </w:tblGrid>
      <w:tr>
        <w:trPr/>
        <w:tc>
          <w:tcPr>
            <w:tcW w:w="37"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pPr>
            <w:r>
              <w:rPr/>
              <w:t>A:</w:t>
            </w:r>
          </w:p>
        </w:tc>
        <w:tc>
          <w:tcPr>
            <w:tcW w:w="9960" w:type="dxa"/>
            <w:tcBorders/>
            <w:shd w:fill="auto" w:val="clear"/>
            <w:vAlign w:val="center"/>
          </w:tcPr>
          <w:p>
            <w:pPr>
              <w:pStyle w:val="TableContents"/>
              <w:spacing w:before="0" w:after="283"/>
              <w:rPr/>
            </w:pPr>
            <w:r>
              <w:rPr/>
              <w:t xml:space="preserve">As soon as reasonably practicable after the Effective Time (but in no event later than three business days after the Effective Time), and without any action by any holder of record of Common Units (other than Sponsor Units), the paying agent will deliver to such holder, (a) a notice of the effectiveness of the Merger and (b) cash in an amount equal to, subject to applicable withholding taxes, (i) the number of Common Units held by such holder of record immediately prior to the Effective Time </w:t>
            </w:r>
            <w:r>
              <w:rPr>
                <w:i/>
              </w:rPr>
              <w:t>multiplied</w:t>
            </w:r>
            <w:r>
              <w:rPr/>
              <w:t xml:space="preserve"> by (ii) the Merger Consideration to which such holder is entitled under the Merger Agreement, and such Common Units will forthwith be canceled.</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soon as reasonably practicable following receipt of the Unitholder Approval (and in any event no less than two business days prior to the closing date of the Merger) the Partnership Board will declare the Special Distribution with a record date on a business day prior to the anticipated closing date of the Merger and a payment date occurring on or prior to the closing date of the Merger, which dates will be reasonably agreed between the Partnership and Parent.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76"/>
        <w:gridCol w:w="557"/>
        <w:gridCol w:w="9572"/>
      </w:tblGrid>
      <w:tr>
        <w:trPr/>
        <w:tc>
          <w:tcPr>
            <w:tcW w:w="76"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b/>
              </w:rPr>
            </w:pPr>
            <w:r>
              <w:rPr>
                <w:b/>
              </w:rPr>
              <w:t>Q:</w:t>
            </w:r>
          </w:p>
        </w:tc>
        <w:tc>
          <w:tcPr>
            <w:tcW w:w="9572" w:type="dxa"/>
            <w:tcBorders/>
            <w:shd w:fill="auto" w:val="clear"/>
            <w:vAlign w:val="center"/>
          </w:tcPr>
          <w:p>
            <w:pPr>
              <w:pStyle w:val="TableContents"/>
              <w:spacing w:before="0" w:after="283"/>
              <w:rPr>
                <w:b/>
              </w:rPr>
            </w:pPr>
            <w:r>
              <w:rPr>
                <w:b/>
              </w:rPr>
              <w:t>What happens if the Merger is not completed?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09"/>
        <w:gridCol w:w="9959"/>
      </w:tblGrid>
      <w:tr>
        <w:trPr/>
        <w:tc>
          <w:tcPr>
            <w:tcW w:w="37"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pPr>
            <w:r>
              <w:rPr/>
              <w:t>A:</w:t>
            </w:r>
          </w:p>
        </w:tc>
        <w:tc>
          <w:tcPr>
            <w:tcW w:w="9959" w:type="dxa"/>
            <w:tcBorders/>
            <w:shd w:fill="auto" w:val="clear"/>
            <w:vAlign w:val="center"/>
          </w:tcPr>
          <w:p>
            <w:pPr>
              <w:pStyle w:val="TableContents"/>
              <w:spacing w:before="0" w:after="283"/>
              <w:rPr/>
            </w:pPr>
            <w:r>
              <w:rPr/>
              <w:t>If the Merger Agreement is not approved by the Common Unitholders or if the Merger is not completed for any other reason, Unaffiliated Unitholders will not receive the Merger Consideration for their Common Units in connection with the Merger. Instead, the Partnership will remain a publicly traded limited partnership and the Common Units will continue to be listed and traded on the NYSE. In addition, if the Merger Agreement is not approved by the Common Unitholders, the Partnership Board will not be required under the Merger Agreement to declare or pay the Special Distribution.</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53"/>
        <w:gridCol w:w="9915"/>
      </w:tblGrid>
      <w:tr>
        <w:trPr/>
        <w:tc>
          <w:tcPr>
            <w:tcW w:w="37"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b/>
              </w:rPr>
            </w:pPr>
            <w:r>
              <w:rPr>
                <w:b/>
              </w:rPr>
              <w:t>Q:</w:t>
            </w:r>
          </w:p>
        </w:tc>
        <w:tc>
          <w:tcPr>
            <w:tcW w:w="9915" w:type="dxa"/>
            <w:tcBorders/>
            <w:shd w:fill="auto" w:val="clear"/>
            <w:vAlign w:val="center"/>
          </w:tcPr>
          <w:p>
            <w:pPr>
              <w:pStyle w:val="TableContents"/>
              <w:spacing w:before="0" w:after="283"/>
              <w:rPr>
                <w:b/>
              </w:rPr>
            </w:pPr>
            <w:r>
              <w:rPr>
                <w:b/>
              </w:rPr>
              <w:t>Will the Partnership continue to pay quarterly distributions for completed calendar quarters prior to the completion of the Merger?</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10"/>
        <w:gridCol w:w="9958"/>
      </w:tblGrid>
      <w:tr>
        <w:trPr/>
        <w:tc>
          <w:tcPr>
            <w:tcW w:w="37"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pPr>
            <w:r>
              <w:rPr/>
              <w:t>A:</w:t>
            </w:r>
          </w:p>
        </w:tc>
        <w:tc>
          <w:tcPr>
            <w:tcW w:w="9958" w:type="dxa"/>
            <w:tcBorders/>
            <w:shd w:fill="auto" w:val="clear"/>
            <w:vAlign w:val="center"/>
          </w:tcPr>
          <w:p>
            <w:pPr>
              <w:pStyle w:val="TableContents"/>
              <w:spacing w:before="0" w:after="283"/>
              <w:rPr/>
            </w:pPr>
            <w:r>
              <w:rPr/>
              <w:t>Yes. Under the Merger Agreement, if permitted by applicable law, the Partnership will declare and pay regular quarterly cash distributions to Common Unitholders (including the Unaffiliated Unitholders) and holders of the Preference Units for each completed calendar quarter ending prior to the closing date, consistent with past practice, in an amount not to be less than $0.01 per Common Unit in each case consistent with customary declaration, record and payment dates and, with respect to Preference Units, in accordance with their terms.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99"/>
        <w:gridCol w:w="725"/>
        <w:gridCol w:w="9381"/>
      </w:tblGrid>
      <w:tr>
        <w:trPr/>
        <w:tc>
          <w:tcPr>
            <w:tcW w:w="99"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b/>
              </w:rPr>
            </w:pPr>
            <w:r>
              <w:rPr>
                <w:b/>
              </w:rPr>
              <w:t>Q:</w:t>
            </w:r>
          </w:p>
        </w:tc>
        <w:tc>
          <w:tcPr>
            <w:tcW w:w="9381" w:type="dxa"/>
            <w:tcBorders/>
            <w:shd w:fill="auto" w:val="clear"/>
            <w:vAlign w:val="center"/>
          </w:tcPr>
          <w:p>
            <w:pPr>
              <w:pStyle w:val="TableContents"/>
              <w:spacing w:before="0" w:after="283"/>
              <w:rPr>
                <w:b/>
              </w:rPr>
            </w:pPr>
            <w:r>
              <w:rPr>
                <w:b/>
              </w:rPr>
              <w:t>What am I being asked to vote on?</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3"/>
        <w:gridCol w:w="365"/>
        <w:gridCol w:w="9787"/>
      </w:tblGrid>
      <w:tr>
        <w:trPr/>
        <w:tc>
          <w:tcPr>
            <w:tcW w:w="53"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pPr>
            <w:r>
              <w:rPr/>
              <w:t>A:</w:t>
            </w:r>
          </w:p>
        </w:tc>
        <w:tc>
          <w:tcPr>
            <w:tcW w:w="9787" w:type="dxa"/>
            <w:tcBorders/>
            <w:shd w:fill="auto" w:val="clear"/>
            <w:vAlign w:val="center"/>
          </w:tcPr>
          <w:p>
            <w:pPr>
              <w:pStyle w:val="TableContents"/>
              <w:spacing w:before="0" w:after="283"/>
              <w:rPr/>
            </w:pPr>
            <w:r>
              <w:rPr/>
              <w:t>Common Unitholders are being asked to vote on the following proposals: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b/>
                <w:i/>
              </w:rPr>
              <w:t xml:space="preserve">Merger Proposal: </w:t>
            </w:r>
            <w:r>
              <w:rPr/>
              <w:t>To approve the Merger Agreement, a copy of which is attached as Annex A to this proxy statement, as such agreement may be amended from time to time, and the transactions contemplated thereby, including the Merger; and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b/>
                <w:i/>
              </w:rPr>
              <w:t xml:space="preserve">Adjournment Proposal: </w:t>
            </w:r>
            <w:r>
              <w:rPr/>
              <w:t>To approve the adjournment of the Special Meeting, if necessary or appropriate, to solicit additional proxies if there are not sufficient votes to approve the Merger Agreement and the transactions contemplated by the Merger Agreement, including the Merger, at the time of the Special Meeting.</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Unitholder Approval is a condition to the obligations of the Partnership and Parent to complete the Merger. The approval of the Adjournment Proposal is not a condition to the obligations of the Partnership or Parent to complete the Merger.</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41"/>
        <w:gridCol w:w="9927"/>
      </w:tblGrid>
      <w:tr>
        <w:trPr/>
        <w:tc>
          <w:tcPr>
            <w:tcW w:w="37"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b/>
              </w:rPr>
            </w:pPr>
            <w:r>
              <w:rPr>
                <w:b/>
              </w:rPr>
              <w:t>Q:</w:t>
            </w:r>
          </w:p>
        </w:tc>
        <w:tc>
          <w:tcPr>
            <w:tcW w:w="9927" w:type="dxa"/>
            <w:tcBorders/>
            <w:shd w:fill="auto" w:val="clear"/>
            <w:vAlign w:val="center"/>
          </w:tcPr>
          <w:p>
            <w:pPr>
              <w:pStyle w:val="TableContents"/>
              <w:spacing w:before="0" w:after="283"/>
              <w:rPr>
                <w:b/>
              </w:rPr>
            </w:pPr>
            <w:r>
              <w:rPr>
                <w:b/>
              </w:rPr>
              <w:t>Does the Partnership Board recommend that Common Unitholders approve the Merger Agreement and the transactions contemplated thereby, including the Merger?</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05"/>
        <w:gridCol w:w="9963"/>
      </w:tblGrid>
      <w:tr>
        <w:trPr/>
        <w:tc>
          <w:tcPr>
            <w:tcW w:w="37"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pPr>
            <w:r>
              <w:rPr/>
              <w:t>A:</w:t>
            </w:r>
          </w:p>
        </w:tc>
        <w:tc>
          <w:tcPr>
            <w:tcW w:w="9963" w:type="dxa"/>
            <w:tcBorders/>
            <w:shd w:fill="auto" w:val="clear"/>
            <w:vAlign w:val="center"/>
          </w:tcPr>
          <w:p>
            <w:pPr>
              <w:pStyle w:val="TableContents"/>
              <w:spacing w:before="0" w:after="283"/>
              <w:rPr/>
            </w:pPr>
            <w:r>
              <w:rPr/>
              <w:t xml:space="preserve">Yes. The Partnership Board, acting upon the recommendation of the Conflicts Committee, has unanimously (a) determined that the Merger Agreement and the transactions contemplated thereby, including the Merger, are fair to and in the best interests of the Partnership and the Unaffiliated Unitholders, (b) approved the Merger Agreement and the transactions contemplated thereby, including the Merger, (c) directed that the Merger Agreement and the transactions contemplated thereby, including the Merger, be submitted to a vote of the Common Unitholders and (d) resolved to recommend approval of the Merger Agreement and the transactions contemplated thereby, including the Merger, to the Common Unitholders. </w:t>
            </w:r>
            <w:r>
              <w:rPr>
                <w:b/>
              </w:rPr>
              <w:t>Accordingly, the Partnership Board recommends that the Common Unitholders vote “FOR” the Merger Proposal and that the Common Unitholders vote “FOR” the Adjournment Proposal.</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Merger – Recommendation of the Conflicts Committee and the Partnership Board; Reasons for Recommending Approval of the Merger Proposal”. In considering the recommendation of the Partnership Board with respect to the Merger Agreement and the transactions contemplated thereby, including the Merger, you should be aware that directors and executive officers of the Partnership have interests in the Merger that may be different from, or in addition to, your interests as a Common Unitholder of the Partnership. You should consider these interests in voting on this proposal. These different interests are described under “Special Factors – Interests of the Directors and Executive Officers of the Partnership in the Merger”.</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6"/>
        <w:gridCol w:w="339"/>
        <w:gridCol w:w="9820"/>
      </w:tblGrid>
      <w:tr>
        <w:trPr/>
        <w:tc>
          <w:tcPr>
            <w:tcW w:w="46"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b/>
              </w:rPr>
            </w:pPr>
            <w:r>
              <w:rPr>
                <w:b/>
              </w:rPr>
              <w:t>Q:</w:t>
            </w:r>
          </w:p>
        </w:tc>
        <w:tc>
          <w:tcPr>
            <w:tcW w:w="9820" w:type="dxa"/>
            <w:tcBorders/>
            <w:shd w:fill="auto" w:val="clear"/>
            <w:vAlign w:val="center"/>
          </w:tcPr>
          <w:p>
            <w:pPr>
              <w:pStyle w:val="TableContents"/>
              <w:spacing w:before="0" w:after="283"/>
              <w:rPr>
                <w:b/>
              </w:rPr>
            </w:pPr>
            <w:r>
              <w:rPr>
                <w:b/>
              </w:rPr>
              <w:t>What Common Unitholder vote is required for the approval of each proposal?</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5"/>
        <w:gridCol w:w="383"/>
        <w:gridCol w:w="9767"/>
      </w:tblGrid>
      <w:tr>
        <w:trPr/>
        <w:tc>
          <w:tcPr>
            <w:tcW w:w="55"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pPr>
            <w:r>
              <w:rPr/>
              <w:t>A:</w:t>
            </w:r>
          </w:p>
        </w:tc>
        <w:tc>
          <w:tcPr>
            <w:tcW w:w="9767" w:type="dxa"/>
            <w:tcBorders/>
            <w:shd w:fill="auto" w:val="clear"/>
            <w:vAlign w:val="center"/>
          </w:tcPr>
          <w:p>
            <w:pPr>
              <w:pStyle w:val="TableContents"/>
              <w:spacing w:before="0" w:after="283"/>
              <w:rPr/>
            </w:pPr>
            <w:r>
              <w:rPr/>
              <w:t>The following are the vote requirements for the Partnership proposals: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b/>
                <w:i/>
              </w:rPr>
              <w:t xml:space="preserve">Merger Proposal. </w:t>
            </w:r>
            <w:r>
              <w:rPr/>
              <w:t>Subject to the Cutback, the affirmative vote of holders of at least a majority of the issued and outstanding Common Units, including those held by Parent (such approval, “Unitholder Approval”). Abstentions, broker non-votes (if any) and unvoted Common Units will have the same effect as votes “AGAINST” the proposal.</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b/>
                <w:i/>
              </w:rPr>
              <w:t xml:space="preserve">Adjournment Proposal. </w:t>
            </w:r>
            <w:r>
              <w:rPr/>
              <w:t>Subject to the Cutback, if a quorum is present, the affirmative vote of holders of at least a majority of the issued and outstanding Common Units, including those held by Parent. Subject to the Cutback, if a quorum is not present, the affirmative vote of holders of at least a majority of the issued and outstanding Common Units entitled to vote and present via the virtual meeting website or by proxy at the Special Meeting, including those held by Parent. So long as a quorum is present, abstentions and broker non-votes (if any) will have the same effect as votes “AGAINST” the proposal.</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Partnership Agreement restricts Common Unitholders’ voting rights pursuant to the Cutback, by providing that if any person or group beneficially owns more than 4.9% of the issued and outstanding Common Units, any such Common Units owned by that person or group in excess of 4.9% may not be voted on any matter and will not be considered to be outstanding when sending notices of a meeting of Common Unitholders, calculating required votes (except for purposes of nominating a person for election to the Partnership Board), determining the presence of a quorum or for other similar purposes under the Partnership Agreement (unless otherwise required by law). Both (a) the General Partner and its affiliates, including Parent, and (b) persons who own Common Units with the prior approval of the Partnership Board will not be subject to the Cutback, except with respect to voting their Common Units in the election of elected directors. Other than Parent and the General Partner’s other affiliates and Cobas Asset Management SGIIC SA, the Partnership does not know of any person or group that beneficially owns more than 4.9% of the issued and outstanding Common Units.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61"/>
        <w:gridCol w:w="445"/>
        <w:gridCol w:w="9699"/>
      </w:tblGrid>
      <w:tr>
        <w:trPr/>
        <w:tc>
          <w:tcPr>
            <w:tcW w:w="61"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b/>
              </w:rPr>
            </w:pPr>
            <w:r>
              <w:rPr>
                <w:b/>
              </w:rPr>
              <w:t>Q:</w:t>
            </w:r>
          </w:p>
        </w:tc>
        <w:tc>
          <w:tcPr>
            <w:tcW w:w="9699" w:type="dxa"/>
            <w:tcBorders/>
            <w:shd w:fill="auto" w:val="clear"/>
            <w:vAlign w:val="center"/>
          </w:tcPr>
          <w:p>
            <w:pPr>
              <w:pStyle w:val="TableContents"/>
              <w:spacing w:before="0" w:after="283"/>
              <w:rPr>
                <w:b/>
              </w:rPr>
            </w:pPr>
            <w:r>
              <w:rPr>
                <w:b/>
              </w:rPr>
              <w:t>Will Parent vote its Common Units at the Special Meeting?</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12"/>
        <w:gridCol w:w="9956"/>
      </w:tblGrid>
      <w:tr>
        <w:trPr/>
        <w:tc>
          <w:tcPr>
            <w:tcW w:w="37"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pPr>
            <w:r>
              <w:rPr/>
              <w:t>A:</w:t>
            </w:r>
          </w:p>
        </w:tc>
        <w:tc>
          <w:tcPr>
            <w:tcW w:w="9956" w:type="dxa"/>
            <w:tcBorders/>
            <w:shd w:fill="auto" w:val="clear"/>
            <w:vAlign w:val="center"/>
          </w:tcPr>
          <w:p>
            <w:pPr>
              <w:pStyle w:val="TableContents"/>
              <w:spacing w:before="0" w:after="283"/>
              <w:rPr/>
            </w:pPr>
            <w:r>
              <w:rPr/>
              <w:t>Yes. Pursuant to the Support Agreement, Parent has agreed to appear at the Special Meeting and vote all of its Common Units in favor of the Merger Agreement and the transactions contemplated thereby, including the Merger, and against any competing proposals. As of                     , 2023, Parent owns 15,621,602 Common Units (representing 30.2% of the Common Units issued and outstanding as of                     , 2023).</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68"/>
        <w:gridCol w:w="499"/>
        <w:gridCol w:w="9638"/>
      </w:tblGrid>
      <w:tr>
        <w:trPr/>
        <w:tc>
          <w:tcPr>
            <w:tcW w:w="68"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b/>
              </w:rPr>
            </w:pPr>
            <w:r>
              <w:rPr>
                <w:b/>
              </w:rPr>
              <w:t>Q:</w:t>
            </w:r>
          </w:p>
        </w:tc>
        <w:tc>
          <w:tcPr>
            <w:tcW w:w="9638" w:type="dxa"/>
            <w:tcBorders/>
            <w:shd w:fill="auto" w:val="clear"/>
            <w:vAlign w:val="center"/>
          </w:tcPr>
          <w:p>
            <w:pPr>
              <w:pStyle w:val="TableContents"/>
              <w:spacing w:before="0" w:after="283"/>
              <w:rPr>
                <w:b/>
              </w:rPr>
            </w:pPr>
            <w:r>
              <w:rPr>
                <w:b/>
              </w:rPr>
              <w:t>What constitutes a quorum for the Special Meeting?</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12"/>
        <w:gridCol w:w="9956"/>
      </w:tblGrid>
      <w:tr>
        <w:trPr/>
        <w:tc>
          <w:tcPr>
            <w:tcW w:w="37"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pPr>
            <w:r>
              <w:rPr/>
              <w:t>A:</w:t>
            </w:r>
          </w:p>
        </w:tc>
        <w:tc>
          <w:tcPr>
            <w:tcW w:w="9956" w:type="dxa"/>
            <w:tcBorders/>
            <w:shd w:fill="auto" w:val="clear"/>
            <w:vAlign w:val="center"/>
          </w:tcPr>
          <w:p>
            <w:pPr>
              <w:pStyle w:val="TableContents"/>
              <w:spacing w:before="0" w:after="283"/>
              <w:rPr/>
            </w:pPr>
            <w:r>
              <w:rPr/>
              <w:t>At least a majority of the issued and outstanding Common Units, including those held by Parent, must be represented by attendance via the virtual meeting website or by proxy at the Special Meeting in order to constitute a quorum to vote to approve the Merger Proposal. As of                     , 2023, Parent owns 15,621,602 Common Units (representing 30.2% of the Common Units issued and outstanding as of                     , 2023).</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81"/>
        <w:gridCol w:w="590"/>
        <w:gridCol w:w="9534"/>
      </w:tblGrid>
      <w:tr>
        <w:trPr/>
        <w:tc>
          <w:tcPr>
            <w:tcW w:w="81"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b/>
              </w:rPr>
            </w:pPr>
            <w:r>
              <w:rPr>
                <w:b/>
              </w:rPr>
              <w:t>Q:</w:t>
            </w:r>
          </w:p>
        </w:tc>
        <w:tc>
          <w:tcPr>
            <w:tcW w:w="9534" w:type="dxa"/>
            <w:tcBorders/>
            <w:shd w:fill="auto" w:val="clear"/>
            <w:vAlign w:val="center"/>
          </w:tcPr>
          <w:p>
            <w:pPr>
              <w:pStyle w:val="TableContents"/>
              <w:spacing w:before="0" w:after="283"/>
              <w:rPr>
                <w:b/>
              </w:rPr>
            </w:pPr>
            <w:r>
              <w:rPr>
                <w:b/>
              </w:rPr>
              <w:t>When is this proxy statement being mailed?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17"/>
        <w:gridCol w:w="9951"/>
      </w:tblGrid>
      <w:tr>
        <w:trPr/>
        <w:tc>
          <w:tcPr>
            <w:tcW w:w="3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pPr>
            <w:r>
              <w:rPr/>
              <w:t>A:</w:t>
            </w:r>
          </w:p>
        </w:tc>
        <w:tc>
          <w:tcPr>
            <w:tcW w:w="9951" w:type="dxa"/>
            <w:tcBorders/>
            <w:shd w:fill="auto" w:val="clear"/>
            <w:vAlign w:val="center"/>
          </w:tcPr>
          <w:p>
            <w:pPr>
              <w:pStyle w:val="TableContents"/>
              <w:spacing w:before="0" w:after="283"/>
              <w:rPr/>
            </w:pPr>
            <w:r>
              <w:rPr/>
              <w:t>This proxy statement and the proxy card are first being sent to Common Unitholders on or about                     , 2023. Only one proxy statement will be delivered to multiple Common Unitholders sharing an address, unless the Partnership has received contrary instructions from one or more of the Common Unitholders.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67"/>
        <w:gridCol w:w="491"/>
        <w:gridCol w:w="9647"/>
      </w:tblGrid>
      <w:tr>
        <w:trPr/>
        <w:tc>
          <w:tcPr>
            <w:tcW w:w="67"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b/>
              </w:rPr>
            </w:pPr>
            <w:r>
              <w:rPr>
                <w:b/>
              </w:rPr>
              <w:t>Q:</w:t>
            </w:r>
          </w:p>
        </w:tc>
        <w:tc>
          <w:tcPr>
            <w:tcW w:w="9647" w:type="dxa"/>
            <w:tcBorders/>
            <w:shd w:fill="auto" w:val="clear"/>
            <w:vAlign w:val="center"/>
          </w:tcPr>
          <w:p>
            <w:pPr>
              <w:pStyle w:val="TableContents"/>
              <w:spacing w:before="0" w:after="283"/>
              <w:rPr>
                <w:b/>
              </w:rPr>
            </w:pPr>
            <w:r>
              <w:rPr>
                <w:b/>
              </w:rPr>
              <w:t>Who will solicit and pay the cost of soliciting proxies?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08"/>
        <w:gridCol w:w="9960"/>
      </w:tblGrid>
      <w:tr>
        <w:trPr/>
        <w:tc>
          <w:tcPr>
            <w:tcW w:w="37"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pPr>
            <w:r>
              <w:rPr/>
              <w:t>A:</w:t>
            </w:r>
          </w:p>
        </w:tc>
        <w:tc>
          <w:tcPr>
            <w:tcW w:w="9960" w:type="dxa"/>
            <w:tcBorders/>
            <w:shd w:fill="auto" w:val="clear"/>
            <w:vAlign w:val="center"/>
          </w:tcPr>
          <w:p>
            <w:pPr>
              <w:pStyle w:val="TableContents"/>
              <w:spacing w:before="0" w:after="283"/>
              <w:rPr/>
            </w:pPr>
            <w:r>
              <w:rPr/>
              <w:t>The Partnership has engaged D.F. King &amp; Co., Inc. (“D.F. King”) to assist in the solicitation of proxies for the Special Meeting. D.F. King will be paid approximately $15,000 by the Partnership for these and other advisory services in connection with the Special Meeting. In addition, the Partnership has agreed to reimburse D.F. King for certain additional fees and expenses, as mutually agreed to in writing, and will also indemnify D.F. King, its affiliates, and its and their respective directors, officers, employees, agents and other representatives and controlling persons against certain claims, liabilities, losses, damages and expenses.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Forms of proxies and proxy materials may also be distributed through brokers, banks and other nominees to the beneficial owners of Common Units, in which case these parties will be reimbursed for their reasonable out-of-pocket expenses.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86"/>
        <w:gridCol w:w="627"/>
        <w:gridCol w:w="9492"/>
      </w:tblGrid>
      <w:tr>
        <w:trPr/>
        <w:tc>
          <w:tcPr>
            <w:tcW w:w="86"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b/>
              </w:rPr>
            </w:pPr>
            <w:r>
              <w:rPr>
                <w:b/>
              </w:rPr>
              <w:t>Q:</w:t>
            </w:r>
          </w:p>
        </w:tc>
        <w:tc>
          <w:tcPr>
            <w:tcW w:w="9492" w:type="dxa"/>
            <w:tcBorders/>
            <w:shd w:fill="auto" w:val="clear"/>
            <w:vAlign w:val="center"/>
          </w:tcPr>
          <w:p>
            <w:pPr>
              <w:pStyle w:val="TableContents"/>
              <w:spacing w:before="0" w:after="283"/>
              <w:rPr>
                <w:b/>
              </w:rPr>
            </w:pPr>
            <w:r>
              <w:rPr>
                <w:b/>
              </w:rPr>
              <w:t>When and where is the Special Meeting?</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06"/>
        <w:gridCol w:w="9962"/>
      </w:tblGrid>
      <w:tr>
        <w:trPr/>
        <w:tc>
          <w:tcPr>
            <w:tcW w:w="37"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pPr>
            <w:r>
              <w:rPr/>
              <w:t>A:</w:t>
            </w:r>
          </w:p>
        </w:tc>
        <w:tc>
          <w:tcPr>
            <w:tcW w:w="9962" w:type="dxa"/>
            <w:tcBorders/>
            <w:shd w:fill="auto" w:val="clear"/>
            <w:vAlign w:val="center"/>
          </w:tcPr>
          <w:p>
            <w:pPr>
              <w:pStyle w:val="TableContents"/>
              <w:spacing w:before="0" w:after="283"/>
              <w:rPr/>
            </w:pPr>
            <w:r>
              <w:rPr/>
              <w:t>The Special Meeting will be held on                     , 2023, at                      (Eastern Time). Attendance at the Special Meeting will be permitted only online via live webcast. The Special Meeting can be accessed by visiting www.virtualshareholdermeeting.com/GLOP2023SM (the “virtual meeting website”) where you will be able to attend the Special Meeting, vote and submit questions online during the Special Meeting. Please note that you will not be able to attend the Special Meeting in person. Please have your 16-digit control number to join the Special Meeting. Instructions on how to attend and participate online are also posted online at the virtual meeting website.</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62"/>
        <w:gridCol w:w="455"/>
        <w:gridCol w:w="9688"/>
      </w:tblGrid>
      <w:tr>
        <w:trPr/>
        <w:tc>
          <w:tcPr>
            <w:tcW w:w="62"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b/>
              </w:rPr>
            </w:pPr>
            <w:r>
              <w:rPr>
                <w:b/>
              </w:rPr>
              <w:t>Q:</w:t>
            </w:r>
          </w:p>
        </w:tc>
        <w:tc>
          <w:tcPr>
            <w:tcW w:w="9688" w:type="dxa"/>
            <w:tcBorders/>
            <w:shd w:fill="auto" w:val="clear"/>
            <w:vAlign w:val="center"/>
          </w:tcPr>
          <w:p>
            <w:pPr>
              <w:pStyle w:val="TableContents"/>
              <w:spacing w:before="0" w:after="283"/>
              <w:rPr>
                <w:b/>
              </w:rPr>
            </w:pPr>
            <w:r>
              <w:rPr>
                <w:b/>
              </w:rPr>
              <w:t>How do I vote my Common Units at the Special Meeting?</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64"/>
        <w:gridCol w:w="439"/>
        <w:gridCol w:w="9702"/>
      </w:tblGrid>
      <w:tr>
        <w:trPr/>
        <w:tc>
          <w:tcPr>
            <w:tcW w:w="6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pPr>
            <w:r>
              <w:rPr/>
              <w:t>A:</w:t>
            </w:r>
          </w:p>
        </w:tc>
        <w:tc>
          <w:tcPr>
            <w:tcW w:w="9702" w:type="dxa"/>
            <w:tcBorders/>
            <w:shd w:fill="auto" w:val="clear"/>
            <w:vAlign w:val="center"/>
          </w:tcPr>
          <w:p>
            <w:pPr>
              <w:pStyle w:val="TableContents"/>
              <w:spacing w:before="0" w:after="283"/>
              <w:rPr/>
            </w:pPr>
            <w:r>
              <w:rPr/>
              <w:t>There are four ways you may cast your vote. You may vote:</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i/>
              </w:rPr>
              <w:t xml:space="preserve">By Attendance Via the Virtual Meeting Website. </w:t>
            </w:r>
            <w:r>
              <w:rPr/>
              <w:t>If you are a Common Unitholder of record, you may vote by attending the Special Meeting via the virtual meeting website. Common Units held by a broker, bank or other nominee may be voted via the virtual meeting website by you only if you obtain a legal proxy from the record holder (which is your broker, bank or other nominee) giving you the right to vote Common Units;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i/>
              </w:rPr>
              <w:t xml:space="preserve">Via the Internet. </w:t>
            </w:r>
            <w:r>
              <w:rPr/>
              <w:t>You may submit your proxy or voting instructions electronically via the Internet by accessing the Internet address provided on each proxy card (if you are a Common Unitholder of record) or vote instruction card (if your Common Units are held by a broker, bank or other nominee);</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i/>
              </w:rPr>
              <w:t xml:space="preserve">By Telephone. </w:t>
            </w:r>
            <w:r>
              <w:rPr/>
              <w:t>You may submit your proxy or voting instructions by using the toll-free telephone number listed on the enclosed proxy card (if you are a Common Unitholder of record) or vote instruction card (if your Common Units are held by a broker, bank or other nominee); or</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i/>
              </w:rPr>
              <w:t xml:space="preserve">By Mail. </w:t>
            </w:r>
            <w:r>
              <w:rPr/>
              <w:t>You may submit your proxy or voting instructions by filling out, signing and dating the enclosed proxy card (if you are a Common Unitholder of record) or vote instruction card (if your Common Units are held by a broker, bank or other nominee) and returning it by mail in the prepaid envelope provided.</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you plan to attend the Special Meeting via the virtual meeting website, you are encouraged to submit your proxy or voting instructions as described above so that your vote will be counted if you later decide not to attend the Special Meeting.</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your Common Units are held by a broker, bank or other nominee, also known as holding units in “street name”, you should receive instructions from the broker, bank or other nominee that you must follow in order to have your Common Units voted. Please review such instructions to determine whether you will be able to submit voting instructions via the Internet or by telephone. The deadline for submitting your proxy by telephone or electronically through the Internet is 11:59 p.m. Eastern Time on                     , 2023 (the “telephone/internet deadline”) or, in the event of an adjournment of the Special Meeting, such later date and time as may be determined by the Partnership Board. </w:t>
      </w:r>
      <w:r>
        <w:rPr>
          <w:rFonts w:ascii="Times New Roman;Times;Serif" w:hAnsi="Times New Roman;Times;Serif"/>
          <w:b/>
          <w:i w:val="false"/>
          <w:caps w:val="false"/>
          <w:smallCaps w:val="false"/>
          <w:sz w:val="20"/>
        </w:rPr>
        <w:t>The failure to instruct your bank, brokerage firm or other nominee to vote your Common Units “FOR” approval of the Merger Proposal or “FOR” approval of the Adjournment Proposal will have the same effect as voting “AGAINST” approval of the Merger Proposal and, so long as a quorum is present, “AGAINST” approval of the Adjournment Proposal, as applicable.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61"/>
        <w:gridCol w:w="447"/>
        <w:gridCol w:w="9697"/>
      </w:tblGrid>
      <w:tr>
        <w:trPr/>
        <w:tc>
          <w:tcPr>
            <w:tcW w:w="61"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b/>
              </w:rPr>
            </w:pPr>
            <w:r>
              <w:rPr>
                <w:b/>
              </w:rPr>
              <w:t>Q:</w:t>
            </w:r>
          </w:p>
        </w:tc>
        <w:tc>
          <w:tcPr>
            <w:tcW w:w="9697" w:type="dxa"/>
            <w:tcBorders/>
            <w:shd w:fill="auto" w:val="clear"/>
            <w:vAlign w:val="center"/>
          </w:tcPr>
          <w:p>
            <w:pPr>
              <w:pStyle w:val="TableContents"/>
              <w:spacing w:before="0" w:after="283"/>
              <w:rPr>
                <w:b/>
              </w:rPr>
            </w:pPr>
            <w:r>
              <w:rPr>
                <w:b/>
              </w:rPr>
              <w:t>Where can I find the voting results of the Special Meeting?</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22"/>
        <w:gridCol w:w="9946"/>
      </w:tblGrid>
      <w:tr>
        <w:trPr/>
        <w:tc>
          <w:tcPr>
            <w:tcW w:w="37"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pPr>
            <w:r>
              <w:rPr/>
              <w:t>A:</w:t>
            </w:r>
          </w:p>
        </w:tc>
        <w:tc>
          <w:tcPr>
            <w:tcW w:w="9946" w:type="dxa"/>
            <w:tcBorders/>
            <w:shd w:fill="auto" w:val="clear"/>
            <w:vAlign w:val="center"/>
          </w:tcPr>
          <w:p>
            <w:pPr>
              <w:pStyle w:val="TableContents"/>
              <w:spacing w:before="0" w:after="283"/>
              <w:rPr/>
            </w:pPr>
            <w:r>
              <w:rPr/>
              <w:t>The preliminary voting results are expected to be announced at the Special Meeting. In addition, promptly following the conclusion of the Special Meeting, the Partnership intends to furnish the final voting results with the SEC on a Current Report on Form 6-K.</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57"/>
        <w:gridCol w:w="9911"/>
      </w:tblGrid>
      <w:tr>
        <w:trPr/>
        <w:tc>
          <w:tcPr>
            <w:tcW w:w="3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b/>
              </w:rPr>
            </w:pPr>
            <w:r>
              <w:rPr>
                <w:b/>
              </w:rPr>
              <w:t>Q:</w:t>
            </w:r>
          </w:p>
        </w:tc>
        <w:tc>
          <w:tcPr>
            <w:tcW w:w="9911" w:type="dxa"/>
            <w:tcBorders/>
            <w:shd w:fill="auto" w:val="clear"/>
            <w:vAlign w:val="center"/>
          </w:tcPr>
          <w:p>
            <w:pPr>
              <w:pStyle w:val="TableContents"/>
              <w:spacing w:before="0" w:after="283"/>
              <w:rPr>
                <w:b/>
              </w:rPr>
            </w:pPr>
            <w:r>
              <w:rPr>
                <w:b/>
              </w:rPr>
              <w:t>If my Common Units are held in “street name” by my broker, will my broker automatically vote my Common Units for me?</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13"/>
        <w:gridCol w:w="9955"/>
      </w:tblGrid>
      <w:tr>
        <w:trPr/>
        <w:tc>
          <w:tcPr>
            <w:tcW w:w="37"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pPr>
            <w:r>
              <w:rPr/>
              <w:t>A:</w:t>
            </w:r>
          </w:p>
        </w:tc>
        <w:tc>
          <w:tcPr>
            <w:tcW w:w="9955" w:type="dxa"/>
            <w:tcBorders/>
            <w:shd w:fill="auto" w:val="clear"/>
            <w:vAlign w:val="center"/>
          </w:tcPr>
          <w:p>
            <w:pPr>
              <w:pStyle w:val="TableContents"/>
              <w:spacing w:before="0" w:after="283"/>
              <w:rPr/>
            </w:pPr>
            <w:r>
              <w:rPr/>
              <w:t>No. If your Common Units are held in an account at a broker or through another nominee, you must instruct the broker or other nominee on how to vote your Common Units by following the instructions that the broker or other nominee provides to you with these materials. Most brokers offer the ability for Common Unitholders to submit voting instructions by mail by completing a voting instruction card, by telephone and via the Internet.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do not provide voting instructions to your broker, your Common Units will not be voted on any proposal on which your broker does not have discretionary authority to vote. This is referred to in this proxy statement and in general as a broker non-vote. In these cases, the broker can register your Common Units as being present at the Special Meeting for purposes of determining a quorum, but will not be able to vote on those matters for which specific authorization is required. Under the current rules of the NYSE, brokers do not have discretionary authority to vote on any of the proposals, including the Merger Proposal. A broker non-vote will have the same effect as a vote “AGAINST” the Merger Proposal and the Adjournment Proposal.</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3"/>
        <w:gridCol w:w="390"/>
        <w:gridCol w:w="9762"/>
      </w:tblGrid>
      <w:tr>
        <w:trPr/>
        <w:tc>
          <w:tcPr>
            <w:tcW w:w="53"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b/>
              </w:rPr>
            </w:pPr>
            <w:r>
              <w:rPr>
                <w:b/>
              </w:rPr>
              <w:t>Q:</w:t>
            </w:r>
          </w:p>
        </w:tc>
        <w:tc>
          <w:tcPr>
            <w:tcW w:w="9762" w:type="dxa"/>
            <w:tcBorders/>
            <w:shd w:fill="auto" w:val="clear"/>
            <w:vAlign w:val="center"/>
          </w:tcPr>
          <w:p>
            <w:pPr>
              <w:pStyle w:val="TableContents"/>
              <w:spacing w:before="0" w:after="283"/>
              <w:rPr>
                <w:b/>
              </w:rPr>
            </w:pPr>
            <w:r>
              <w:rPr>
                <w:b/>
              </w:rPr>
              <w:t>How will my Common Units be represented at the Special Meeting?</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13"/>
        <w:gridCol w:w="9955"/>
      </w:tblGrid>
      <w:tr>
        <w:trPr/>
        <w:tc>
          <w:tcPr>
            <w:tcW w:w="37"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pPr>
            <w:r>
              <w:rPr/>
              <w:t>A:</w:t>
            </w:r>
          </w:p>
        </w:tc>
        <w:tc>
          <w:tcPr>
            <w:tcW w:w="9955" w:type="dxa"/>
            <w:tcBorders/>
            <w:shd w:fill="auto" w:val="clear"/>
            <w:vAlign w:val="center"/>
          </w:tcPr>
          <w:p>
            <w:pPr>
              <w:pStyle w:val="TableContents"/>
              <w:spacing w:before="0" w:after="283"/>
              <w:rPr/>
            </w:pPr>
            <w:r>
              <w:rPr/>
              <w:t>If you submit your proxy by telephone, the Internet website or by signing and returning your proxy card, the officers named in your proxy card will vote your Common Units in the manner you requested if you correctly submitted your proxy. If you sign your proxy card and return it without indicating how you would like to vote your Common Units, your proxy will be voted as the Partnership Board recommends, which is: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i/>
              </w:rPr>
              <w:t xml:space="preserve">Merger Proposal: </w:t>
            </w:r>
            <w:r>
              <w:rPr/>
              <w:t>“FOR” the approval of the Merger Agreement and the transactions contemplated thereby, including the Merger; and</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i/>
              </w:rPr>
              <w:t xml:space="preserve">Adjournment Proposal: </w:t>
            </w:r>
            <w:r>
              <w:rPr/>
              <w:t>“FOR” the approval of the adjournment of the Special Meeting, if necessary to solicit additional proxies if there are not sufficient votes to approve the Merger Agreement at the time of the Special Meeting, but if you indicate that you wish to vote against the Merger Proposal, your Common Units will only be voted in favor of the Adjournment Proposal if you indicate that you wish to vote in favor of that proposal.</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92"/>
        <w:gridCol w:w="667"/>
        <w:gridCol w:w="9446"/>
      </w:tblGrid>
      <w:tr>
        <w:trPr/>
        <w:tc>
          <w:tcPr>
            <w:tcW w:w="92"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b/>
              </w:rPr>
            </w:pPr>
            <w:r>
              <w:rPr>
                <w:b/>
              </w:rPr>
              <w:t>Q:</w:t>
            </w:r>
          </w:p>
        </w:tc>
        <w:tc>
          <w:tcPr>
            <w:tcW w:w="9446" w:type="dxa"/>
            <w:tcBorders/>
            <w:shd w:fill="auto" w:val="clear"/>
            <w:vAlign w:val="center"/>
          </w:tcPr>
          <w:p>
            <w:pPr>
              <w:pStyle w:val="TableContents"/>
              <w:spacing w:before="0" w:after="283"/>
              <w:rPr>
                <w:b/>
              </w:rPr>
            </w:pPr>
            <w:r>
              <w:rPr>
                <w:b/>
              </w:rPr>
              <w:t>Who may attend the Special Meeting?</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48"/>
        <w:gridCol w:w="9920"/>
      </w:tblGrid>
      <w:tr>
        <w:trPr/>
        <w:tc>
          <w:tcPr>
            <w:tcW w:w="37"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pPr>
            <w:r>
              <w:rPr/>
              <w:t>A:</w:t>
            </w:r>
          </w:p>
        </w:tc>
        <w:tc>
          <w:tcPr>
            <w:tcW w:w="9920" w:type="dxa"/>
            <w:tcBorders/>
            <w:shd w:fill="auto" w:val="clear"/>
            <w:vAlign w:val="center"/>
          </w:tcPr>
          <w:p>
            <w:pPr>
              <w:pStyle w:val="TableContents"/>
              <w:spacing w:before="0" w:after="283"/>
              <w:rPr/>
            </w:pPr>
            <w:r>
              <w:rPr/>
              <w:t>Common Unitholders (or their authorized representatives) and the Partnership’s invited guests may attend the Special Meeting.</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50"/>
        <w:gridCol w:w="1086"/>
        <w:gridCol w:w="8969"/>
      </w:tblGrid>
      <w:tr>
        <w:trPr/>
        <w:tc>
          <w:tcPr>
            <w:tcW w:w="150"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b/>
              </w:rPr>
            </w:pPr>
            <w:r>
              <w:rPr>
                <w:b/>
              </w:rPr>
              <w:t>Q:</w:t>
            </w:r>
          </w:p>
        </w:tc>
        <w:tc>
          <w:tcPr>
            <w:tcW w:w="8969" w:type="dxa"/>
            <w:tcBorders/>
            <w:shd w:fill="auto" w:val="clear"/>
            <w:vAlign w:val="center"/>
          </w:tcPr>
          <w:p>
            <w:pPr>
              <w:pStyle w:val="TableContents"/>
              <w:spacing w:before="0" w:after="283"/>
              <w:rPr>
                <w:b/>
              </w:rPr>
            </w:pPr>
            <w:r>
              <w:rPr>
                <w:b/>
              </w:rPr>
              <w:t>Is my vote important?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07"/>
        <w:gridCol w:w="9961"/>
      </w:tblGrid>
      <w:tr>
        <w:trPr/>
        <w:tc>
          <w:tcPr>
            <w:tcW w:w="3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pPr>
            <w:r>
              <w:rPr/>
              <w:t>A:</w:t>
            </w:r>
          </w:p>
        </w:tc>
        <w:tc>
          <w:tcPr>
            <w:tcW w:w="9961" w:type="dxa"/>
            <w:tcBorders/>
            <w:shd w:fill="auto" w:val="clear"/>
            <w:vAlign w:val="center"/>
          </w:tcPr>
          <w:p>
            <w:pPr>
              <w:pStyle w:val="TableContents"/>
              <w:spacing w:before="0" w:after="283"/>
              <w:rPr/>
            </w:pPr>
            <w:r>
              <w:rPr/>
              <w:t xml:space="preserve">Yes, your vote is very important. If you do not submit a proxy or vote at the Special Meeting by attending via the virtual meeting website, it will be more difficult for the Partnership to obtain the necessary quorum to hold the Special Meeting. In addition, an abstention or your failure to submit a proxy or to vote via the virtual meeting website will have the same effect as a vote “AGAINST” the approval of the Merger Agreement and the transactions contemplated thereby, including the Merger. If you hold your Common Units through a broker or other nominee, your broker or other nominee will not be able to cast a vote on such approval without instructions from you. </w:t>
            </w:r>
            <w:r>
              <w:rPr>
                <w:b/>
              </w:rPr>
              <w:t>The Partnership Board recommends that Common Unitholders vote “FOR” the Merger Proposal.</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62"/>
        <w:gridCol w:w="451"/>
        <w:gridCol w:w="9692"/>
      </w:tblGrid>
      <w:tr>
        <w:trPr/>
        <w:tc>
          <w:tcPr>
            <w:tcW w:w="62"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b/>
              </w:rPr>
            </w:pPr>
            <w:r>
              <w:rPr>
                <w:b/>
              </w:rPr>
              <w:t>Q:</w:t>
            </w:r>
          </w:p>
        </w:tc>
        <w:tc>
          <w:tcPr>
            <w:tcW w:w="9692" w:type="dxa"/>
            <w:tcBorders/>
            <w:shd w:fill="auto" w:val="clear"/>
            <w:vAlign w:val="center"/>
          </w:tcPr>
          <w:p>
            <w:pPr>
              <w:pStyle w:val="TableContents"/>
              <w:spacing w:before="0" w:after="283"/>
              <w:rPr>
                <w:b/>
              </w:rPr>
            </w:pPr>
            <w:r>
              <w:rPr>
                <w:b/>
              </w:rPr>
              <w:t>Can I revoke my proxy or change my voting instructions?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27"/>
        <w:gridCol w:w="9941"/>
      </w:tblGrid>
      <w:tr>
        <w:trPr/>
        <w:tc>
          <w:tcPr>
            <w:tcW w:w="3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pPr>
            <w:r>
              <w:rPr/>
              <w:t>A:</w:t>
            </w:r>
          </w:p>
        </w:tc>
        <w:tc>
          <w:tcPr>
            <w:tcW w:w="9941" w:type="dxa"/>
            <w:tcBorders/>
            <w:shd w:fill="auto" w:val="clear"/>
            <w:vAlign w:val="center"/>
          </w:tcPr>
          <w:p>
            <w:pPr>
              <w:pStyle w:val="TableContents"/>
              <w:spacing w:before="0" w:after="283"/>
              <w:rPr/>
            </w:pPr>
            <w:r>
              <w:rPr/>
              <w:t>Yes. If you are a Common Unitholder of record, you may revoke your proxy or change your voting instructions at any time before the telephone/internet deadline or before the polls close at the Special Meeting by:</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sending a written notice, no later than the telephone/internet deadline, to GasLog Partners LP, c/o GasLog LNG Services Ltd., 69 Akti Miaouli 18537, Piraeus, Greece, Attention: Corporate Secretary, that bears a date later than the date of this proxy and is received prior to the Special Meeting and states that you revoke your proxy;</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submitting a valid, later-dated proxy by mail, telephone or Internet that is received prior to the Special Meeting; or</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attending the Special Meeting via the virtual meeting website and voting by ballot (your attendance at the Special Meeting will not, by itself, revoke any proxy that you have previously given).</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your Common Units through a broker or other nominee, you must follow the directions you receive from your broker or other nominee in order to revoke your proxy or change your voting instructions.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56"/>
        <w:gridCol w:w="9912"/>
      </w:tblGrid>
      <w:tr>
        <w:trPr/>
        <w:tc>
          <w:tcPr>
            <w:tcW w:w="37"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b/>
              </w:rPr>
            </w:pPr>
            <w:r>
              <w:rPr>
                <w:b/>
              </w:rPr>
              <w:t>Q:</w:t>
            </w:r>
          </w:p>
        </w:tc>
        <w:tc>
          <w:tcPr>
            <w:tcW w:w="9912" w:type="dxa"/>
            <w:tcBorders/>
            <w:shd w:fill="auto" w:val="clear"/>
            <w:vAlign w:val="center"/>
          </w:tcPr>
          <w:p>
            <w:pPr>
              <w:pStyle w:val="TableContents"/>
              <w:spacing w:before="0" w:after="283"/>
              <w:rPr>
                <w:b/>
              </w:rPr>
            </w:pPr>
            <w:r>
              <w:rPr>
                <w:b/>
              </w:rPr>
              <w:t>What happens if I sell my Common Units after the record date for the Special Meeting but before the Special Meeting occurs?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09"/>
        <w:gridCol w:w="9959"/>
      </w:tblGrid>
      <w:tr>
        <w:trPr/>
        <w:tc>
          <w:tcPr>
            <w:tcW w:w="37"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pPr>
            <w:r>
              <w:rPr/>
              <w:t>A:</w:t>
            </w:r>
          </w:p>
        </w:tc>
        <w:tc>
          <w:tcPr>
            <w:tcW w:w="9959" w:type="dxa"/>
            <w:tcBorders/>
            <w:shd w:fill="auto" w:val="clear"/>
            <w:vAlign w:val="center"/>
          </w:tcPr>
          <w:p>
            <w:pPr>
              <w:pStyle w:val="TableContents"/>
              <w:spacing w:before="0" w:after="283"/>
              <w:rPr/>
            </w:pPr>
            <w:r>
              <w:rPr/>
              <w:t>The record date for the Special Meeting is earlier than the date of the Special Meeting and earlier than the date that the Merger is expected to be completed. If you sell or otherwise transfer your Common Units after the record date of the Special Meeting but before the date of the Special Meeting, you will retain your right to vote at the Special Meeting. However, you will not have the right to receive the Merger Consideration to be received by the Partnership’s Common Unitholders in the Merger. In order to receive the Merger Consideration, you must hold your Common Units up to the completion of the Merger.</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46"/>
        <w:gridCol w:w="9922"/>
      </w:tblGrid>
      <w:tr>
        <w:trPr/>
        <w:tc>
          <w:tcPr>
            <w:tcW w:w="37"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b/>
              </w:rPr>
            </w:pPr>
            <w:r>
              <w:rPr>
                <w:b/>
              </w:rPr>
              <w:t>Q:</w:t>
            </w:r>
          </w:p>
        </w:tc>
        <w:tc>
          <w:tcPr>
            <w:tcW w:w="9922" w:type="dxa"/>
            <w:tcBorders/>
            <w:shd w:fill="auto" w:val="clear"/>
            <w:vAlign w:val="center"/>
          </w:tcPr>
          <w:p>
            <w:pPr>
              <w:pStyle w:val="TableContents"/>
              <w:spacing w:before="0" w:after="283"/>
              <w:rPr>
                <w:b/>
              </w:rPr>
            </w:pPr>
            <w:r>
              <w:rPr>
                <w:b/>
              </w:rPr>
              <w:t>What happens if I sell my Common Units after the record date for the Special Distribution but prior to the payment date for the Special Distribution?</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15"/>
        <w:gridCol w:w="9953"/>
      </w:tblGrid>
      <w:tr>
        <w:trPr/>
        <w:tc>
          <w:tcPr>
            <w:tcW w:w="37"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pPr>
            <w:r>
              <w:rPr/>
              <w:t>A:</w:t>
            </w:r>
          </w:p>
        </w:tc>
        <w:tc>
          <w:tcPr>
            <w:tcW w:w="9953" w:type="dxa"/>
            <w:tcBorders/>
            <w:shd w:fill="auto" w:val="clear"/>
            <w:vAlign w:val="center"/>
          </w:tcPr>
          <w:p>
            <w:pPr>
              <w:pStyle w:val="TableContents"/>
              <w:spacing w:before="0" w:after="283"/>
              <w:rPr/>
            </w:pPr>
            <w:r>
              <w:rPr/>
              <w:t>If you sell your Common Units before the record date for the Special Distribution, you will not be entitled to receive the Special Distribution. If you hold Common Units on the record date for the Special Distribution, you will be entitled to receive the Special Distribution regardless of whether or not you held such Common Units on the payment date of the Special Distribution.</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3"/>
        <w:gridCol w:w="386"/>
        <w:gridCol w:w="9766"/>
      </w:tblGrid>
      <w:tr>
        <w:trPr/>
        <w:tc>
          <w:tcPr>
            <w:tcW w:w="53"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b/>
              </w:rPr>
            </w:pPr>
            <w:r>
              <w:rPr>
                <w:b/>
              </w:rPr>
              <w:t>Q:</w:t>
            </w:r>
          </w:p>
        </w:tc>
        <w:tc>
          <w:tcPr>
            <w:tcW w:w="9766" w:type="dxa"/>
            <w:tcBorders/>
            <w:shd w:fill="auto" w:val="clear"/>
            <w:vAlign w:val="center"/>
          </w:tcPr>
          <w:p>
            <w:pPr>
              <w:pStyle w:val="TableContents"/>
              <w:spacing w:before="0" w:after="283"/>
              <w:rPr>
                <w:b/>
              </w:rPr>
            </w:pPr>
            <w:r>
              <w:rPr>
                <w:b/>
              </w:rPr>
              <w:t>What happens if I sell my Common Units before the Effective Time?</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18"/>
        <w:gridCol w:w="9950"/>
      </w:tblGrid>
      <w:tr>
        <w:trPr/>
        <w:tc>
          <w:tcPr>
            <w:tcW w:w="37"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pPr>
            <w:r>
              <w:rPr/>
              <w:t>A:</w:t>
            </w:r>
          </w:p>
        </w:tc>
        <w:tc>
          <w:tcPr>
            <w:tcW w:w="9950" w:type="dxa"/>
            <w:tcBorders/>
            <w:shd w:fill="auto" w:val="clear"/>
            <w:vAlign w:val="center"/>
          </w:tcPr>
          <w:p>
            <w:pPr>
              <w:pStyle w:val="TableContents"/>
              <w:spacing w:before="0" w:after="283"/>
              <w:rPr/>
            </w:pPr>
            <w:r>
              <w:rPr/>
              <w:t>If you sell your Common Units before the Effective Time, you will not have the right to receive the Merger Consideration to be received by the Partnership’s Common Unitholders in the Merger. In order to receive the Merger Consideration, you must hold your Common Units up to the completion of the Merger.</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55"/>
        <w:gridCol w:w="9913"/>
      </w:tblGrid>
      <w:tr>
        <w:trPr/>
        <w:tc>
          <w:tcPr>
            <w:tcW w:w="37"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b/>
              </w:rPr>
            </w:pPr>
            <w:r>
              <w:rPr>
                <w:b/>
              </w:rPr>
              <w:t>Q:</w:t>
            </w:r>
          </w:p>
        </w:tc>
        <w:tc>
          <w:tcPr>
            <w:tcW w:w="9913" w:type="dxa"/>
            <w:tcBorders/>
            <w:shd w:fill="auto" w:val="clear"/>
            <w:vAlign w:val="center"/>
          </w:tcPr>
          <w:p>
            <w:pPr>
              <w:pStyle w:val="TableContents"/>
              <w:spacing w:before="0" w:after="283"/>
              <w:rPr>
                <w:b/>
              </w:rPr>
            </w:pPr>
            <w:r>
              <w:rPr>
                <w:b/>
              </w:rPr>
              <w:t>What happens if I purchase my Common Units after the record date for the Special Distribution but prior to the Effective Time?</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21"/>
        <w:gridCol w:w="9947"/>
      </w:tblGrid>
      <w:tr>
        <w:trPr/>
        <w:tc>
          <w:tcPr>
            <w:tcW w:w="37"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pPr>
            <w:r>
              <w:rPr/>
              <w:t>A:</w:t>
            </w:r>
          </w:p>
        </w:tc>
        <w:tc>
          <w:tcPr>
            <w:tcW w:w="9947" w:type="dxa"/>
            <w:tcBorders/>
            <w:shd w:fill="auto" w:val="clear"/>
            <w:vAlign w:val="center"/>
          </w:tcPr>
          <w:p>
            <w:pPr>
              <w:pStyle w:val="TableContents"/>
              <w:spacing w:before="0" w:after="283"/>
              <w:rPr/>
            </w:pPr>
            <w:r>
              <w:rPr/>
              <w:t>If you purchase your Common Units before the Effective Time and continue to hold your Common Units up to the completion of the Merger, you will be entitled to receive the Merger Consideration to be received by the Partnership’s Common Unitholders in the Merger.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if you did not hold Common Units on the record date for the Special Distribution, you will not be entitled to receive the Special Distribution, regardless of whether or not you held such Common Units on the payment date of the Special Distribution.</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4"/>
        <w:gridCol w:w="325"/>
        <w:gridCol w:w="9836"/>
      </w:tblGrid>
      <w:tr>
        <w:trPr/>
        <w:tc>
          <w:tcPr>
            <w:tcW w:w="44"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b/>
              </w:rPr>
            </w:pPr>
            <w:r>
              <w:rPr>
                <w:b/>
              </w:rPr>
              <w:t>Q:</w:t>
            </w:r>
          </w:p>
        </w:tc>
        <w:tc>
          <w:tcPr>
            <w:tcW w:w="9836" w:type="dxa"/>
            <w:tcBorders/>
            <w:shd w:fill="auto" w:val="clear"/>
            <w:vAlign w:val="center"/>
          </w:tcPr>
          <w:p>
            <w:pPr>
              <w:pStyle w:val="TableContents"/>
              <w:spacing w:before="0" w:after="283"/>
              <w:rPr>
                <w:b/>
              </w:rPr>
            </w:pPr>
            <w:r>
              <w:rPr>
                <w:b/>
              </w:rPr>
              <w:t>What does it mean if I receive more than one proxy card or vote instruction card?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10"/>
        <w:gridCol w:w="9958"/>
      </w:tblGrid>
      <w:tr>
        <w:trPr/>
        <w:tc>
          <w:tcPr>
            <w:tcW w:w="37"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pPr>
            <w:r>
              <w:rPr/>
              <w:t>A:</w:t>
            </w:r>
          </w:p>
        </w:tc>
        <w:tc>
          <w:tcPr>
            <w:tcW w:w="9958" w:type="dxa"/>
            <w:tcBorders/>
            <w:shd w:fill="auto" w:val="clear"/>
            <w:vAlign w:val="center"/>
          </w:tcPr>
          <w:p>
            <w:pPr>
              <w:pStyle w:val="TableContents"/>
              <w:spacing w:before="0" w:after="283"/>
              <w:rPr/>
            </w:pPr>
            <w:r>
              <w:rPr/>
              <w:t>Your receipt of more than one proxy card or vote instruction card may mean that you have multiple accounts with the Partnership’s transfer agent or with a brokerage firm, bank or other nominee. If submitting your proxy or voting instructions by mail, please sign and return all proxy cards or vote instruction cards to ensure that all of your Common Units are voted. Each proxy card or vote instruction card represents a distinct number of Common Units, and it is the only means by which those particular Common Units may be voted by proxy.</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1"/>
        <w:gridCol w:w="302"/>
        <w:gridCol w:w="9862"/>
      </w:tblGrid>
      <w:tr>
        <w:trPr/>
        <w:tc>
          <w:tcPr>
            <w:tcW w:w="41"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b/>
              </w:rPr>
            </w:pPr>
            <w:r>
              <w:rPr>
                <w:b/>
              </w:rPr>
              <w:t>Q:</w:t>
            </w:r>
          </w:p>
        </w:tc>
        <w:tc>
          <w:tcPr>
            <w:tcW w:w="9862" w:type="dxa"/>
            <w:tcBorders/>
            <w:shd w:fill="auto" w:val="clear"/>
            <w:vAlign w:val="center"/>
          </w:tcPr>
          <w:p>
            <w:pPr>
              <w:pStyle w:val="TableContents"/>
              <w:spacing w:before="0" w:after="283"/>
              <w:rPr>
                <w:b/>
              </w:rPr>
            </w:pPr>
            <w:r>
              <w:rPr>
                <w:b/>
              </w:rPr>
              <w:t>Am I entitled to appraisal rights if I vote against the approval of the Merger Agreement?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37"/>
        <w:gridCol w:w="9931"/>
      </w:tblGrid>
      <w:tr>
        <w:trPr/>
        <w:tc>
          <w:tcPr>
            <w:tcW w:w="3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pPr>
            <w:r>
              <w:rPr/>
              <w:t>A:</w:t>
            </w:r>
          </w:p>
        </w:tc>
        <w:tc>
          <w:tcPr>
            <w:tcW w:w="9931" w:type="dxa"/>
            <w:tcBorders/>
            <w:shd w:fill="auto" w:val="clear"/>
            <w:vAlign w:val="center"/>
          </w:tcPr>
          <w:p>
            <w:pPr>
              <w:pStyle w:val="TableContents"/>
              <w:spacing w:before="0" w:after="283"/>
              <w:rPr/>
            </w:pPr>
            <w:r>
              <w:rPr/>
              <w:t>No. Appraisal rights are not available in connection with the Merger under the laws of the Republic of the Marshall Islands or under the Partnership Agreement.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66"/>
        <w:gridCol w:w="481"/>
        <w:gridCol w:w="9658"/>
      </w:tblGrid>
      <w:tr>
        <w:trPr/>
        <w:tc>
          <w:tcPr>
            <w:tcW w:w="66"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b/>
              </w:rPr>
            </w:pPr>
            <w:r>
              <w:rPr>
                <w:b/>
              </w:rPr>
              <w:t>Q:</w:t>
            </w:r>
          </w:p>
        </w:tc>
        <w:tc>
          <w:tcPr>
            <w:tcW w:w="9658" w:type="dxa"/>
            <w:tcBorders/>
            <w:shd w:fill="auto" w:val="clear"/>
            <w:vAlign w:val="center"/>
          </w:tcPr>
          <w:p>
            <w:pPr>
              <w:pStyle w:val="TableContents"/>
              <w:spacing w:before="0" w:after="283"/>
              <w:rPr>
                <w:b/>
              </w:rPr>
            </w:pPr>
            <w:r>
              <w:rPr>
                <w:b/>
              </w:rPr>
              <w:t>Is completion of the Merger subject to any conditions?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22"/>
        <w:gridCol w:w="9946"/>
      </w:tblGrid>
      <w:tr>
        <w:trPr/>
        <w:tc>
          <w:tcPr>
            <w:tcW w:w="37"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pPr>
            <w:r>
              <w:rPr/>
              <w:t>A:</w:t>
            </w:r>
          </w:p>
        </w:tc>
        <w:tc>
          <w:tcPr>
            <w:tcW w:w="9946" w:type="dxa"/>
            <w:tcBorders/>
            <w:shd w:fill="auto" w:val="clear"/>
            <w:vAlign w:val="center"/>
          </w:tcPr>
          <w:p>
            <w:pPr>
              <w:pStyle w:val="TableContents"/>
              <w:spacing w:before="0" w:after="283"/>
              <w:rPr/>
            </w:pPr>
            <w:r>
              <w:rPr/>
              <w:t>Yes. In addition to the receipt of Unitholder Approval, completion of the Merger requires payment of the Special Distribution and the satisfaction or, to the extent permitted by applicable law, waiver of the other conditions specified in the Merger Agreement.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78"/>
        <w:gridCol w:w="566"/>
        <w:gridCol w:w="9561"/>
      </w:tblGrid>
      <w:tr>
        <w:trPr/>
        <w:tc>
          <w:tcPr>
            <w:tcW w:w="78"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b/>
              </w:rPr>
            </w:pPr>
            <w:r>
              <w:rPr>
                <w:b/>
              </w:rPr>
              <w:t>Q:</w:t>
            </w:r>
          </w:p>
        </w:tc>
        <w:tc>
          <w:tcPr>
            <w:tcW w:w="9561" w:type="dxa"/>
            <w:tcBorders/>
            <w:shd w:fill="auto" w:val="clear"/>
            <w:vAlign w:val="center"/>
          </w:tcPr>
          <w:p>
            <w:pPr>
              <w:pStyle w:val="TableContents"/>
              <w:spacing w:before="0" w:after="283"/>
              <w:rPr>
                <w:b/>
              </w:rPr>
            </w:pPr>
            <w:r>
              <w:rPr>
                <w:b/>
              </w:rPr>
              <w:t>When do you expect to complete the Merger?</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13"/>
        <w:gridCol w:w="9955"/>
      </w:tblGrid>
      <w:tr>
        <w:trPr/>
        <w:tc>
          <w:tcPr>
            <w:tcW w:w="37"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pPr>
            <w:r>
              <w:rPr/>
              <w:t>A:</w:t>
            </w:r>
          </w:p>
        </w:tc>
        <w:tc>
          <w:tcPr>
            <w:tcW w:w="9955" w:type="dxa"/>
            <w:tcBorders/>
            <w:shd w:fill="auto" w:val="clear"/>
            <w:vAlign w:val="center"/>
          </w:tcPr>
          <w:p>
            <w:pPr>
              <w:pStyle w:val="TableContents"/>
              <w:spacing w:before="0" w:after="283"/>
              <w:rPr/>
            </w:pPr>
            <w:r>
              <w:rPr/>
              <w:t>The Partnership and Parent are working towards completing the Merger promptly. The Partnership and Parent currently expect to complete the Merger by the end of the third quarter of 2023, subject to receipt of Unitholder Approval and to the satisfaction or waiver of certain closing conditions, as described in further detail in this proxy statement. However, no assurance can be given as to when, or if, the Merger will occur.</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63"/>
        <w:gridCol w:w="9905"/>
      </w:tblGrid>
      <w:tr>
        <w:trPr/>
        <w:tc>
          <w:tcPr>
            <w:tcW w:w="37"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b/>
              </w:rPr>
            </w:pPr>
            <w:r>
              <w:rPr>
                <w:b/>
              </w:rPr>
              <w:t>Q:</w:t>
            </w:r>
          </w:p>
        </w:tc>
        <w:tc>
          <w:tcPr>
            <w:tcW w:w="9905" w:type="dxa"/>
            <w:tcBorders/>
            <w:shd w:fill="auto" w:val="clear"/>
            <w:vAlign w:val="center"/>
          </w:tcPr>
          <w:p>
            <w:pPr>
              <w:pStyle w:val="TableContents"/>
              <w:spacing w:before="0" w:after="283"/>
              <w:rPr>
                <w:b/>
              </w:rPr>
            </w:pPr>
            <w:r>
              <w:rPr>
                <w:b/>
              </w:rPr>
              <w:t>What are the expected U.S. federal income tax consequences to a Common Unitholder as a result of the Merger?</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06"/>
        <w:gridCol w:w="9962"/>
      </w:tblGrid>
      <w:tr>
        <w:trPr/>
        <w:tc>
          <w:tcPr>
            <w:tcW w:w="37"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pPr>
            <w:r>
              <w:rPr/>
              <w:t>A:</w:t>
            </w:r>
          </w:p>
        </w:tc>
        <w:tc>
          <w:tcPr>
            <w:tcW w:w="9962" w:type="dxa"/>
            <w:tcBorders/>
            <w:shd w:fill="auto" w:val="clear"/>
            <w:vAlign w:val="center"/>
          </w:tcPr>
          <w:p>
            <w:pPr>
              <w:pStyle w:val="TableContents"/>
              <w:spacing w:before="0" w:after="283"/>
              <w:rPr/>
            </w:pPr>
            <w:r>
              <w:rPr/>
              <w:t>The Special Distribution and the exchange of Common Units for the Merger Consideration pursuant to the Merger will be taxable events for U.S. federal income tax purposes. Therefore, a U.S. Holder (as defined below) generally will recognize dividend income on the Special Distribution, to the extent of the Partnership’s current accumulated earnings and profits, as determined under U.S. federal income tax purposes. Receipt of the Special Distribution to the extent in excess of the Partnership’s earnings and profits will be treated first as a nontaxable return of capital to the extent of the U.S. Holder’s tax basis in its Common Units and thereafter as capital gain. A U.S. Holder will also generally recognize capital gain or loss equal to the difference, if any, between the Merger Consideration received by such U.S. Holder and such U.S. Holder’s adjusted tax basis in its Common Units.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“Material U.S. Federal Income Tax Consequences of the Merger” for a more complete discussion of the material U.S. federal income tax consequences of the Merger. Determining the actual U.S. federal income tax consequences of the Merger to you will depend on your specific situation. You are urged to consult your tax advisor for a full understanding of the U.S. federal income tax consequences of the Merger to you.</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60"/>
        <w:gridCol w:w="9908"/>
      </w:tblGrid>
      <w:tr>
        <w:trPr/>
        <w:tc>
          <w:tcPr>
            <w:tcW w:w="37"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b/>
              </w:rPr>
            </w:pPr>
            <w:r>
              <w:rPr>
                <w:b/>
              </w:rPr>
              <w:t>Q:</w:t>
            </w:r>
          </w:p>
        </w:tc>
        <w:tc>
          <w:tcPr>
            <w:tcW w:w="9908" w:type="dxa"/>
            <w:tcBorders/>
            <w:shd w:fill="auto" w:val="clear"/>
            <w:vAlign w:val="center"/>
          </w:tcPr>
          <w:p>
            <w:pPr>
              <w:pStyle w:val="TableContents"/>
              <w:spacing w:before="0" w:after="283"/>
              <w:rPr>
                <w:b/>
              </w:rPr>
            </w:pPr>
            <w:r>
              <w:rPr>
                <w:b/>
              </w:rPr>
              <w:t>What are the material Republic of the Marshall Islands tax consequences of the Merger to the Common Unitholders?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07"/>
        <w:gridCol w:w="9961"/>
      </w:tblGrid>
      <w:tr>
        <w:trPr/>
        <w:tc>
          <w:tcPr>
            <w:tcW w:w="3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pPr>
            <w:r>
              <w:rPr/>
              <w:t>A:</w:t>
            </w:r>
          </w:p>
        </w:tc>
        <w:tc>
          <w:tcPr>
            <w:tcW w:w="9961" w:type="dxa"/>
            <w:tcBorders/>
            <w:shd w:fill="auto" w:val="clear"/>
            <w:vAlign w:val="center"/>
          </w:tcPr>
          <w:p>
            <w:pPr>
              <w:pStyle w:val="TableContents"/>
              <w:spacing w:before="0" w:after="283"/>
              <w:rPr/>
            </w:pPr>
            <w:r>
              <w:rPr/>
              <w:t>Because we and our subsidiaries do not, and we and our subsidiaries will not, maintain offices or carry on business or conduct transactions or operations in the Republic of the Marshall Islands, and because all documentation related to this offering has been and will be executed outside of the Republic of the Marshall Islands, under current Marshall Islands law Common Unitholders that are not citizens of, and do not reside in, maintain offices in or carry on business or conduct transactions or operations in the Republic of the Marshall Islands, will not be subject to Marshall Islands stamp, capital gains or other taxes on the disposition of our Common Units pursuant to the Merger and receipt of the Special Distribution.</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the responsibility of each Common Unitholder to investigate the legal and tax consequences, under the laws of pertinent jurisdictions, including the Marshall Islands, of the disposition of our Common Units pursuant to the Merger and receipt of the Special Distribution. Accordingly, each Common Unitholder is urged to consult its tax counsel or other advisor with regard to those matters. Further, it is the responsibility of each Common Unitholder to file any Marshall Islands tax returns that may be required of such Common Unitholder.</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24"/>
        <w:gridCol w:w="903"/>
        <w:gridCol w:w="9178"/>
      </w:tblGrid>
      <w:tr>
        <w:trPr/>
        <w:tc>
          <w:tcPr>
            <w:tcW w:w="124"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b/>
              </w:rPr>
            </w:pPr>
            <w:r>
              <w:rPr>
                <w:b/>
              </w:rPr>
              <w:t>Q:</w:t>
            </w:r>
          </w:p>
        </w:tc>
        <w:tc>
          <w:tcPr>
            <w:tcW w:w="9178" w:type="dxa"/>
            <w:tcBorders/>
            <w:shd w:fill="auto" w:val="clear"/>
            <w:vAlign w:val="center"/>
          </w:tcPr>
          <w:p>
            <w:pPr>
              <w:pStyle w:val="TableContents"/>
              <w:spacing w:before="0" w:after="283"/>
              <w:rPr>
                <w:b/>
              </w:rPr>
            </w:pPr>
            <w:r>
              <w:rPr>
                <w:b/>
              </w:rPr>
              <w:t>What do I need to do now?</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25"/>
        <w:gridCol w:w="9943"/>
      </w:tblGrid>
      <w:tr>
        <w:trPr/>
        <w:tc>
          <w:tcPr>
            <w:tcW w:w="37"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pPr>
            <w:r>
              <w:rPr/>
              <w:t>A:</w:t>
            </w:r>
          </w:p>
        </w:tc>
        <w:tc>
          <w:tcPr>
            <w:tcW w:w="9943" w:type="dxa"/>
            <w:tcBorders/>
            <w:shd w:fill="auto" w:val="clear"/>
            <w:vAlign w:val="center"/>
          </w:tcPr>
          <w:p>
            <w:pPr>
              <w:pStyle w:val="TableContents"/>
              <w:spacing w:before="0" w:after="283"/>
              <w:rPr/>
            </w:pPr>
            <w:r>
              <w:rPr/>
              <w:t>Carefully read and consider the information contained in and incorporated by reference into this proxy statement, including its annexes. Then, please vote your Common Units in accordance with the instructions described above.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Common Units through a broker or other nominee, please instruct your broker or nominee to vote your Common Units by following the instructions that the broker or nominee provides to you with these materials.</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73"/>
        <w:gridCol w:w="529"/>
        <w:gridCol w:w="9603"/>
      </w:tblGrid>
      <w:tr>
        <w:trPr/>
        <w:tc>
          <w:tcPr>
            <w:tcW w:w="73"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b/>
              </w:rPr>
            </w:pPr>
            <w:r>
              <w:rPr>
                <w:b/>
              </w:rPr>
              <w:t>Q:</w:t>
            </w:r>
          </w:p>
        </w:tc>
        <w:tc>
          <w:tcPr>
            <w:tcW w:w="9603" w:type="dxa"/>
            <w:tcBorders/>
            <w:shd w:fill="auto" w:val="clear"/>
            <w:vAlign w:val="center"/>
          </w:tcPr>
          <w:p>
            <w:pPr>
              <w:pStyle w:val="TableContents"/>
              <w:spacing w:before="0" w:after="283"/>
              <w:rPr>
                <w:b/>
              </w:rPr>
            </w:pPr>
            <w:r>
              <w:rPr>
                <w:b/>
              </w:rPr>
              <w:t>Should I send in my evidence of ownership now?</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07"/>
        <w:gridCol w:w="9961"/>
      </w:tblGrid>
      <w:tr>
        <w:trPr/>
        <w:tc>
          <w:tcPr>
            <w:tcW w:w="3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pPr>
            <w:r>
              <w:rPr/>
              <w:t>A:</w:t>
            </w:r>
          </w:p>
        </w:tc>
        <w:tc>
          <w:tcPr>
            <w:tcW w:w="9961" w:type="dxa"/>
            <w:tcBorders/>
            <w:shd w:fill="auto" w:val="clear"/>
            <w:vAlign w:val="center"/>
          </w:tcPr>
          <w:p>
            <w:pPr>
              <w:pStyle w:val="TableContents"/>
              <w:spacing w:before="0" w:after="283"/>
              <w:rPr/>
            </w:pPr>
            <w:r>
              <w:rPr/>
              <w:t xml:space="preserve">No. After the Merger is completed, without any action by you, you will be sent (a) a notice of the effectiveness of the Merger and (b) cash in an amount equal to, subject to applicable withholding taxes, (i) the number of Common Units held by such holder of record immediately prior to the Effective Time </w:t>
            </w:r>
            <w:r>
              <w:rPr>
                <w:i/>
              </w:rPr>
              <w:t>multiplied</w:t>
            </w:r>
            <w:r>
              <w:rPr/>
              <w:t xml:space="preserve"> by (ii) the Merger Consideration to which such holder is entitled under the Merger Agreement, and such Common Units will forthwith be canceled. If your Common Units are held in “street name” by your broker, bank or other nominee, you may receive instructions from your broker, bank or other nominee as to what action, if any, you need to take to effect the surrender of your “street name” units in exchange for the Merger Consideration.</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02"/>
        <w:gridCol w:w="745"/>
        <w:gridCol w:w="9358"/>
      </w:tblGrid>
      <w:tr>
        <w:trPr/>
        <w:tc>
          <w:tcPr>
            <w:tcW w:w="102"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b/>
              </w:rPr>
            </w:pPr>
            <w:r>
              <w:rPr>
                <w:b/>
              </w:rPr>
              <w:t>Q:</w:t>
            </w:r>
          </w:p>
        </w:tc>
        <w:tc>
          <w:tcPr>
            <w:tcW w:w="9358" w:type="dxa"/>
            <w:tcBorders/>
            <w:shd w:fill="auto" w:val="clear"/>
            <w:vAlign w:val="center"/>
          </w:tcPr>
          <w:p>
            <w:pPr>
              <w:pStyle w:val="TableContents"/>
              <w:spacing w:before="0" w:after="283"/>
              <w:rPr>
                <w:b/>
              </w:rPr>
            </w:pPr>
            <w:r>
              <w:rPr>
                <w:b/>
              </w:rPr>
              <w:t>Who should I call with questions?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17"/>
        <w:gridCol w:w="9951"/>
      </w:tblGrid>
      <w:tr>
        <w:trPr/>
        <w:tc>
          <w:tcPr>
            <w:tcW w:w="3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pPr>
            <w:r>
              <w:rPr/>
              <w:t>A:</w:t>
            </w:r>
          </w:p>
        </w:tc>
        <w:tc>
          <w:tcPr>
            <w:tcW w:w="9951" w:type="dxa"/>
            <w:tcBorders/>
            <w:shd w:fill="auto" w:val="clear"/>
            <w:vAlign w:val="center"/>
          </w:tcPr>
          <w:p>
            <w:pPr>
              <w:pStyle w:val="TableContents"/>
              <w:spacing w:before="0" w:after="283"/>
              <w:rPr/>
            </w:pPr>
            <w:r>
              <w:rPr/>
              <w:t>Common Unitholders should call D.F. King, the Partnership’s proxy solicitor, with any questions about the Merger or the Special Meeting, or to obtain additional copies of this proxy statement, proxy cards or voting instruction forms. The proxy solicitor’s contact information can be found on page 45 of this proxy statement.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addition to the other information included in this proxy statement, including the matters addressed under the caption titled “Cautionary Statement Regarding Forward-Looking Statements”, you should consider carefully the following risk factors in determining how to vote at the Special Meeting. The following is not intended to be an exhaustive list of the risks related to the Merger and you should read and consider the risk factors described under Part 1, Item 3.D, “Key Information – Risk Factors” of the Partnership’s Annual Report on Form 20-F filed with the SEC for the fiscal year ended December 31, 2022 (the “2022 Form 20-F”), and incorporated by reference into this proxy statement.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Merger may not be completed, due to the failure of the parties to achieve the closing conditions or otherwise; such a failure could negatively impact our Common Unit prices, business, financial condition, results of operations, cash flows or prospects.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is subject to the satisfaction or waiver of certain closing conditions described in the section entitled “Proposal No. 1 – The Merger Agreement – Conditions to Consummation of the Merger”, including, among others, that:</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the Merger Agreement and the transactions contemplated thereby, including the Merger, must have received Unitholder Approval;</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the Special Distribution must have been declared and paid in accordance with the Merger Agreement; and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no injunction, order, judgment, ruling, decree or writ enacted, promulgated, issued, entered, amended or enforced by any governmental authority of any competent jurisdiction will be in effect enjoining, restraining, or otherwise making illegal, preventing or prohibiting the consummation of the Merger.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assurance can be given that each of the conditions will be satisfied. In addition, the Merger Agreement may be terminated under the circumstances described in the section entitled “Proposal No. 1 – The Merger Agreement – Termination of the Merger Agreement”. If the conditions are not satisfied or waived in a timely manner and the Merger is delayed, payment of the Consideration will also be delayed.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Merger is not completed (including in the case the Merger Agreement is terminated), our ongoing business may be adversely affected. Under such a scenario, the Partnership’s directors, officers and the employees of its affiliates will have expended extensive time and effort and will have experienced significant distractions from their work, and we will have incurred significant transaction costs, during the pendency of a failed transaction. In addition, our continuing business relationships with business partners and the market’s perceptions of our prospects, could be adversely affected, which could have a material adverse impact on the trading price of the Common Units.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also be subject to litigation related to any failure to complete the Merger. If these risks materialize, our financial condition, results of operations, cash flows or prospects could be materially adversely affected.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Some of our directors and officers have interests that may differ from the interests of our Common Unitholders, and such directors may have conflicts of interest in recommending to our Common Unitholders to approve the Merger Proposal and the Adjournment Proposal.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directors and officers may have interests in the Merger that are different from, or are in addition to, those of our Common Unitholders, which interests are described in the section entitled “Special Factors – Interests of the Directors and Executive Officers of Partnership in the Merger”. These interests include, among other things:</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Each Partnership Restricted Unit, whether vested or unvested, that is outstanding immediately prior to the Effective Time, will automatically be cancelled at the Effective Time and converted into the right to receive a cash payment equal to the sum of (a) the product of (i) the number of Common Units subject to such award as of immediately prior to the Effective Time and (ii) the Merger Consideration and (b) the amount of accrued but unpaid distributions, including the Special Distribution, with respect to such award as of immediately prior to the Effective Time, and for purposes of the foregoing, with performance goals deemed achieved based on actual achievement of any performance goals as of immediately prior to the Effective Time.</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In consideration of the expected time and effort that would be required of the members of the Conflicts Committee in evaluating the Merger, including negotiating the terms and conditions of the Merger Agreement, the Partnership Board determined that each member of the Conflicts Committee would receive as compensation an amount in cash of $50,000. In connection with any litigation involvement relating to, or arising out of, the Merger, each member of the Conflicts Committee will receive $1,000 per hour for time actually spent in connection with litigation-related matters, if any and, to the extent travel is needed, a fee of $2,500 per travel day and reimbursement of travel costs. The foregoing compensation was approved by the Partnership Board and was not, and is not, contingent upon the approval of the Merger Proposal or completion of the Mergers or any other transaction involving the Partnership or Parent.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Continued indemnification and insurance coverage for a period of time following the Effective Time for actions taken in their capacity as directors and officers.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some of Partnership’s directors and officers are also directors or officers of Parent and its affiliates. Parent and its affiliates own a significant interest in us and have conflicts of interest and limited fiduciary and contractual duties, which may permit them to favor their own interests to the detriment of our Common Unitholders. These interests could cause members of the Partnership Board to have a conflict of interest in recommending approval of the Merger Proposal and the Adjournment Proposal.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fact that there is a merger pending could materially harm our business, results of operations and cash flows.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Merger is pending, we are subject to a number of risks that may harm our business, results of operations and cash flows, including:</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5"/>
        <w:gridCol w:w="206"/>
        <w:gridCol w:w="9954"/>
      </w:tblGrid>
      <w:tr>
        <w:trPr/>
        <w:tc>
          <w:tcPr>
            <w:tcW w:w="45"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pPr>
            <w:r>
              <w:rPr/>
              <w:t>●</w:t>
            </w:r>
          </w:p>
        </w:tc>
        <w:tc>
          <w:tcPr>
            <w:tcW w:w="9954" w:type="dxa"/>
            <w:tcBorders/>
            <w:shd w:fill="auto" w:val="clear"/>
            <w:vAlign w:val="center"/>
          </w:tcPr>
          <w:p>
            <w:pPr>
              <w:pStyle w:val="TableContents"/>
              <w:spacing w:before="0" w:after="283"/>
              <w:rPr/>
            </w:pPr>
            <w:r>
              <w:rPr/>
              <w:t>the diversion of management and employee attention from implementing our strategies;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1"/>
        <w:gridCol w:w="184"/>
        <w:gridCol w:w="9980"/>
      </w:tblGrid>
      <w:tr>
        <w:trPr/>
        <w:tc>
          <w:tcPr>
            <w:tcW w:w="41"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pPr>
            <w:r>
              <w:rPr/>
              <w:t>●</w:t>
            </w:r>
          </w:p>
        </w:tc>
        <w:tc>
          <w:tcPr>
            <w:tcW w:w="9980" w:type="dxa"/>
            <w:tcBorders/>
            <w:shd w:fill="auto" w:val="clear"/>
            <w:vAlign w:val="center"/>
          </w:tcPr>
          <w:p>
            <w:pPr>
              <w:pStyle w:val="TableContents"/>
              <w:spacing w:before="0" w:after="283"/>
              <w:rPr/>
            </w:pPr>
            <w:r>
              <w:rPr/>
              <w:t>the fact that we have and will continue to incur expenses related to the Merger prior to its closing;</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our potential inability to proceed with business activities, including executing on debt refinancing opportunities; and</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our potential inability to respond effectively to competitive pressures, industry developments and future opportunities.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restrictions on our ability to solicit or engage in negotiations with respect to other potential acquisition proposals may discourage other potential transactions that may be favorable to our Common Unitholders.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the Merger is completed or the Merger Agreement is terminated, with limited exceptions, the Merger Agreement prohibits us from soliciting, encouraging or engaging in negotiations with respect to acquisition proposals or other business combinations. These provisions could discourage other companies from proposing alternative transactions that may be more favorable to our Common Unitholders than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Merger is not consummated by October 6, 2023, either Parent or, following authorization by the Conflicts Committee, we may, under certain circumstances that may be beyond our control, choose not to proceed with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is subject to the satisfaction or waiver of certain closing conditions described in the section entitled “Proposal No. 1 – The Merger Agreement – Conditions to Consummation of the Merger” and set forth in the Merger Agreement. The fulfillment of certain of these conditions is beyond our control, such as the receipt of our Common Unitholders’ approval of the Merger. If the Merger has not been completed by October 6, 2023 (the “Outside Date”), either Parent or, following authorization by the Conflicts Committee, we may generally terminate the Merger Agreement, notwithstanding the prior receipt of the approval of the Merger by our Common Unitholders, except that such right to terminate the Merger Agreement will not be available to a party if the inability to satisfy the conditions to closing was due to the failure of such party or its affiliates to perform any of its obligations under the Merger Agreement or if the other party has filed (and is then pursuing) an action seeking specific performance to enforce the obligations under the Merger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projections regarding the Partnership may not prove accurate.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Partnership’s management prepared certain non-public unaudited financial projections that were made available to the Conflicts Committee and Parent in connection with their respective evaluations of the Merger and were provided to Evercore for its use and reliance in connection with its financial analyses and opinion. These financial projections include assumptions about the Partnership, including with regards to future operating cash flows, expenditures and income. These financial projections were not prepared with a view toward public disclosure, nor were the projections prepared with a view toward compliance with GAAP or IFRS, published guidelines of the SEC or the guidelines established by the American Institute of Certified Public Accountants, the Financial Accounting Standards Board or the International Accounting Standards Board for preparation and presentation of prospective financial and operating information. The financial projections should not be regarded as an indication that the Partnership considered or considers the projections to be a reliable or accurate prediction of future performance. The financial projections are subject to significant economic, competitive, regulatory, industry, macroeconomic, geopolitical and other uncertainties and may not be achieved in full, at all or within projected timeframes. The failure of the Partnership to achieve projected results, including projected cash flows, could have a material adverse effect on the Partnership and its financial position.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Unitholders must hold Common Units both on the record date of the Special Distribution and at the Effective Time to receive the full amount of the Consideration.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soon as reasonably practicable following the Unitholder Approval, pursuant to the terms of the Merger Agreement, the Partnership Board will declare the Special Distribution with a record date on a business day prior to the anticipated closing date of the Merger, which date will be reasonably agreed between the Partnership and Parent. In order to receive the Special Distribution with respect to a Common Unit, the holder must hold such Common Unit on the record date of the Special Distribution. In addition, in order to receive the Merger Consideration with respect to a Common Unit, a Common Unitholder must hold the applicable Common Unit at the completion of the Merger. Accordingly, in order for a Common Unitholder to receive the full amount of the Consideration with respect to a Common Unit, it must hold such Common Unit both on the record date of the Special Distribution and at the Effective Time.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and the other documents referred to or incorporated by reference into this proxy statement includes certain forward-looking statements concerning future events and our operations, performance and financial condition.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statements included in or incorporated by reference into this proxy statement that are not historical facts, including statements about the beliefs and expectations of the Partnership Board or the management of Partnership, are “forward-looking statements”.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distributions and the impact of changes to cash distributions on the Partnership’s business and growth prospects, plans, strategies, and changes and trends in our business and the markets in which we operate. In some cases, predictive, future-tense or forward-looking words such as “believe”, “intend”, “anticipate”, “estimate”, “project”, “forecast”, “plan”, “potential”, “may”, “should”, “could”, “target” and “expect” and similar expressions are intended to identify forward-looking statements, but are not the exclusive means of identifying such statements. These statements involve known and unknown risks and are based upon a number of assumptions and estimates that are inherently subject to significant uncertainties and contingencies, many of which are beyond our control. All forward-looking statements speak only as of the date of this proxy statement or the date of such other filing, as the case may be. Forward-looking statements in this proxy statement are made based upon management’s current plans, expectations, estimates, assumptions and beliefs concerning future events impacting us and therefore involve a number of risks and uncertainties. Therefore, actual outcomes and results could materially differ from what is expressed, implied or forecasted in such statements and readers are cautioned not to place undue reliance on such statements. The Partnership’s business may be influenced by many factors that are difficult to predict, involve uncertainties that may materially affect actual results and are often beyond the Partnership’s control. These factors include, but are not limited to, the following:</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the occurrence of any event, change or other circumstance that could give rise to termination of the Merger Agreement;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the inability to complete the Merger due to the failure to obtain Unitholder Approval for the Merger or the failure to satisfy other conditions to completion of the Merger;</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risks related to disruption of management’s attention from the Partnership’s ongoing business operations due to the Merger;</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the impact of the announcement of the proposed Merger on relationships with third parties, including commercial counterparties, employees and competitors, and risks associated with the loss and ongoing replacement of key personnel;</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risks relating to unanticipated costs of integration in connection with the proposed Merger, including operating costs, customer loss or business disruption being greater than expected;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general LNG shipping market conditions and trends, including spot and multi-year charter rates, ship values, factors affecting supply and demand of LNG and LNG shipping, including geopolitical events, technological advancements and opportunities for the profitable operations of LNG carriers;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8"/>
        <w:gridCol w:w="261"/>
        <w:gridCol w:w="9886"/>
      </w:tblGrid>
      <w:tr>
        <w:trPr/>
        <w:tc>
          <w:tcPr>
            <w:tcW w:w="58"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pPr>
            <w:r>
              <w:rPr/>
              <w:t>●</w:t>
            </w:r>
          </w:p>
        </w:tc>
        <w:tc>
          <w:tcPr>
            <w:tcW w:w="9886" w:type="dxa"/>
            <w:tcBorders/>
            <w:shd w:fill="auto" w:val="clear"/>
            <w:vAlign w:val="center"/>
          </w:tcPr>
          <w:p>
            <w:pPr>
              <w:pStyle w:val="TableContents"/>
              <w:spacing w:before="0" w:after="283"/>
              <w:rPr/>
            </w:pPr>
            <w:r>
              <w:rPr/>
              <w:t>fluctuations in charter hire rates, vessel utilization and vessel values;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2"/>
        <w:gridCol w:w="234"/>
        <w:gridCol w:w="9919"/>
      </w:tblGrid>
      <w:tr>
        <w:trPr/>
        <w:tc>
          <w:tcPr>
            <w:tcW w:w="5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pPr>
            <w:r>
              <w:rPr/>
              <w:t>●</w:t>
            </w:r>
          </w:p>
        </w:tc>
        <w:tc>
          <w:tcPr>
            <w:tcW w:w="9919" w:type="dxa"/>
            <w:tcBorders/>
            <w:shd w:fill="auto" w:val="clear"/>
            <w:vAlign w:val="center"/>
          </w:tcPr>
          <w:p>
            <w:pPr>
              <w:pStyle w:val="TableContents"/>
              <w:spacing w:before="0" w:after="283"/>
              <w:rPr/>
            </w:pPr>
            <w:r>
              <w:rPr/>
              <w:t>our ability to secure new multi-year charters at economically attractive rates;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our ability to maximize the use of our vessels, including the re-deployment or disposition of vessels which are not operating under multi-year charters, including the risk that certain of our vessels may no longer have the latest technology at such time which may impact our ability to secure employment for such vessels as well as the rate at which we can charter such vessels;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changes in our operating expenses, including crew wages, maintenance, dry-docking and insurance costs and bunker prices;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number of off-hire days and dry-docking requirements including our ability to complete scheduled dry-dockings on time and within budget;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2"/>
        <w:gridCol w:w="192"/>
        <w:gridCol w:w="9971"/>
      </w:tblGrid>
      <w:tr>
        <w:trPr/>
        <w:tc>
          <w:tcPr>
            <w:tcW w:w="4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pPr>
            <w:r>
              <w:rPr/>
              <w:t>●</w:t>
            </w:r>
          </w:p>
        </w:tc>
        <w:tc>
          <w:tcPr>
            <w:tcW w:w="9971" w:type="dxa"/>
            <w:tcBorders/>
            <w:shd w:fill="auto" w:val="clear"/>
            <w:vAlign w:val="center"/>
          </w:tcPr>
          <w:p>
            <w:pPr>
              <w:pStyle w:val="TableContents"/>
              <w:spacing w:before="0" w:after="283"/>
              <w:rPr/>
            </w:pPr>
            <w:r>
              <w:rPr/>
              <w:t>planned capital expenditures and availability of capital resources to fund capital expenditures;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the duration and effects of COVID-19 and any other pandemics on our workforce, business, operations and financial condition;</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5"/>
        <w:gridCol w:w="205"/>
        <w:gridCol w:w="9955"/>
      </w:tblGrid>
      <w:tr>
        <w:trPr/>
        <w:tc>
          <w:tcPr>
            <w:tcW w:w="4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pPr>
            <w:r>
              <w:rPr/>
              <w:t>●</w:t>
            </w:r>
          </w:p>
        </w:tc>
        <w:tc>
          <w:tcPr>
            <w:tcW w:w="9955" w:type="dxa"/>
            <w:tcBorders/>
            <w:shd w:fill="auto" w:val="clear"/>
            <w:vAlign w:val="center"/>
          </w:tcPr>
          <w:p>
            <w:pPr>
              <w:pStyle w:val="TableContents"/>
              <w:spacing w:before="0" w:after="283"/>
              <w:rPr/>
            </w:pPr>
            <w:r>
              <w:rPr/>
              <w:t>fluctuations in prices for crude oil, petroleum products and natural gas, including LNG;</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9"/>
        <w:gridCol w:w="266"/>
        <w:gridCol w:w="9880"/>
      </w:tblGrid>
      <w:tr>
        <w:trPr/>
        <w:tc>
          <w:tcPr>
            <w:tcW w:w="5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pPr>
            <w:r>
              <w:rPr/>
              <w:t>●</w:t>
            </w:r>
          </w:p>
        </w:tc>
        <w:tc>
          <w:tcPr>
            <w:tcW w:w="9880" w:type="dxa"/>
            <w:tcBorders/>
            <w:shd w:fill="auto" w:val="clear"/>
            <w:vAlign w:val="center"/>
          </w:tcPr>
          <w:p>
            <w:pPr>
              <w:pStyle w:val="TableContents"/>
              <w:spacing w:before="0" w:after="283"/>
              <w:rPr/>
            </w:pPr>
            <w:r>
              <w:rPr/>
              <w:t>fluctuations in exchange rates, especially the U.S. dollar and Euro;</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our ability to expand our portfolio by acquiring vessels through our drop-down pipeline with Parent or by acquiring other assets from third parties;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our ability to leverage Parent’s relationships and reputation in the shipping industry and the ability of Parent to maintain long-term relationships with major energy companies and major LNG producers, marketers and consumers to obtain new charter contracts;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Parent’s relationships with its employees and ship crews, its ability to retain key employees and provide services to us, and the availability of skilled labor, ship crews and management;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35</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90"/>
        <w:gridCol w:w="402"/>
        <w:gridCol w:w="9713"/>
      </w:tblGrid>
      <w:tr>
        <w:trPr/>
        <w:tc>
          <w:tcPr>
            <w:tcW w:w="90"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pPr>
            <w:r>
              <w:rPr/>
              <w:t>●</w:t>
            </w:r>
          </w:p>
        </w:tc>
        <w:tc>
          <w:tcPr>
            <w:tcW w:w="9713" w:type="dxa"/>
            <w:tcBorders/>
            <w:shd w:fill="auto" w:val="clear"/>
            <w:vAlign w:val="center"/>
          </w:tcPr>
          <w:p>
            <w:pPr>
              <w:pStyle w:val="TableContents"/>
              <w:spacing w:before="0" w:after="283"/>
              <w:rPr/>
            </w:pPr>
            <w:r>
              <w:rPr/>
              <w:t>changes in the ownership of our charterers;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3"/>
        <w:gridCol w:w="196"/>
        <w:gridCol w:w="9966"/>
      </w:tblGrid>
      <w:tr>
        <w:trPr/>
        <w:tc>
          <w:tcPr>
            <w:tcW w:w="4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pPr>
            <w:r>
              <w:rPr/>
              <w:t>●</w:t>
            </w:r>
          </w:p>
        </w:tc>
        <w:tc>
          <w:tcPr>
            <w:tcW w:w="9966" w:type="dxa"/>
            <w:tcBorders/>
            <w:shd w:fill="auto" w:val="clear"/>
            <w:vAlign w:val="center"/>
          </w:tcPr>
          <w:p>
            <w:pPr>
              <w:pStyle w:val="TableContents"/>
              <w:spacing w:before="0" w:after="283"/>
              <w:rPr/>
            </w:pPr>
            <w:r>
              <w:rPr/>
              <w:t>our customers’ performance of their obligations under our time charters and other contracts;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0"/>
        <w:gridCol w:w="182"/>
        <w:gridCol w:w="9983"/>
      </w:tblGrid>
      <w:tr>
        <w:trPr/>
        <w:tc>
          <w:tcPr>
            <w:tcW w:w="40"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pPr>
            <w:r>
              <w:rPr/>
              <w:t>●</w:t>
            </w:r>
          </w:p>
        </w:tc>
        <w:tc>
          <w:tcPr>
            <w:tcW w:w="9983" w:type="dxa"/>
            <w:tcBorders/>
            <w:shd w:fill="auto" w:val="clear"/>
            <w:vAlign w:val="center"/>
          </w:tcPr>
          <w:p>
            <w:pPr>
              <w:pStyle w:val="TableContents"/>
              <w:spacing w:before="0" w:after="283"/>
              <w:rPr/>
            </w:pPr>
            <w:r>
              <w:rPr/>
              <w:t>our future operating performance, financial condition, liquidity and cash available for distributions;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our distribution policy and our ability to make cash distributions on our units or the impact of changes to cash distributions on our financial position;</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our ability to obtain debt and equity financing on acceptable terms to fund capital expenditures, acquisitions and other corporate activities, funding by banks of their financial commitments and our ability to meet our restrictive covenants and other obligations under our credit facilities;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future, pending or recent acquisitions of ships or other assets, business strategy, areas of possible expansion and expected capital spending;</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7"/>
        <w:gridCol w:w="257"/>
        <w:gridCol w:w="9891"/>
      </w:tblGrid>
      <w:tr>
        <w:trPr/>
        <w:tc>
          <w:tcPr>
            <w:tcW w:w="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pPr>
            <w:r>
              <w:rPr/>
              <w:t>●</w:t>
            </w:r>
          </w:p>
        </w:tc>
        <w:tc>
          <w:tcPr>
            <w:tcW w:w="9891" w:type="dxa"/>
            <w:tcBorders/>
            <w:shd w:fill="auto" w:val="clear"/>
            <w:vAlign w:val="center"/>
          </w:tcPr>
          <w:p>
            <w:pPr>
              <w:pStyle w:val="TableContents"/>
              <w:spacing w:before="0" w:after="283"/>
              <w:rPr/>
            </w:pPr>
            <w:r>
              <w:rPr/>
              <w:t>risks inherent in ship operation, including the discharge of pollutants;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any malfunction or disruption of information technology systems and networks that our operations rely on or any impact of a possible cybersecurity event;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the expected cost of and our ability to comply with environmental and regulatory requirements related to climate change, including regulatory requirements with respect to emissions of air pollutants and greenhouse gases, as well as future changes in such requirements or other actions taken by regulatory authorities, governmental organizations, classification societies and standards imposed by our charterers applicable to our business;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potential disruption of shipping routes due to accidents, diseases, pandemics, political events, piracy or acts by terrorists;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90"/>
        <w:gridCol w:w="404"/>
        <w:gridCol w:w="9711"/>
      </w:tblGrid>
      <w:tr>
        <w:trPr/>
        <w:tc>
          <w:tcPr>
            <w:tcW w:w="90"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pPr>
            <w:r>
              <w:rPr/>
              <w:t>●</w:t>
            </w:r>
          </w:p>
        </w:tc>
        <w:tc>
          <w:tcPr>
            <w:tcW w:w="9711" w:type="dxa"/>
            <w:tcBorders/>
            <w:shd w:fill="auto" w:val="clear"/>
            <w:vAlign w:val="center"/>
          </w:tcPr>
          <w:p>
            <w:pPr>
              <w:pStyle w:val="TableContents"/>
              <w:spacing w:before="0" w:after="283"/>
              <w:rPr/>
            </w:pPr>
            <w:r>
              <w:rPr/>
              <w:t>potential liability from future litigation; and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2"/>
        <w:gridCol w:w="192"/>
        <w:gridCol w:w="9971"/>
      </w:tblGrid>
      <w:tr>
        <w:trPr/>
        <w:tc>
          <w:tcPr>
            <w:tcW w:w="4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pPr>
            <w:r>
              <w:rPr/>
              <w:t>●</w:t>
            </w:r>
          </w:p>
        </w:tc>
        <w:tc>
          <w:tcPr>
            <w:tcW w:w="9971" w:type="dxa"/>
            <w:tcBorders/>
            <w:shd w:fill="auto" w:val="clear"/>
            <w:vAlign w:val="center"/>
          </w:tcPr>
          <w:p>
            <w:pPr>
              <w:pStyle w:val="TableContents"/>
              <w:spacing w:before="0" w:after="283"/>
              <w:rPr/>
            </w:pPr>
            <w:r>
              <w:rPr/>
              <w:t>other factors discussed in “Item 3. Key Information-D. Risk Factors” of our 2022 Form 20-F.</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Partnership cautions that the foregoing list of factors is not exhaustive. Other unknown or unpredictable factors could also have material adverse effects on the Partnership’s performance or achievements prior to the Merger. The Partnership also cautions that forward-looking statements are not guarantees and that actual results could differ materially from those expressed or implied in the forward-looking statements. New factors emerge from time to time, and it is not possible for the Partnership to predict all of these factors. Further, the Partnership cannot assess the impact of each such factor on its business or the extent to which any factor, or combination of factors, may cause actual results to be materially different from those contained in any forward-looking statement. The Partnership makes no prediction or statement about the performance of its Common Units.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36</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Discussions of other important factors and assumptions can be found in the section of this proxy statement entitled “Risk Factors” and in the 2022 Form 20-F, and the Partnership’s other filings with the SEC, which are available at http://www.sec.gov. All forward-looking statements included in this proxy statement are expressly qualified in their entirety by such cautionary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37</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PARTIES TO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GasLog Ltd.</w:t>
        <w:br/>
      </w:r>
      <w:r>
        <w:rPr>
          <w:rFonts w:ascii="Times New Roman;Times;Serif" w:hAnsi="Times New Roman;Times;Serif"/>
          <w:b w:val="false"/>
          <w:i w:val="false"/>
          <w:caps w:val="false"/>
          <w:smallCaps w:val="false"/>
          <w:sz w:val="20"/>
        </w:rPr>
        <w:t>c/o GasLog LNG Services Ltd.</w:t>
        <w:br/>
        <w:t>69 Akti Miaouli 18537</w:t>
        <w:br/>
        <w:t>Piraeus, Greece</w:t>
        <w:br/>
        <w:t>Phone: +30 210 459 1000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is an international owner, operator and manager of LNG carriers providing support to international energy companies as part of their LNG logistics chain. Parent’s consolidated fleet consists of 38 LNG carriers (33 on the water, four under construction and one vessel undergoing conversion into an FSRU). Of these vessels, 18 are owned by Parent, six have been sold and leased back by Parent under long-term bareboat charters and of the remaining 14 LNG carriers, eleven are owned by the Partnership, and three have been sold and leased back by the Partnership.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 2023, Parent holds 15,621,602 Common Units (representing 30.2% of the Common Units issued and outstanding as of                     , 2023) and 1,245,000 Class B Units and is also the owner of the General Partner (as defined below). In the event that the Effective Time does not occur prior to July 1, 2023, the 415,000 Class B-4 Units that are issued and outstanding will become eligible for conversion on a one-for-one basis into 415,000 Common Units at Parent’s option on July 1,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GasLog Partners GP LLC</w:t>
        <w:br/>
      </w:r>
      <w:r>
        <w:rPr>
          <w:rFonts w:ascii="Times New Roman;Times;Serif" w:hAnsi="Times New Roman;Times;Serif"/>
          <w:b w:val="false"/>
          <w:i w:val="false"/>
          <w:caps w:val="false"/>
          <w:smallCaps w:val="false"/>
          <w:sz w:val="20"/>
        </w:rPr>
        <w:t>c/o GasLog LNG Services Ltd.</w:t>
        <w:br/>
        <w:t>69 Akti Miaouli 18537</w:t>
        <w:br/>
        <w:t>Piraeus, Greece</w:t>
        <w:br/>
        <w:t>Phone: +30 210 459 1000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Partner is the general partner of the Partnership and holds the General Partner Units. The General Partner is wholly owned by Parent. Under the Partnership Agreement, the General Partner has irrevocably delegated to the Partnership Board all management powers over the business and affairs of the Partnership that it possesses or may possess under applicable law, including the authority to oversee and direct the operation, management and policies of the Partnership on an exclusive basis. Following the Merger, the General Partner will remain the sole general partner of the Partnership.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Saturn Merger Sub LLC</w:t>
        <w:br/>
      </w:r>
      <w:r>
        <w:rPr>
          <w:rFonts w:ascii="Times New Roman;Times;Serif" w:hAnsi="Times New Roman;Times;Serif"/>
          <w:b w:val="false"/>
          <w:i w:val="false"/>
          <w:caps w:val="false"/>
          <w:smallCaps w:val="false"/>
          <w:sz w:val="20"/>
        </w:rPr>
        <w:t>c/o GasLog LNG Services Ltd.</w:t>
        <w:br/>
        <w:t>69 Akti Miaouli 18537</w:t>
        <w:br/>
        <w:t>Piraeus, Greece</w:t>
        <w:br/>
        <w:t>Phone: +30 210 459 1000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 Sub is a direct wholly owned subsidiary of Parent formed for the sole purpose of effecting the Merger. Merger Sub has not carried out any activities to date, except for activities incidental to its formation and activities undertaken in connection with the transactions contemplated by the Merger Agreement. By operation of the Merger, Merger Sub will be merged with and into the Partnership, with the Partnership surviving the Merger as a direct subsidiary of Parent.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38</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GasLog Partners LP</w:t>
        <w:br/>
      </w:r>
      <w:r>
        <w:rPr>
          <w:rFonts w:ascii="Times New Roman;Times;Serif" w:hAnsi="Times New Roman;Times;Serif"/>
          <w:b w:val="false"/>
          <w:i w:val="false"/>
          <w:caps w:val="false"/>
          <w:smallCaps w:val="false"/>
          <w:sz w:val="20"/>
        </w:rPr>
        <w:t>c/o GasLog LNG Services Ltd.</w:t>
        <w:br/>
        <w:t>69 Akti Miaouli 18537</w:t>
        <w:br/>
        <w:t>Piraeus, Greece</w:t>
        <w:br/>
        <w:t>Phone: +30 210 459 1000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Partnership is an owner, operator and acquirer of LNG carriers. The Partnership’s fleet consists of eleven wholly owned LNG carriers as well as three vessels on bareboat charters, with an average carrying capacity of approximately 159,000 cbm. The Partnership is a publicly traded master limited partnership (NYSE: GLOP) but has elected to be treated as a C-corporation for U.S. income tax purposes and therefore its investors receive an Internal Revenue Service Form 1099 with respect to any distributions declared and received.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Partner will remain the sole general partner of the Partnership. The Sponsor Units will remain outstanding after the Merger. The Class B Units issued and outstanding immediately prior to the Effective Time automatically will cease to exist, and no consideration will be delivered in respect thereof.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39</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PARTNERSHIP SPECIAL MEETING OF COMMON UNITHOLDERS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Partnership is providing this proxy statement to its Common Unitholders in connection with the solicitation of proxies to be voted at the Special Meeting that the Partnership has called for, among other things, the purpose of holding a vote upon a proposal to approve the Merger Agreement and the transactions contemplated thereby, including the Merger, and at any adjournment or postponement thereof. This proxy statement is first being mailed to Common Unitholders on or about                     , 2023, and provides Common Unitholders with the information they need to know to be able to vote or instruct their vote to be cast at the Special Meeting.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Time and Place of the Special Meeting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Meeting is scheduled to be held on                     , 2023, at                      (Eastern Time). Attendance at the Special Meeting will be permitted only online via live webcast. The Special Meeting can be accessed by visiting the virtual meeting website where you will be able to attend the Special Meeting, vote and submit questions online during the Special Meeting. Please note that you will not be able to attend the Special Meeting in person. Please have your 16-digit control number to join the Special Meeting. Instructions on how to attend and participate online are also posted online at the virtual meeting website.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Matters to be Considered at the Special Meeting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Common Unitholders will be asked to consider and vote on the following proposals:</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i/>
              </w:rPr>
              <w:t xml:space="preserve">Merger Proposal. </w:t>
            </w:r>
            <w:r>
              <w:rPr/>
              <w:t>To approve the Merger Agreement, a copy of which is attached as Annex A to this proxy statement, as such agreement may be amended from time to time, and the transactions contemplated thereby, including the Merger; and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i/>
              </w:rPr>
              <w:t xml:space="preserve">Adjournment Proposal. </w:t>
            </w:r>
            <w:r>
              <w:rPr/>
              <w:t>To approve the adjournment of the Special Meeting, if necessary or appropriate, to solicit additional proxies if there are not sufficient votes to approve the Merger Agreement and the transactions contemplated by the Merger Agreement, including the Merger, at the time of the Special Meeting.</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 of the Partnership Board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Partnership Board, acting upon the recommendation of the Conflicts Committee, has unanimously (a) determined that the Merger Agreement and the transactions contemplated thereby, including the Merger, are fair to and in the best interests of the Partnership and the Unaffiliated Unitholders, (b) approved the Merger Agreement and the transactions contemplated thereby, including the Merger, (c) directed that the Merger Agreement and the transactions contemplated thereby, including the Merger, be submitted to a vote of the Common Unitholders and (d) resolved to recommend approval of the Merger Agreement and the transactions contemplated thereby, including the Merger, to the Common Unitholders. </w:t>
      </w:r>
      <w:r>
        <w:rPr>
          <w:rFonts w:ascii="Times New Roman;Times;Serif" w:hAnsi="Times New Roman;Times;Serif"/>
          <w:b/>
          <w:i w:val="false"/>
          <w:caps w:val="false"/>
          <w:smallCaps w:val="false"/>
          <w:sz w:val="20"/>
        </w:rPr>
        <w:t>The Partnership Board recommends that the Common Unitholders vote “FOR” the Merger Proposal and that Common Unitholders vote “FOR” the Adjournment Proposal.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40</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considering the recommendation of the Partnership Board with respect to the Merger Agreement and the transactions contemplated thereby, including the Merger, you should be aware that some of the Partnership’s directors and officers may have interests that are different from, or in addition to, the interests of Common Unitholders more generally. See “Special Factors – Interests of the Directors and Executive Officers of the Partnership in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Can Vote at the Special Meeting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record date for the Special Meeting is                     , 2023. Only Common Unitholders of record at the close of business on the record date will be entitled to receive notice of and to vote at the Special Meeting or any adjournment or postponement of the meeting.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close of business on the record date of                     , 2023, there were                      Common Units issued and outstanding and entitled to vote at the Special Meeting. Subject to the Cutback, each holder of Common Units entitled to vote at the Special Meeting may cast one vote for each Common Unit that such holder owned on the close of business on the applicable record 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complete list of Common Unitholders entitled to vote at the Special Meeting will be available for inspection at the principal place of business of the Partnership during regular business hours for a period of no less than ten days before the Special Meeting.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Quorum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quorum of Common Unitholders represented by attendance via the virtual meeting website or by proxy at the Special Meeting is required to vote on approval of the Merger Agreement at the Special Meeting, but not to vote on approval of any adjournment of the meeting. At least a majority of the issued and outstanding Common Units (subject to the Cutback), including those held by Parent, must be represented by attendance via the virtual meeting website or by proxy at the meeting in order to constitute a quorum. Common Units held by Parent are not subject to the Cutback. Any abstentions and broker non-votes will be considered to be present at the meeting for purposes of determining whether a quorum is present at the Special Meeting.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for Approval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Cutback, the affirmative vote of holders of at least a majority of the issued and outstanding Common Units, including those held by Parent (“Unitholder Approval”), is required to approve the Merger Agreement and the transactions contemplated thereby, including the Merger. As of                     , 2023, there were                      Common Units outstanding. Common Units held by Parent are not subject to the Cutback. Abstentions, broker non-votes (if any) and unvoted Common Units will have the same effect as votes “AGAINST” the Merger Proposal.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41</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Cutback, the affirmative vote of holders of at least a majority of the issued and outstanding Common Units entitled to vote and present via the virtual meeting website or by proxy at the Special Meeting, including those held by Parent, is required to approve the adjournment of the Special Meeting, if necessary, to solicit additional proxies if there are not sufficient votes to approve the Merger Agreement and the transactions contemplated thereby, including the Merger, at the time of the Special Meeting. So long as a quorum is present, abstentions and broker non-votes (if any) will have the same effect as votes “AGAINST” the Adjournment Proposal.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Support Agreement, Parent has agreed to appear at the Special Meeting and vote all of its Common Units in favor of the Merger Agreement and the transactions contemplated thereby, including the Merger, and against any competing proposals. As of                     , 2023, Parent owns 15,621,602 Common Units (representing 30.2% of the Common Units issued and outstanding as of                     , 2023). The holders of Preference Units do not have the right to vote at the Special Meeting in their capacities as holders of Preference Units.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of Common Units by Holders of Record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entitled to vote at the Special Meeting and hold your Common Units in your own name, you can submit a proxy or vote via the virtual meeting website by completing a ballot at the Special Meeting. However, the Partnership encourages you to submit a proxy before the Special Meeting even if you plan to attend the Special Meeting in order to ensure that your Common Units are voted. A proxy is a legal designation of another person to vote your Common Units on your behalf. If you hold units in your own name, you may submit a proxy for your Common Units by:</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calling the toll-free number specified on the enclosed proxy card and follow the instructions when prompted;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accessing the Internet website specified on the enclosed proxy card and follow the instructions provided to you; or</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filling out, signing and dating the enclosed proxy card and mailing it in the prepaid envelope included with these proxy materials.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 Common Unitholder submits a proxy by telephone or through the Internet, such proxy is recorded immediately. The Partnership encourages its Common Unitholders to submit their proxies using these methods whenever possible. If you submit a proxy by telephone or the Internet website, please do not return your proxy card by mail.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Common Units represented by each properly executed and valid proxy received before the Special Meeting will be voted in accordance with the instructions given on the proxy. If a Common Unitholder executes a proxy card without giving instructions, the Common Units represented by that proxy card will be voted as the Partnership Board recommends. </w:t>
      </w:r>
      <w:r>
        <w:rPr>
          <w:rFonts w:ascii="Times New Roman;Times;Serif" w:hAnsi="Times New Roman;Times;Serif"/>
          <w:b/>
          <w:i w:val="false"/>
          <w:caps w:val="false"/>
          <w:smallCaps w:val="false"/>
          <w:sz w:val="20"/>
        </w:rPr>
        <w:t>The Partnership Board recommends that Common Unitholders vote “FOR” the Merger Proposal and that Common Unitholders vote “FOR” the Adjournment Proposal.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if you indicate that you wish to vote against the Merger Proposal, your Common Units will only be voted in favor of the Adjournment Proposal if you indicate that you wish to vote in favor of that proposal.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vote is important. Accordingly, please submit your proxy by telephone, through the Internet or by mail, whether or not you plan to attend the Special Meeting via the virtual meeting website. Proxies must be received by 11:59 p.m. (Eastern Time), on                     , 2023 or, in the event of an adjournment of the Special Meeting, such later date and time as may be determined by the Partnership Board.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of Common Units Held in Street Name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Common Units are held in an account at a broker or through another nominee, you must instruct the broker or other nominee on how to vote your Common Units by following the instructions that the broker or other nominee provides to you with these proxy materials. Most brokers offer the ability for unitholders to submit voting instructions by mail by completing a voting instruction card, by telephone and via the Internet.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do not provide voting instructions to your broker, your Common Units will not be voted on any proposal on which your broker does not have discretionary authority to vote. This is referred to in this proxy statement and in general as a broker non-vote. In these cases, the broker or other nominee can register your Common Units as being present at the Special Meeting for purposes of determining a quorum, but will not be able to vote your Common Units on those matters for which specific authorization is required. Under the current rules of the NYSE, brokers do not have discretionary authority to vote on any of the proposals, including the Merger Proposal. A broker non-vote of a Common Unit will have the same effect as a vote “AGAINST” the Merger Proposal and the Adjournment Proposal.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Common Units through a broker or other nominee and wish to vote your Common Units at the Special Meeting by attending via the virtual meeting website, you must obtain a proxy from your broker or other nominee and present it to the inspector of election with your ballot when you vote at the Special Meeting.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Revocability of Proxies; Changing Your Voting Instructions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revoke your proxy and/or change your voting instructions at any time before your proxy is voted at the Special Meeting. If you are a Common Unitholder of record, you can do this by:</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sending a written notice, no later than the telephone/internet deadline, to GasLog Partners LP, c/o GasLog LNG Services Ltd., 69 Akti Miaouli 18537, Piraeus, Greece, Attention: Corporate Secretary, that bears a date later than the date of this proxy statement and is received prior to the Special Meeting and states that you revoke your proxy;</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submitting a valid, later-dated proxy by mail, telephone or Internet that is received prior to the Special Meeting; or</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attending the Special Meeting and voting by ballot via the virtual meeting website (your attendance at the Special Meeting via the virtual meeting website will not, by itself, revoke any proxy that you have previously given).</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your Common Units through a broker or other nominee, you must follow the directions you receive from your broker or other nominee in order to revoke your proxy or change your voting instructions.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Solicitation of Proxies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is furnished in connection with the solicitation of proxies by the Partnership Board to be voted at the Special Meeting. Under the Merger Agreement, Parent and the Partnership agreed to each pay one-half of the expenses incurred in connection with the filing, printing and mailing of this proxy statement and the solicitation of Unitholder Approval. The Partnership has engaged D.F. King to assist in the solicitation of proxies for the Special Meeting. D.F. King will be paid approximately $15,000 by the Partnership for these and other advisory services in connection with the Special Meeting. In addition, the Partnership has agreed to reimburse D.F. King for certain additional fees and expenses, as mutually agreed to in writing, and will also indemnify D.F. King, its affiliates and its and their respective directors, officers, employees, agents and other representatives and controlling persons against certain claims, liabilities, losses, damages and expenses. Proxies may also be solicited by certain of the Partnership’s directors, officers and employees by telephone, electronic mail, letter, facsimile or in person, but no additional compensation will be paid to them.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After the Merger is completed, each record holder of Common Units immediately prior to the Effective Time will be sent (a) a notice of the effectiveness of the Merger and (b) cash in an amount equal to, subject to applicable withholding taxes, (i) the number of Common Units held by such holder of record immediately prior to the Effective Time </w:t>
      </w:r>
      <w:r>
        <w:rPr>
          <w:rFonts w:ascii="Times New Roman;Times;Serif" w:hAnsi="Times New Roman;Times;Serif"/>
          <w:b w:val="false"/>
          <w:i/>
          <w:caps w:val="false"/>
          <w:smallCaps w:val="false"/>
          <w:sz w:val="20"/>
        </w:rPr>
        <w:t>multiplied</w:t>
      </w:r>
      <w:r>
        <w:rPr>
          <w:rFonts w:ascii="Times New Roman;Times;Serif" w:hAnsi="Times New Roman;Times;Serif"/>
          <w:b w:val="false"/>
          <w:i w:val="false"/>
          <w:caps w:val="false"/>
          <w:smallCaps w:val="false"/>
          <w:sz w:val="20"/>
        </w:rPr>
        <w:t xml:space="preserve"> by (ii) the Merger Consideration to which such holder is entitled under the Merger Agreement, and such Common Units will forthwith be canceled.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Other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to be conducted at the Special Meeting will be limited to the purposes stated in the notice to Common Unitholders provided with this proxy statement.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Adjournments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Adjournments may be made for the purpose of, among other things, soliciting additional proxies. To approve an adjournment, if a quorum is present, holders of at least a majority of the issued and outstanding Common Units, including those held by Parent, must vote in favor of the proposal. If a quorum is not present, the meeting may be adjourned from time to time by the affirmative vote of at least a majority of the outstanding Common Units entitled to vote at such meeting (including those held by Parent) and present via the virtual meeting website or by proxy. The Partnership is not required to notify holders of Common Units of any adjournment and a new record date need not be fixed if the time and place of the adjourned meeting are announced at the meeting at which the adjournment is taken, unless the adjournment is for more than 45 days. At any adjourned meeting, the Partnership may transact any business that it might have transacted at the original Special Meeting;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quorum is present at such adjourned meeting. Proxies submitted by holders of Common Units for use at the original Special Meeting will be used at any adjournment or postponement of the meeting. References to the Special Meeting in this proxy statement are to such Special Meeting as adjourned or postponed.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Assistance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need assistance in completing your proxy card or have questions regarding the Special Meeting, please contact D.F. King toll-free at (866) 342-4883 (banks and brokers call collect at (212) 269-5550).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45</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FACTORS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section of the proxy statement describes the material aspects of the proposed Merger. This section may not contain all of the information that is important to you. You should carefully read this entire proxy statement and the documents incorporated herein by reference, including the full text of the Merger Agreement, for a more complete understanding of the Merger. A copy of the Merger Agreement is attached as Annex A hereto. In addition, important business and financial information about the Partnership is included in or incorporated into this proxy statement by reference. See “Where You Can Find More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the Merger Agreement and in accordance with the laws of the Republic of the Marshall Islands, the Merger Agreement provides for the merger of the Partnership with Merger Sub. The Partnership, which is sometimes referred to following the Merger as the Surviving Entity, will survive the Merger, and the separate limited liability company existence of Merger Sub will cease. As a result of the Merger, the Partnership will survive as a direct subsidiary of Parent. After the completion of the Merger, the certificate of limited partnership of the Partnership in effect immediately prior to the Effective Time will be the certificate of limited partnership of the Surviving Entity, until amended in accordance with its terms and applicable law, and the Partnership Agreement in effect immediately prior to the Effective Time will be the agreement of limited partnership of the Surviving Entity, until amended in accordance with its terms and applicable law.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provides that, at the Effective Time, each Common Unit issued and outstanding immediately prior to the Effective Time, other than the Sponsor Units, will be converted into the right to receive the Merger Consideration, without interest and reduced by any applicable tax withholding. In addition, as soon as reasonably practicable following the Unitholder Approval, pursuant to the terms of the Merger Agreement, the Partnership Board will declare the Special Distribution with a record date on a business day prior to the anticipated closing date of the Merger and a payment date occurring on or prior to the closing date of the Merger, which dates will be reasonably agreed between the Partnership and Parent. Accordingly, holders of Common Units (other than the Sponsor Units) will, assuming that such holders hold Common Units both on the record date of the Special Distribution and at the Effective Time, receive overall consideration of $8.65 per Common Unit. The Sponsor Units and the General Partner Units will remain outstanding after the Merger, and the General Partner will remain the sole general partner of the Partnership. The Class B Units issued and outstanding immediately prior to the Effective Time, all of which are held by Parent, will automatically be cancelled at the Effective Time and will cease to exist, and no consideration will be delivered in respect thereof. Each of the issued and outstanding Preference Units will remain outstanding immediately upon completion of the Merger and continue to trade on the NYSE immediately following completion of the Merger, and no consideration will be delivered in respect thereof. See the section entitled “Proposal No. 1. – The Merger Agreement” for further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46</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Partnership’s Net Book Value and Net Earnings Attributable to Common Unitholders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out each of Parent’s and the General Partner’s interests in the Partnership’s net book value and net earnings attributable to Common Unitholders before and after the proposed Merger, based on the historical net book value of the Partnership as of December 31, 2022, the net loss attributable to the owners of the Partnership for the year ended December 31, 2022 and 51,796,759 Common Units outstanding as of May 4,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 Sub is not reflected on the table below because it does not own any Common Units, it will not own any Common Units before the Effective Time and, at the Effective Time, the limited liability company interests in Merger Sub issued and outstanding immediately prior to the Effective Time will be canceled and cease to exist.</w:t>
      </w:r>
    </w:p>
    <w:p>
      <w:pPr>
        <w:pStyle w:val="TextBody"/>
        <w:spacing w:before="0" w:after="0"/>
        <w:ind w:left="0" w:right="0" w:hanging="0"/>
        <w:rPr>
          <w:caps w:val="false"/>
          <w:smallCaps w:val="false"/>
        </w:rPr>
      </w:pPr>
      <w:r>
        <w:rPr>
          <w:caps w:val="false"/>
          <w:smallCaps w:val="false"/>
        </w:rPr>
        <w:t> </w:t>
      </w:r>
    </w:p>
    <w:tbl>
      <w:tblPr>
        <w:tblW w:w="8595" w:type="dxa"/>
        <w:jc w:val="left"/>
        <w:tblInd w:w="0" w:type="dxa"/>
        <w:tblCellMar>
          <w:top w:w="0" w:type="dxa"/>
          <w:left w:w="0" w:type="dxa"/>
          <w:bottom w:w="0" w:type="dxa"/>
          <w:right w:w="0" w:type="dxa"/>
        </w:tblCellMar>
      </w:tblPr>
      <w:tblGrid>
        <w:gridCol w:w="1490"/>
        <w:gridCol w:w="60"/>
        <w:gridCol w:w="85"/>
        <w:gridCol w:w="999"/>
        <w:gridCol w:w="70"/>
        <w:gridCol w:w="70"/>
        <w:gridCol w:w="70"/>
        <w:gridCol w:w="447"/>
        <w:gridCol w:w="60"/>
        <w:gridCol w:w="60"/>
        <w:gridCol w:w="99"/>
        <w:gridCol w:w="985"/>
        <w:gridCol w:w="60"/>
        <w:gridCol w:w="60"/>
        <w:gridCol w:w="60"/>
        <w:gridCol w:w="380"/>
        <w:gridCol w:w="60"/>
        <w:gridCol w:w="60"/>
        <w:gridCol w:w="85"/>
        <w:gridCol w:w="999"/>
        <w:gridCol w:w="63"/>
        <w:gridCol w:w="63"/>
        <w:gridCol w:w="63"/>
        <w:gridCol w:w="353"/>
        <w:gridCol w:w="60"/>
        <w:gridCol w:w="60"/>
        <w:gridCol w:w="99"/>
        <w:gridCol w:w="985"/>
        <w:gridCol w:w="60"/>
        <w:gridCol w:w="60"/>
        <w:gridCol w:w="60"/>
        <w:gridCol w:w="335"/>
        <w:gridCol w:w="75"/>
      </w:tblGrid>
      <w:tr>
        <w:trPr/>
        <w:tc>
          <w:tcPr>
            <w:tcW w:w="14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05" w:type="dxa"/>
            <w:gridSpan w:val="14"/>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Ownership Prior to the Merger</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345" w:type="dxa"/>
            <w:gridSpan w:val="14"/>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Ownership After the Merger</w:t>
            </w:r>
          </w:p>
        </w:tc>
        <w:tc>
          <w:tcPr>
            <w:tcW w:w="75" w:type="dxa"/>
            <w:tcBorders/>
            <w:shd w:fill="auto" w:val="clear"/>
            <w:vAlign w:val="center"/>
          </w:tcPr>
          <w:p>
            <w:pPr>
              <w:pStyle w:val="TableContents"/>
              <w:spacing w:before="0" w:after="283"/>
              <w:rPr/>
            </w:pPr>
            <w:r>
              <w:rPr/>
              <w:t> </w:t>
            </w:r>
          </w:p>
        </w:tc>
      </w:tr>
      <w:tr>
        <w:trPr/>
        <w:tc>
          <w:tcPr>
            <w:tcW w:w="14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741" w:type="dxa"/>
            <w:gridSpan w:val="6"/>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Net Book Value</w:t>
            </w:r>
            <w:r>
              <w:rPr>
                <w:b/>
                <w:position w:val="7"/>
                <w:sz w:val="16"/>
                <w:sz w:val="20"/>
              </w:rPr>
              <w:t>(1)</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644" w:type="dxa"/>
            <w:gridSpan w:val="6"/>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Earnings</w:t>
            </w:r>
            <w:r>
              <w:rPr>
                <w:b/>
                <w:position w:val="7"/>
                <w:sz w:val="16"/>
                <w:sz w:val="20"/>
              </w:rPr>
              <w:t>(2)</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626" w:type="dxa"/>
            <w:gridSpan w:val="6"/>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Net Book Value</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599" w:type="dxa"/>
            <w:gridSpan w:val="6"/>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Earnings</w:t>
            </w:r>
          </w:p>
        </w:tc>
        <w:tc>
          <w:tcPr>
            <w:tcW w:w="75" w:type="dxa"/>
            <w:tcBorders/>
            <w:shd w:fill="auto" w:val="clear"/>
            <w:vAlign w:val="center"/>
          </w:tcPr>
          <w:p>
            <w:pPr>
              <w:pStyle w:val="TableContents"/>
              <w:spacing w:before="0" w:after="283"/>
              <w:jc w:val="center"/>
              <w:rPr/>
            </w:pPr>
            <w:r>
              <w:rPr/>
              <w:t> </w:t>
            </w:r>
          </w:p>
        </w:tc>
      </w:tr>
      <w:tr>
        <w:trPr/>
        <w:tc>
          <w:tcPr>
            <w:tcW w:w="14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084" w:type="dxa"/>
            <w:gridSpan w:val="2"/>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$(thousands)</w:t>
            </w:r>
          </w:p>
        </w:tc>
        <w:tc>
          <w:tcPr>
            <w:tcW w:w="70" w:type="dxa"/>
            <w:tcBorders/>
            <w:shd w:fill="auto" w:val="clear"/>
            <w:vAlign w:val="center"/>
          </w:tcPr>
          <w:p>
            <w:pPr>
              <w:pStyle w:val="TableContents"/>
              <w:spacing w:before="0" w:after="283"/>
              <w:jc w:val="center"/>
              <w:rPr/>
            </w:pPr>
            <w:r>
              <w:rPr/>
              <w:t> </w:t>
            </w:r>
          </w:p>
        </w:tc>
        <w:tc>
          <w:tcPr>
            <w:tcW w:w="70" w:type="dxa"/>
            <w:tcBorders/>
            <w:shd w:fill="auto" w:val="clear"/>
            <w:vAlign w:val="center"/>
          </w:tcPr>
          <w:p>
            <w:pPr>
              <w:pStyle w:val="TableContents"/>
              <w:spacing w:before="0" w:after="283"/>
              <w:jc w:val="center"/>
              <w:rPr/>
            </w:pPr>
            <w:r>
              <w:rPr/>
              <w:t> </w:t>
            </w:r>
          </w:p>
        </w:tc>
        <w:tc>
          <w:tcPr>
            <w:tcW w:w="517" w:type="dxa"/>
            <w:gridSpan w:val="2"/>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084" w:type="dxa"/>
            <w:gridSpan w:val="2"/>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$(thousands)</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440" w:type="dxa"/>
            <w:gridSpan w:val="2"/>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084" w:type="dxa"/>
            <w:gridSpan w:val="2"/>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$(thousands)</w:t>
            </w:r>
          </w:p>
        </w:tc>
        <w:tc>
          <w:tcPr>
            <w:tcW w:w="63" w:type="dxa"/>
            <w:tcBorders/>
            <w:shd w:fill="auto" w:val="clear"/>
            <w:vAlign w:val="center"/>
          </w:tcPr>
          <w:p>
            <w:pPr>
              <w:pStyle w:val="TableContents"/>
              <w:spacing w:before="0" w:after="283"/>
              <w:jc w:val="center"/>
              <w:rPr/>
            </w:pPr>
            <w:r>
              <w:rPr/>
              <w:t> </w:t>
            </w:r>
          </w:p>
        </w:tc>
        <w:tc>
          <w:tcPr>
            <w:tcW w:w="63" w:type="dxa"/>
            <w:tcBorders/>
            <w:shd w:fill="auto" w:val="clear"/>
            <w:vAlign w:val="center"/>
          </w:tcPr>
          <w:p>
            <w:pPr>
              <w:pStyle w:val="TableContents"/>
              <w:spacing w:before="0" w:after="283"/>
              <w:jc w:val="center"/>
              <w:rPr/>
            </w:pPr>
            <w:r>
              <w:rPr/>
              <w:t> </w:t>
            </w:r>
          </w:p>
        </w:tc>
        <w:tc>
          <w:tcPr>
            <w:tcW w:w="416" w:type="dxa"/>
            <w:gridSpan w:val="2"/>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084" w:type="dxa"/>
            <w:gridSpan w:val="2"/>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$(thousands)</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395" w:type="dxa"/>
            <w:gridSpan w:val="2"/>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w:t>
            </w:r>
          </w:p>
        </w:tc>
        <w:tc>
          <w:tcPr>
            <w:tcW w:w="75" w:type="dxa"/>
            <w:tcBorders/>
            <w:shd w:fill="auto" w:val="clear"/>
            <w:vAlign w:val="center"/>
          </w:tcPr>
          <w:p>
            <w:pPr>
              <w:pStyle w:val="TableContents"/>
              <w:spacing w:before="0" w:after="283"/>
              <w:jc w:val="center"/>
              <w:rPr/>
            </w:pPr>
            <w:r>
              <w:rPr/>
              <w:t> </w:t>
            </w:r>
          </w:p>
        </w:tc>
      </w:tr>
      <w:tr>
        <w:trPr/>
        <w:tc>
          <w:tcPr>
            <w:tcW w:w="1490" w:type="dxa"/>
            <w:tcBorders/>
            <w:shd w:fill="CCEEFF" w:val="clear"/>
            <w:vAlign w:val="center"/>
          </w:tcPr>
          <w:p>
            <w:pPr>
              <w:pStyle w:val="TableContents"/>
              <w:spacing w:before="0" w:after="283"/>
              <w:rPr>
                <w:sz w:val="20"/>
              </w:rPr>
            </w:pPr>
            <w:r>
              <w:rPr>
                <w:sz w:val="20"/>
              </w:rPr>
              <w:t>Parent</w:t>
            </w:r>
          </w:p>
        </w:tc>
        <w:tc>
          <w:tcPr>
            <w:tcW w:w="60"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jc w:val="left"/>
              <w:rPr/>
            </w:pPr>
            <w:r>
              <w:rPr/>
              <w:t> </w:t>
            </w:r>
          </w:p>
        </w:tc>
        <w:tc>
          <w:tcPr>
            <w:tcW w:w="999" w:type="dxa"/>
            <w:tcBorders/>
            <w:shd w:fill="CCEEFF" w:val="clear"/>
            <w:vAlign w:val="center"/>
          </w:tcPr>
          <w:p>
            <w:pPr>
              <w:pStyle w:val="TableContents"/>
              <w:spacing w:before="0" w:after="283"/>
              <w:jc w:val="right"/>
              <w:rPr>
                <w:sz w:val="20"/>
              </w:rPr>
            </w:pPr>
            <w:r>
              <w:rPr>
                <w:sz w:val="20"/>
              </w:rPr>
              <w:t>201,752</w:t>
            </w:r>
          </w:p>
        </w:tc>
        <w:tc>
          <w:tcPr>
            <w:tcW w:w="70" w:type="dxa"/>
            <w:tcBorders/>
            <w:shd w:fill="CCEEFF" w:val="clear"/>
            <w:vAlign w:val="center"/>
          </w:tcPr>
          <w:p>
            <w:pPr>
              <w:pStyle w:val="TableContents"/>
              <w:spacing w:before="0" w:after="283"/>
              <w:jc w:val="left"/>
              <w:rPr/>
            </w:pPr>
            <w:r>
              <w:rPr/>
              <w:t> </w:t>
            </w:r>
          </w:p>
        </w:tc>
        <w:tc>
          <w:tcPr>
            <w:tcW w:w="7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jc w:val="left"/>
              <w:rPr/>
            </w:pPr>
            <w:r>
              <w:rPr/>
              <w:t> </w:t>
            </w:r>
          </w:p>
        </w:tc>
        <w:tc>
          <w:tcPr>
            <w:tcW w:w="447" w:type="dxa"/>
            <w:tcBorders/>
            <w:shd w:fill="CCEEFF" w:val="clear"/>
            <w:vAlign w:val="center"/>
          </w:tcPr>
          <w:p>
            <w:pPr>
              <w:pStyle w:val="TableContents"/>
              <w:spacing w:before="0" w:after="283"/>
              <w:jc w:val="right"/>
              <w:rPr>
                <w:sz w:val="20"/>
              </w:rPr>
            </w:pPr>
            <w:r>
              <w:rPr>
                <w:sz w:val="20"/>
              </w:rPr>
              <w:t>30.2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9" w:type="dxa"/>
            <w:tcBorders/>
            <w:shd w:fill="CCEEFF" w:val="clear"/>
            <w:vAlign w:val="center"/>
          </w:tcPr>
          <w:p>
            <w:pPr>
              <w:pStyle w:val="TableContents"/>
              <w:spacing w:before="0" w:after="283"/>
              <w:jc w:val="left"/>
              <w:rPr/>
            </w:pPr>
            <w:r>
              <w:rPr/>
              <w:t> </w:t>
            </w:r>
          </w:p>
        </w:tc>
        <w:tc>
          <w:tcPr>
            <w:tcW w:w="985" w:type="dxa"/>
            <w:tcBorders/>
            <w:shd w:fill="CCEEFF" w:val="clear"/>
            <w:vAlign w:val="center"/>
          </w:tcPr>
          <w:p>
            <w:pPr>
              <w:pStyle w:val="TableContents"/>
              <w:spacing w:before="0" w:after="283"/>
              <w:jc w:val="right"/>
              <w:rPr>
                <w:sz w:val="20"/>
              </w:rPr>
            </w:pPr>
            <w:r>
              <w:rPr>
                <w:sz w:val="20"/>
              </w:rPr>
              <w:t>27,333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380" w:type="dxa"/>
            <w:tcBorders/>
            <w:shd w:fill="CCEEFF" w:val="clear"/>
            <w:vAlign w:val="center"/>
          </w:tcPr>
          <w:p>
            <w:pPr>
              <w:pStyle w:val="TableContents"/>
              <w:spacing w:before="0" w:after="283"/>
              <w:jc w:val="right"/>
              <w:rPr>
                <w:sz w:val="20"/>
              </w:rPr>
            </w:pPr>
            <w:r>
              <w:rPr>
                <w:sz w:val="20"/>
              </w:rPr>
              <w:t>30.2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jc w:val="left"/>
              <w:rPr/>
            </w:pPr>
            <w:r>
              <w:rPr/>
              <w:t> </w:t>
            </w:r>
          </w:p>
        </w:tc>
        <w:tc>
          <w:tcPr>
            <w:tcW w:w="999" w:type="dxa"/>
            <w:tcBorders/>
            <w:shd w:fill="CCEEFF" w:val="clear"/>
            <w:vAlign w:val="center"/>
          </w:tcPr>
          <w:p>
            <w:pPr>
              <w:pStyle w:val="TableContents"/>
              <w:spacing w:before="0" w:after="283"/>
              <w:jc w:val="right"/>
              <w:rPr>
                <w:sz w:val="20"/>
              </w:rPr>
            </w:pPr>
            <w:r>
              <w:rPr>
                <w:sz w:val="20"/>
              </w:rPr>
              <w:t>668,953</w:t>
            </w:r>
          </w:p>
        </w:tc>
        <w:tc>
          <w:tcPr>
            <w:tcW w:w="63" w:type="dxa"/>
            <w:tcBorders/>
            <w:shd w:fill="CCEEFF" w:val="clear"/>
            <w:vAlign w:val="center"/>
          </w:tcPr>
          <w:p>
            <w:pPr>
              <w:pStyle w:val="TableContents"/>
              <w:spacing w:before="0" w:after="283"/>
              <w:jc w:val="left"/>
              <w:rPr/>
            </w:pPr>
            <w:r>
              <w:rPr/>
              <w:t> </w:t>
            </w:r>
          </w:p>
        </w:tc>
        <w:tc>
          <w:tcPr>
            <w:tcW w:w="63"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jc w:val="left"/>
              <w:rPr/>
            </w:pPr>
            <w:r>
              <w:rPr/>
              <w:t> </w:t>
            </w:r>
          </w:p>
        </w:tc>
        <w:tc>
          <w:tcPr>
            <w:tcW w:w="353" w:type="dxa"/>
            <w:tcBorders/>
            <w:shd w:fill="CCEEFF" w:val="clear"/>
            <w:vAlign w:val="center"/>
          </w:tcPr>
          <w:p>
            <w:pPr>
              <w:pStyle w:val="TableContents"/>
              <w:spacing w:before="0" w:after="283"/>
              <w:jc w:val="right"/>
              <w:rPr>
                <w:sz w:val="20"/>
              </w:rPr>
            </w:pPr>
            <w:r>
              <w:rPr>
                <w:sz w:val="20"/>
              </w:rPr>
              <w:t>100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9" w:type="dxa"/>
            <w:tcBorders/>
            <w:shd w:fill="CCEEFF" w:val="clear"/>
            <w:vAlign w:val="center"/>
          </w:tcPr>
          <w:p>
            <w:pPr>
              <w:pStyle w:val="TableContents"/>
              <w:spacing w:before="0" w:after="283"/>
              <w:jc w:val="left"/>
              <w:rPr/>
            </w:pPr>
            <w:r>
              <w:rPr/>
              <w:t> </w:t>
            </w:r>
          </w:p>
        </w:tc>
        <w:tc>
          <w:tcPr>
            <w:tcW w:w="985" w:type="dxa"/>
            <w:tcBorders/>
            <w:shd w:fill="CCEEFF" w:val="clear"/>
            <w:vAlign w:val="center"/>
          </w:tcPr>
          <w:p>
            <w:pPr>
              <w:pStyle w:val="TableContents"/>
              <w:spacing w:before="0" w:after="283"/>
              <w:jc w:val="right"/>
              <w:rPr>
                <w:sz w:val="20"/>
              </w:rPr>
            </w:pPr>
            <w:r>
              <w:rPr>
                <w:sz w:val="20"/>
              </w:rPr>
              <w:t>90,630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335" w:type="dxa"/>
            <w:tcBorders/>
            <w:shd w:fill="CCEEFF" w:val="clear"/>
            <w:vAlign w:val="center"/>
          </w:tcPr>
          <w:p>
            <w:pPr>
              <w:pStyle w:val="TableContents"/>
              <w:spacing w:before="0" w:after="283"/>
              <w:jc w:val="right"/>
              <w:rPr>
                <w:sz w:val="20"/>
              </w:rPr>
            </w:pPr>
            <w:r>
              <w:rPr>
                <w:sz w:val="20"/>
              </w:rPr>
              <w:t>100</w:t>
            </w:r>
          </w:p>
        </w:tc>
        <w:tc>
          <w:tcPr>
            <w:tcW w:w="75" w:type="dxa"/>
            <w:tcBorders/>
            <w:shd w:fill="CCEEFF" w:val="clear"/>
            <w:vAlign w:val="center"/>
          </w:tcPr>
          <w:p>
            <w:pPr>
              <w:pStyle w:val="TableContents"/>
              <w:spacing w:before="0" w:after="283"/>
              <w:jc w:val="left"/>
              <w:rPr/>
            </w:pPr>
            <w:r>
              <w:rPr/>
              <w:t> </w:t>
            </w:r>
          </w:p>
        </w:tc>
      </w:tr>
      <w:tr>
        <w:trPr/>
        <w:tc>
          <w:tcPr>
            <w:tcW w:w="1490" w:type="dxa"/>
            <w:tcBorders/>
            <w:shd w:fill="FFFFFF" w:val="clear"/>
            <w:vAlign w:val="center"/>
          </w:tcPr>
          <w:p>
            <w:pPr>
              <w:pStyle w:val="TableContents"/>
              <w:spacing w:before="0" w:after="283"/>
              <w:rPr>
                <w:sz w:val="20"/>
              </w:rPr>
            </w:pPr>
            <w:r>
              <w:rPr>
                <w:sz w:val="20"/>
              </w:rPr>
              <w:t>General Partner</w:t>
            </w:r>
            <w:r>
              <w:rPr>
                <w:position w:val="7"/>
                <w:sz w:val="16"/>
                <w:sz w:val="20"/>
              </w:rPr>
              <w:t>(3)</w:t>
            </w:r>
          </w:p>
        </w:tc>
        <w:tc>
          <w:tcPr>
            <w:tcW w:w="60" w:type="dxa"/>
            <w:tcBorders/>
            <w:shd w:fill="FFFFFF" w:val="clear"/>
            <w:vAlign w:val="center"/>
          </w:tcPr>
          <w:p>
            <w:pPr>
              <w:pStyle w:val="TableContents"/>
              <w:spacing w:before="0" w:after="283"/>
              <w:rPr/>
            </w:pPr>
            <w:r>
              <w:rPr/>
              <w:t> </w:t>
            </w:r>
          </w:p>
        </w:tc>
        <w:tc>
          <w:tcPr>
            <w:tcW w:w="85" w:type="dxa"/>
            <w:tcBorders/>
            <w:shd w:fill="FFFFFF" w:val="clear"/>
            <w:vAlign w:val="center"/>
          </w:tcPr>
          <w:p>
            <w:pPr>
              <w:pStyle w:val="TableContents"/>
              <w:spacing w:before="0" w:after="283"/>
              <w:jc w:val="left"/>
              <w:rPr/>
            </w:pPr>
            <w:r>
              <w:rPr/>
              <w:t> </w:t>
            </w:r>
          </w:p>
        </w:tc>
        <w:tc>
          <w:tcPr>
            <w:tcW w:w="999" w:type="dxa"/>
            <w:tcBorders/>
            <w:shd w:fill="FFFFFF" w:val="clear"/>
            <w:vAlign w:val="center"/>
          </w:tcPr>
          <w:p>
            <w:pPr>
              <w:pStyle w:val="TableContents"/>
              <w:spacing w:before="0" w:after="283"/>
              <w:jc w:val="right"/>
              <w:rPr>
                <w:sz w:val="20"/>
              </w:rPr>
            </w:pPr>
            <w:r>
              <w:rPr>
                <w:sz w:val="20"/>
              </w:rPr>
              <w:t>0</w:t>
            </w:r>
          </w:p>
        </w:tc>
        <w:tc>
          <w:tcPr>
            <w:tcW w:w="70" w:type="dxa"/>
            <w:tcBorders/>
            <w:shd w:fill="FFFFFF" w:val="clear"/>
            <w:vAlign w:val="center"/>
          </w:tcPr>
          <w:p>
            <w:pPr>
              <w:pStyle w:val="TableContents"/>
              <w:spacing w:before="0" w:after="283"/>
              <w:jc w:val="left"/>
              <w:rPr/>
            </w:pPr>
            <w:r>
              <w:rPr/>
              <w:t> </w:t>
            </w:r>
          </w:p>
        </w:tc>
        <w:tc>
          <w:tcPr>
            <w:tcW w:w="70" w:type="dxa"/>
            <w:tcBorders/>
            <w:shd w:fill="FFFFFF" w:val="clear"/>
            <w:vAlign w:val="center"/>
          </w:tcPr>
          <w:p>
            <w:pPr>
              <w:pStyle w:val="TableContents"/>
              <w:spacing w:before="0" w:after="283"/>
              <w:rPr/>
            </w:pPr>
            <w:r>
              <w:rPr/>
              <w:t> </w:t>
            </w:r>
          </w:p>
        </w:tc>
        <w:tc>
          <w:tcPr>
            <w:tcW w:w="70" w:type="dxa"/>
            <w:tcBorders/>
            <w:shd w:fill="FFFFFF" w:val="clear"/>
            <w:vAlign w:val="center"/>
          </w:tcPr>
          <w:p>
            <w:pPr>
              <w:pStyle w:val="TableContents"/>
              <w:spacing w:before="0" w:after="283"/>
              <w:jc w:val="left"/>
              <w:rPr/>
            </w:pPr>
            <w:r>
              <w:rPr/>
              <w:t> </w:t>
            </w:r>
          </w:p>
        </w:tc>
        <w:tc>
          <w:tcPr>
            <w:tcW w:w="447" w:type="dxa"/>
            <w:tcBorders/>
            <w:shd w:fill="FFFFFF" w:val="clear"/>
            <w:vAlign w:val="center"/>
          </w:tcPr>
          <w:p>
            <w:pPr>
              <w:pStyle w:val="TableContents"/>
              <w:spacing w:before="0" w:after="283"/>
              <w:jc w:val="right"/>
              <w:rPr>
                <w:sz w:val="20"/>
              </w:rPr>
            </w:pPr>
            <w:r>
              <w:rPr>
                <w:sz w:val="20"/>
              </w:rPr>
              <w:t>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9" w:type="dxa"/>
            <w:tcBorders/>
            <w:shd w:fill="FFFFFF" w:val="clear"/>
            <w:vAlign w:val="center"/>
          </w:tcPr>
          <w:p>
            <w:pPr>
              <w:pStyle w:val="TableContents"/>
              <w:spacing w:before="0" w:after="283"/>
              <w:jc w:val="left"/>
              <w:rPr/>
            </w:pPr>
            <w:r>
              <w:rPr/>
              <w:t> </w:t>
            </w:r>
          </w:p>
        </w:tc>
        <w:tc>
          <w:tcPr>
            <w:tcW w:w="985" w:type="dxa"/>
            <w:tcBorders/>
            <w:shd w:fill="FFFFFF" w:val="clear"/>
            <w:vAlign w:val="center"/>
          </w:tcPr>
          <w:p>
            <w:pPr>
              <w:pStyle w:val="TableContents"/>
              <w:spacing w:before="0" w:after="283"/>
              <w:jc w:val="right"/>
              <w:rPr>
                <w:sz w:val="20"/>
              </w:rPr>
            </w:pPr>
            <w:r>
              <w:rPr>
                <w:sz w:val="20"/>
              </w:rPr>
              <w:t>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380" w:type="dxa"/>
            <w:tcBorders/>
            <w:shd w:fill="FFFFFF" w:val="clear"/>
            <w:vAlign w:val="center"/>
          </w:tcPr>
          <w:p>
            <w:pPr>
              <w:pStyle w:val="TableContents"/>
              <w:spacing w:before="0" w:after="283"/>
              <w:jc w:val="right"/>
              <w:rPr>
                <w:sz w:val="20"/>
              </w:rPr>
            </w:pPr>
            <w:r>
              <w:rPr>
                <w:sz w:val="20"/>
              </w:rPr>
              <w:t>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85" w:type="dxa"/>
            <w:tcBorders/>
            <w:shd w:fill="FFFFFF" w:val="clear"/>
            <w:vAlign w:val="center"/>
          </w:tcPr>
          <w:p>
            <w:pPr>
              <w:pStyle w:val="TableContents"/>
              <w:spacing w:before="0" w:after="283"/>
              <w:jc w:val="left"/>
              <w:rPr/>
            </w:pPr>
            <w:r>
              <w:rPr/>
              <w:t> </w:t>
            </w:r>
          </w:p>
        </w:tc>
        <w:tc>
          <w:tcPr>
            <w:tcW w:w="999" w:type="dxa"/>
            <w:tcBorders/>
            <w:shd w:fill="FFFFFF" w:val="clear"/>
            <w:vAlign w:val="center"/>
          </w:tcPr>
          <w:p>
            <w:pPr>
              <w:pStyle w:val="TableContents"/>
              <w:spacing w:before="0" w:after="283"/>
              <w:jc w:val="right"/>
              <w:rPr>
                <w:sz w:val="20"/>
              </w:rPr>
            </w:pPr>
            <w:r>
              <w:rPr>
                <w:sz w:val="20"/>
              </w:rPr>
              <w:t>0</w:t>
            </w:r>
          </w:p>
        </w:tc>
        <w:tc>
          <w:tcPr>
            <w:tcW w:w="63" w:type="dxa"/>
            <w:tcBorders/>
            <w:shd w:fill="FFFFFF" w:val="clear"/>
            <w:vAlign w:val="center"/>
          </w:tcPr>
          <w:p>
            <w:pPr>
              <w:pStyle w:val="TableContents"/>
              <w:spacing w:before="0" w:after="283"/>
              <w:jc w:val="left"/>
              <w:rPr/>
            </w:pPr>
            <w:r>
              <w:rPr/>
              <w:t> </w:t>
            </w:r>
          </w:p>
        </w:tc>
        <w:tc>
          <w:tcPr>
            <w:tcW w:w="63" w:type="dxa"/>
            <w:tcBorders/>
            <w:shd w:fill="FFFFFF" w:val="clear"/>
            <w:vAlign w:val="center"/>
          </w:tcPr>
          <w:p>
            <w:pPr>
              <w:pStyle w:val="TableContents"/>
              <w:spacing w:before="0" w:after="283"/>
              <w:rPr/>
            </w:pPr>
            <w:r>
              <w:rPr/>
              <w:t> </w:t>
            </w:r>
          </w:p>
        </w:tc>
        <w:tc>
          <w:tcPr>
            <w:tcW w:w="63" w:type="dxa"/>
            <w:tcBorders/>
            <w:shd w:fill="FFFFFF" w:val="clear"/>
            <w:vAlign w:val="center"/>
          </w:tcPr>
          <w:p>
            <w:pPr>
              <w:pStyle w:val="TableContents"/>
              <w:spacing w:before="0" w:after="283"/>
              <w:jc w:val="left"/>
              <w:rPr/>
            </w:pPr>
            <w:r>
              <w:rPr/>
              <w:t> </w:t>
            </w:r>
          </w:p>
        </w:tc>
        <w:tc>
          <w:tcPr>
            <w:tcW w:w="353" w:type="dxa"/>
            <w:tcBorders/>
            <w:shd w:fill="FFFFFF" w:val="clear"/>
            <w:vAlign w:val="center"/>
          </w:tcPr>
          <w:p>
            <w:pPr>
              <w:pStyle w:val="TableContents"/>
              <w:spacing w:before="0" w:after="283"/>
              <w:jc w:val="right"/>
              <w:rPr>
                <w:sz w:val="20"/>
              </w:rPr>
            </w:pPr>
            <w:r>
              <w:rPr>
                <w:sz w:val="20"/>
              </w:rPr>
              <w:t>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9" w:type="dxa"/>
            <w:tcBorders/>
            <w:shd w:fill="FFFFFF" w:val="clear"/>
            <w:vAlign w:val="center"/>
          </w:tcPr>
          <w:p>
            <w:pPr>
              <w:pStyle w:val="TableContents"/>
              <w:spacing w:before="0" w:after="283"/>
              <w:jc w:val="left"/>
              <w:rPr/>
            </w:pPr>
            <w:r>
              <w:rPr/>
              <w:t> </w:t>
            </w:r>
          </w:p>
        </w:tc>
        <w:tc>
          <w:tcPr>
            <w:tcW w:w="985" w:type="dxa"/>
            <w:tcBorders/>
            <w:shd w:fill="FFFFFF" w:val="clear"/>
            <w:vAlign w:val="center"/>
          </w:tcPr>
          <w:p>
            <w:pPr>
              <w:pStyle w:val="TableContents"/>
              <w:spacing w:before="0" w:after="283"/>
              <w:jc w:val="right"/>
              <w:rPr>
                <w:sz w:val="20"/>
              </w:rPr>
            </w:pPr>
            <w:r>
              <w:rPr>
                <w:sz w:val="20"/>
              </w:rPr>
              <w:t>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335" w:type="dxa"/>
            <w:tcBorders/>
            <w:shd w:fill="FFFFFF" w:val="clear"/>
            <w:vAlign w:val="center"/>
          </w:tcPr>
          <w:p>
            <w:pPr>
              <w:pStyle w:val="TableContents"/>
              <w:spacing w:before="0" w:after="283"/>
              <w:jc w:val="right"/>
              <w:rPr>
                <w:sz w:val="20"/>
              </w:rPr>
            </w:pPr>
            <w:r>
              <w:rPr>
                <w:sz w:val="20"/>
              </w:rPr>
              <w:t>0</w:t>
            </w:r>
          </w:p>
        </w:tc>
        <w:tc>
          <w:tcPr>
            <w:tcW w:w="75" w:type="dxa"/>
            <w:tcBorders/>
            <w:shd w:fill="FFFF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Based on $668,953,000 total Common Unitholder equity in the Partnership as of December 31, 2022.</w:t>
      </w:r>
    </w:p>
    <w:p>
      <w:pPr>
        <w:pStyle w:val="TextBody"/>
        <w:spacing w:before="0" w:after="0"/>
        <w:ind w:left="720" w:right="0" w:hanging="0"/>
        <w:rPr>
          <w:caps w:val="false"/>
          <w:smallCaps w:val="false"/>
        </w:rPr>
      </w:pPr>
      <w:r>
        <w:rPr>
          <w:caps w:val="false"/>
          <w:smallCaps w:val="false"/>
        </w:rPr>
        <w:t> </w:t>
      </w:r>
    </w:p>
    <w:p>
      <w:pPr>
        <w:pStyle w:val="TextBody"/>
        <w:spacing w:before="0" w:after="0"/>
        <w:ind w:left="7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$90,630,000 of profit and total comprehensive income of the Partnership attributable to the Common Unitholders for the year ended December 31, 2022.</w:t>
      </w:r>
    </w:p>
    <w:p>
      <w:pPr>
        <w:pStyle w:val="TextBody"/>
        <w:spacing w:before="0" w:after="0"/>
        <w:ind w:left="720" w:right="0" w:hanging="0"/>
        <w:rPr>
          <w:caps w:val="false"/>
          <w:smallCaps w:val="false"/>
        </w:rPr>
      </w:pPr>
      <w:r>
        <w:rPr>
          <w:caps w:val="false"/>
          <w:smallCaps w:val="false"/>
        </w:rPr>
        <w:t> </w:t>
      </w:r>
    </w:p>
    <w:p>
      <w:pPr>
        <w:pStyle w:val="TextBody"/>
        <w:spacing w:before="0" w:after="0"/>
        <w:ind w:left="7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General Partner, while not an owner of Common Units, does own all the issued and outstanding General Partner Units which represent a 2.0% interest in the Partnership.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 of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 2023, Parent owns 15,621,602 Common Units (representing 30.2% of the Common Units issued and outstanding as of                    , 2023) and 1,245,000 Class B Units and is also the owner of the General Partner. In the event that the Effective Time does not occur prior to July 1, 2023, the 415,000 Class B-4 Units that are issued and outstanding will become eligible for conversion on a one-for-one basis into 415,000 Common Units at Parent’s option on July 1,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the Partnership and their respective boards of directors and management teams regularly review operational and strategic opportunities to maximize value for their investors. In connection with these reviews, Parent, the Partnership and their respective boards of directors and management teams from time to time evaluate potential transactions that would further their respective strategic objectives.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47</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Partnership was formed by Parent in January 2014 to acquire, own and operate LNG carriers engaged in LNG transportation. Prior to its initial public offering (the “IPO”), Parent owned 100% of the ownership interests of the Partnership. On May 12, 2014, the Partnership completed the IPO, pursuant to which it issued and sold 9,660,000 Common Units, which were substantially all of the Common Units held by Parent prior to the IPO. Concurrently with the IPO, the Partnership acquired from Parent a 100% ownership interest in certain subsidiaries of Parent that owned certain LNG carriers in exchange for: (a) 162,358 Common Units and 9,822,358 subordinated units (which subsequently converted into Common Units on a one-to-one basis on May 16, 2017) issued to Parent, representing a 49.8% ownership interest, (b) all of the incentive distribution rights (“IDRs”) issued by the Partnership in connection with the IPO, which entitled Parent to increasing percentages of cash that the Partnership distributed in excess of $0.43125 per unit per quarter, (c) 400,913 General Partner Units issued to the General Partner and (d) $65.70 million of cash consideration paid directly to Parent from the IPO proceeds.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on May 12, 2014, the Partnership entered into an omnibus agreement with Parent, the General Partner and certain of the Partnership’s other subsidiaries. The omnibus agreement governs (among other things) (i) when and the extent to which the Partnership and Parent may compete against each other, (ii) the time and the value at which the Partnership may exercise its right to purchase certain offered vessels by Parent, (iii) certain rights of first offer granted to Parent to purchase any of its vessels on charter for less than five full years from the Partnership and vice versa and (iv) certain indemnity obligations owed by Parent to the Partnership.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Partnership and/or its subsidiaries have also entered into certain other agreements with Parent and/or its subsidiaries, including:</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An administrative services agreement, dated May 12, 2014, with Parent, pursuant to which Parent provides certain management and administrative services to the Partnership, including (i) executive officer services, (ii) bookkeeping, audit and accounting services, (iii) legal and insurance services, (iv) administrative and clerical services, (v) banking and financing services, (vi) advisory services, (vii) client and investor relations and (viii) assistance with the integration of any acquired businesses;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A ship management agreement with GasLog LNG Services Ltd. (“GasLog LNG Services”), a wholly owned subsidiary of Parent, pursuant to which vessel management services are provided by GasLog LNG Services to vessels in the Partnership’s fleet; and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Certain commercial management agreements with Parent that were amended upon completion of the IPO, pursuant to which GasLog LNG Services (following a novation to GasLog LNG Services from Parent in 2020) provides certain commercial management services to the Partnership.</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48</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Partnership’s IPO, the Partnership has completed follow-on equity offerings as set forth below, the proceeds of which have been used for general corporate purposes, including partially funding the acquisition of certain subsidiaries of Parent that owned the vessels listed below.</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1334"/>
        <w:gridCol w:w="60"/>
        <w:gridCol w:w="2648"/>
        <w:gridCol w:w="60"/>
        <w:gridCol w:w="1573"/>
        <w:gridCol w:w="60"/>
        <w:gridCol w:w="2939"/>
        <w:gridCol w:w="60"/>
        <w:gridCol w:w="1471"/>
      </w:tblGrid>
      <w:tr>
        <w:trPr/>
        <w:tc>
          <w:tcPr>
            <w:tcW w:w="1334" w:type="dxa"/>
            <w:tcBorders>
              <w:bottom w:val="single" w:sz="8" w:space="0" w:color="000000"/>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Date of Equity Offering</w:t>
            </w:r>
          </w:p>
        </w:tc>
        <w:tc>
          <w:tcPr>
            <w:tcW w:w="60" w:type="dxa"/>
            <w:tcBorders/>
            <w:shd w:fill="auto" w:val="clear"/>
            <w:tcMar>
              <w:bottom w:w="0" w:type="dxa"/>
            </w:tcMar>
            <w:vAlign w:val="center"/>
          </w:tcPr>
          <w:p>
            <w:pPr>
              <w:pStyle w:val="TableContents"/>
              <w:spacing w:before="0" w:after="283"/>
              <w:rPr/>
            </w:pPr>
            <w:r>
              <w:rPr/>
              <w:t> </w:t>
            </w:r>
          </w:p>
        </w:tc>
        <w:tc>
          <w:tcPr>
            <w:tcW w:w="2648"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Equity Offering</w:t>
            </w:r>
          </w:p>
        </w:tc>
        <w:tc>
          <w:tcPr>
            <w:tcW w:w="60" w:type="dxa"/>
            <w:tcBorders/>
            <w:shd w:fill="auto" w:val="clear"/>
            <w:tcMar>
              <w:bottom w:w="0" w:type="dxa"/>
            </w:tcMar>
            <w:vAlign w:val="center"/>
          </w:tcPr>
          <w:p>
            <w:pPr>
              <w:pStyle w:val="TableContents"/>
              <w:spacing w:before="0" w:after="283"/>
              <w:rPr/>
            </w:pPr>
            <w:r>
              <w:rPr/>
              <w:t> </w:t>
            </w:r>
          </w:p>
        </w:tc>
        <w:tc>
          <w:tcPr>
            <w:tcW w:w="1573"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Net Proceeds</w:t>
            </w:r>
          </w:p>
        </w:tc>
        <w:tc>
          <w:tcPr>
            <w:tcW w:w="60" w:type="dxa"/>
            <w:tcBorders/>
            <w:shd w:fill="auto" w:val="clear"/>
            <w:tcMar>
              <w:bottom w:w="0" w:type="dxa"/>
            </w:tcMar>
            <w:vAlign w:val="center"/>
          </w:tcPr>
          <w:p>
            <w:pPr>
              <w:pStyle w:val="TableContents"/>
              <w:spacing w:before="0" w:after="283"/>
              <w:rPr/>
            </w:pPr>
            <w:r>
              <w:rPr/>
              <w:t> </w:t>
            </w:r>
          </w:p>
        </w:tc>
        <w:tc>
          <w:tcPr>
            <w:tcW w:w="2939"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Vessels Purchased</w:t>
            </w:r>
          </w:p>
        </w:tc>
        <w:tc>
          <w:tcPr>
            <w:tcW w:w="60" w:type="dxa"/>
            <w:tcBorders/>
            <w:shd w:fill="auto" w:val="clear"/>
            <w:tcMar>
              <w:bottom w:w="0" w:type="dxa"/>
            </w:tcMar>
            <w:vAlign w:val="center"/>
          </w:tcPr>
          <w:p>
            <w:pPr>
              <w:pStyle w:val="TableContents"/>
              <w:spacing w:before="0" w:after="283"/>
              <w:rPr/>
            </w:pPr>
            <w:r>
              <w:rPr/>
              <w:t> </w:t>
            </w:r>
          </w:p>
        </w:tc>
        <w:tc>
          <w:tcPr>
            <w:tcW w:w="1471" w:type="dxa"/>
            <w:tcBorders>
              <w:bottom w:val="single" w:sz="8" w:space="0" w:color="000000"/>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Acquisition</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Completed</w:t>
            </w:r>
          </w:p>
        </w:tc>
      </w:tr>
      <w:tr>
        <w:trPr/>
        <w:tc>
          <w:tcPr>
            <w:tcW w:w="1334"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September 29, 2014</w:t>
            </w:r>
          </w:p>
        </w:tc>
        <w:tc>
          <w:tcPr>
            <w:tcW w:w="60" w:type="dxa"/>
            <w:tcBorders/>
            <w:shd w:fill="CCEEFF" w:val="clear"/>
            <w:tcMar>
              <w:bottom w:w="0" w:type="dxa"/>
            </w:tcMar>
            <w:vAlign w:val="center"/>
          </w:tcPr>
          <w:p>
            <w:pPr>
              <w:pStyle w:val="TableContents"/>
              <w:spacing w:before="0" w:after="283"/>
              <w:rPr/>
            </w:pPr>
            <w:r>
              <w:rPr/>
              <w:t> </w:t>
            </w:r>
          </w:p>
        </w:tc>
        <w:tc>
          <w:tcPr>
            <w:tcW w:w="2648"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Follow-on common equity offering</w:t>
            </w:r>
          </w:p>
        </w:tc>
        <w:tc>
          <w:tcPr>
            <w:tcW w:w="60" w:type="dxa"/>
            <w:tcBorders/>
            <w:shd w:fill="CCEEFF" w:val="clear"/>
            <w:tcMar>
              <w:bottom w:w="0" w:type="dxa"/>
            </w:tcMar>
            <w:vAlign w:val="center"/>
          </w:tcPr>
          <w:p>
            <w:pPr>
              <w:pStyle w:val="TableContents"/>
              <w:spacing w:before="0" w:after="283"/>
              <w:rPr/>
            </w:pPr>
            <w:r>
              <w:rPr/>
              <w:t> </w:t>
            </w:r>
          </w:p>
        </w:tc>
        <w:tc>
          <w:tcPr>
            <w:tcW w:w="1573"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$133.0 million</w:t>
            </w:r>
          </w:p>
        </w:tc>
        <w:tc>
          <w:tcPr>
            <w:tcW w:w="60" w:type="dxa"/>
            <w:tcBorders/>
            <w:shd w:fill="CCEEFF" w:val="clear"/>
            <w:tcMar>
              <w:bottom w:w="0" w:type="dxa"/>
            </w:tcMar>
            <w:vAlign w:val="center"/>
          </w:tcPr>
          <w:p>
            <w:pPr>
              <w:pStyle w:val="TableContents"/>
              <w:spacing w:before="0" w:after="283"/>
              <w:rPr/>
            </w:pPr>
            <w:r>
              <w:rPr/>
              <w:t> </w:t>
            </w:r>
          </w:p>
        </w:tc>
        <w:tc>
          <w:tcPr>
            <w:tcW w:w="2939" w:type="dxa"/>
            <w:tcBorders/>
            <w:shd w:fill="CCEEFF" w:val="clear"/>
            <w:tcMar>
              <w:bottom w:w="0" w:type="dxa"/>
            </w:tcMar>
            <w:vAlign w:val="center"/>
          </w:tcPr>
          <w:p>
            <w:pPr>
              <w:pStyle w:val="TableContents"/>
              <w:spacing w:before="0" w:after="283"/>
              <w:rPr/>
            </w:pPr>
            <w:r>
              <w:rPr>
                <w:rFonts w:ascii="Times New Roman;Times;Serif" w:hAnsi="Times New Roman;Times;Serif"/>
                <w:i/>
                <w:sz w:val="20"/>
              </w:rPr>
              <w:t>Methane Rita Andrea </w:t>
            </w:r>
            <w:r>
              <w:rPr/>
              <w:t>and </w:t>
            </w:r>
            <w:r>
              <w:rPr>
                <w:i/>
              </w:rPr>
              <w:t>Methane Jane Elizabeth</w:t>
            </w:r>
          </w:p>
        </w:tc>
        <w:tc>
          <w:tcPr>
            <w:tcW w:w="60" w:type="dxa"/>
            <w:tcBorders/>
            <w:shd w:fill="CCEEFF" w:val="clear"/>
            <w:tcMar>
              <w:bottom w:w="0" w:type="dxa"/>
            </w:tcMar>
            <w:vAlign w:val="center"/>
          </w:tcPr>
          <w:p>
            <w:pPr>
              <w:pStyle w:val="TableContents"/>
              <w:spacing w:before="0" w:after="283"/>
              <w:rPr/>
            </w:pPr>
            <w:r>
              <w:rPr/>
              <w:t> </w:t>
            </w:r>
          </w:p>
        </w:tc>
        <w:tc>
          <w:tcPr>
            <w:tcW w:w="1471"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September 29, 2014</w:t>
            </w:r>
          </w:p>
        </w:tc>
      </w:tr>
      <w:tr>
        <w:trPr/>
        <w:tc>
          <w:tcPr>
            <w:tcW w:w="1334"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June 26, 2015</w:t>
            </w:r>
          </w:p>
        </w:tc>
        <w:tc>
          <w:tcPr>
            <w:tcW w:w="60" w:type="dxa"/>
            <w:tcBorders/>
            <w:shd w:fill="auto" w:val="clear"/>
            <w:tcMar>
              <w:bottom w:w="0" w:type="dxa"/>
            </w:tcMar>
            <w:vAlign w:val="center"/>
          </w:tcPr>
          <w:p>
            <w:pPr>
              <w:pStyle w:val="TableContents"/>
              <w:spacing w:before="0" w:after="283"/>
              <w:rPr/>
            </w:pPr>
            <w:r>
              <w:rPr/>
              <w:t> </w:t>
            </w:r>
          </w:p>
        </w:tc>
        <w:tc>
          <w:tcPr>
            <w:tcW w:w="2648"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Follow-on common equity offering</w:t>
            </w:r>
          </w:p>
        </w:tc>
        <w:tc>
          <w:tcPr>
            <w:tcW w:w="60" w:type="dxa"/>
            <w:tcBorders/>
            <w:shd w:fill="auto" w:val="clear"/>
            <w:tcMar>
              <w:bottom w:w="0" w:type="dxa"/>
            </w:tcMar>
            <w:vAlign w:val="center"/>
          </w:tcPr>
          <w:p>
            <w:pPr>
              <w:pStyle w:val="TableContents"/>
              <w:spacing w:before="0" w:after="283"/>
              <w:rPr/>
            </w:pPr>
            <w:r>
              <w:rPr/>
              <w:t> </w:t>
            </w:r>
          </w:p>
        </w:tc>
        <w:tc>
          <w:tcPr>
            <w:tcW w:w="1573"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$171.8 million</w:t>
            </w:r>
          </w:p>
        </w:tc>
        <w:tc>
          <w:tcPr>
            <w:tcW w:w="60" w:type="dxa"/>
            <w:tcBorders/>
            <w:shd w:fill="auto" w:val="clear"/>
            <w:tcMar>
              <w:bottom w:w="0" w:type="dxa"/>
            </w:tcMar>
            <w:vAlign w:val="center"/>
          </w:tcPr>
          <w:p>
            <w:pPr>
              <w:pStyle w:val="TableContents"/>
              <w:spacing w:before="0" w:after="283"/>
              <w:rPr/>
            </w:pPr>
            <w:r>
              <w:rPr/>
              <w:t> </w:t>
            </w:r>
          </w:p>
        </w:tc>
        <w:tc>
          <w:tcPr>
            <w:tcW w:w="2939" w:type="dxa"/>
            <w:tcBorders/>
            <w:shd w:fill="auto" w:val="clear"/>
            <w:tcMar>
              <w:bottom w:w="0" w:type="dxa"/>
            </w:tcMar>
            <w:vAlign w:val="center"/>
          </w:tcPr>
          <w:p>
            <w:pPr>
              <w:pStyle w:val="TableContents"/>
              <w:spacing w:before="0" w:after="283"/>
              <w:rPr/>
            </w:pPr>
            <w:r>
              <w:rPr>
                <w:rFonts w:ascii="Times New Roman;Times;Serif" w:hAnsi="Times New Roman;Times;Serif"/>
                <w:i/>
                <w:sz w:val="20"/>
              </w:rPr>
              <w:t>Methane Alison Victoria, Methane Shirley Elisabeth</w:t>
            </w:r>
            <w:r>
              <w:rPr/>
              <w:t> and </w:t>
            </w:r>
            <w:r>
              <w:rPr>
                <w:i/>
              </w:rPr>
              <w:t>Methane Heather Sally</w:t>
            </w:r>
          </w:p>
        </w:tc>
        <w:tc>
          <w:tcPr>
            <w:tcW w:w="60" w:type="dxa"/>
            <w:tcBorders/>
            <w:shd w:fill="auto" w:val="clear"/>
            <w:tcMar>
              <w:bottom w:w="0" w:type="dxa"/>
            </w:tcMar>
            <w:vAlign w:val="center"/>
          </w:tcPr>
          <w:p>
            <w:pPr>
              <w:pStyle w:val="TableContents"/>
              <w:spacing w:before="0" w:after="283"/>
              <w:rPr/>
            </w:pPr>
            <w:r>
              <w:rPr/>
              <w:t> </w:t>
            </w:r>
          </w:p>
        </w:tc>
        <w:tc>
          <w:tcPr>
            <w:tcW w:w="1471"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July 1, 2015</w:t>
            </w:r>
          </w:p>
        </w:tc>
      </w:tr>
      <w:tr>
        <w:trPr/>
        <w:tc>
          <w:tcPr>
            <w:tcW w:w="1334"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August 5, 2016</w:t>
            </w:r>
          </w:p>
        </w:tc>
        <w:tc>
          <w:tcPr>
            <w:tcW w:w="60" w:type="dxa"/>
            <w:tcBorders/>
            <w:shd w:fill="CCEEFF" w:val="clear"/>
            <w:tcMar>
              <w:bottom w:w="0" w:type="dxa"/>
            </w:tcMar>
            <w:vAlign w:val="center"/>
          </w:tcPr>
          <w:p>
            <w:pPr>
              <w:pStyle w:val="TableContents"/>
              <w:spacing w:before="0" w:after="283"/>
              <w:rPr/>
            </w:pPr>
            <w:r>
              <w:rPr/>
              <w:t> </w:t>
            </w:r>
          </w:p>
        </w:tc>
        <w:tc>
          <w:tcPr>
            <w:tcW w:w="2648"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Follow-on common equity offering</w:t>
            </w:r>
          </w:p>
        </w:tc>
        <w:tc>
          <w:tcPr>
            <w:tcW w:w="60" w:type="dxa"/>
            <w:tcBorders/>
            <w:shd w:fill="CCEEFF" w:val="clear"/>
            <w:tcMar>
              <w:bottom w:w="0" w:type="dxa"/>
            </w:tcMar>
            <w:vAlign w:val="center"/>
          </w:tcPr>
          <w:p>
            <w:pPr>
              <w:pStyle w:val="TableContents"/>
              <w:spacing w:before="0" w:after="283"/>
              <w:rPr/>
            </w:pPr>
            <w:r>
              <w:rPr/>
              <w:t> </w:t>
            </w:r>
          </w:p>
        </w:tc>
        <w:tc>
          <w:tcPr>
            <w:tcW w:w="1573"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$52.3 million</w:t>
            </w:r>
          </w:p>
        </w:tc>
        <w:tc>
          <w:tcPr>
            <w:tcW w:w="60" w:type="dxa"/>
            <w:tcBorders/>
            <w:shd w:fill="CCEEFF" w:val="clear"/>
            <w:tcMar>
              <w:bottom w:w="0" w:type="dxa"/>
            </w:tcMar>
            <w:vAlign w:val="center"/>
          </w:tcPr>
          <w:p>
            <w:pPr>
              <w:pStyle w:val="TableContents"/>
              <w:spacing w:before="0" w:after="283"/>
              <w:rPr/>
            </w:pPr>
            <w:r>
              <w:rPr/>
              <w:t> </w:t>
            </w:r>
          </w:p>
        </w:tc>
        <w:tc>
          <w:tcPr>
            <w:tcW w:w="2939" w:type="dxa"/>
            <w:tcBorders/>
            <w:shd w:fill="CCEEFF" w:val="clear"/>
            <w:tcMar>
              <w:bottom w:w="0" w:type="dxa"/>
            </w:tcMar>
            <w:vAlign w:val="center"/>
          </w:tcPr>
          <w:p>
            <w:pPr>
              <w:pStyle w:val="TableContents"/>
              <w:spacing w:before="0" w:after="283"/>
              <w:rPr>
                <w:rFonts w:ascii="Times New Roman;Times;Serif" w:hAnsi="Times New Roman;Times;Serif"/>
                <w:i/>
                <w:sz w:val="20"/>
              </w:rPr>
            </w:pPr>
            <w:r>
              <w:rPr>
                <w:rFonts w:ascii="Times New Roman;Times;Serif" w:hAnsi="Times New Roman;Times;Serif"/>
                <w:i/>
                <w:sz w:val="20"/>
              </w:rPr>
              <w:t>GasLog Seattle</w:t>
            </w:r>
          </w:p>
        </w:tc>
        <w:tc>
          <w:tcPr>
            <w:tcW w:w="60" w:type="dxa"/>
            <w:tcBorders/>
            <w:shd w:fill="CCEEFF" w:val="clear"/>
            <w:tcMar>
              <w:bottom w:w="0" w:type="dxa"/>
            </w:tcMar>
            <w:vAlign w:val="center"/>
          </w:tcPr>
          <w:p>
            <w:pPr>
              <w:pStyle w:val="TableContents"/>
              <w:spacing w:before="0" w:after="283"/>
              <w:rPr/>
            </w:pPr>
            <w:r>
              <w:rPr/>
              <w:t> </w:t>
            </w:r>
          </w:p>
        </w:tc>
        <w:tc>
          <w:tcPr>
            <w:tcW w:w="1471"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November 1, 2016</w:t>
            </w:r>
          </w:p>
        </w:tc>
      </w:tr>
      <w:tr>
        <w:trPr/>
        <w:tc>
          <w:tcPr>
            <w:tcW w:w="1334"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January 27, 2017</w:t>
            </w:r>
          </w:p>
        </w:tc>
        <w:tc>
          <w:tcPr>
            <w:tcW w:w="60" w:type="dxa"/>
            <w:tcBorders/>
            <w:shd w:fill="auto" w:val="clear"/>
            <w:tcMar>
              <w:bottom w:w="0" w:type="dxa"/>
            </w:tcMar>
            <w:vAlign w:val="center"/>
          </w:tcPr>
          <w:p>
            <w:pPr>
              <w:pStyle w:val="TableContents"/>
              <w:spacing w:before="0" w:after="283"/>
              <w:rPr/>
            </w:pPr>
            <w:r>
              <w:rPr/>
              <w:t> </w:t>
            </w:r>
          </w:p>
        </w:tc>
        <w:tc>
          <w:tcPr>
            <w:tcW w:w="2648"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Follow-on common equity offering</w:t>
            </w:r>
          </w:p>
        </w:tc>
        <w:tc>
          <w:tcPr>
            <w:tcW w:w="60" w:type="dxa"/>
            <w:tcBorders/>
            <w:shd w:fill="auto" w:val="clear"/>
            <w:tcMar>
              <w:bottom w:w="0" w:type="dxa"/>
            </w:tcMar>
            <w:vAlign w:val="center"/>
          </w:tcPr>
          <w:p>
            <w:pPr>
              <w:pStyle w:val="TableContents"/>
              <w:spacing w:before="0" w:after="283"/>
              <w:rPr/>
            </w:pPr>
            <w:r>
              <w:rPr/>
              <w:t> </w:t>
            </w:r>
          </w:p>
        </w:tc>
        <w:tc>
          <w:tcPr>
            <w:tcW w:w="1573"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$78.2 million</w:t>
            </w:r>
          </w:p>
        </w:tc>
        <w:tc>
          <w:tcPr>
            <w:tcW w:w="60" w:type="dxa"/>
            <w:tcBorders/>
            <w:shd w:fill="auto" w:val="clear"/>
            <w:tcMar>
              <w:bottom w:w="0" w:type="dxa"/>
            </w:tcMar>
            <w:vAlign w:val="center"/>
          </w:tcPr>
          <w:p>
            <w:pPr>
              <w:pStyle w:val="TableContents"/>
              <w:spacing w:before="0" w:after="283"/>
              <w:rPr/>
            </w:pPr>
            <w:r>
              <w:rPr/>
              <w:t> </w:t>
            </w:r>
          </w:p>
        </w:tc>
        <w:tc>
          <w:tcPr>
            <w:tcW w:w="2939" w:type="dxa"/>
            <w:tcBorders/>
            <w:shd w:fill="auto" w:val="clear"/>
            <w:tcMar>
              <w:bottom w:w="0" w:type="dxa"/>
            </w:tcMar>
            <w:vAlign w:val="center"/>
          </w:tcPr>
          <w:p>
            <w:pPr>
              <w:pStyle w:val="TableContents"/>
              <w:spacing w:before="0" w:after="283"/>
              <w:rPr>
                <w:rFonts w:ascii="Times New Roman;Times;Serif" w:hAnsi="Times New Roman;Times;Serif"/>
                <w:i/>
                <w:sz w:val="20"/>
              </w:rPr>
            </w:pPr>
            <w:r>
              <w:rPr>
                <w:rFonts w:ascii="Times New Roman;Times;Serif" w:hAnsi="Times New Roman;Times;Serif"/>
                <w:i/>
                <w:sz w:val="20"/>
              </w:rPr>
              <w:t>GasLog Greece</w:t>
            </w:r>
          </w:p>
        </w:tc>
        <w:tc>
          <w:tcPr>
            <w:tcW w:w="60" w:type="dxa"/>
            <w:tcBorders/>
            <w:shd w:fill="auto" w:val="clear"/>
            <w:tcMar>
              <w:bottom w:w="0" w:type="dxa"/>
            </w:tcMar>
            <w:vAlign w:val="center"/>
          </w:tcPr>
          <w:p>
            <w:pPr>
              <w:pStyle w:val="TableContents"/>
              <w:spacing w:before="0" w:after="283"/>
              <w:rPr/>
            </w:pPr>
            <w:r>
              <w:rPr/>
              <w:t> </w:t>
            </w:r>
          </w:p>
        </w:tc>
        <w:tc>
          <w:tcPr>
            <w:tcW w:w="1471"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May 3, 2017</w:t>
            </w:r>
          </w:p>
        </w:tc>
      </w:tr>
      <w:tr>
        <w:trPr/>
        <w:tc>
          <w:tcPr>
            <w:tcW w:w="1334"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May 15, 2017</w:t>
            </w:r>
          </w:p>
        </w:tc>
        <w:tc>
          <w:tcPr>
            <w:tcW w:w="60" w:type="dxa"/>
            <w:tcBorders/>
            <w:shd w:fill="CCEEFF" w:val="clear"/>
            <w:tcMar>
              <w:bottom w:w="0" w:type="dxa"/>
            </w:tcMar>
            <w:vAlign w:val="center"/>
          </w:tcPr>
          <w:p>
            <w:pPr>
              <w:pStyle w:val="TableContents"/>
              <w:spacing w:before="0" w:after="283"/>
              <w:rPr/>
            </w:pPr>
            <w:r>
              <w:rPr/>
              <w:t> </w:t>
            </w:r>
          </w:p>
        </w:tc>
        <w:tc>
          <w:tcPr>
            <w:tcW w:w="2648"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Preference equity offering</w:t>
            </w:r>
          </w:p>
        </w:tc>
        <w:tc>
          <w:tcPr>
            <w:tcW w:w="60" w:type="dxa"/>
            <w:tcBorders/>
            <w:shd w:fill="CCEEFF" w:val="clear"/>
            <w:tcMar>
              <w:bottom w:w="0" w:type="dxa"/>
            </w:tcMar>
            <w:vAlign w:val="center"/>
          </w:tcPr>
          <w:p>
            <w:pPr>
              <w:pStyle w:val="TableContents"/>
              <w:spacing w:before="0" w:after="283"/>
              <w:rPr/>
            </w:pPr>
            <w:r>
              <w:rPr/>
              <w:t> </w:t>
            </w:r>
          </w:p>
        </w:tc>
        <w:tc>
          <w:tcPr>
            <w:tcW w:w="1573"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$138.8 million</w:t>
            </w:r>
          </w:p>
        </w:tc>
        <w:tc>
          <w:tcPr>
            <w:tcW w:w="60" w:type="dxa"/>
            <w:tcBorders/>
            <w:shd w:fill="CCEEFF" w:val="clear"/>
            <w:tcMar>
              <w:bottom w:w="0" w:type="dxa"/>
            </w:tcMar>
            <w:vAlign w:val="center"/>
          </w:tcPr>
          <w:p>
            <w:pPr>
              <w:pStyle w:val="TableContents"/>
              <w:spacing w:before="0" w:after="283"/>
              <w:rPr/>
            </w:pPr>
            <w:r>
              <w:rPr/>
              <w:t> </w:t>
            </w:r>
          </w:p>
        </w:tc>
        <w:tc>
          <w:tcPr>
            <w:tcW w:w="2939" w:type="dxa"/>
            <w:tcBorders/>
            <w:shd w:fill="CCEEFF" w:val="clear"/>
            <w:tcMar>
              <w:bottom w:w="0" w:type="dxa"/>
            </w:tcMar>
            <w:vAlign w:val="center"/>
          </w:tcPr>
          <w:p>
            <w:pPr>
              <w:pStyle w:val="TableContents"/>
              <w:spacing w:before="0" w:after="283"/>
              <w:rPr>
                <w:rFonts w:ascii="Times New Roman;Times;Serif" w:hAnsi="Times New Roman;Times;Serif"/>
                <w:i/>
                <w:sz w:val="20"/>
              </w:rPr>
            </w:pPr>
            <w:r>
              <w:rPr>
                <w:rFonts w:ascii="Times New Roman;Times;Serif" w:hAnsi="Times New Roman;Times;Serif"/>
                <w:i/>
                <w:sz w:val="20"/>
              </w:rPr>
              <w:t>GasLog Geneva</w:t>
            </w:r>
          </w:p>
        </w:tc>
        <w:tc>
          <w:tcPr>
            <w:tcW w:w="60" w:type="dxa"/>
            <w:tcBorders/>
            <w:shd w:fill="CCEEFF" w:val="clear"/>
            <w:tcMar>
              <w:bottom w:w="0" w:type="dxa"/>
            </w:tcMar>
            <w:vAlign w:val="center"/>
          </w:tcPr>
          <w:p>
            <w:pPr>
              <w:pStyle w:val="TableContents"/>
              <w:spacing w:before="0" w:after="283"/>
              <w:rPr/>
            </w:pPr>
            <w:r>
              <w:rPr/>
              <w:t> </w:t>
            </w:r>
          </w:p>
        </w:tc>
        <w:tc>
          <w:tcPr>
            <w:tcW w:w="1471"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July 3, 2017</w:t>
            </w:r>
          </w:p>
        </w:tc>
      </w:tr>
      <w:tr>
        <w:trPr/>
        <w:tc>
          <w:tcPr>
            <w:tcW w:w="1334"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May 16, 2017, onwards</w:t>
            </w:r>
          </w:p>
        </w:tc>
        <w:tc>
          <w:tcPr>
            <w:tcW w:w="60" w:type="dxa"/>
            <w:tcBorders/>
            <w:shd w:fill="auto" w:val="clear"/>
            <w:tcMar>
              <w:bottom w:w="0" w:type="dxa"/>
            </w:tcMar>
            <w:vAlign w:val="center"/>
          </w:tcPr>
          <w:p>
            <w:pPr>
              <w:pStyle w:val="TableContents"/>
              <w:spacing w:before="0" w:after="283"/>
              <w:rPr/>
            </w:pPr>
            <w:r>
              <w:rPr/>
              <w:t> </w:t>
            </w:r>
          </w:p>
        </w:tc>
        <w:tc>
          <w:tcPr>
            <w:tcW w:w="2648"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Common equity offering through an at-the-market common equity offering which commenced in May 2017</w:t>
            </w:r>
          </w:p>
        </w:tc>
        <w:tc>
          <w:tcPr>
            <w:tcW w:w="60" w:type="dxa"/>
            <w:tcBorders/>
            <w:shd w:fill="auto" w:val="clear"/>
            <w:tcMar>
              <w:bottom w:w="0" w:type="dxa"/>
            </w:tcMar>
            <w:vAlign w:val="center"/>
          </w:tcPr>
          <w:p>
            <w:pPr>
              <w:pStyle w:val="TableContents"/>
              <w:spacing w:before="0" w:after="283"/>
              <w:rPr/>
            </w:pPr>
            <w:r>
              <w:rPr/>
              <w:t> </w:t>
            </w:r>
          </w:p>
        </w:tc>
        <w:tc>
          <w:tcPr>
            <w:tcW w:w="1573"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$123.4 million (through December 31, 2020)</w:t>
            </w:r>
          </w:p>
        </w:tc>
        <w:tc>
          <w:tcPr>
            <w:tcW w:w="60" w:type="dxa"/>
            <w:tcBorders/>
            <w:shd w:fill="auto" w:val="clear"/>
            <w:tcMar>
              <w:bottom w:w="0" w:type="dxa"/>
            </w:tcMar>
            <w:vAlign w:val="center"/>
          </w:tcPr>
          <w:p>
            <w:pPr>
              <w:pStyle w:val="TableContents"/>
              <w:spacing w:before="0" w:after="283"/>
              <w:rPr/>
            </w:pPr>
            <w:r>
              <w:rPr/>
              <w:t> </w:t>
            </w:r>
          </w:p>
        </w:tc>
        <w:tc>
          <w:tcPr>
            <w:tcW w:w="2939" w:type="dxa"/>
            <w:tcBorders/>
            <w:shd w:fill="auto" w:val="clear"/>
            <w:tcMar>
              <w:bottom w:w="0" w:type="dxa"/>
            </w:tcMar>
            <w:vAlign w:val="center"/>
          </w:tcPr>
          <w:p>
            <w:pPr>
              <w:pStyle w:val="TableContents"/>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Solaris Methane</w:t>
            </w:r>
          </w:p>
          <w:p>
            <w:pPr>
              <w:pStyle w:val="TableContents"/>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Becki Anne</w:t>
            </w:r>
          </w:p>
        </w:tc>
        <w:tc>
          <w:tcPr>
            <w:tcW w:w="60" w:type="dxa"/>
            <w:tcBorders/>
            <w:shd w:fill="auto" w:val="clear"/>
            <w:tcMar>
              <w:bottom w:w="0" w:type="dxa"/>
            </w:tcMar>
            <w:vAlign w:val="center"/>
          </w:tcPr>
          <w:p>
            <w:pPr>
              <w:pStyle w:val="TableContents"/>
              <w:spacing w:before="0" w:after="283"/>
              <w:rPr/>
            </w:pPr>
            <w:r>
              <w:rPr/>
              <w:t> </w:t>
            </w:r>
          </w:p>
        </w:tc>
        <w:tc>
          <w:tcPr>
            <w:tcW w:w="1471" w:type="dxa"/>
            <w:tcBorders/>
            <w:shd w:fill="auto" w:val="clear"/>
            <w:tcMar>
              <w:bottom w:w="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20, 2017</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14, 2018</w:t>
            </w:r>
          </w:p>
        </w:tc>
      </w:tr>
      <w:tr>
        <w:trPr/>
        <w:tc>
          <w:tcPr>
            <w:tcW w:w="1334"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January 17, 2018</w:t>
            </w:r>
          </w:p>
        </w:tc>
        <w:tc>
          <w:tcPr>
            <w:tcW w:w="60" w:type="dxa"/>
            <w:tcBorders/>
            <w:shd w:fill="CCEEFF" w:val="clear"/>
            <w:tcMar>
              <w:bottom w:w="0" w:type="dxa"/>
            </w:tcMar>
            <w:vAlign w:val="center"/>
          </w:tcPr>
          <w:p>
            <w:pPr>
              <w:pStyle w:val="TableContents"/>
              <w:spacing w:before="0" w:after="283"/>
              <w:rPr/>
            </w:pPr>
            <w:r>
              <w:rPr/>
              <w:t> </w:t>
            </w:r>
          </w:p>
        </w:tc>
        <w:tc>
          <w:tcPr>
            <w:tcW w:w="2648"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Preference equity offering</w:t>
            </w:r>
          </w:p>
        </w:tc>
        <w:tc>
          <w:tcPr>
            <w:tcW w:w="60" w:type="dxa"/>
            <w:tcBorders/>
            <w:shd w:fill="CCEEFF" w:val="clear"/>
            <w:tcMar>
              <w:bottom w:w="0" w:type="dxa"/>
            </w:tcMar>
            <w:vAlign w:val="center"/>
          </w:tcPr>
          <w:p>
            <w:pPr>
              <w:pStyle w:val="TableContents"/>
              <w:spacing w:before="0" w:after="283"/>
              <w:rPr/>
            </w:pPr>
            <w:r>
              <w:rPr/>
              <w:t> </w:t>
            </w:r>
          </w:p>
        </w:tc>
        <w:tc>
          <w:tcPr>
            <w:tcW w:w="1573"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$111.0 million</w:t>
            </w:r>
          </w:p>
        </w:tc>
        <w:tc>
          <w:tcPr>
            <w:tcW w:w="60" w:type="dxa"/>
            <w:tcBorders/>
            <w:shd w:fill="CCEEFF" w:val="clear"/>
            <w:tcMar>
              <w:bottom w:w="0" w:type="dxa"/>
            </w:tcMar>
            <w:vAlign w:val="center"/>
          </w:tcPr>
          <w:p>
            <w:pPr>
              <w:pStyle w:val="TableContents"/>
              <w:spacing w:before="0" w:after="283"/>
              <w:rPr/>
            </w:pPr>
            <w:r>
              <w:rPr/>
              <w:t> </w:t>
            </w:r>
          </w:p>
        </w:tc>
        <w:tc>
          <w:tcPr>
            <w:tcW w:w="2939" w:type="dxa"/>
            <w:tcBorders/>
            <w:shd w:fill="CCEEFF" w:val="clear"/>
            <w:tcMar>
              <w:bottom w:w="0" w:type="dxa"/>
            </w:tcMar>
            <w:vAlign w:val="center"/>
          </w:tcPr>
          <w:p>
            <w:pPr>
              <w:pStyle w:val="TableContents"/>
              <w:spacing w:before="0" w:after="283"/>
              <w:rPr>
                <w:rFonts w:ascii="Times New Roman;Times;Serif" w:hAnsi="Times New Roman;Times;Serif"/>
                <w:i/>
                <w:sz w:val="20"/>
              </w:rPr>
            </w:pPr>
            <w:r>
              <w:rPr>
                <w:rFonts w:ascii="Times New Roman;Times;Serif" w:hAnsi="Times New Roman;Times;Serif"/>
                <w:i/>
                <w:sz w:val="20"/>
              </w:rPr>
              <w:t>GasLog Gibraltar</w:t>
            </w:r>
          </w:p>
        </w:tc>
        <w:tc>
          <w:tcPr>
            <w:tcW w:w="60" w:type="dxa"/>
            <w:tcBorders/>
            <w:shd w:fill="CCEEFF" w:val="clear"/>
            <w:tcMar>
              <w:bottom w:w="0" w:type="dxa"/>
            </w:tcMar>
            <w:vAlign w:val="center"/>
          </w:tcPr>
          <w:p>
            <w:pPr>
              <w:pStyle w:val="TableContents"/>
              <w:spacing w:before="0" w:after="283"/>
              <w:rPr/>
            </w:pPr>
            <w:r>
              <w:rPr/>
              <w:t> </w:t>
            </w:r>
          </w:p>
        </w:tc>
        <w:tc>
          <w:tcPr>
            <w:tcW w:w="1471"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April 26, 2018</w:t>
            </w:r>
          </w:p>
        </w:tc>
      </w:tr>
      <w:tr>
        <w:trPr/>
        <w:tc>
          <w:tcPr>
            <w:tcW w:w="1334"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November 15, 2018</w:t>
            </w:r>
          </w:p>
        </w:tc>
        <w:tc>
          <w:tcPr>
            <w:tcW w:w="60" w:type="dxa"/>
            <w:tcBorders/>
            <w:shd w:fill="auto" w:val="clear"/>
            <w:tcMar>
              <w:bottom w:w="0" w:type="dxa"/>
            </w:tcMar>
            <w:vAlign w:val="center"/>
          </w:tcPr>
          <w:p>
            <w:pPr>
              <w:pStyle w:val="TableContents"/>
              <w:spacing w:before="0" w:after="283"/>
              <w:rPr/>
            </w:pPr>
            <w:r>
              <w:rPr/>
              <w:t> </w:t>
            </w:r>
          </w:p>
        </w:tc>
        <w:tc>
          <w:tcPr>
            <w:tcW w:w="2648"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Preference equity offering</w:t>
            </w:r>
          </w:p>
        </w:tc>
        <w:tc>
          <w:tcPr>
            <w:tcW w:w="60" w:type="dxa"/>
            <w:tcBorders/>
            <w:shd w:fill="auto" w:val="clear"/>
            <w:tcMar>
              <w:bottom w:w="0" w:type="dxa"/>
            </w:tcMar>
            <w:vAlign w:val="center"/>
          </w:tcPr>
          <w:p>
            <w:pPr>
              <w:pStyle w:val="TableContents"/>
              <w:spacing w:before="0" w:after="283"/>
              <w:rPr/>
            </w:pPr>
            <w:r>
              <w:rPr/>
              <w:t> </w:t>
            </w:r>
          </w:p>
        </w:tc>
        <w:tc>
          <w:tcPr>
            <w:tcW w:w="1573"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$96.3 million</w:t>
            </w:r>
          </w:p>
        </w:tc>
        <w:tc>
          <w:tcPr>
            <w:tcW w:w="60" w:type="dxa"/>
            <w:tcBorders/>
            <w:shd w:fill="auto" w:val="clear"/>
            <w:tcMar>
              <w:bottom w:w="0" w:type="dxa"/>
            </w:tcMar>
            <w:vAlign w:val="center"/>
          </w:tcPr>
          <w:p>
            <w:pPr>
              <w:pStyle w:val="TableContents"/>
              <w:spacing w:before="0" w:after="283"/>
              <w:rPr/>
            </w:pPr>
            <w:r>
              <w:rPr/>
              <w:t> </w:t>
            </w:r>
          </w:p>
        </w:tc>
        <w:tc>
          <w:tcPr>
            <w:tcW w:w="2939" w:type="dxa"/>
            <w:tcBorders/>
            <w:shd w:fill="auto" w:val="clear"/>
            <w:tcMar>
              <w:bottom w:w="0" w:type="dxa"/>
            </w:tcMar>
            <w:vAlign w:val="center"/>
          </w:tcPr>
          <w:p>
            <w:pPr>
              <w:pStyle w:val="TableContents"/>
              <w:spacing w:before="0" w:after="283"/>
              <w:rPr>
                <w:rFonts w:ascii="Times New Roman;Times;Serif" w:hAnsi="Times New Roman;Times;Serif"/>
                <w:i/>
                <w:sz w:val="20"/>
              </w:rPr>
            </w:pPr>
            <w:r>
              <w:rPr>
                <w:rFonts w:ascii="Times New Roman;Times;Serif" w:hAnsi="Times New Roman;Times;Serif"/>
                <w:i/>
                <w:sz w:val="20"/>
              </w:rPr>
              <w:t>GasLog Glasgow</w:t>
            </w:r>
          </w:p>
        </w:tc>
        <w:tc>
          <w:tcPr>
            <w:tcW w:w="60" w:type="dxa"/>
            <w:tcBorders/>
            <w:shd w:fill="auto" w:val="clear"/>
            <w:tcMar>
              <w:bottom w:w="0" w:type="dxa"/>
            </w:tcMar>
            <w:vAlign w:val="center"/>
          </w:tcPr>
          <w:p>
            <w:pPr>
              <w:pStyle w:val="TableContents"/>
              <w:spacing w:before="0" w:after="283"/>
              <w:rPr/>
            </w:pPr>
            <w:r>
              <w:rPr/>
              <w:t> </w:t>
            </w:r>
          </w:p>
        </w:tc>
        <w:tc>
          <w:tcPr>
            <w:tcW w:w="1471"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April 1, 2019</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 exchange agreement dated as of November 27, 2018, Parent and the Partnership modified the capital structure of the Partnership with respect to the IDRs. Under the exchange agreement, Parent contributed all of the existing IDRs to the Partnership in exchange for (i) the issuance by the Partnership to Parent of 100% of a new class of IDRs and (ii) the payment by the Partnership to Parent of $25.0 million. The new IDRs reduced the quarterly distributions in respect of the IDRs above $0.5625 per unit from 48% to 23% and waived IDR payments resulting from any vessel or other energy infrastructure asset acquired by the Partnership from a party not affiliated with Parent.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2019, Parent and the Partnership agreed to further modify the capital structure of the Partnership with respect to the IDRs. On June 24, 2019, the Partnership entered into an exchange agreement, effective as of June 30, 2019, pursuant to which Parent contributed all of its IDRs to the Partnership in exchange for the issuance by the Partnership to Parent of (i) 2,532,911 Common Units (equivalent to approximately 5.41% of the outstanding Common Units as of December 31, 2019) and (ii) 2,490,000 Class B Units.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24, 2023, Parent delivered an unsolicited, non-binding proposal (the “Initial Offer”) to the Partnership Board setting forth certain terms of the proposed transaction, pursuant to which Parent would acquire all of the outstanding Common Units held by the Unaffiliated Unitholders. The Initial Offer contemplated that each Common Unit would receive overall value of $7.70 per Common Unit in cash, consisting in part of a special distribution by the Partnership of $2.33 per Common Unit in cash to be distributed to the Common Unitholders prior to the closing of the proposed transaction and the remaining $5.37 to be paid by Parent as merger consideration at the closing of the proposed transaction. The Initial Offer indicated Parent was not interested in selling any of its equity interests in the Partnership or pursuing other strategic alternatives involving the Partnership.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49</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25, 2023, the Partnership Board held a meeting to discuss the proposed transaction and delegated to the Conflicts Committee, comprised solely of two independent directors who meet the requirements for membership on the Conflicts Committee set forth in the Partnership Agreement and to be advised by its own independent legal and financial advisors, the full power and authority of the Partnership Board, to the fullest extent permitted by the Partnership Agreement, to (a) propose, review, evaluate and negotiate the proposed transaction on behalf of the Partnership and the Unaffiliated Unitholders and (b) make any recommendations to the Partnership Board and to the holders of Common Units regarding the proposed transaction as the Conflicts Committee determined in its sole discretion to be advisable or to reject in its sole discretion the proposed transaction or any alternate proposals and to terminate discussions with Parent. On January 25, 2023, the Partnership issued a press release disclosing the Initial Offer and the delegation to the Conflicts Committee. On January 25, 2023, Parent filed an amendment to its Schedule 13D, which included a copy of the Initial Offer as an exhibit.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late January and early February 2023, the Conflicts Committee had a series of preliminary meetings to interview potential independent financial advisors and legal counsel and to discuss the role of the Conflicts Committee in connection with the proposed transaction, the process for evaluating the proposed transaction or any alternate proposals and the Initial Offer and the independence of the members of the Conflicts Committee. The Conflicts Committee interviewed potential independent legal advisors, including Richards, Layton &amp; Finger, P.A. (“RLF”), and determined, based on RLF’s experience with public mergers and acquisitions, complex transactions involving publicly traded partnerships (including those similar to the proposed transaction) and representations of conflicts committees generally, that RLF had the requisite expertise and was well qualified to advise the Conflicts Committee. RLF was then engaged by the Conflicts Committee as legal counsel in connection with the proposed transaction. The Conflicts Committee also interviewed potential independent financial advisors, including Evercore. Based on Evercore’s experience with public mergers and acquisitions, complex transactions involving publicly traded partnerships (including those similar to the proposed transaction) and representations of conflicts committees generally, the Conflicts Committee determined that Evercore had the requisite expertise and was well qualified to advise the Conflicts Committee. The Conflicts Committee then determined to engage Evercore as its financial advisor. The terms of the Conflicts Committee’s engagement with Evercore were subsequently confirmed by a letter, dated February 23, 2023, and agreed to and accepted by the Partnership and the Conflicts Committee. During these preliminary meetings, representatives of RLF explained the duties and responsibilities of the Conflicts Committee in connection with the proposed transaction to the Conflicts Committee.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50</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9, 2023, the Conflicts Committee met with representatives of Evercore and RLF. The Conflicts Committee and its advisors reviewed a preliminary financial due diligence request list prepared by Evercore and the process for evaluating the proposed transaction and the Initial Offer from a financial point of view. Following such meeting, the Conflicts Committee, the Evercore representatives and the RLF representatives met with representatives of management of the Partnership and Parent and discussed the financial due diligence process.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14, 2023, the Conflicts Committee met with representatives of Evercore, representatives of RLF, management of the Partnership and Parent, a representative of the Board of the Partnership and of Parent and representatives of Cravath, Swaine &amp; Moore LLP (“Cravath”), legal counsel to Parent. During the meeting, management representatives presented information on the global market for liquified natural gas and its impact on the recent performance of the Partnership and a business overview of the Partnership and its assets. Management representatives, in their capacity as representatives of Parent, also presented the Initial Offer and described the rationale for the proposed transaction and the Initial Offer.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Later on February 14, 2023, an initial draft of the Merger Agreement prepared by representatives of Cravath was provided to RLF. On February 15, 2023, representatives of Cravath provided RLF with an initial draft of the Support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21, 2023, representatives from Evercore and management of the Partnership held a meeting for Evercore to conduct diligence on the Forecasts (as defined below), the business and operations of the Partnership and the outlook for the LNG and LNG shipping sectors.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27, 2023, the Conflicts Committee met with representatives of Evercore and RLF. During the meeting, representatives of Evercore presented their preliminary financial analysis with respect to the proposed transaction. During its presentation, Evercore, among other things, reviewed the terms of the Initial Offer, the capital structure of the Partnership, historical trading prices of the Common Units and Evercore’s diligence with management of the Partnership and Parent, including the Forecasts and management’s responses to Evercore’s diligence questions. Evercore then presented its preliminary valuation of the Common Units, and the Conflicts Committee directed Evercore on additional areas for refinement of its analysis.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28, 2023, the Chairman of the Conflicts Committee met with Evercore to discuss protocol and process for potential negotiations with Parent.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 2023, the Conflicts Committee held a meeting with representatives of Evercore and RLF. During the meeting, representatives of Evercore presented updates to Evercore’s preliminary financial analysis of the proposed transaction, and the Conflicts Committee and its advisors discussed potential responses to the Initial Offer. Following discussion, the Conflicts Committee directed Evercore to contact Parent and propose that the Unaffiliated Unitholders receive overall value of $10.00 per Common Unit in the proposed transaction and that the proposed transaction be conditioned upon receiving the approval of holders of a majority of the Common Units held by the Unaffiliated Unitholders (the “March 3 Counterproposal”).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51</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4, 2023, representatives of Evercore communicated the March 3 Counterproposal to a representative of Parent.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9, 2023, representatives of Evercore (at the direction of the Conflicts Committee) met with representatives of Parent to discuss assumptions underlying each of Evercore’s and Parent’s preliminary financial analysis of the proposed transaction.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Later on March 9, 2023, the Conflicts Committee held a meeting with representatives of Evercore and RLF. Representatives of RLF described to the Conflicts Committee the material terms of the initial draft of the Merger Agreement and the Support Agreement provided by Cravath and potential revisions thereto. Following discussion, the Conflicts Committee determined not to provide comments to the initial draft of the Merger Agreement or the Support Agreement at that time. Evercore representatives reported to the Conflicts Committee and RLF on their meeting with representatives of Parent regarding the assumptions underlying each of Evercore’s and Parent’s preliminary financial analysis of the proposed transaction, and further reported on their ongoing diligence with respect to the proposed transaction.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10, 2023, a representative of Parent contacted Evercore and rejected the March 3 Counterproposal, proposing instead that the Unaffiliated Unitholders receive overall value of $8.02 per Common Unit in the proposed transaction (the “March 10 Counterproposal”). As part of the March 10 Counterproposal, Parent also rejected the Conflicts Committee’s proposal that the proposed transaction be conditioned upon receiving the approval of holders of a majority of the Common Units held by the Unaffiliated Unitholders.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13, 2023, the Conflicts Committee held a meeting with representatives of Evercore and RLF. During the meeting, representatives of Evercore presented the March 10 Counterproposal and Evercore’s revised financial analysis of the proposed transaction and the March 10 Counterproposal. The Conflicts Committee determined not to make a counteroffer of a specific dollar amount per Common Unit following that meeting and instead directed Evercore to refine its analysis.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14, 2023, representatives from Evercore and management of the Partnership held a diligence discussion with respect to the operations of Partnership and the Forecasts. Noting that, consistent with management and market practice, the five-year Forecasts prepared by management extended to 2027, Evercore requested that management of the Partnership provide additional longer-term forecasts and assumptions, including charter rates and capital expenditures, among others, to allow Evercore to perform an end of “Useful Life” discounted cash flow analysis for the Partnership. Management of the Partnership indicated that, given the uncertainty regarding environmental regulations and their potential effect on the overall life cycle, charter rates and required capital expenditures (including required capital expenditures resulting from changes in regulations) to operate the fleet beyond 2027, such assumptions that may be required for Evercore to perform an end of “Useful Life” discounted cash flow analysis would involve considerable uncertainty. Specifically, management of the Partnership indicated that environmental regulations expected to become effective beginning in 2024 would likely impact several aspects of the operations and revenue generation of the Partnership’s fleet. In particular, such regulations may impact the effective life cycle of certain vessels depending on type of propulsion technology, the fleet’s charter rates due to increased competition with more modern and environmentally-friendly vessels, as well as the delivery of newbuilding vessels by the time such regulations are enforced. Partnership management also indicated that such regulations would also likely require significant capital expenditures with respect to the operation of certain existing vessels in order to meet emission regulation thresholds, especially in connection with operations beyond 2027. Based on the inability to generate reliable longer-term forecasts and assumptions due to such regulatory and commercial uncertainty, Evercore determined a “Useful Life” discounted analysis for the Partnership would not be a reliable analysis.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Later on March 14, 2023, the Conflicts Committee held a meeting with representatives of Evercore and RLF. Evercore presented additional financial analysis to the Conflicts Committee regarding the proposed transaction and the March 10 Counterproposal. The Conflicts Committee and its advisors then discussed the March 10 Counterproposal and potential responses thereto. The Conflicts Committee discussed a summary of feedback relating to the proposed transaction provided to management by certain Unaffiliated Unitholders who had contacted Parent and the Partnership following the announcement of the Initial Offer. Following the discussion, the Conflicts Committee determined to propose that the Unaffiliated Unitholders receive overall value of $9.85 per Common Unit in the proposed transaction and that the proposed transaction be conditioned upon receiving the approval of holders of a majority of the Common Units held by the Unaffiliated Unitholders (the “March 14 Counterproposal”). The Conflicts Committee instructed Evercore to deliver the March 14 Counterproposal to Parent along with materials summarizing the Conflicts Committee’s perspectives.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15, 2023, a representative of Evercore communicated the March 14 Counterproposal to a representative of Parent along with materials summarizing the Conflicts Committee’s perspectives.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17, 2023, a representative of Parent contacted Evercore and rejected the March 14 Counterproposal, proposing instead that the Unaffiliated Unitholders receive overall value of $8.10 per Common Unit in the proposed transaction (the “March 17 Counterproposal”). As part of the March 17 Counterproposal, Parent also rejected the Conflicts Committee’s proposal that the proposed transaction be conditioned upon receiving the approval of holders of a majority of the Common Units held by the Unaffiliated Unitholders.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19, 2023, the Conflicts Committee held a meeting with representatives of Evercore and RLF. During the meeting, representatives of Evercore summarized the March 17 Counterproposal. The Evercore representatives then presented their updated financial analysis of the proposed transaction and the March 17 Counterproposal. The Conflicts Committee and its advisors discussed the duties and responsibilities of the Conflicts Committee, including in relation to Parent’s ownership interest in the Partnership. Following discussion of potential counteroffers to the March 17 Counterproposal, the Conflicts Committee directed Evercore to contact Parent and propose that the Unaffiliated Unitholders receive overall value of $9.10 per Common Unit in the proposed transaction and that the proposed transaction be conditioned upon receiving the approval of holders of a majority of the Common Units held by the Unaffiliated Unitholders (the “March 19 Counterproposal”).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meeting on March 19, 2023, a representative of Evercore communicated the March 19 Counterproposal to a representative of Parent.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29, 2023, a representative of Parent rejected the March 19 Counterproposal, proposing instead that the Unaffiliated Unitholders receive overall value of $8.38 per Common Unit in the proposed transaction (the “March 29 Counterproposal”). As part of the March 29 Counterproposal, Parent also rejected the Conflicts Committee’s proposal that the proposed transaction be conditioned upon receiving the approval of holders of a majority of the Common Units held by the Unaffiliated Unitholders. In addition, the representatives of Parent indicated that the March 29 Counterproposal would expire on March 31,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30, 2023, a representative of Parent contacted the Chairman of the Conflicts Committee, summarized the March 29 Counterproposal and reiterated that the March 29 Counterproposal would expire on March 31,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Later on March 30, 2023, the Conflicts Committee held a meeting with representatives of Evercore and RLF. During the meeting, representatives of Evercore summarized the March 29 Counterproposal to the Conflicts Committee. The representatives of Evercore presented their updated financial analysis of the proposed transaction and the March 29 Counterproposal. Following discussion of potential counteroffers to the March 29 Counterproposal, the Conflicts Committee directed Evercore to contact Parent and propose that the Unaffiliated Unitholders receive overall value of $9.00 per Common Unit in the proposed transaction (the “March 30 Counterproposal”). The Conflicts Committee further directed Evercore to inform Parent that the March 30 Counterproposal was not conditioned upon the proposed transaction receiving the approval of holders of a majority of the Common Units held by the Unaffiliated Unitholders but that the Conflicts Committee would seek to condition the proposed transaction upon receiving approval of a majority of the Common Units held by the Unaffiliated Unitholders for any amount below the March 30 Counterproposal.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meeting on March 30, 2023, representatives of Evercore communicated to Parent the March 30 Counterproposal and the Conflicts Committee’s position that the Conflicts Committee would again seek to condition the proposed transaction upon receiving approval of a majority of the Common Units held by the Unaffiliated Unitholders if the overall value received by the Unaffiliated Unitholders was below the amount of the March 30 Counterproposal.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2023, a representative of Parent contacted Evercore and rejected the March 30 Counterproposal, proposing instead that the Unaffiliated Unitholders receive overall value of $8.52 per Common Unit in the proposed transaction (the “March 31 Counterproposal”). The representative of Parent informed Evercore that the March 31 Counterproposal was Parent’s best and final offer, that Parent was prepared to make a public filing with the SEC on April 3, 2023, disclosing the price of the March 31 Counterproposal and that the proposed transaction would not be consummated if the Conflicts Committee did not accept the March 31 Counterproposal. The March 31 Counterproposal did not require that the proposed transaction be conditioned upon receiving the approval of holders of a majority of the Common Units held by the Unaffiliated Unitholders.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2023, the Conflicts Committee held a meeting with representatives of Evercore and RLF. During the meeting, representatives of Evercore summarized the March 31 Counterproposal, including Parent’s statement that the March 31 Counterproposal was Parent’s best and final offer, that Parent was prepared to make a public filing with the SEC on April 3, 2023, disclosing the price of the March 31 Counterproposal and that the proposed transaction would not be consummated if the Conflicts Committee did not accept the March 31 Counterproposal. The representatives of Evercore presented their financial analysis of the proposed transaction and the March 31 Counterproposal. Following discussion of potential counteroffers to the March 31 Counterproposal, the Conflicts Committee determined that the Chairman of the Conflicts Committee would contact a representative of Parent and propose that the Unaffiliated Unitholders receive overall value of $8.75 per Common Unit in the proposed transaction (the “April 1 Counterproposal”). The Conflicts Committee discussed whether the April 1 Counterproposal would condition the proposed transaction upon receiving the approval of holders of a majority of the Common Units held by the Unaffiliated Unitholders and determined it would not. The Conflicts Committee also instructed RLF to finalize comments to the draft Merger Agreement and draft Support Agreement consistent with the Conflicts Committee’s discussion during the meeting on March 9, 2023 (except that the condition of receiving the approval of holding a majority of the Common Units held by Unaffiliated Unitholders would be eliminated), and to send the comments to Cravath.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meeting on April 1, 2023, the Chairman of the Conflicts Committee communicated the April 1 Counterproposal to a representative of Parent.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 2023, the Chairman of the Conflicts Committee and representatives of Evercore received phone calls from representatives of Parent, during which representatives of Parent communicated that the Conflicts Committee should reexamine the Conflicts Committee’s April 1 Counterproposal and reconsider Parent’s March 31 Counterproposal.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Later on April 2, 2023, the Conflicts Committee held a meeting with representatives of Evercore and RLF. During that meeting, the Chairman of the Conflicts Committee and the Evercore representatives summarized their discussions with representatives of Parent. The Conflicts Committee and its advisors discussed the status of the negotiation of the proposed transaction and determined not to adjust the April 1 Counterproposal. The Conflicts Committee determined that the Chairman of the Conflicts Committee should reiterate the April 1 Counterproposal to Parent and clarify that the Conflicts Committee is waiting for a response from Parent. Following the meeting, the Chairman of the Conflicts Committee reiterated the April 1 Counterproposal to a representative of Parent and explained that the Conflicts Committee was waiting for a response from Parent.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 2023, RLF, at the direction of the Conflicts Committee, sent comments to the draft Merger Agreement and draft Support Agreement to Cravath. The revisions to such documents included (a) the addition of an ability for the Conflicts Committee to make an adverse recommendation change in the event that the Conflicts Committee determines that the failure to do so would be adverse to the interests of the Unaffiliated Unitholders, (b) the addition of a covenant restricting Parent from acquiring additional Common Units during the period between signing and closing of the proposed transaction, (c) a provision requiring Parent to share fifty percent of the expenses arising out of the preparation of the proxy statement and the solicitation of approval of the proposed transaction by Common Unitholders, (d) a change to the closing conditions such that the payment of the special distribution is a mutual closing condition rather than a Parent closing condition, (e) the addition of an obligation for the Partnership to continue paying regular quarterly cash distributions consistent with past practices during the period between signing and closing of the proposed transaction, and (f) the addition of an obligation for the Partnership to maintain directors’ and officers’ liability insurance policies following the closing of the proposed transaction.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55</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Later on April 3, 2023, a representative of Parent contacted the Chairman of the Conflicts Committee and proposed that the Unaffiliated Unitholders receive overall value of $8.65 per Common Unit in the proposed transaction, consisting in part of a special distribution by the Partnership of $3.28 per Common Unit in cash to be distributed to the Common Unitholders prior to the closing of the proposed transaction and the remaining $5.37 to be paid by Parent as merger consideration at the closing of the proposed transaction (the “April 3 Counterproposal”).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 2023, the Conflicts Committee held a meeting with representatives of Evercore and RLF. During the meeting, the Chairman of the Conflicts Committee summarized the April 3 Counterproposal. The Conflicts Committee and its advisors discussed the April 3 Counterproposal and Evercore’s financial analysis of the proposed transaction and the April 3 Counterproposal. Following discussion, the Conflicts Committee authorized the Chairman of the Conflicts Committee to contact Parent to inform it that the Conflicts Committee would accept the April 3 Counterproposal, subject to negotiation of terms of the definitive Merger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4, 2023, representatives of Cravath, on behalf of Parent, sent revised drafts of the Merger Agreement and Support Agreement to RLF. The revised draft Merger Agreement, among other things, removed the provision allowing the Conflicts Committee to make an adverse recommendation change in the event that the Conflicts Committee determines that the failure to do so would be adverse to the interests of the Unaffiliated Unitholders and removed the provision obligating the Partnership to maintain directors’ and officers’ liability insurance policies following the closing of the proposed transaction.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period of April 4, 2023, through April 6, 2023, representatives of Cravath, at the direction of Parent, and RLF, at the direction of the Conflicts Committee, exchanged additional comments to the draft Merger Agreement. As part of these exchanges, the Merger Agreement retained a provision allowing the Conflicts Committee to make an adverse recommendation change in the event that the Conflicts Committee determines that the failure to do so would be adverse to the interests of the Unaffiliated Unitholders and a provision obligating the Partnership to maintain directors’ and officers’ liability insurance policies for a period of time following the closing of the proposed transaction, and the parties agreed to a mutual expense reimbursement provision in the event that the Merger Agreement is terminated under certain circumstances.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6, 2023, the Conflicts Committee held a meeting with representatives of Evercore and RLF. During the meeting, the Conflicts Committee and its advisors discussed the proposed transaction, including the terms and conditions of the Merger Agreement, and RLF presented to the Conflicts Committee an overview and update with respect to the terms of the Merger Agreement. Also at this meeting, Evercore reviewed its updated financial analysis of the proposed transaction with the Conflicts Committee and, at the request of the Conflicts Committee, rendered an oral opinion to the Conflicts Committee, which was subsequently confirmed by delivery of a written opinion dated April 6, 2023, to the effect that, as of the date of such opinion and subject to the factors, procedures, assumptions, qualifications and limitations set forth therein, the Consideration to be received by the Unaffiliated Unitholders in the Merger is fair, from a financial point of view, to the Partnership and the Unaffiliated Unitholders. At this meeting, the Conflicts Committee unanimously (a) determined that the proposed transaction, on the terms and conditions set forth in the Merger Agreement, is in the best interests of the Partnership and the Unaffiliated Unitholders and the Consideration to be received by the Unaffiliated Unitholders is fair to the Partnership and the Unaffiliated Unitholders, (b) approved the Merger Agreement and the transactions contemplated thereby, including the Merger, upon the terms and conditions set forth in the Merger Agreement, with such approval constituting Special Approval for all purposes under the Partnership Agreement, including Section 7.17(a) thereof, and (c) recommended to the Partnership Board that the Partnership Board (i) approve the Merger Agreement and the transactions contemplated thereby, including the Merger, and (ii) recommend approval of the Merger Agreement and the transactions contemplated thereby, including the Merger, to the Common Unitholders.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56</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on April 6, 2023, in a meeting of the Partnership Board, the Chairman of the Conflicts Committee provided the Partnership Board with a report on the process conducted by the Conflicts Committee in its evaluation of the proposed transaction, including (a) the hiring of Evercore, as financial advisor, and RLF, as legal advisor, (b) the Conflicts Committee’s consideration of the merits of the proposed transaction over the course of a number of meetings, including meetings with its financial and legal advisors, (c) the Conflicts Committee’s negotiation of the terms of the Merger Agreement, including the consideration to be received by the Unaffiliated Unitholders in the Merger, (d) the receipt of the oral opinion of Evercore, as described above, and (e) the determinations, approvals and recommendations of the Conflicts Committee with respect to the Merger Agreement and the Merger, as described above. Following the Chairman of the Conflicts Committee’s report, the Partnership Board, by unanimous vote, (i) determined that the Merger Agreement and the transactions contemplated thereby, including the Merger, are fair to and in the best interests of the Partnership and the Unaffiliated Unitholders, (ii) approved the Merger Agreement and the transactions contemplated thereby, including the Merger, and the execution, delivery and performance of the Merger Agreement and the transactions contemplated by the Merger Agreement, including the Merger, (iii) directed that the Merger Agreement and the transactions contemplated thereby, including the Merger, be submitted to a vote of the Common Unitholders and (iv) resolved to recommend the Merger Agreement and the transactions contemplated thereby, including the Merger, to the Common Unitholders.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Subsequently on April 6, 2023, (a) the Partnership, the General Partner, Parent and Merger Sub executed and delivered the Merger Agreement and (b) Parent and the Partnership executed and delivered the Support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Later on April 6, 2023, Parent and the Partnership issued a joint press release announcing the execution of the Merger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Resolution of Conflicts of Interest; Standards of Conduct and Modification of Duties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the Merger Agreement and the transactions contemplated thereby, including the Merger, by a majority of the members of the Conflicts Committee constitutes Special Approval as defined in the Partnership Agreement. Under Section 7.17(a) of the Partnership Agreement, whenever a potential conflict of interest exists or arises, such as consideration of the Merger Agreement and the transactions contemplated thereby, including the Merger, any resolution or course of action in respect of such conflict of interest will be permitted and deemed approved by the General Partner and all of the limited partners of the Partnership, and will not constitute a breach of the Partnership Agreement, any other agreement contemplated by thereby, any organizational documents of any subsidiary of the Partnership or any duty stated or implied by law or equity, if the resolution or course of action is approved by Special Approval.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57</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7.17(b) of the Partnership Agreement, whenever the General Partner makes a determination or takes or declines to take any other action, or any affiliate of the General Partner causes the General Partner to do so, in its capacity as the general partner of the Partnership as opposed to its individual capacity, then unless another express standard is provided for in the Partnership Agreement, the General Partner, or such affiliates causing the General Partner to do so, shall make such determination or take or decline to take such other action in good faith and shall not be subject to any other or different standards imposed by the Partnership Agreement, any other agreement contemplated by thereby, any organizational documents of any subsidiary of the Partnership or under Marshall Islands law or any other law, rule or regulation or at equity.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the Partnership Board makes a determination or takes or declines to take any other action under the Partnership Agreement or any other agreement contemplated thereby or otherwise, then, unless another express standard is provided for in the Partnership Agreement, the Partnership Board shall make such determination or take or decline to take such other action in good faith and shall not be subject to any other or different standards imposed by the Partnership Agreement, any other agreement contemplated thereby, any organizational documents of any subsidiary of the Partnership or under Marshall Islands law or any other law, rule or regulation or at equity. In order for a determination or other action to be in “good faith” for purposes of the Partnership Agreement, the person or persons making such determination or taking or declining to take such other action must reasonably believe that the determination or other action is in the best interests of the Partnership, unless the context otherwise requires.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7.18(b) of the Partnership Agreement, the General Partner and the Partnership Board may consult with legal counsel, accountants, appraisers, management consultants, investment bankers and other consultants and advisers selected by either of them, and any act taken or omitted to be taken in reliance upon the advice or opinion of such persons as to matters that the General Partner or the Partnership Board reasonably believes to be within such person’s professional or expert competence shall be conclusively presumed to have been done or omitted in good faith and in accordance with such advice or opinion.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 of the Conflicts Committee and the Partnership Board; Reasons for Recommending Approval of the Merger Proposal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Conflicts Committee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Partnership Board directed the Conflicts Committee, comprised solely of two independent directors, Mr. Fisher and Ms. Holth, who meet the requirements for membership on the Conflicts Committee set forth in the Partnership Agreement, to (a) propose, review, evaluate and negotiate the proposed transactions on behalf of the Partnership and the Common Unitholders and (b) make any recommendations to the Partnership Board and to the holders of Common Units regarding the proposed transactions as the Conflicts Committee determines in its sole discretion to be advisable or to reject in its sole discretion the proposed transactions and to terminate discussions with Parent. The Conflicts Committee retained RLF as its independent legal counsel, and Evercore as its independent financial advisor. The Conflicts Committee oversaw the performance of financial, legal and other due diligence by its advisors, conducted an extensive review and evaluation of the proposed transactions and conducted negotiations with Parent and its representatives with respect to the Merger Agreement and the Support Agreement and the transactions contemplated thereby.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58</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6, 2023, the Conflicts Committee considered the benefits of the Merger Agreement and the Support Agreement and the transactions contemplated thereby, including the Merger, as well as the associated risks, and unanimously (a) determined that the Merger Agreement and the transactions contemplated thereby, including the Merger, on the terms and conditions set forth in the Merger Agreement, are fair to and in the best interests of the Partnership and the Unaffiliated Unitholders, (b) approved the Merger Agreement and the transactions contemplated thereby, including the Merger, upon the terms and conditions set forth in the Merger Agreement and (c) recommended to the Partnership Board that the Partnership Board (i) approve the Merger Agreement and the transactions contemplated thereby, including the Merger, and (ii) recommend approval of the Merger Agreement and the transactions contemplated thereby, including the Merger, to the Common Unitholders.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the Conflicts Committee’s Recommendation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Conflicts Committee considered the following factors to be generally positive or favorable in making its determination and approval and the related recommendations to the Partnership Board:</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The aggregate Consideration of $8.65 per Common Unit, consisting of (a) the Special Distribution and (b) the Merger Consideration, which the Conflicts Committee believes would provide certainty, immediate liquidity and greater assured value for the Unaffiliated Unitholders than the long-term value of the Partnership on a status quo basis.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The Conflicts Committee’s belief that the aggregate Consideration of $8.65 per Common Unit was the highest amount of consideration per Common Unit that Parent would be willing to agree to at the time of the Conflicts Committee’s determination and grant of Special Approval.</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The financial analyses prepared by Evercore during the course of the deliberations and negotiations and the oral opinion of Evercore rendered to the Conflicts Committee on April 6, 2023 (which was subsequently confirmed in writing by delivery of Evercore’s written opinion addressed to the Conflicts Committee dated April 6, 2023), to the effect that, as of the date of such opinion, and based upon and subject to the assumptions, limitations, qualifications and conditions described in Evercore’s written opinion, the Consideration to be received by the Unaffiliated Unitholders in the Merger is fair, from a financial point of view, to the Partnership and to the Unaffiliated Unitholders, as more fully described below in the section entitled “Opinion of the Financial Advisor to the Conflicts Committee” on page 64.</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59</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The premium to current and historical trading prices of the Common Units, including that the aggregate Consideration constitutes: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a 23.9% premium to the price per Common Unit on January 24, 2023 (the last trading day prior to Parent’s public announcement of its proposal of the buy-in offer);</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a 30.2% premium to the volume-weighted average price (“VWAP”) of the Common Units for the 20-day period ending on January 24, 2023 (the last trading day prior to Parent’s public announcement of its proposal of the buy-in offer); and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40"/>
        <w:gridCol w:w="10028"/>
      </w:tblGrid>
      <w:tr>
        <w:trPr/>
        <w:tc>
          <w:tcPr>
            <w:tcW w:w="37"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o</w:t>
            </w:r>
          </w:p>
        </w:tc>
        <w:tc>
          <w:tcPr>
            <w:tcW w:w="10028" w:type="dxa"/>
            <w:tcBorders/>
            <w:shd w:fill="auto" w:val="clear"/>
            <w:vAlign w:val="center"/>
          </w:tcPr>
          <w:p>
            <w:pPr>
              <w:pStyle w:val="TableContents"/>
              <w:spacing w:before="0" w:after="283"/>
              <w:rPr/>
            </w:pPr>
            <w:r>
              <w:rPr/>
              <w:t>a 3.3% premium to the price per Common Unit on April 5, 2023 (the last trading day prior to the approval of the Merger Agreement).</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The fact that the Common Units have, since the onset of the COVID-19 pandemic in March 2020, traded at levels that are significantly lower than the aggregate Consideration of $8.65 per Common Unit that each Unaffiliated Unitholder will be entitled to receive in the transaction (subject to holding a Common Unit both at the record date for the Special Distribution and at the Effective Time).</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77"/>
        <w:gridCol w:w="346"/>
        <w:gridCol w:w="9782"/>
      </w:tblGrid>
      <w:tr>
        <w:trPr/>
        <w:tc>
          <w:tcPr>
            <w:tcW w:w="77"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pPr>
            <w:r>
              <w:rPr/>
              <w:t>●</w:t>
            </w:r>
          </w:p>
        </w:tc>
        <w:tc>
          <w:tcPr>
            <w:tcW w:w="9782" w:type="dxa"/>
            <w:tcBorders/>
            <w:shd w:fill="auto" w:val="clear"/>
            <w:vAlign w:val="center"/>
          </w:tcPr>
          <w:p>
            <w:pPr>
              <w:pStyle w:val="TableContents"/>
              <w:spacing w:before="0" w:after="283"/>
              <w:rPr/>
            </w:pPr>
            <w:r>
              <w:rPr/>
              <w:t>The Merger is not subject to a financing condition.</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73"/>
        <w:gridCol w:w="329"/>
        <w:gridCol w:w="9803"/>
      </w:tblGrid>
      <w:tr>
        <w:trPr/>
        <w:tc>
          <w:tcPr>
            <w:tcW w:w="73"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pPr>
            <w:r>
              <w:rPr/>
              <w:t>●</w:t>
            </w:r>
          </w:p>
        </w:tc>
        <w:tc>
          <w:tcPr>
            <w:tcW w:w="9803" w:type="dxa"/>
            <w:tcBorders/>
            <w:shd w:fill="auto" w:val="clear"/>
            <w:vAlign w:val="center"/>
          </w:tcPr>
          <w:p>
            <w:pPr>
              <w:pStyle w:val="TableContents"/>
              <w:spacing w:before="0" w:after="283"/>
              <w:rPr/>
            </w:pPr>
            <w:r>
              <w:rPr/>
              <w:t>The Merger is not subject to additional due diligence.</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The terms and conditions of the Merger were determined through arm’s-length negotiations between the Conflicts Committee and Parent and their respective representatives and advisors.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80"/>
        <w:gridCol w:w="359"/>
        <w:gridCol w:w="9766"/>
      </w:tblGrid>
      <w:tr>
        <w:trPr/>
        <w:tc>
          <w:tcPr>
            <w:tcW w:w="80"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pPr>
            <w:r>
              <w:rPr/>
              <w:t>●</w:t>
            </w:r>
          </w:p>
        </w:tc>
        <w:tc>
          <w:tcPr>
            <w:tcW w:w="9766" w:type="dxa"/>
            <w:tcBorders/>
            <w:shd w:fill="auto" w:val="clear"/>
            <w:vAlign w:val="center"/>
          </w:tcPr>
          <w:p>
            <w:pPr>
              <w:pStyle w:val="TableContents"/>
              <w:spacing w:before="0" w:after="283"/>
              <w:rPr/>
            </w:pPr>
            <w:r>
              <w:rPr/>
              <w:t>The terms of the Merger Agreement, principally:</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40"/>
        <w:gridCol w:w="10028"/>
      </w:tblGrid>
      <w:tr>
        <w:trPr/>
        <w:tc>
          <w:tcPr>
            <w:tcW w:w="37"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o</w:t>
            </w:r>
          </w:p>
        </w:tc>
        <w:tc>
          <w:tcPr>
            <w:tcW w:w="10028" w:type="dxa"/>
            <w:tcBorders/>
            <w:shd w:fill="auto" w:val="clear"/>
            <w:vAlign w:val="center"/>
          </w:tcPr>
          <w:p>
            <w:pPr>
              <w:pStyle w:val="TableContents"/>
              <w:spacing w:before="0" w:after="283"/>
              <w:rPr/>
            </w:pPr>
            <w:r>
              <w:rPr/>
              <w:t>Parent’s representation that Parent will have sources of immediately available funds to pay the Merger Consideration and all other cash amounts payable pursuant to the Merger Agreement;</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40"/>
        <w:gridCol w:w="10028"/>
      </w:tblGrid>
      <w:tr>
        <w:trPr/>
        <w:tc>
          <w:tcPr>
            <w:tcW w:w="37"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o</w:t>
            </w:r>
          </w:p>
        </w:tc>
        <w:tc>
          <w:tcPr>
            <w:tcW w:w="10028" w:type="dxa"/>
            <w:tcBorders/>
            <w:shd w:fill="auto" w:val="clear"/>
            <w:vAlign w:val="center"/>
          </w:tcPr>
          <w:p>
            <w:pPr>
              <w:pStyle w:val="TableContents"/>
              <w:spacing w:before="0" w:after="283"/>
              <w:rPr/>
            </w:pPr>
            <w:r>
              <w:rPr/>
              <w:t>provisions permitting the Conflicts Committee to change the Partnership Board’s recommendation to Common Unitholders if the Conflicts Committee determines in good faith (after consultation with its outside legal counsel) that a failure to make a recommendation change would be adverse to the interests of the Unaffiliated Unitholders or would be a breach of its duties under the Partnership Agreement and applicable law;</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40"/>
        <w:gridCol w:w="10028"/>
      </w:tblGrid>
      <w:tr>
        <w:trPr/>
        <w:tc>
          <w:tcPr>
            <w:tcW w:w="37"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o</w:t>
            </w:r>
          </w:p>
        </w:tc>
        <w:tc>
          <w:tcPr>
            <w:tcW w:w="10028" w:type="dxa"/>
            <w:tcBorders/>
            <w:shd w:fill="auto" w:val="clear"/>
            <w:vAlign w:val="center"/>
          </w:tcPr>
          <w:p>
            <w:pPr>
              <w:pStyle w:val="TableContents"/>
              <w:spacing w:before="0" w:after="283"/>
              <w:rPr/>
            </w:pPr>
            <w:r>
              <w:rPr/>
              <w:t>the limited representations and warranties provided by the Partnership with respect to its business and assets;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40"/>
        <w:gridCol w:w="10028"/>
      </w:tblGrid>
      <w:tr>
        <w:trPr/>
        <w:tc>
          <w:tcPr>
            <w:tcW w:w="37"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o</w:t>
            </w:r>
          </w:p>
        </w:tc>
        <w:tc>
          <w:tcPr>
            <w:tcW w:w="10028" w:type="dxa"/>
            <w:tcBorders/>
            <w:shd w:fill="auto" w:val="clear"/>
            <w:vAlign w:val="center"/>
          </w:tcPr>
          <w:p>
            <w:pPr>
              <w:pStyle w:val="TableContents"/>
              <w:spacing w:before="0" w:after="283"/>
              <w:rPr/>
            </w:pPr>
            <w:r>
              <w:rPr/>
              <w:t>provisions restricting the removal of the members of the Conflicts Committee between signing of the Merger Agreement and closing of the Merger; and</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60</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9828" w:type="dxa"/>
        <w:jc w:val="left"/>
        <w:tblInd w:w="0" w:type="dxa"/>
        <w:tblCellMar>
          <w:top w:w="0" w:type="dxa"/>
          <w:left w:w="0" w:type="dxa"/>
          <w:bottom w:w="0" w:type="dxa"/>
          <w:right w:w="0" w:type="dxa"/>
        </w:tblCellMar>
      </w:tblPr>
      <w:tblGrid>
        <w:gridCol w:w="38"/>
        <w:gridCol w:w="140"/>
        <w:gridCol w:w="9650"/>
      </w:tblGrid>
      <w:tr>
        <w:trPr/>
        <w:tc>
          <w:tcPr>
            <w:tcW w:w="3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o</w:t>
            </w:r>
          </w:p>
        </w:tc>
        <w:tc>
          <w:tcPr>
            <w:tcW w:w="9650" w:type="dxa"/>
            <w:tcBorders/>
            <w:shd w:fill="auto" w:val="clear"/>
            <w:vAlign w:val="center"/>
          </w:tcPr>
          <w:p>
            <w:pPr>
              <w:pStyle w:val="TableContents"/>
              <w:spacing w:before="0" w:after="283"/>
              <w:rPr/>
            </w:pPr>
            <w:r>
              <w:rPr/>
              <w:t>provisions requiring the consent of the Conflicts Committee to amendments to the Merger Agreement.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The fact that Parent, which owns approximately 30.2% of the Common Units as of                     , 2023, is in support of the Merger and has entered into the Support Agreement, pursuant to which it has agreed to, among other things, appear at the Special Meeting and vote all of its Common Units in favor of the Merger Agreement and transactions contemplated thereby, including the Merger.</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The Conflicts Committee’s belief that, based on the stated intention of Parent, the Partnership was unlikely in the near-to-immediate term to increase distributions to Common Unitholders and would utilize cash flow to repurchase preferred equity and repay debt.</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The Conflicts Committee’s belief that, based on discussions with management, (i) there is increased uncertainty in relation to the useful lives of the vessels, which may be substantially shorter than originally anticipated, depending on how environmental regulations may develop in the future, given the size, type and technology of the vessels in the Partnership’s fleet, (ii) future capital expenditures required to keep the vessels in regulatory compliance may be substantially higher than anticipated and (iii) the all-time-high orderbook for more modern, environmentally-friendly LNG newbuild carriers may have commercial implications in relation to the ability of the Partnership’s older vessels to compete with such modern newbuild carriers being delivered in the future, under a potentially stricter regulatory environment.</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The Conflicts Committee’s engagement of financial and legal advisors with knowledge and experience with respect to public merger and acquisition transactions, master limited partnerships, the Partnership’s industry generally, and the Partnership particularly, as well as substantial experience advising master limited partnerships and other companies with respect to transactions similar to the Merger.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Conflicts Committee considered the following factors to be potentially negative or unfavorable in arriving at its determination and approval and the related recommendations to the Partnership Board:</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The fact that, following the Merger, the Partnership’s existing Unaffiliated Unitholders will not participate in the Partnership’s potential future earnings or growth.</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The Common Units have, in the past, traded at levels that exceed the aggregate Consideration of $8.65 per Common Unit that each Unaffiliated Unitholder will be entitled to receive in the transaction (subject to holding a Common Unit both at the record date for the Special Distribution and at the Effective Time).</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The Merger is not subject to the approval by a majority of the Partnership’s outstanding Common Units held by Unaffiliated Unitholders and, as a result, the requisite vote to approve the Merger will be obtained if only a majority of the outstanding Common Units, including the outstanding Common Units owned by Parent and its affiliates, vote in favor of the Merger.</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60"/>
        <w:gridCol w:w="271"/>
        <w:gridCol w:w="9874"/>
      </w:tblGrid>
      <w:tr>
        <w:trPr/>
        <w:tc>
          <w:tcPr>
            <w:tcW w:w="6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pPr>
            <w:r>
              <w:rPr/>
              <w:t>●</w:t>
            </w:r>
          </w:p>
        </w:tc>
        <w:tc>
          <w:tcPr>
            <w:tcW w:w="9874" w:type="dxa"/>
            <w:tcBorders/>
            <w:shd w:fill="auto" w:val="clear"/>
            <w:vAlign w:val="center"/>
          </w:tcPr>
          <w:p>
            <w:pPr>
              <w:pStyle w:val="TableContents"/>
              <w:spacing w:before="0" w:after="283"/>
              <w:rPr/>
            </w:pPr>
            <w:r>
              <w:rPr/>
              <w:t>The Merger is expected to be taxable to Unaffiliated Unitholders.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61</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The Conflicts Committee was not authorized to and did not conduct an auction process or other solicitation of interest from third parties for the acquisition of the Partnership. Given that Parent controls the Partnership and owns approximately 30.2% of the Partnership’s outstanding Common Units and the general partner interest in the Partnership, the Conflicts Committee believed that it was unrealistic to expect a third-party acquisition proposal to acquire assets or control of the Partnership without the support of Parent.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While the Conflicts Committee expects that the Merger will be consummated, there can be no assurance that all conditions to the parties’ obligations to complete the Merger will be satisfied, and thus it is possible that the Merger may not be completed in a timely manner or at all. If the Merger is not completed, it could result in a disruption to the business of the Partnership and a decline in the trading price of the Common Units.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75"/>
        <w:gridCol w:w="337"/>
        <w:gridCol w:w="9793"/>
      </w:tblGrid>
      <w:tr>
        <w:trPr/>
        <w:tc>
          <w:tcPr>
            <w:tcW w:w="75"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pPr>
            <w:r>
              <w:rPr/>
              <w:t>●</w:t>
            </w:r>
          </w:p>
        </w:tc>
        <w:tc>
          <w:tcPr>
            <w:tcW w:w="9793" w:type="dxa"/>
            <w:tcBorders/>
            <w:shd w:fill="auto" w:val="clear"/>
            <w:vAlign w:val="center"/>
          </w:tcPr>
          <w:p>
            <w:pPr>
              <w:pStyle w:val="TableContents"/>
              <w:spacing w:before="0" w:after="283"/>
              <w:rPr/>
            </w:pPr>
            <w:r>
              <w:rPr/>
              <w:t>Certain terms of the Merger Agreement, principally:</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40"/>
        <w:gridCol w:w="10028"/>
      </w:tblGrid>
      <w:tr>
        <w:trPr/>
        <w:tc>
          <w:tcPr>
            <w:tcW w:w="37"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o</w:t>
            </w:r>
          </w:p>
        </w:tc>
        <w:tc>
          <w:tcPr>
            <w:tcW w:w="10028" w:type="dxa"/>
            <w:tcBorders/>
            <w:shd w:fill="auto" w:val="clear"/>
            <w:vAlign w:val="center"/>
          </w:tcPr>
          <w:p>
            <w:pPr>
              <w:pStyle w:val="TableContents"/>
              <w:spacing w:before="0" w:after="283"/>
              <w:rPr/>
            </w:pPr>
            <w:r>
              <w:rPr/>
              <w:t>provisions requiring the Partnership to submit the Merger Agreement to a vote of the Common Unitholders (even if the Conflicts Committee has made an Adverse Recommendation Change), unless the Merger Agreement has been validly terminated;</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6"/>
        <w:gridCol w:w="170"/>
        <w:gridCol w:w="9989"/>
      </w:tblGrid>
      <w:tr>
        <w:trPr/>
        <w:tc>
          <w:tcPr>
            <w:tcW w:w="46"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o</w:t>
            </w:r>
          </w:p>
        </w:tc>
        <w:tc>
          <w:tcPr>
            <w:tcW w:w="9989" w:type="dxa"/>
            <w:tcBorders/>
            <w:shd w:fill="auto" w:val="clear"/>
            <w:vAlign w:val="center"/>
          </w:tcPr>
          <w:p>
            <w:pPr>
              <w:pStyle w:val="TableContents"/>
              <w:spacing w:before="0" w:after="283"/>
              <w:rPr/>
            </w:pPr>
            <w:r>
              <w:rPr/>
              <w:t>the restrictions on the Partnership’s ability to solicit or respond to competing proposals;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40"/>
        <w:gridCol w:w="10028"/>
      </w:tblGrid>
      <w:tr>
        <w:trPr/>
        <w:tc>
          <w:tcPr>
            <w:tcW w:w="37"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o</w:t>
            </w:r>
          </w:p>
        </w:tc>
        <w:tc>
          <w:tcPr>
            <w:tcW w:w="10028" w:type="dxa"/>
            <w:tcBorders/>
            <w:shd w:fill="auto" w:val="clear"/>
            <w:vAlign w:val="center"/>
          </w:tcPr>
          <w:p>
            <w:pPr>
              <w:pStyle w:val="TableContents"/>
              <w:spacing w:before="0" w:after="283"/>
              <w:rPr/>
            </w:pPr>
            <w:r>
              <w:rPr/>
              <w:t>provisions restricting the conduct of the Partnership’s business during the interim period between signing of the Merger Agreement and closing of the Merger; and</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40"/>
        <w:gridCol w:w="10028"/>
      </w:tblGrid>
      <w:tr>
        <w:trPr/>
        <w:tc>
          <w:tcPr>
            <w:tcW w:w="37"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o</w:t>
            </w:r>
          </w:p>
        </w:tc>
        <w:tc>
          <w:tcPr>
            <w:tcW w:w="10028" w:type="dxa"/>
            <w:tcBorders/>
            <w:shd w:fill="auto" w:val="clear"/>
            <w:vAlign w:val="center"/>
          </w:tcPr>
          <w:p>
            <w:pPr>
              <w:pStyle w:val="TableContents"/>
              <w:spacing w:before="0" w:after="283"/>
              <w:rPr/>
            </w:pPr>
            <w:r>
              <w:rPr/>
              <w:t>the Common Unitholders are not entitled to dissenters’ or appraisal rights with respect to the Merger under the Partnership Agreement or the laws of the Republic of the Marshall Islands.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The risk that litigation may occur in connection with the Merger and any such litigation may result in significant costs and a diversion of management’s focus.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The members of the Partnership’s management and the directors of the Partnership may have interests in the Merger that are different from, or in addition to, the interests of the Unaffiliated Unitholders.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discussion of the information and factors considered by the Conflicts Committee is not intended to be exhaustive, but includes material factors the Conflicts Committee considered. In view of the variety of factors considered in connection with its evaluation of the Merger and the complexity of these matters, the Conflicts Committee did not find it useful and did not attempt to quantify or assign any relative or specific weights to the various factors considered in making its determination and recommendation. In addition, each of the members of the Conflicts Committee may have given differing weights to different factors. Overall, the Conflicts Committee believed that the positive factors supporting the Merger outweighed the negative factors it considered.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Partnership Board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Partnership Board consists of five members of the Partnership—Curtis V. Anastasio, Paolo Enoizi, Julian Metherell, Roly Fisher and Kristin H. Holth. Curtis V. Anastasio is the Chairman of the Board, and Paolo Enoizi is also the Chief Executive Officer.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directors may have different interests in the Merger than the Unaffiliated Unitholders. For a complete discussion of these and other interests of the members of the Partnership Board in the Merger, see “– Interests of the Directors and Executive Officers of the Partnership in the Merger”. Following receipt of Parent’s initial offer to acquire all of the Common Units not already owned by Parent, the Partnership Board directed the Conflicts Committee of the Partnership Board (the “Conflicts Committee”), comprised solely of two independent directors who meet the requirements for membership on the Conflicts Committee set forth in the Partnership Agreement and advised by its own independent legal and financial advisors, to (a) propose, review, evaluate and negotiate the proposed transactions on behalf of the Partnership and the Common Unitholders and (b) make any recommendations to the Partnership Board and to the holders of Common Units regarding the proposed transactions as the Conflicts Committee determines in its sole discretion to be advisable or to reject in its sole discretion the proposed transactions and to terminate discussions with Parent.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6, 2023, the Conflicts Committee unanimously (a) determined that the Merger Agreement and the transactions contemplated thereby, including the Merger, on the terms and conditions set forth in the Merger Agreement, are fair to and in the best interests of the Partnership and the Unaffiliated Unitholders, (b) approved the Merger Agreement and the transactions contemplated thereby, including the Merger, upon the terms and conditions set forth in the Merger Agreement and (c) recommended to the Partnership Board that the Partnership Board (i) approve the Merger Agreement and the transactions contemplated thereby, including the Merger, and (ii) recommend approval of the Merger Agreement and the transactions contemplated thereby, including the Merger, to the Common Unitholders.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6, 2023, the Partnership Board, acting upon the recommendation of the Conflicts Committee, unanimously (a) determined that the Merger Agreement and the transactions contemplated thereby, including the Merger, are fair to and in the best interests of the Partnership and the Unaffiliated Unitholders, (b) approved the Merger Agreement and the transactions contemplated thereby, including the Merger, (c) directed that the Merger Agreement and the transactions contemplated thereby, including the Merger, be submitted to a vote of the Common Unitholders and (d) resolved to recommend the Merger Agreement and the transactions contemplated thereby, including the Merger, to the Common Unitholders.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Partnership Board recommends that the Common Unitholders vote in favor of the Merger Proposal.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that the Merger Agreement and the transactions contemplated thereby, including the Merger, are fair to and in the best interest of the Partnership and the Common Unitholders, and recommending that Common Unitholders vote in favor of the Merger Proposal, the Partnership Board considered a number of factors, including the following material factors:</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73"/>
        <w:gridCol w:w="332"/>
        <w:gridCol w:w="9800"/>
      </w:tblGrid>
      <w:tr>
        <w:trPr/>
        <w:tc>
          <w:tcPr>
            <w:tcW w:w="73"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pPr>
            <w:r>
              <w:rPr/>
              <w:t>●</w:t>
            </w:r>
          </w:p>
        </w:tc>
        <w:tc>
          <w:tcPr>
            <w:tcW w:w="9800" w:type="dxa"/>
            <w:tcBorders/>
            <w:shd w:fill="auto" w:val="clear"/>
            <w:vAlign w:val="center"/>
          </w:tcPr>
          <w:p>
            <w:pPr>
              <w:pStyle w:val="TableContents"/>
              <w:spacing w:before="0" w:after="283"/>
              <w:rPr/>
            </w:pPr>
            <w:r>
              <w:rPr/>
              <w:t>the recommendation of the Conflicts Committee; and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the factors considered by the Conflicts Committee, including the material factors considered by the Conflicts Committee described under “– The Conflicts Committee” above.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doing so, the Partnership Board expressly adopted the analysis of the Conflicts Committee, which is discussed above.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discussion is not intended to be exhaustive, but is intended to address the material information and principal factors considered by the Partnership Board in considering the Merger. In view of the various factors and information considered, the Partnership Board did not find it practicable to, and did not make specific assessments of, quantify or otherwise assign relative weights to, the specific factors considered in reaching its determination. In addition, the Partnership Board did not undertake to make any specific determination as to whether any particular factor, or any aspect of any particular factor, was determinative of its ultimate determination, and individual members of the Partnership Board may have given different weights to different factors. The Partnership Board made its recommendation based on the totality of information presented to, and the investigation conducted by, the Partnership Board. It should be noted that certain statements and other information presented in this section are forward-looking in nature and, therefore, should be read in light of the factors discussed under the heading “Cautionary Statement Regarding Forward-Looking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Partnership Board recommends that the Common Unitholders vote “FOR” the approval of the Merger Agreement and that Common Unitholders vote “FOR” the adjournment of the Special Meeting, if necessary to solicit additional proxies if there are not sufficient votes to approve the Merger Agreement at the time of the Special Meeting.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of the Financial Advisor to the Conflicts Committee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Conflicts Committee retained Evercore to act as financial advisor to the Conflicts Committee in connection with evaluating the proposed Merger. On April 6, 2023, at a meeting of the Conflicts Committee and at the request of the Conflicts Committee, Evercore rendered its oral opinion to the Conflicts Committee that, as of April 6, 2023, and based upon and subject to the factors, procedures, assumptions, qualifications and limitations set forth in its opinion, the Consideration to be received by the Unaffiliated Unitholders in the Merger is fair, from a financial point of view, to the Partnership and the Unaffiliated Unitholders. Evercore subsequently confirmed its oral opinion in a written opinion on the same 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full text of the written opinion of Evercore, dated as of April 6, 2023, which sets forth, among other things, the procedures followed, assumptions made, matters considered and qualifications and limitations on the scope of review undertaken in rendering its opinion, is attached hereto as Annex C to this proxy statement. You are urged to read Evercore’s opinion carefully and in its entirety. Evercore’s opinion was addressed to, and provided for the information and benefit of, the Conflicts Committee in connection with its evaluation of the fairness of the Consideration, from a financial point of view, to the Partnership and the Unaffiliated Unitholders, and did not address any other aspects or implications of the Merger. Evercore’s opinion should not be construed as creating any fiduciary duty on Evercore’s part to any party and such opinion was not intended to be, and does not constitute, a recommendation to the Conflicts Committee or to any other persons in respect of the Merger, including as to how any Common Unitholder should act or vote in respect of the Merger. The summary of the Evercore opinion set forth herein is qualified in its entirety by reference to the full text of the opinion included as Annex C to this proxy statement.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rendering its opinion and performing its related financial analysis, Evercore, among other things:</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reviewed certain publicly available business and financial information relating to the Partnership that Evercore deemed to be relevant, including as set forth in the 2022 Form 20-F and certain reports on Form 6-K, in each case as filed with or furnished to the U.S. Securities and Exchange Commission by the Partnership;</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reviewed publicly available research analyst price targets and estimates for the Partnership’s future financial performance on a standalone basis;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reviewed certain internal projected financial data relating to the Partnership prepared and furnished to Evercore by management of the Partnership, as approved for Evercore’s use by the Conflicts Committee (the “Forecasts”), as described in further detail the section entitled in “Unaudited Management Forecasts of the Partnership” beginning on page 75;</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reviewed certain third-party charter-free vessel appraisals of the vessels of the Partnership furnished to Evercore by management of the Partnership, as approved for Evercore’s use by the Conflicts Committee (the “Appraisals”);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discussed with the Conflicts Committee and management of the Partnership their assessment of the past and current operations of the Partnership, the current financial condition and prospects of the Partnership, and the Forecasts;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7"/>
        <w:gridCol w:w="210"/>
        <w:gridCol w:w="9948"/>
      </w:tblGrid>
      <w:tr>
        <w:trPr/>
        <w:tc>
          <w:tcPr>
            <w:tcW w:w="47"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pPr>
            <w:r>
              <w:rPr/>
              <w:t>●</w:t>
            </w:r>
          </w:p>
        </w:tc>
        <w:tc>
          <w:tcPr>
            <w:tcW w:w="9948" w:type="dxa"/>
            <w:tcBorders/>
            <w:shd w:fill="auto" w:val="clear"/>
            <w:vAlign w:val="center"/>
          </w:tcPr>
          <w:p>
            <w:pPr>
              <w:pStyle w:val="TableContents"/>
              <w:spacing w:before="0" w:after="283"/>
              <w:rPr/>
            </w:pPr>
            <w:r>
              <w:rPr/>
              <w:t>reviewed the reported prices and the historical trading activity of the Common Units;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performed a discounted cash flow analysis for the Partnership based on the Forecasts and other data provided by management of the Partnership;</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65</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performed a price to net asset value analysis for the Partnership based on the Forecasts, the Appraisals (and adjustments thereto) and other data provided by management of the Partnership;</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compared the financial performance of the Partnership and its stock market trading multiples with those of certain other publicly traded master limited partnerships and companies that Evercore deemed relevant;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compared the financial performance of the Partnership and the valuation multiples relating to the Merger with the financial terms, to the extent publicly available, of certain other transactions that Evercore deemed relevant;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9"/>
        <w:gridCol w:w="177"/>
        <w:gridCol w:w="9989"/>
      </w:tblGrid>
      <w:tr>
        <w:trPr/>
        <w:tc>
          <w:tcPr>
            <w:tcW w:w="3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pPr>
            <w:r>
              <w:rPr/>
              <w:t>●</w:t>
            </w:r>
          </w:p>
        </w:tc>
        <w:tc>
          <w:tcPr>
            <w:tcW w:w="9989" w:type="dxa"/>
            <w:tcBorders/>
            <w:shd w:fill="auto" w:val="clear"/>
            <w:vAlign w:val="center"/>
          </w:tcPr>
          <w:p>
            <w:pPr>
              <w:pStyle w:val="TableContents"/>
              <w:spacing w:before="0" w:after="283"/>
              <w:rPr/>
            </w:pPr>
            <w:r>
              <w:rPr/>
              <w:t>reviewed the financial terms and conditions of a draft, dated April 6, 2023, of the Merger Agreement;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reviewed a draft, dated April 5, 2023, of the Support Agreement by and between Parent and the Partnership; and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performed such other analyses and examinations and considered such other factors that Evercore deemed appropriate.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its analysis and opinion, Evercore assumed and relied upon the accuracy and completeness of the financial and other information publicly available, and all of the information supplied or otherwise made available to, discussed with, or reviewed by Evercore, without any independent verification of such information (and Evercore has not assumed responsibility or liability for any independent verification of such information), and Evercore further relied upon the assurances of the management of the Partnership that they are not aware of any facts or circumstances that would make such information inaccurate or misleading. With respect to the Forecasts, Evercore assumed, with the consent of the Conflicts Committee, that they have been reasonably prepared on bases reflecting the best currently available estimates and good faith judgments of management of the Partnership as to the future financial performance of the Partnership and the other matters covered thereby. Evercore expressed no view as to the Forecasts or the Appraisals, or the assumptions on which they are based, as applicable. Evercore relied, at the direction of the Conflicts Committee, without independent verification, upon the assessments of the management of the Partnership as to the future operational performance of the Partnership, including but not limited to, charter revenues, commissions, operating expenses, administrative expenses, other fees and expenses, and capital expenditures.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its analysis and opinion, Evercore assumed, in all respects material to its analysis, that the final executed Merger Agreement would not differ from the draft Merger Agreement reviewed by Evercore, that the representations and warranties of each party contained in the Merger Agreement were true and correct, that each party would perform all of the covenants and agreements required to be performed by it under the Merger Agreement and that all conditions to the consummation of the Merger would be satisfied without waiver or modification thereof. Evercore further assumed, in all respects material to its analysis, that all governmental, regulatory or other consents, approvals or releases necessary for the consummation of the Merger would be obtained without any delay, limitation, restriction or condition that would have an adverse effect on the Partnership or the consummation of the Merger or reduce the contemplated benefits to the Unaffiliated Unitholders of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66</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Evercore did not conduct a physical inspection of the properties, facilities or vessels of the Partnership and has not made or assumed any responsibility for making any independent valuation or appraisal of the assets or liabilities (including any contingent, derivative or other off-balance sheet assets and liabilities) of the Partnership, nor has Evercore been furnished with any such valuations or appraisals (other than the Appraisals), nor did Evercore evaluate the solvency or fair value of the Partnership or any of its vessels under any state or federal laws relating to bankruptcy, insolvency or similar matters. Evercore’s opinion is necessarily based upon information made available to Evercore as of April 6, 2023 and financial, economic, market and other conditions as they existed on April 6, 2023 and as could be evaluated as of April 6, 2023. It is understood that subsequent developments may affect Evercore’s opinion and that Evercore does not have any obligation to update, revise or reaffirm its opinion.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Evercore was not asked to pass upon, and expressed no opinion with respect to, any matter other than the fairness to the Partnership and to the Unaffiliated Unitholders, from a financial point of view, of the Consideration. Evercore did not express any view on, and Evercore’s opinion does not address, the fairness of the Merger to, or any consideration received in connection therewith by, the holders of any other class of securities, creditors or other constituencies of the Partnership, nor as to the fairness of the amount or nature of any compensation to be paid or payable to any of the officers, directors or employees of the Partnership, or any class of such persons, whether relative to the Consideration or otherwise. Evercore was not asked to, nor did Evercore express any view on, and its opinion does not address, any other term or aspect of the Merger Agreement or the Merger, including, without limitation, the structure or form of the Merger, the cancellation of any other class of equity, or any term or aspect of any other agreement or instrument contemplated by the Merger Agreement or entered into or amended in connection with the Merger Agreement. Evercore’s opinion does not address the relative merits of the Merger as compared to other business or financial strategies that might be available to the Partnership, nor does it address the underlying business decision of the Partnership to engage in the Merger. In arriving at its opinion, Evercore was not authorized to solicit, and did not solicit, interest from any third party with respect to the acquisition of any or all of the Common Units or any business combination or other extraordinary transaction involving the Partnership. Evercore’s opinion did not constitute a recommendation to the Conflicts Committee, the Partnership Board or to any other persons in respect of the Merger, including as to how any holder of Common Units should vote or act in respect of the Merger. Evercore did not express any opinion as to the prices at which Common Units will trade at any time, as to the potential effects of volatility in the credit, financial and stock markets on the Partnership or the Merger or as to the impact of the Merger on the solvency or viability of the Partnership or the ability of the Partnership to pay its obligations when they come due. Evercore is not a legal, regulatory, accounting or tax expert and assumed the accuracy and completeness of assessments by the Partnership and its advisors with respect to legal, regulatory, accounting and tax matters.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67</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 summary of the material financial analyses performed by Evercore and reviewed with the Conflicts Committee on April 6, 2023, in connection with rendering Evercore’s opinion to the Conflicts Committee. Each analysis was provided to the Conflicts Committee. The following summary, however, does not purport to be a complete description of the analyses performed by Evercore. In connection with arriving at its opinion, Evercore considered all of its analyses as a whole, and the order of the analyses described, and the results of these analyses do not represent any relative importance or particular weight given to these analyses by Evercore. Except as otherwise noted, the following quantitative information, to the extent that it is based on market data, is based on market data that existed on April 5, 2023, and is not necessarily indicative of current or future market conditions.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following summary of financial analyses includes information presented in tabular format. These tables must be read together with the text of each summary in order to fully understand the financial analyses performed by Evercore. The tables alone do not constitute a complete description of the financial analyses performed by Evercore. Considering the tables below without considering the full narrative description of the financial analyses, including the methodologies and assumptions underlying the analyses, could create a misleading or incomplete view of Evercore’s financial analyses.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of Evercore’s Financial Analysis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Assumptions with Respect to the Partnership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Evercore performed a series of financial analyses to derive indicative valuation ranges for the Common Units. Financial data for the Partnership utilized in the financial analyses described below were based upon, among other things, the Forecasts. A summary of the Forecasts is available in “Unaudited Management Forecasts of the Partnership” below. The Forecasts were not adjusted by Evercore.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Charter Adjusted Appraisal Net Asset Value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Evercore reviewed and compared the Consideration of $8.65 per Common Unit, consisting of the Special Distribution and the Merger Consideration, to an estimate of the Partnership’s net asset value (referred to in this section as “NAV”) determined by using the average value per vessel reflected in the Appraisals. After performing an adjustment for prevailing market rates and adding the net present value of operating cash flows for two sale leaseback vessels, Evercore calculated a gross asset value for the entire fleet of approximately $1,732 million. After adjusting for debt, cash, net working capital and liquidation value of the Partnership’s preference units as of December 31, 2022, Evercore calculated an estimated NAV for the Partnership of $627 million. Based on the foregoing and dividing by the number of outstanding Common Units on a fully converted basis, as provided by Partnership management, and after applying a 10% premium and discount to the average appraisal value, Evercore’s calculation resulted in a range of implied NAV per Common Unit of $8.18 to $14.91.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Evercore observed a limited number of recent asset transactions for LNG vessels similar to those of the Partnership, which, based on its professional judgment and experience, may make the Appraisals a less reliable indication of value relative to other shipping sectors that have a greater number of asset transactions.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68</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Discounted Cash Flow Analysis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Evercore performed a discounted cash flow analysis to calculate a range of implied value for the Common Units by estimating the present value of the unlevered free cash flows that the Partnership was forecasted to generate during the years 2023 to 2027 based on the Forecasts. Evercore calculated the per unit value range for the Common Units by utilizing a range of discount rates based on the Partnership’s Weighted Average Cost of Capital (“WACC”), as estimated by Evercore based on a theoretical capital asset pricing model (“CAPM”) as well as a terminal value based on a range of estimated EBITDA multiples.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Partnership’s discounted cash flow analysis, Evercore calculated the terminal value for the Partnership by applying a range of estimated EBITDA exit multiples of 4.0x to 6.0x to 2027E EBITDA. The unlevered free cash flows and the terminal value were then discounted to present value as of January 1, 2023 using a range of discount rates of 8.75% to 9.75% based on the Partnership’s WACC, as estimated by Evercore based on the CAPM and the Partnership’s LNG shipping peers to derive a range of implied enterprise values for the Partnership. Evercore adjusted such enterprise values for the liquidation value of the Partnership’s preference units, debt and cash as of December 31, 2022 to derive a range of implied equity values for the Partnership. Evercore then divided the resulting range of implied equity values by the number of units outstanding on a fully converted basis. The discounted cash flow analysis resulted in a range of implied equity values per Common Unit of $6.63 to $13.23.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Peer Group Trading Analysis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Evercore performed a peer group trading analysis of the Partnership by reviewing and comparing the market values and trading multiples of the following five publicly traded corporations and partnerships that Evercore deemed to have certain characteristics similar to those of the Partnership, including master limited partnerships and LNG shipping companies (referred to in this section as the “Selected Peers”):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LNG Shipping MLPs/Companies:</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80"/>
        <w:gridCol w:w="808"/>
        <w:gridCol w:w="9217"/>
      </w:tblGrid>
      <w:tr>
        <w:trPr/>
        <w:tc>
          <w:tcPr>
            <w:tcW w:w="180"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pPr>
            <w:r>
              <w:rPr/>
              <w:t>●</w:t>
            </w:r>
          </w:p>
        </w:tc>
        <w:tc>
          <w:tcPr>
            <w:tcW w:w="9217" w:type="dxa"/>
            <w:tcBorders/>
            <w:shd w:fill="auto" w:val="clear"/>
            <w:vAlign w:val="center"/>
          </w:tcPr>
          <w:p>
            <w:pPr>
              <w:pStyle w:val="TableContents"/>
              <w:spacing w:before="0" w:after="283"/>
              <w:rPr/>
            </w:pPr>
            <w:r>
              <w:rPr/>
              <w:t>Cool Company Ltd.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30"/>
        <w:gridCol w:w="1031"/>
        <w:gridCol w:w="8944"/>
      </w:tblGrid>
      <w:tr>
        <w:trPr/>
        <w:tc>
          <w:tcPr>
            <w:tcW w:w="23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pPr>
            <w:r>
              <w:rPr/>
              <w:t>●</w:t>
            </w:r>
          </w:p>
        </w:tc>
        <w:tc>
          <w:tcPr>
            <w:tcW w:w="8944" w:type="dxa"/>
            <w:tcBorders/>
            <w:shd w:fill="auto" w:val="clear"/>
            <w:vAlign w:val="center"/>
          </w:tcPr>
          <w:p>
            <w:pPr>
              <w:pStyle w:val="TableContents"/>
              <w:spacing w:before="0" w:after="283"/>
              <w:rPr/>
            </w:pPr>
            <w:r>
              <w:rPr/>
              <w:t>Flex LNG Ltd.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29"/>
        <w:gridCol w:w="577"/>
        <w:gridCol w:w="9499"/>
      </w:tblGrid>
      <w:tr>
        <w:trPr/>
        <w:tc>
          <w:tcPr>
            <w:tcW w:w="129"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pPr>
            <w:r>
              <w:rPr/>
              <w:t>●</w:t>
            </w:r>
          </w:p>
        </w:tc>
        <w:tc>
          <w:tcPr>
            <w:tcW w:w="9499" w:type="dxa"/>
            <w:tcBorders/>
            <w:shd w:fill="auto" w:val="clear"/>
            <w:vAlign w:val="center"/>
          </w:tcPr>
          <w:p>
            <w:pPr>
              <w:pStyle w:val="TableContents"/>
              <w:spacing w:before="0" w:after="283"/>
              <w:rPr/>
            </w:pPr>
            <w:r>
              <w:rPr/>
              <w:t>Capital Product Partners L.P.</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37"/>
        <w:gridCol w:w="614"/>
        <w:gridCol w:w="9454"/>
      </w:tblGrid>
      <w:tr>
        <w:trPr/>
        <w:tc>
          <w:tcPr>
            <w:tcW w:w="137"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pPr>
            <w:r>
              <w:rPr/>
              <w:t>●</w:t>
            </w:r>
          </w:p>
        </w:tc>
        <w:tc>
          <w:tcPr>
            <w:tcW w:w="9454" w:type="dxa"/>
            <w:tcBorders/>
            <w:shd w:fill="auto" w:val="clear"/>
            <w:vAlign w:val="center"/>
          </w:tcPr>
          <w:p>
            <w:pPr>
              <w:pStyle w:val="TableContents"/>
              <w:spacing w:before="0" w:after="283"/>
              <w:rPr/>
            </w:pPr>
            <w:r>
              <w:rPr/>
              <w:t>Dynagas LNG Partners LP</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57"/>
        <w:gridCol w:w="704"/>
        <w:gridCol w:w="9344"/>
      </w:tblGrid>
      <w:tr>
        <w:trPr/>
        <w:tc>
          <w:tcPr>
            <w:tcW w:w="157"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pPr>
            <w:r>
              <w:rPr/>
              <w:t>●</w:t>
            </w:r>
          </w:p>
        </w:tc>
        <w:tc>
          <w:tcPr>
            <w:tcW w:w="9344" w:type="dxa"/>
            <w:tcBorders/>
            <w:shd w:fill="auto" w:val="clear"/>
            <w:vAlign w:val="center"/>
          </w:tcPr>
          <w:p>
            <w:pPr>
              <w:pStyle w:val="TableContents"/>
              <w:spacing w:before="0" w:after="283"/>
              <w:rPr/>
            </w:pPr>
            <w:r>
              <w:rPr/>
              <w:t>Excelerate Energy, Inc.</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69</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none of the Selected Peers is directly comparable to the Partnership, Evercore selected these partnerships and companies because they are publicly traded master limited partnerships or LNG shipping companies that Evercore, in its professional judgment and experience, considered generally relevant to the Partnership for purposes of its financial analyses. While Evercore considered Flex LNG Ltd. and Excelerate Energy, Inc., it relied more heavily on the other aforementioned master limited partnerships and LNG shipping companies due to their relatively greater similarities to the Partnership.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of the selected peers, Evercore calculated the following trading multiples:</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Enterprise Value, which is defined as market value of equity, plus preferred equity, plus debt, and less cash (“Enterprise Value”), as a multiple of estimated EBITDA for the calendar year 2023;</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7"/>
        <w:gridCol w:w="210"/>
        <w:gridCol w:w="9948"/>
      </w:tblGrid>
      <w:tr>
        <w:trPr/>
        <w:tc>
          <w:tcPr>
            <w:tcW w:w="47"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pPr>
            <w:r>
              <w:rPr/>
              <w:t>●</w:t>
            </w:r>
          </w:p>
        </w:tc>
        <w:tc>
          <w:tcPr>
            <w:tcW w:w="9948" w:type="dxa"/>
            <w:tcBorders/>
            <w:shd w:fill="auto" w:val="clear"/>
            <w:vAlign w:val="center"/>
          </w:tcPr>
          <w:p>
            <w:pPr>
              <w:pStyle w:val="TableContents"/>
              <w:spacing w:before="0" w:after="283"/>
              <w:rPr/>
            </w:pPr>
            <w:r>
              <w:rPr/>
              <w:t>Enterprise Value as a multiple of estimated EBITDA for the calendar year 2024; and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9"/>
        <w:gridCol w:w="176"/>
        <w:gridCol w:w="9990"/>
      </w:tblGrid>
      <w:tr>
        <w:trPr/>
        <w:tc>
          <w:tcPr>
            <w:tcW w:w="3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pPr>
            <w:r>
              <w:rPr/>
              <w:t>●</w:t>
            </w:r>
          </w:p>
        </w:tc>
        <w:tc>
          <w:tcPr>
            <w:tcW w:w="9990" w:type="dxa"/>
            <w:tcBorders/>
            <w:shd w:fill="auto" w:val="clear"/>
            <w:vAlign w:val="center"/>
          </w:tcPr>
          <w:p>
            <w:pPr>
              <w:pStyle w:val="TableContents"/>
              <w:spacing w:before="0" w:after="283"/>
              <w:rPr/>
            </w:pPr>
            <w:r>
              <w:rPr/>
              <w:t>Price per share as a multiple of estimated net asset value (referred to in this section as “Price / NAV”).</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 of these calculations are as follows.</w:t>
      </w:r>
    </w:p>
    <w:p>
      <w:pPr>
        <w:pStyle w:val="TextBody"/>
        <w:spacing w:before="0" w:after="0"/>
        <w:ind w:left="0" w:right="0" w:hanging="0"/>
        <w:rPr>
          <w:caps w:val="false"/>
          <w:smallCaps w:val="false"/>
        </w:rPr>
      </w:pPr>
      <w:r>
        <w:rPr>
          <w:caps w:val="false"/>
          <w:smallCaps w:val="false"/>
        </w:rPr>
        <w:t> </w:t>
      </w:r>
    </w:p>
    <w:tbl>
      <w:tblPr>
        <w:tblW w:w="3445" w:type="dxa"/>
        <w:jc w:val="left"/>
        <w:tblInd w:w="0" w:type="dxa"/>
        <w:tblCellMar>
          <w:top w:w="0" w:type="dxa"/>
          <w:left w:w="0" w:type="dxa"/>
          <w:bottom w:w="28" w:type="dxa"/>
          <w:right w:w="0" w:type="dxa"/>
        </w:tblCellMar>
      </w:tblPr>
      <w:tblGrid>
        <w:gridCol w:w="2705"/>
        <w:gridCol w:w="60"/>
        <w:gridCol w:w="680"/>
      </w:tblGrid>
      <w:tr>
        <w:trPr/>
        <w:tc>
          <w:tcPr>
            <w:tcW w:w="2705" w:type="dxa"/>
            <w:tcBorders>
              <w:bottom w:val="single" w:sz="8" w:space="0" w:color="000000"/>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Multiple</w:t>
            </w:r>
          </w:p>
        </w:tc>
        <w:tc>
          <w:tcPr>
            <w:tcW w:w="60" w:type="dxa"/>
            <w:tcBorders/>
            <w:shd w:fill="auto" w:val="clear"/>
            <w:tcMar>
              <w:bottom w:w="0" w:type="dxa"/>
            </w:tcMar>
            <w:vAlign w:val="center"/>
          </w:tcPr>
          <w:p>
            <w:pPr>
              <w:pStyle w:val="TableContents"/>
              <w:spacing w:before="0" w:after="283"/>
              <w:rPr/>
            </w:pPr>
            <w:r>
              <w:rPr/>
              <w:t> </w:t>
            </w:r>
          </w:p>
        </w:tc>
        <w:tc>
          <w:tcPr>
            <w:tcW w:w="68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Median</w:t>
            </w:r>
          </w:p>
        </w:tc>
      </w:tr>
      <w:tr>
        <w:trPr/>
        <w:tc>
          <w:tcPr>
            <w:tcW w:w="2705"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Enterprise Value / 2023 EBITDA</w:t>
            </w:r>
          </w:p>
        </w:tc>
        <w:tc>
          <w:tcPr>
            <w:tcW w:w="60" w:type="dxa"/>
            <w:tcBorders/>
            <w:shd w:fill="CCEEFF" w:val="clear"/>
            <w:tcMar>
              <w:bottom w:w="0" w:type="dxa"/>
            </w:tcMar>
            <w:vAlign w:val="center"/>
          </w:tcPr>
          <w:p>
            <w:pPr>
              <w:pStyle w:val="TableContents"/>
              <w:spacing w:before="0" w:after="283"/>
              <w:rPr/>
            </w:pPr>
            <w:r>
              <w:rPr/>
              <w:t> </w:t>
            </w:r>
          </w:p>
        </w:tc>
        <w:tc>
          <w:tcPr>
            <w:tcW w:w="680"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6.7x</w:t>
            </w:r>
          </w:p>
        </w:tc>
      </w:tr>
      <w:tr>
        <w:trPr/>
        <w:tc>
          <w:tcPr>
            <w:tcW w:w="2705"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Enterprise Value / 2024 EBITDA</w:t>
            </w:r>
          </w:p>
        </w:tc>
        <w:tc>
          <w:tcPr>
            <w:tcW w:w="60" w:type="dxa"/>
            <w:tcBorders/>
            <w:shd w:fill="FFFFFF" w:val="clear"/>
            <w:tcMar>
              <w:bottom w:w="0" w:type="dxa"/>
            </w:tcMar>
            <w:vAlign w:val="center"/>
          </w:tcPr>
          <w:p>
            <w:pPr>
              <w:pStyle w:val="TableContents"/>
              <w:spacing w:before="0" w:after="283"/>
              <w:rPr/>
            </w:pPr>
            <w:r>
              <w:rPr/>
              <w:t> </w:t>
            </w:r>
          </w:p>
        </w:tc>
        <w:tc>
          <w:tcPr>
            <w:tcW w:w="680" w:type="dxa"/>
            <w:tcBorders/>
            <w:shd w:fill="FFFF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6.5x</w:t>
            </w:r>
          </w:p>
        </w:tc>
      </w:tr>
      <w:tr>
        <w:trPr/>
        <w:tc>
          <w:tcPr>
            <w:tcW w:w="2705"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Price / NAV</w:t>
            </w:r>
          </w:p>
        </w:tc>
        <w:tc>
          <w:tcPr>
            <w:tcW w:w="60" w:type="dxa"/>
            <w:tcBorders/>
            <w:shd w:fill="CCEEFF" w:val="clear"/>
            <w:tcMar>
              <w:bottom w:w="0" w:type="dxa"/>
            </w:tcMar>
            <w:vAlign w:val="center"/>
          </w:tcPr>
          <w:p>
            <w:pPr>
              <w:pStyle w:val="TableContents"/>
              <w:spacing w:before="0" w:after="283"/>
              <w:rPr/>
            </w:pPr>
            <w:r>
              <w:rPr/>
              <w:t> </w:t>
            </w:r>
          </w:p>
        </w:tc>
        <w:tc>
          <w:tcPr>
            <w:tcW w:w="680"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0.56x</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Evercore noted that the Partnership’s Enterprise Value / 2023 EBITDA multiple and Enterprise Value / 2024 EBITDA multiple was 5.0x and 6.2x, respectively, based on Wall Street consensus estimates and 4.9x and 5.3x, respectively, based on the Forecasts as of January 24, 2023, the trading day prior to Parent’s public offer to acquire all outstanding Common Units not already owned by Parent and its affiliates. Based on the multiples it derived for the Selected Peers and based on its professional judgement and experience, Evercore applied an Enterprise Value / 2023 EBITDA multiple reference range of 5.0x to 6.0x to the Partnership’s estimated EBITDA in calendar year 2023, and an Enterprise Value / 2024 EBITDA multiple reference range of 5.5x to 6.5x to the Partnership’s estimated EBITDA in calendar year 2024, based on the Forecasts. Based on these ranges of implied enterprise values, after adjusting for preferred equity, debt and cash as of December 31, 2022, and dividing by the number of Common Units outstanding, Evercore determined a range of implied equity values per Common Unit of (i) $7.28 to $12.61 based on 2023 EBITDA and (ii) $7.87 to $12.82 based on 2024 EBITDA.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Evercore noted that the Partnership’s Price / NAV multiple was 0.60x based on estimated net asset value as calculated by Evercore based on the Appraisals and 0.77x based on Wall Street consensus estimated net asset value as of January 24, 2023, the trading day prior to Parent’s public offer to acquire all outstanding Common Units not already owned by Parent and its affiliates. Based on the multiples it derived for the Selected Peers and based on its professional judgment and experience, Evercore applied a Price / NAV multiple reference range of 0.55x to 0.80x to the Partnership’s implied NAV per Common Unit, which Evercore calculated as described above under the heading “— Charter Adjusted Appraisal Net Asset Value”. Evercore’s analysis indicated a range of implied equity values per Common Unit of $6.35 to $9.24.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70</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Precedent M&amp;A Transaction Analysis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Evercore performed precedent M&amp;A transaction analyses to derive an indicative valuation range for the Common Units of the Partnership.</w:t>
      </w:r>
    </w:p>
    <w:p>
      <w:pPr>
        <w:pStyle w:val="TextBody"/>
        <w:spacing w:before="0" w:after="0"/>
        <w:ind w:left="0" w:right="0" w:hanging="0"/>
        <w:rPr>
          <w:caps w:val="false"/>
          <w:smallCaps w:val="false"/>
        </w:rPr>
      </w:pPr>
      <w:r>
        <w:rPr>
          <w:caps w:val="false"/>
          <w:smallCaps w:val="false"/>
        </w:rPr>
        <w:t> </w:t>
      </w:r>
    </w:p>
    <w:p>
      <w:pPr>
        <w:pStyle w:val="TextBody"/>
        <w:spacing w:before="0" w:after="0"/>
        <w:ind w:left="108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LNG Shipping and FSRU Transactions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Evercore reviewed transactions involving LNG shipping corporations and partnerships announced since March 2018 and selected four transactions as the basis for its analysis, although Evercore noted that none of the selected transactions or the entities that participated in the selected transactions were directly comparable to the Merger or to the Partnership, respectively:</w:t>
      </w:r>
    </w:p>
    <w:p>
      <w:pPr>
        <w:pStyle w:val="TextBody"/>
        <w:spacing w:before="0" w:after="0"/>
        <w:ind w:left="0" w:right="0" w:hanging="0"/>
        <w:rPr>
          <w:caps w:val="false"/>
          <w:smallCaps w:val="false"/>
        </w:rPr>
      </w:pPr>
      <w:r>
        <w:rPr>
          <w:caps w:val="false"/>
          <w:smallCaps w:val="false"/>
        </w:rPr>
        <w:t> </w:t>
      </w:r>
    </w:p>
    <w:tbl>
      <w:tblPr>
        <w:tblW w:w="7360" w:type="dxa"/>
        <w:jc w:val="left"/>
        <w:tblInd w:w="0" w:type="dxa"/>
        <w:tblCellMar>
          <w:top w:w="0" w:type="dxa"/>
          <w:left w:w="0" w:type="dxa"/>
          <w:bottom w:w="28" w:type="dxa"/>
          <w:right w:w="0" w:type="dxa"/>
        </w:tblCellMar>
      </w:tblPr>
      <w:tblGrid>
        <w:gridCol w:w="980"/>
        <w:gridCol w:w="60"/>
        <w:gridCol w:w="6320"/>
      </w:tblGrid>
      <w:tr>
        <w:trPr/>
        <w:tc>
          <w:tcPr>
            <w:tcW w:w="98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Date</w:t>
            </w:r>
            <w:r>
              <w:rPr>
                <w:rFonts w:ascii="Times New Roman;Times;Serif" w:hAnsi="Times New Roman;Times;Serif"/>
                <w:b/>
                <w:sz w:val="20"/>
                <w:u w:val="single"/>
              </w:rPr>
              <w:br/>
            </w:r>
            <w:r>
              <w:rPr>
                <w:rFonts w:ascii="Times New Roman;Times;Serif" w:hAnsi="Times New Roman;Times;Serif"/>
                <w:b/>
                <w:sz w:val="20"/>
              </w:rPr>
              <w:t>Announced</w:t>
            </w:r>
          </w:p>
        </w:tc>
        <w:tc>
          <w:tcPr>
            <w:tcW w:w="60" w:type="dxa"/>
            <w:tcBorders/>
            <w:shd w:fill="auto" w:val="clear"/>
            <w:tcMar>
              <w:bottom w:w="0" w:type="dxa"/>
            </w:tcMar>
            <w:vAlign w:val="center"/>
          </w:tcPr>
          <w:p>
            <w:pPr>
              <w:pStyle w:val="TableContents"/>
              <w:spacing w:before="0" w:after="283"/>
              <w:jc w:val="center"/>
              <w:rPr/>
            </w:pPr>
            <w:r>
              <w:rPr/>
              <w:t> </w:t>
            </w:r>
          </w:p>
        </w:tc>
        <w:tc>
          <w:tcPr>
            <w:tcW w:w="632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Acquiror / Target (Seller)</w:t>
            </w:r>
          </w:p>
        </w:tc>
      </w:tr>
      <w:tr>
        <w:trPr/>
        <w:tc>
          <w:tcPr>
            <w:tcW w:w="980"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May-22</w:t>
            </w:r>
          </w:p>
        </w:tc>
        <w:tc>
          <w:tcPr>
            <w:tcW w:w="60" w:type="dxa"/>
            <w:tcBorders/>
            <w:shd w:fill="CCEEFF" w:val="clear"/>
            <w:tcMar>
              <w:bottom w:w="0" w:type="dxa"/>
            </w:tcMar>
            <w:vAlign w:val="center"/>
          </w:tcPr>
          <w:p>
            <w:pPr>
              <w:pStyle w:val="TableContents"/>
              <w:spacing w:before="0" w:after="283"/>
              <w:jc w:val="center"/>
              <w:rPr/>
            </w:pPr>
            <w:r>
              <w:rPr/>
              <w:t> </w:t>
            </w:r>
          </w:p>
        </w:tc>
        <w:tc>
          <w:tcPr>
            <w:tcW w:w="6320"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Höegh LNG Holdings Ltd. / Höegh LNG Partners LP</w:t>
            </w:r>
          </w:p>
        </w:tc>
      </w:tr>
      <w:tr>
        <w:trPr/>
        <w:tc>
          <w:tcPr>
            <w:tcW w:w="980"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Oct-21</w:t>
            </w:r>
          </w:p>
        </w:tc>
        <w:tc>
          <w:tcPr>
            <w:tcW w:w="60" w:type="dxa"/>
            <w:tcBorders/>
            <w:shd w:fill="auto" w:val="clear"/>
            <w:tcMar>
              <w:bottom w:w="0" w:type="dxa"/>
            </w:tcMar>
            <w:vAlign w:val="center"/>
          </w:tcPr>
          <w:p>
            <w:pPr>
              <w:pStyle w:val="TableContents"/>
              <w:spacing w:before="0" w:after="283"/>
              <w:jc w:val="center"/>
              <w:rPr/>
            </w:pPr>
            <w:r>
              <w:rPr/>
              <w:t> </w:t>
            </w:r>
          </w:p>
        </w:tc>
        <w:tc>
          <w:tcPr>
            <w:tcW w:w="632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Stonepeak Limestone / Teekay LNG Partners</w:t>
            </w:r>
          </w:p>
        </w:tc>
      </w:tr>
      <w:tr>
        <w:trPr/>
        <w:tc>
          <w:tcPr>
            <w:tcW w:w="980"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Feb-21</w:t>
            </w:r>
          </w:p>
        </w:tc>
        <w:tc>
          <w:tcPr>
            <w:tcW w:w="60" w:type="dxa"/>
            <w:tcBorders/>
            <w:shd w:fill="CCEEFF" w:val="clear"/>
            <w:tcMar>
              <w:bottom w:w="0" w:type="dxa"/>
            </w:tcMar>
            <w:vAlign w:val="center"/>
          </w:tcPr>
          <w:p>
            <w:pPr>
              <w:pStyle w:val="TableContents"/>
              <w:spacing w:before="0" w:after="283"/>
              <w:jc w:val="center"/>
              <w:rPr/>
            </w:pPr>
            <w:r>
              <w:rPr/>
              <w:t> </w:t>
            </w:r>
          </w:p>
        </w:tc>
        <w:tc>
          <w:tcPr>
            <w:tcW w:w="6320"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BlackRock Global Energy&amp; Power / ~45% Ownership Interest in GasLog Ltd.</w:t>
            </w:r>
          </w:p>
        </w:tc>
      </w:tr>
      <w:tr>
        <w:trPr/>
        <w:tc>
          <w:tcPr>
            <w:tcW w:w="980"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Jan-21</w:t>
            </w:r>
          </w:p>
        </w:tc>
        <w:tc>
          <w:tcPr>
            <w:tcW w:w="60" w:type="dxa"/>
            <w:tcBorders/>
            <w:shd w:fill="auto" w:val="clear"/>
            <w:tcMar>
              <w:bottom w:w="0" w:type="dxa"/>
            </w:tcMar>
            <w:vAlign w:val="center"/>
          </w:tcPr>
          <w:p>
            <w:pPr>
              <w:pStyle w:val="TableContents"/>
              <w:spacing w:before="0" w:after="283"/>
              <w:jc w:val="center"/>
              <w:rPr/>
            </w:pPr>
            <w:r>
              <w:rPr/>
              <w:t> </w:t>
            </w:r>
          </w:p>
        </w:tc>
        <w:tc>
          <w:tcPr>
            <w:tcW w:w="632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New Fortress Energy Inc. / Golar LNG Partners LP</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Evercore noted that the mean of the implied Price / NAV multiples for the selected LNG shipping and FSRU transactions was equal to 0.92x.</w:t>
      </w:r>
    </w:p>
    <w:p>
      <w:pPr>
        <w:pStyle w:val="TextBody"/>
        <w:spacing w:before="0" w:after="0"/>
        <w:ind w:left="0" w:right="0" w:hanging="0"/>
        <w:rPr>
          <w:caps w:val="false"/>
          <w:smallCaps w:val="false"/>
        </w:rPr>
      </w:pPr>
      <w:r>
        <w:rPr>
          <w:caps w:val="false"/>
          <w:smallCaps w:val="false"/>
        </w:rPr>
        <w:t> </w:t>
      </w:r>
    </w:p>
    <w:p>
      <w:pPr>
        <w:pStyle w:val="TextBody"/>
        <w:spacing w:before="0" w:after="0"/>
        <w:ind w:left="108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Other Shipping Transactions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Evercore reviewed transactions involving other shipping corporations and partnerships announced since March 2018 and selected four transactions involving assets that Evercore deemed to have certain characteristics that are similar to those of the Partnership as the basis for its analysis, although Evercore noted that none of the selected transactions or the entities that participated in the selected transactions were directly comparable to the Merger or to the Partnership, respectively:</w:t>
      </w:r>
    </w:p>
    <w:p>
      <w:pPr>
        <w:pStyle w:val="TextBody"/>
        <w:spacing w:before="0" w:after="0"/>
        <w:ind w:left="0" w:right="0" w:hanging="0"/>
        <w:rPr>
          <w:caps w:val="false"/>
          <w:smallCaps w:val="false"/>
        </w:rPr>
      </w:pPr>
      <w:r>
        <w:rPr>
          <w:caps w:val="false"/>
          <w:smallCaps w:val="false"/>
        </w:rPr>
        <w:t> </w:t>
      </w:r>
    </w:p>
    <w:tbl>
      <w:tblPr>
        <w:tblW w:w="8605" w:type="dxa"/>
        <w:jc w:val="left"/>
        <w:tblInd w:w="0" w:type="dxa"/>
        <w:tblCellMar>
          <w:top w:w="0" w:type="dxa"/>
          <w:left w:w="0" w:type="dxa"/>
          <w:bottom w:w="28" w:type="dxa"/>
          <w:right w:w="0" w:type="dxa"/>
        </w:tblCellMar>
      </w:tblPr>
      <w:tblGrid>
        <w:gridCol w:w="980"/>
        <w:gridCol w:w="60"/>
        <w:gridCol w:w="7565"/>
      </w:tblGrid>
      <w:tr>
        <w:trPr/>
        <w:tc>
          <w:tcPr>
            <w:tcW w:w="98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Date</w:t>
            </w:r>
            <w:r>
              <w:rPr>
                <w:rFonts w:ascii="Times New Roman;Times;Serif" w:hAnsi="Times New Roman;Times;Serif"/>
                <w:b/>
                <w:sz w:val="20"/>
                <w:u w:val="single"/>
              </w:rPr>
              <w:br/>
            </w:r>
            <w:r>
              <w:rPr>
                <w:rFonts w:ascii="Times New Roman;Times;Serif" w:hAnsi="Times New Roman;Times;Serif"/>
                <w:b/>
                <w:sz w:val="20"/>
              </w:rPr>
              <w:t>Announced</w:t>
            </w:r>
          </w:p>
        </w:tc>
        <w:tc>
          <w:tcPr>
            <w:tcW w:w="60" w:type="dxa"/>
            <w:tcBorders/>
            <w:shd w:fill="auto" w:val="clear"/>
            <w:tcMar>
              <w:bottom w:w="0" w:type="dxa"/>
            </w:tcMar>
            <w:vAlign w:val="center"/>
          </w:tcPr>
          <w:p>
            <w:pPr>
              <w:pStyle w:val="TableContents"/>
              <w:spacing w:before="0" w:after="283"/>
              <w:jc w:val="center"/>
              <w:rPr/>
            </w:pPr>
            <w:r>
              <w:rPr/>
              <w:t> </w:t>
            </w:r>
          </w:p>
        </w:tc>
        <w:tc>
          <w:tcPr>
            <w:tcW w:w="756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Acquiror / Target (Seller)</w:t>
            </w:r>
          </w:p>
        </w:tc>
      </w:tr>
      <w:tr>
        <w:trPr/>
        <w:tc>
          <w:tcPr>
            <w:tcW w:w="980"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Oct-22</w:t>
            </w:r>
          </w:p>
        </w:tc>
        <w:tc>
          <w:tcPr>
            <w:tcW w:w="60" w:type="dxa"/>
            <w:tcBorders/>
            <w:shd w:fill="CCEEFF" w:val="clear"/>
            <w:tcMar>
              <w:bottom w:w="0" w:type="dxa"/>
            </w:tcMar>
            <w:vAlign w:val="center"/>
          </w:tcPr>
          <w:p>
            <w:pPr>
              <w:pStyle w:val="TableContents"/>
              <w:spacing w:before="0" w:after="283"/>
              <w:jc w:val="center"/>
              <w:rPr/>
            </w:pPr>
            <w:r>
              <w:rPr/>
              <w:t> </w:t>
            </w:r>
          </w:p>
        </w:tc>
        <w:tc>
          <w:tcPr>
            <w:tcW w:w="7565"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Taylor Maritime Investments / Grindrod Shipping</w:t>
            </w:r>
          </w:p>
        </w:tc>
      </w:tr>
      <w:tr>
        <w:trPr/>
        <w:tc>
          <w:tcPr>
            <w:tcW w:w="980"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Oct-19</w:t>
            </w:r>
          </w:p>
        </w:tc>
        <w:tc>
          <w:tcPr>
            <w:tcW w:w="60" w:type="dxa"/>
            <w:tcBorders/>
            <w:shd w:fill="auto" w:val="clear"/>
            <w:tcMar>
              <w:bottom w:w="0" w:type="dxa"/>
            </w:tcMar>
            <w:vAlign w:val="center"/>
          </w:tcPr>
          <w:p>
            <w:pPr>
              <w:pStyle w:val="TableContents"/>
              <w:spacing w:before="0" w:after="283"/>
              <w:jc w:val="center"/>
              <w:rPr/>
            </w:pPr>
            <w:r>
              <w:rPr/>
              <w:t> </w:t>
            </w:r>
          </w:p>
        </w:tc>
        <w:tc>
          <w:tcPr>
            <w:tcW w:w="756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Brookfield Business Partners L.P. / Teekay Offshore Partners L.P.</w:t>
            </w:r>
          </w:p>
        </w:tc>
      </w:tr>
      <w:tr>
        <w:trPr/>
        <w:tc>
          <w:tcPr>
            <w:tcW w:w="980"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Aug-19</w:t>
            </w:r>
          </w:p>
        </w:tc>
        <w:tc>
          <w:tcPr>
            <w:tcW w:w="60" w:type="dxa"/>
            <w:tcBorders/>
            <w:shd w:fill="CCEEFF" w:val="clear"/>
            <w:tcMar>
              <w:bottom w:w="0" w:type="dxa"/>
            </w:tcMar>
            <w:vAlign w:val="center"/>
          </w:tcPr>
          <w:p>
            <w:pPr>
              <w:pStyle w:val="TableContents"/>
              <w:spacing w:before="0" w:after="283"/>
              <w:jc w:val="center"/>
              <w:rPr/>
            </w:pPr>
            <w:r>
              <w:rPr/>
              <w:t> </w:t>
            </w:r>
          </w:p>
        </w:tc>
        <w:tc>
          <w:tcPr>
            <w:tcW w:w="7565"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SPII Holdings Inc. / DryShips Inc.</w:t>
            </w:r>
          </w:p>
        </w:tc>
      </w:tr>
      <w:tr>
        <w:trPr/>
        <w:tc>
          <w:tcPr>
            <w:tcW w:w="980"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Mar-18</w:t>
            </w:r>
          </w:p>
        </w:tc>
        <w:tc>
          <w:tcPr>
            <w:tcW w:w="60" w:type="dxa"/>
            <w:tcBorders/>
            <w:shd w:fill="auto" w:val="clear"/>
            <w:tcMar>
              <w:bottom w:w="0" w:type="dxa"/>
            </w:tcMar>
            <w:vAlign w:val="center"/>
          </w:tcPr>
          <w:p>
            <w:pPr>
              <w:pStyle w:val="TableContents"/>
              <w:spacing w:before="0" w:after="283"/>
              <w:jc w:val="center"/>
              <w:rPr/>
            </w:pPr>
            <w:r>
              <w:rPr/>
              <w:t> </w:t>
            </w:r>
          </w:p>
        </w:tc>
        <w:tc>
          <w:tcPr>
            <w:tcW w:w="756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Seaspan Corporation / 89% Ownership Interest in Greater China Intermodal Investments LLC</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71</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Evercore noted that the mean of the implied Price / NAV multiples for the selected Other Shipping transactions taken together with LNG shipping and FSRU transactions was equal to 0.91x.</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Evercore’s review of the above precedent transactions, Evercore selected a range of relevant implied multiples of Price / NAV of 0.70x to 1.05x and applied the range to the Partnership’s implied NAV per Common Unit, which Evercore calculated as described above under the heading “— Charter Adjusted Appraisal Net Asset Value”. Evercore’s analysis indicated a range of implied equity values per Common Unit of $8.08 to $12.12.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Presentations by Evercore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presentation made to the Conflicts Committee on April 6, 2023, the date on which Evercore delivered its opinion, as described above, Evercore made other written and oral presentations to the Conflicts Committee on February 3, February 9, February 27, March 3, March 13, March 14, March 19, March 30, April 1 and April 3, 2023, which are referred to as the preliminary Evercore presentations. Copies of the preliminary Evercore presentations provided to the Conflicts Committee by Evercore have been attached as exhibits to the Schedule 13E-3 related to the Merger. These written presentations and the written opinion will be available for any interested unitholder of the Partnership or representative who has been so designated in writing to inspect and copy at the Partnership’s executive offices during regular business hours.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preliminary Evercore presentations, alone or together, constitutes an opinion of Evercore with respect to the Consideration.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February 3, 2023 materials included a review of Parent’s proposal, an overview of the LNG shipping market and a summary of key considerations for the Conflicts Committee.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February 9, 2023 materials included a preliminary diligence request list and a proposed timeline for the Conflicts Committee.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February 27, 2023 materials included a summary of Parent’s proposal, an overview of the Partnership’s current market situation, a review of the Forecasts and a preliminary valuation of the Common Units.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March 3, 2023 materials included a summary of Parent’s proposal, an overview of the Partnership’s current market situation, a review of the Forecasts, a preliminary valuation of the Common Units and considerations regarding a counterproposal by the Conflicts Committee.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March 13, 2023 materials included a summary of Parent’s counterproposal and an overview of the Partnership’s current market situation.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March 14, 2023 materials included a review of supporting analyses to accompany the Conflicts Committee’s counterproposal to Parent.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March 19, 2023 materials included a summary of Parent’s counterproposal and an overview of counterproposal negotiation strategies.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March 30, 2023 materials included a summary of Parent’s counterproposal and a preliminary valuation of the Common Units.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April 1, 2023 materials included a summary of Parent’s counterproposal, an overview of the Partnership’s current market situation, a review of the Forecasts and a preliminary valuation of the Common Units.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April 3, 2023 oral presentation included a summary of Parent’s final proposal, an overview of the Partnership’s current market situation, a review of Forecasts and a preliminary valuation of the Common Units.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analyses performed in these preliminary Evercore presentations was subject to further revision and subject to the final analyses presented to the Conflicts Committee on April 6, 2023, by Evercore. Each of these analyses was necessarily based on financial, economic, market and other conditions as they existed and as could be evaluated by Evercore as of the dates on which Evercore performed such analyses. Accordingly, the results of the financial analyses may have differed due to changes in those conditions and other information, and not all of the written and oral presentations contained all of the financial analyses included in the April 6, 2023 presentation.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certain material financial analyses does not purport to be a complete description of the analyses or data presented by Evercore. In connection with the review of the Merger, Evercore performed a variety of financial and comparative analyses for purposes of rendering its opinion to the Conflicts Committee. The preparation of a fairness opinion is a complex process and is not necessarily susceptible to partial analysis or summary description. Selecting portions of the analyses or of the summary described above, without considering the analyses as a whole, could create an incomplete view of the processes underlying Evercore’s opinion. In arriving at its fairness determination, Evercore considered the results of all the analyses and did not draw, in isolation, conclusions from or with regard to any one analysis or factor considered by it for purposes of its opinion. Rather, Evercore made its determination as to fairness on the basis of its experience and professional judgment after considering the results of all the analyses. In addition, Evercore may have given various analyses and factors more or less weight than other analyses and factors and may have deemed various assumptions more or less probable than other assumptions. As a result, the ranges of valuations resulting from any particular analysis or combination of analyses described above should not be taken to be the view of Evercore with respect to the Consideration. No company or partnership used in the above analyses as a comparison is directly comparable to the Partnership and no precedent transaction used is directly comparable to the Merger. Furthermore, Evercore’s analyses involve complex considerations and judgments concerning financial and operating characteristics and other factors that could affect the acquisition, public trading or other values of the corporations, master limited partnerships or transactions used, including judgments and assumptions with regard to industry performance, general business, economic, market and financial conditions and other matters, many of which are beyond the control of the Partnership and its advisors.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Evercore prepared these analyses solely for the information and benefit of the Conflicts Committee and for the purpose of providing an opinion to the Conflicts Committee as to whether the Consideration to be received by the Unaffiliated Unitholders in the Merger is fair, from a financial point of view, to the Partnership and the Unaffiliated Unitholders. These analyses do not purport to be appraisals or to necessarily reflect the prices at which the business or securities actually may be sold. Any estimates contained in these analyses are not necessarily indicative of actual future results, which may be significantly more or less favorable than those suggested by such estimates. Accordingly, estimates used in, and the results derived from, Evercore’s analyses are inherently subject to substantial uncertainty, and Evercore assumes no responsibility if future results are materially different from those forecasted in such estimates. The issuance of the opinion was approved by an opinion committee of Evercore.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above, the Conflicts Committee imposed no other instruction or limitation on Evercore with respect to the investigations made or the procedures followed by Evercore in rendering its opinion. The terms and conditions of the Merger Agreement and the related terms and conditions of the transaction were determined through negotiations between the Conflicts Committee and Parent. Evercore did not recommend any specific consideration to the Conflicts Committee or recommend that any specific consideration constituted the only appropriate consideration in the Merger. Evercore’s opinion was only one of many factors considered by the Conflicts Committee in its evaluation of the Merger and should not be viewed as determinative of the views of the Conflicts Committee with respect to the Merger or the Consideration.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Evercore’s engagement letter with the Partnership and the Conflicts Committee, the Partnership has agreed to pay Evercore a fee of $1,250,000 upon rendering its opinion and a closing fee of $550,000 upon the closing of the Merger. Evercore also received a fee of $500,000 upon execution of its engagement letter with the Partnership and the Conflicts Committee. In addition, the Partnership has agreed to reimburse Evercore for its reasonable out-of-pocket expenses (including legal fees, expenses and disbursements) incurred in connection with its engagement and to indemnify Evercore and any of its members, officers, advisors, representatives, employees, agents, affiliates or controlling persons, if any, against certain liabilities and expenses arising out of its engagement, or to contribute to payments which any of such persons might be required to make with respect to such liabilities. Evercore’s engagement letter with the Partnership and the Conflicts Committee includes a consent for use of Evercore’s opinion in the Partnership’s SEC filings related to the proposed Merger, including this proxy statement.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two-year period prior to the date hereof, Evercore and its affiliates were not engaged to provide financial advisory or other services to the Partnership, and Evercore did not receive any compensation from the Partnership during such period. Since January 31, 2020, Evercore and its affiliates earned investment banking advisory fees of between $1 million and $5 million, and capital markets fees and commissions of less than $1 million, from Parent. During that same time period, Evercore earned investment banking advisory fees of between $5 million and $10 million from BlackRock, Inc. and its affiliates, none of which fees are related to transactions with or involving the Partnership. Evercore may provide financial advisory or other services to the Partnership and the Sponsor Entities and their respective affiliates in the future, and in connection with any such services Evercore may receive compensation.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Evercore and its affiliates engage in a wide range of activities for its and their own accounts and the accounts of customers, including corporate finance, mergers and acquisitions, equity sales, trading and research, private equity, placement agent, asset management and related activities. In connection with these businesses or otherwise, Evercore and its affiliates and/or its or their respective employees, as well as investment funds in which any of them may have a financial interest, may at any time, directly or indirectly, hold long or short positions and may trade or otherwise effect transactions for their own accounts or the accounts of customers, in debt or equity securities, senior loans and/or derivative products or other financial instruments of or relating to the Partnership, the Sponsor Entities, potential parties to the Merger and/or any of their respective affiliates or persons that are competitors, customers or suppliers of the Partnership or the Sponsor Entities.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Management Forecasts of the Partnership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Partnership does not make public long-term projections as to its future earnings or other results due to, among other reasons, the uncertainty and subjectivity of the underlying assumptions and estimates. However, the Partnership is including the following summary of certain non-public unaudited financial projections prepared by the Partnership’s management (“Forecasts”) in this proxy statement solely because such information was made available to the Conflicts Committee and Parent in connection with its evaluation of the Merger and was provided to Evercore for its use and reliance in connection with its financial analyses and opinion. The inclusion of the Forecasts should not be regarded as an indication that any of the Partnership, the General Partner, the Partnership Board, Parent or any of their respective officers, directors, affiliates, advisors or other representatives considered, or now considers, any of the Forecasts to be necessarily predictive of actual future results. The Forecasts are not included in this proxy statement to influence any of the Common Unitholders to make any investment decision with respect to the Merger or for any other purpose.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Forecasts were prepared by, and are the sole responsibility of, the management of the Partnership, solely for internal use and are subjective in many respects. As a result, there can be no assurance that the prospective results will necessarily be realized or that actual results will not be significantly higher or lower than estimated. The Partnership’s management believes that the assumptions used as a basis for the Forecasts were reasonable at the time they were made given the information available to the Partnership’s management at that time. However, the Forecasts are not a guarantee of future performance. The future financial results of the Partnership may materially differ from those expressed in the Forecasts due to factors that are beyond the management of the Partnership’s ability to control or predict.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75</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Forecasts are presented with numerical specificity, they are forward-looking statements that involve inherent risks and uncertainties and reflect numerous estimates and assumptions, all of which are difficult to predict and many of which are beyond the control of the Partnership. Further, since the Forecasts cover multiple years, such information by its nature becomes less predictive with each successive year. The estimates and assumptions underlying the Forecasts involve judgments with respect to, among other things, future economic, competitive, regulatory and financial market conditions and future business decisions which may not be realized and that are inherently subject to significant business, economic, competitive and regulatory uncertainties and contingencies, including, among others, risks and uncertainties described under “Risk Factors”, “Cautionary Statement Regarding Forward-Looking Statements” and “Where You Can Find More Information”. The Common Unitholders are urged to review the Partnership’s SEC filings for a description of additional risk factors with respect to its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financial information contained in the Forecasts, including EBITDA, are non-IFRS and non-GAAP financial measures. EBITDA is defined as earnings before interest, taxes, depreciation and amortization. The Partnership’s management provided these financial measures because they are commonly used by external users of our consolidated financial statements, such as industry analysts, investors, lenders and rating agencies, to assess our operating performance as compared to other publicly traded partnerships in our industry, and because the Partnership’s management believes that these financial measures could be useful in evaluating the Partnership’s business, potential operating performance and cash flow. Non-IFRS and non-GAAP financial measures should not be considered in isolation from, or as a substitute for, financial information presented in compliance with IFRS or GAAP, as applicable, and non-IFRS and non-GAAP financial measures as used by the Partnership may not be comparable to similarly titled amounts used by other companies.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Forecasts do not give effect to the Merger or the other transactions contemplated by the Merger Agreement and were not prepared with a view toward public disclosure, nor were the Forecasts prepared with a view toward compliance with IFRS or GAAP, published guidelines of the SEC or the guidelines established by the American Institute of Certified Public Accountants or the Financial Accounting Standards Board for preparation and presentation of prospective financial and operating information. In addition, the Forecasts require significant estimates and assumptions that make the information included therein inherently less comparable to the similarly titled IFRS measures in the historical IFRS financial statements of the Partnership. Neither the Partnership’s independent registered public accounting firm, nor any other independent accountants have compiled, examined or performed any procedures with respect to the Forecasts, and accordingly they have not expressed any opinion or any other form of assurance on such information. The reports of the independent registered public accounting firm of the Partnership in the 2022 Form 20-F relate to the Partnership’s historical financial information. The reports do not extend to the Forecasts and should not be read to do so. Furthermore, the Forecasts do not take into account any circumstances or events occurring after the date such information was prepared.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76</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set forth a summary of certain non-public unaudited Forecasts prepared by management of the Partnership with respect to the Partnership for the years ending December 31, 2023, 2024, 2025, 2026 and 2027. In developing the financial projections for the years 2023 through 2027, the Partnership made numerous material assumptions with respect to its business for the periods covered by the projections including, but not limited to, the following:</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revenue assumptions including the exercise of charter extension options, spot market rates following expiration of charter and options, vessel utilization and certain other operational matters;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operating expenses, general and administrative expenses, drydock expenditures and other capital expenditures; and</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6"/>
        <w:gridCol w:w="253"/>
        <w:gridCol w:w="9896"/>
      </w:tblGrid>
      <w:tr>
        <w:trPr/>
        <w:tc>
          <w:tcPr>
            <w:tcW w:w="56"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pPr>
            <w:r>
              <w:rPr/>
              <w:t>●</w:t>
            </w:r>
          </w:p>
        </w:tc>
        <w:tc>
          <w:tcPr>
            <w:tcW w:w="9896" w:type="dxa"/>
            <w:tcBorders/>
            <w:shd w:fill="auto" w:val="clear"/>
            <w:vAlign w:val="center"/>
          </w:tcPr>
          <w:p>
            <w:pPr>
              <w:pStyle w:val="TableContents"/>
              <w:spacing w:before="0" w:after="283"/>
              <w:rPr/>
            </w:pPr>
            <w:r>
              <w:rPr/>
              <w:t>other general business, market, industry, and interest rate assumptions.</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Forecasts</w:t>
      </w:r>
    </w:p>
    <w:p>
      <w:pPr>
        <w:pStyle w:val="TextBody"/>
        <w:spacing w:before="0" w:after="0"/>
        <w:ind w:left="0" w:right="0" w:hanging="0"/>
        <w:rPr>
          <w:caps w:val="false"/>
          <w:smallCaps w:val="false"/>
        </w:rPr>
      </w:pPr>
      <w:r>
        <w:rPr>
          <w:caps w:val="false"/>
          <w:smallCaps w:val="false"/>
        </w:rPr>
        <w:t> </w:t>
      </w:r>
    </w:p>
    <w:tbl>
      <w:tblPr>
        <w:tblW w:w="6075" w:type="dxa"/>
        <w:jc w:val="left"/>
        <w:tblInd w:w="0" w:type="dxa"/>
        <w:tblCellMar>
          <w:top w:w="0" w:type="dxa"/>
          <w:left w:w="0" w:type="dxa"/>
          <w:bottom w:w="28" w:type="dxa"/>
          <w:right w:w="0" w:type="dxa"/>
        </w:tblCellMar>
      </w:tblPr>
      <w:tblGrid>
        <w:gridCol w:w="2285"/>
        <w:gridCol w:w="60"/>
        <w:gridCol w:w="60"/>
        <w:gridCol w:w="575"/>
        <w:gridCol w:w="60"/>
        <w:gridCol w:w="60"/>
        <w:gridCol w:w="60"/>
        <w:gridCol w:w="575"/>
        <w:gridCol w:w="60"/>
        <w:gridCol w:w="60"/>
        <w:gridCol w:w="60"/>
        <w:gridCol w:w="575"/>
        <w:gridCol w:w="60"/>
        <w:gridCol w:w="60"/>
        <w:gridCol w:w="60"/>
        <w:gridCol w:w="575"/>
        <w:gridCol w:w="60"/>
        <w:gridCol w:w="60"/>
        <w:gridCol w:w="60"/>
        <w:gridCol w:w="575"/>
        <w:gridCol w:w="75"/>
      </w:tblGrid>
      <w:tr>
        <w:trPr/>
        <w:tc>
          <w:tcPr>
            <w:tcW w:w="2285" w:type="dxa"/>
            <w:tcBorders>
              <w:bottom w:val="single" w:sz="8" w:space="0" w:color="000000"/>
            </w:tcBorders>
            <w:shd w:fill="FFFF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millions</w:t>
            </w:r>
          </w:p>
        </w:tc>
        <w:tc>
          <w:tcPr>
            <w:tcW w:w="60"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575" w:type="dxa"/>
            <w:tcBorders>
              <w:bottom w:val="single" w:sz="8" w:space="0" w:color="000000"/>
            </w:tcBorders>
            <w:shd w:fill="FFFFFF"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2023E</w:t>
            </w:r>
          </w:p>
        </w:tc>
        <w:tc>
          <w:tcPr>
            <w:tcW w:w="60"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575" w:type="dxa"/>
            <w:tcBorders>
              <w:bottom w:val="single" w:sz="8" w:space="0" w:color="000000"/>
            </w:tcBorders>
            <w:shd w:fill="FFFFFF"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2024E</w:t>
            </w:r>
          </w:p>
        </w:tc>
        <w:tc>
          <w:tcPr>
            <w:tcW w:w="60"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575" w:type="dxa"/>
            <w:tcBorders>
              <w:bottom w:val="single" w:sz="8" w:space="0" w:color="000000"/>
            </w:tcBorders>
            <w:shd w:fill="FFFFFF"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2025E</w:t>
            </w:r>
          </w:p>
        </w:tc>
        <w:tc>
          <w:tcPr>
            <w:tcW w:w="60"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575" w:type="dxa"/>
            <w:tcBorders>
              <w:bottom w:val="single" w:sz="8" w:space="0" w:color="000000"/>
            </w:tcBorders>
            <w:shd w:fill="FFFFFF"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2026E</w:t>
            </w:r>
          </w:p>
        </w:tc>
        <w:tc>
          <w:tcPr>
            <w:tcW w:w="60"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575" w:type="dxa"/>
            <w:tcBorders>
              <w:bottom w:val="single" w:sz="8" w:space="0" w:color="000000"/>
            </w:tcBorders>
            <w:shd w:fill="FFFFFF"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2027E</w:t>
            </w:r>
          </w:p>
        </w:tc>
        <w:tc>
          <w:tcPr>
            <w:tcW w:w="75"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2285"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376.6</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356.5</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310.6</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309.6</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320.4</w:t>
            </w:r>
          </w:p>
        </w:tc>
        <w:tc>
          <w:tcPr>
            <w:tcW w:w="7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228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Operating Expenses</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(68.8)</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(69.2)</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(67.6)</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(70.4)</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(65.4)</w:t>
            </w:r>
          </w:p>
        </w:tc>
        <w:tc>
          <w:tcPr>
            <w:tcW w:w="7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2285"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G&amp;A</w:t>
              <w:tab/>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w:t>
            </w:r>
          </w:p>
        </w:tc>
        <w:tc>
          <w:tcPr>
            <w:tcW w:w="7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2285"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w:t>
              <w:tab/>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289.5</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269.0</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225.7</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222.2</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238.3</w:t>
            </w:r>
          </w:p>
        </w:tc>
        <w:tc>
          <w:tcPr>
            <w:tcW w:w="7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228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Working Capital</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7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228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Capital Expenditures</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(54.6)</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(90.8)</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w:t>
            </w:r>
          </w:p>
        </w:tc>
        <w:tc>
          <w:tcPr>
            <w:tcW w:w="7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2285" w:type="dxa"/>
            <w:tcBorders/>
            <w:shd w:fill="CCEEFF" w:val="clear"/>
            <w:tcMar>
              <w:bottom w:w="0"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Unlevered Free Cash Flow</w:t>
              <w:tab/>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5" w:type="dxa"/>
            <w:tcBorders/>
            <w:shd w:fill="CCEEFF" w:val="clear"/>
            <w:tcMar>
              <w:bottom w:w="0"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236.0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5" w:type="dxa"/>
            <w:tcBorders/>
            <w:shd w:fill="CCEEFF" w:val="clear"/>
            <w:tcMar>
              <w:bottom w:w="0"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213.3</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5" w:type="dxa"/>
            <w:tcBorders/>
            <w:shd w:fill="CCEEFF" w:val="clear"/>
            <w:tcMar>
              <w:bottom w:w="0"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134.2</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5" w:type="dxa"/>
            <w:tcBorders/>
            <w:shd w:fill="CCEEFF" w:val="clear"/>
            <w:tcMar>
              <w:bottom w:w="0"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194.1</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5" w:type="dxa"/>
            <w:tcBorders/>
            <w:shd w:fill="CCEEFF" w:val="clear"/>
            <w:tcMar>
              <w:bottom w:w="0"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238.3</w:t>
            </w:r>
          </w:p>
        </w:tc>
        <w:tc>
          <w:tcPr>
            <w:tcW w:w="7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Readers of this proxy statement are cautioned not to place undue reliance on the Forecasts set forth above. No representation or warranty is made by the Partnership or any other person to any Partnership unitholder regarding the ultimate performance of the Partnership compared to the information included in the above Forecasts. The inclusion of the Forecasts in this proxy statement should not be regarded as an indication that such prospective financial and operating information will necessarily be predictive of future events, and such information should not be relied on as such.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FORECASTS INCLUDED IN THIS PROXY STATEMENT WERE MADE AVAILABLE TO THE CONFLICTS COMMITTEE AND PARENT IN CONNECTION WITH ITS EVALUATION OF THE MERGER AND WERE PROVIDED TO EVERCORE FOR ITS USE AND RELIANCE IN CONNECTION WITH ITS FINANCIAL ANALYSES AND OPINION. THE PARTNERSHIP DOES NOT INTEND TO UPDATE OR OTHERWISE REVISE THE MANAGEMENT FORECASTS TO REFLECT CIRCUMSTANCES EXISTING AFTER THE DATE WHEN MADE OR TO REFLECT THE OCCURRENCE OF FUTURE EVENTS, EVEN IN THE EVENT THAT ANY OR ALL OF THE ASSUMPTIONS UNDERLYING SUCH MANAGEMENT FORECASTS ARE NOT REALIZED, EXCEPT AS MAY BE REQUIRED BY LAW.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77</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Interests of the Directors and Executive Officers of the Partnership in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considering the recommendation of the Partnership Board that Common Unitholders vote “FOR” the Merger Proposal, Common Unitholders should be aware that some of Partnership’s directors and officers have financial interests in the Merger that may be different from, or in addition to, those of Unaffiliated Unitholders generally. Each of the Partnership Board and the Conflicts Committee were aware of these interests and considered them, among other matters, in approving the Merger Agreement and making its recommendation that the Common Unitholders approve the Merger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some of Partnership’s directors and officers are also directors or officers of Parent and its affiliates. Parent and its affiliates own a significant interest in us and have conflicts of interest and limited fiduciary and contractual duties, which may permit them to favor their own interests to the detriment of our Common Unitholders. These interests could cause members of the Partnership Board to have a conflict of interest in recommending approval of the Merger Proposal and the Adjournment Proposal.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Long-Term Incentive Plan and Treatment of Partnership Restricted Units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2015, the Partnership Board adopted the GasLog Partners LP 2015 Long-Term Incentive Plan (the “LTIP”) for its employees, officers, consultants and directors who perform services for Partnership and its subsidiaries. The LTIP provides for the grant of options to purchase common units, common unit appreciation rights, restricted common units, phantom performance common units, cash incentive awards and other equity-based or equity-related awards and substitute awards (collectively, “awards”). These awards are intended to align the interests of employees, officers, consultants and directors with those of our unitholders and to give such individuals the opportunity to share in our long-term performance. As of the date hereof, only Partnership Restricted Units are outstanding under the LTIP.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Partnership Restricted Unit, whether vested or unvested, that is outstanding immediately prior to the Effective Time, will automatically be cancelled at the Effective Time and converted into the right to receive a cash payment equal to the sum of (a) the product of (i) the number of Common Units subject to such award as of immediately prior to the Effective Time and (ii) the Merger Consideration and (b) the amount of accrued but unpaid distributions, including the Special Distribution, with respect to such award as of immediately prior to the Effective Time, and for purposes of the foregoing, with performance goals deemed achieved based on actual achievement of any performance goals as of immediately prior to the Effective Time.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78</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Conflicts Committee Fees Relating to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expected time and effort that would be required of the members of the Conflicts Committee in evaluating the Merger, including negotiating the terms and conditions of the Merger Agreement, the Partnership Board determined that each member of the Conflicts Committee would receive as compensation an amount in cash of $50,000. In connection with any litigation involvement relating to, or arising out of, the Merger, each member of the Conflicts Committee will receive $1,000 per hour for time actually spent in connection with litigation-related matters, if any and, to the extent travel is needed, a fee of $2,500 per travel day and reimbursement of travel costs. The foregoing compensation was approved by the Partnership Board and was not, and is not, contingent upon the approval of the Merger Proposal or completion of the Mergers or any other transaction involving the Partnership or Parent.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Directors’ and Officers’ Insurance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of Partnership’s Board and Partnership’s officers will receive continued indemnification and insurance coverage for a period of time following the Effective Time for actions taken in their capacity as directors and officers.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Parent Board Approval of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Parent (the “Parent Board”) reviewed with management and its advisors the terms and provisions of the Merger Agreement, the Support Agreement, the Debt Commitment Letter and various other agreements (collectively, the “Transaction Documents”).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the Parent Board (a) reviewed and evaluated the Merger and the Transaction Documents for the purpose of determining whether the Merger is in the best interests of Parent, and (b) determined whether or not to approve the Merger and the Transaction Documents. The Parent Board along with its advisors conducted a review and evaluation of the proposed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Parent Board, by unanimous vote at a meeting held on April 6, 2023, (a) determined that the Transaction Documents and the transactions contemplated thereby, including the Merger, on the terms and conditions set forth in the Transaction Documents, were in the best interests of Parent, (b) approved the Transaction Documents and the transactions contemplated thereby, including the Merger, upon the terms and conditions set forth in the Transaction Documents, and (c) passed resolutions approving and adopting the Transaction Documents and the transactions contemplated thereby, including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in its capacity as the sole member of Merger Sub, by written consent dated as of April 6, 2023, (a) determined that the Merger Agreement and the transactions contemplated thereby, including the Merger, were in the best interests of Merger Sub, (b) declared it advisable to enter into the Merger Agreement and consummate the Merger and the other transactions contemplated thereby and (c) approved the adoption of the Transaction Documents, the execution, delivery and performance of the Transaction Documents and the transactions contemplated thereby, including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in its capacity as the sole member of the General Partner, by written consent dated as of April 6, 2023, (a) consented to and approved the terms and conditions of the Merger Agreement, the execution and delivery thereof and the performance by the Partnership of its obligations thereunder, the consummation of the transactions contemplated thereby, including the Merger, and all other actions or matters necessary or appropriate to give effect to the foregoing, (b) approved the execution and delivery by the Partnership of the Support Agreement and (c) approved the adoption, execution, delivery and performance of the Transaction Documents.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79</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 of Parent, the General Partner, Merger Sub, the Conflicts Committee and the Partnership Board as to the Fairness of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rules governing “going private” transactions, each of Parent, the Partnership, the General Partner and Merger Sub is deemed to be engaged in a “going private” transaction and is required to express its belief as to the fairness of the Merger to the Unaffiliated Unitholders pursuant to Rule 13e-3 under the Exchange Act. Parent, the General Partner and Merger Sub are making the statements included in this section solely for the purposes of complying with the requirements of Rule 13e-3 and related rules under the Exchange Act. The Partnership Board authorized, empowered and directed the Conflicts Committee to (a) propose, review, evaluate and negotiate the proposed transactions on behalf of the Partnership and the Common Unitholders and (b) make any recommendations to the Partnership Board and to the holders of Common Units regarding the proposed transactions as the Conflicts Committee determines in its sole discretion to be advisable or to reject in its sole discretion the proposed transactions and to terminate discussions with Parent. Although the Partnership Board recommends that the Common Unitholders vote to approve the Merger Agreement, the views of Parent and the General Partner as to the fairness of the Merger (which is the Rule 13e-3 transaction for which a Schedule 13E-3 was filed with the SEC) should not be construed as a recommendation to any Unaffiliated Unitholder as to how such Unaffiliated Unitholder should vote on the proposal to approve the Merger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did not undertake an independent evaluation of the fairness of the Merger to the Common Unitholders or engage a financial advisor for such purpose. However, based on the procedural safeguards implemented during the negotiation of the Merger Agreement, which include (a) the requirement that the Merger Agreement and the Merger receive Unitholder Approval; (b) the review of the Conflicts Committee, to which the Partnership Board delegated the full power and authority of the Partnership Board, to the fullest extent permitted by the Partnership Agreement, to (i) propose, review, evaluate and negotiate the proposed transactions on behalf of the Partnership and the Common Unitholders and (ii) make any recommendations to the Partnership Board and to the holders of Common Units regarding the proposed transactions as the Conflicts Committee determines in its sole discretion to be advisable or to reject in its sole discretion the proposed transactions and to terminate discussions with Parent; and (c) the other factors considered by, and the analysis, discussion and resulting conclusions of, the Conflicts Committee and the Partnership Board described in the section entitled “The Merger – Recommendation of the Conflicts Committee and the Partnership Board; Reasons for Recommending Approval of the Merger Proposal”, which analysis, discussion and resulting conclusions Parent expressly adopts as its own, Parent, acting on its own behalf and on behalf of Merger Sub, the General Partner, the Conflicts Committee and the Partnership Board all believe that the Merger is substantively and procedurally fair to the Unaffiliated Unitholders.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80</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discussion of the information and factors considered and given weight by Parent, acting on its own behalf and on behalf of Merger Sub, the General Partner, the Conflicts Committee and the Partnership Board, is not intended to be exhaustive, but includes the factors considered by Parent, the General Partner, the Conflicts Committee and the Partnership Board that each believes to be material to the fairness determination regarding the fairness of the Merger for the purpose of complying with the requirements of Rule 13e-3 and the related rules under the Exchange Act. Parent, the General Partner, the Conflicts Committee and the Partnership Board did not find it practicable to, and did not, quantify or otherwise attach relative weights to the foregoing factors in reaching their position as to the fairness of the Merger. Rather, Parent (acting on its own behalf and on behalf of Merger Sub), the General Partner, the Conflicts Committee and the Partnership Board each made their respective fairness determinations after considering all of the factors as a whole.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 of Parent and Reasons for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Reasons of Parent for the Merger include, but are not limited to, the following:</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b/>
                <w:i/>
              </w:rPr>
              <w:t>Increased Ownership</w:t>
            </w:r>
            <w:r>
              <w:rPr/>
              <w:t>: Through the Merger, Parent will have 100% ownership of the Common Units, providing to Parent increased strategic control over and economic exposure to the Partnership.</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b/>
                <w:i/>
              </w:rPr>
              <w:t>Synergies</w:t>
            </w:r>
            <w:r>
              <w:rPr/>
              <w:t>: The Merger allows for operational synergies to occur through the streamlining of general and administrative expenses and elimination of costs associated with the Common Units being publicly traded. Further, the Merger alleviates board, administrative and other public company related or governance burdens.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b/>
                <w:i/>
              </w:rPr>
              <w:t>Simplified Corporate Structure</w:t>
            </w:r>
            <w:r>
              <w:rPr/>
              <w:t>: The Merger enables Parent to reduce the complexity in its organizational structure and is a natural continuation following the take private transaction of Parent, putting Parent in position to potentially achieve additional synergies in the event that the Preference Units (which will continue to trade on the NYSE immediately following completion of the Merger) are delisted in the future.</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b/>
                <w:i/>
              </w:rPr>
              <w:t>Future Prospects</w:t>
            </w:r>
            <w:r>
              <w:rPr/>
              <w:t>: The transaction will enable Parent to focus on managing growth, commercial performance and cost optimization in relation to debt and operations within the group. Parent expects that management and employees of the General Partner will be able to better execute on the Parent’s future strategic plans due to increased available time and narrowed focus (from the simplified corporate structure) that will allow the Parent to be more flexible when exploring opportunities to optimize its balance sheet and capital structure.</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b/>
                <w:i/>
              </w:rPr>
              <w:t>Accretion</w:t>
            </w:r>
            <w:r>
              <w:rPr/>
              <w:t>: The Merger provides the opportunity to deliver value to Parent’s earnings and cash flow per share and will allow the Parent to explore further opportunities to optimize its balance sheet and its capital structure.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81</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and the Parent Board have undertaken to pursue the Merger at this time for the reasons described above.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believes that structuring the transaction as a merger is preferable to other transaction structures because (1) it will enable Parent to acquire all of the issued and outstanding Common Units at the same time and (2) it represents an opportunity for the Unaffiliated Unitholders to receive a premium for their Common Units (taking into account the Special Distribution and the Merger Consideration, in the aggregate). Further, Parent believes that structuring the transaction as a merger provides a prompt and orderly transfer of ownership of the Partnership in a single step, without the necessity of financing separate purchases of the Common Units in a tender offer and implementing a second-step merger to acquire any Common Units not tendered into any such tender offer, and without incurring any additional transaction costs associated with such activities.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discussion of the information and factors considered by the Parent Board is not intended to be exhaustive, but includes the material factors considered by the Parent Board in considering whether to pursue and approve the Merger. In view of the variety of factors considered in connection with its evaluation of the Merger, the Parent Board did not find it practicable to, and did not, quantify or otherwise assign relative weights to the specific factors considered in reaching its determination and recommendation. In addition, individual directors may have given different weights to different factors. The Parent Board did not undertake to make any specific determination as to whether any factor, or any particular aspect of any factor, supported or did not support its ultimate determination. The Parent Board based its decision on the totality of the information presented.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Portions of this explanation of the reasons for the Merger and other information presented in this section are forward-looking in nature and, therefore, should be read in light of the section entitled “Cautionary Statement Regarding Forward-Looking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Primary Benefits and Detriments of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Benefits and Detriments to Common Unitholders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benefits of the Merger to Common Unitholders include the following:</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The receipt by such Common Unitholders of overall value of $8.65 per Common Unit in cash, consisting of the Special Distribution and the Merger Consideration, which will be paid without interest and reduced by any applicable tax withholding;</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25"/>
        <w:gridCol w:w="10042"/>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jc w:val="left"/>
              <w:rPr>
                <w:rFonts w:ascii="Symbol" w:hAnsi="Symbol"/>
              </w:rPr>
            </w:pPr>
            <w:r>
              <w:rPr>
                <w:rFonts w:ascii="Symbol" w:hAnsi="Symbol"/>
              </w:rPr>
              <w:t>·</w:t>
            </w:r>
          </w:p>
        </w:tc>
        <w:tc>
          <w:tcPr>
            <w:tcW w:w="10042" w:type="dxa"/>
            <w:tcBorders/>
            <w:shd w:fill="auto" w:val="clear"/>
            <w:vAlign w:val="center"/>
          </w:tcPr>
          <w:p>
            <w:pPr>
              <w:pStyle w:val="TableContents"/>
              <w:spacing w:before="0" w:after="283"/>
              <w:rPr/>
            </w:pPr>
            <w:r>
              <w:rPr/>
              <w:t>The Common Units have, since the onset of the COVID-19 pandemic in March 2020, traded significantly lower than $8.65 per Common Unit;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The avoidance of all downside risk associated with the continued ownership of Common Units, including any possible decrease in the future revenues and free cash flow, growth or value of the Partnership following the Merger; and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The additional benefits discussed in the “—</w:t>
            </w:r>
            <w:r>
              <w:rPr>
                <w:i/>
              </w:rPr>
              <w:t>Recommendations of the Conflicts Committee and the Partnership Board; Reasons for Recommending Approval of the Merger Proposal</w:t>
            </w:r>
            <w:r>
              <w:rPr/>
              <w:t>”</w:t>
            </w:r>
            <w:r>
              <w:rPr>
                <w:i/>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detriments of the Merger to Common Unitholders that will not have a continuing interest in the Partnership following the Merger include the following:</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The Common Unit price had historically traded higher for a meaningful portion of its trading history prior to 2020;</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Such unitholders will cease to have an interest in the Partnership and, therefore, will no longer benefit from possible increases in the future revenues and free cash flow, growth or value of the Partnership or payment of distributions on Common Units, if any;</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The all-cash aspect of the consideration for the Merger does not allow the Unaffiliated Unitholders to benefit from any synergies that may result from the Merger; and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The Special Distribution and the exchange of Common Units for the Merger Consideration pursuant to the Merger will generally be a taxable event for U.S. Common Unitholders for federal income tax purposes.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Benefits and Detriments to the Partnership and Parent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benefits of the Merger to the Partnership and Parent include the following:</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If the Partnership successfully executes its business strategy, the value of Parent’s equity investment could increase because of possible increases in future revenues and cash flow, increases in underlying value of the Partnership or the payment of distributions, if any, that would accrue to Parent;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6"/>
        <w:gridCol w:w="152"/>
        <w:gridCol w:w="10007"/>
      </w:tblGrid>
      <w:tr>
        <w:trPr/>
        <w:tc>
          <w:tcPr>
            <w:tcW w:w="46"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rFonts w:ascii="Symbol" w:hAnsi="Symbol"/>
              </w:rPr>
            </w:pPr>
            <w:r>
              <w:rPr>
                <w:rFonts w:ascii="Symbol" w:hAnsi="Symbol"/>
              </w:rPr>
              <w:t>·</w:t>
            </w:r>
          </w:p>
        </w:tc>
        <w:tc>
          <w:tcPr>
            <w:tcW w:w="10007" w:type="dxa"/>
            <w:tcBorders/>
            <w:shd w:fill="auto" w:val="clear"/>
            <w:vAlign w:val="center"/>
          </w:tcPr>
          <w:p>
            <w:pPr>
              <w:pStyle w:val="TableContents"/>
              <w:spacing w:before="0" w:after="283"/>
              <w:rPr/>
            </w:pPr>
            <w:r>
              <w:rPr/>
              <w:t>The Partnership will have more flexibility to change its capital spending strategies; and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The additional benefits discussed in the “—</w:t>
            </w:r>
            <w:r>
              <w:rPr>
                <w:i/>
              </w:rPr>
              <w:t>Recommendations of the Conflicts Committee and the Partnership Board; Reasons for Recommending Approval of the Merger Proposal</w:t>
            </w:r>
            <w:r>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detriments of the Merger to the Partnership and Parent include the following:</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The Merger is being undertaken during a time of volatile commodity prices and uncertainty regarding environmental regulations and their effect on life cycle, and all of the risk of any possible decrease in the revenues and cash flow, growth or value of the Partnership following the Merger will be borne by Parent;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Following the Merger, there will be no trading market for the Common Units of the Partnership, as the Surviving Entity; and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4"/>
        <w:gridCol w:w="182"/>
        <w:gridCol w:w="9969"/>
      </w:tblGrid>
      <w:tr>
        <w:trPr/>
        <w:tc>
          <w:tcPr>
            <w:tcW w:w="54"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rFonts w:ascii="Symbol" w:hAnsi="Symbol"/>
              </w:rPr>
            </w:pPr>
            <w:r>
              <w:rPr>
                <w:rFonts w:ascii="Symbol" w:hAnsi="Symbol"/>
              </w:rPr>
              <w:t>·</w:t>
            </w:r>
          </w:p>
        </w:tc>
        <w:tc>
          <w:tcPr>
            <w:tcW w:w="9969" w:type="dxa"/>
            <w:tcBorders/>
            <w:shd w:fill="auto" w:val="clear"/>
            <w:vAlign w:val="center"/>
          </w:tcPr>
          <w:p>
            <w:pPr>
              <w:pStyle w:val="TableContents"/>
              <w:spacing w:before="0" w:after="283"/>
              <w:rPr/>
            </w:pPr>
            <w:r>
              <w:rPr/>
              <w:t>The risk that potential benefits sought in the Merger may not be realized.</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Ownership of the Partnership After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Merger, the Partnership will survive as a direct subsidiary of Parent.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Regulatory Approvals and Clearances Required for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Consummation of the Merger is not subject to the expiration or termination of the waiting period under the HSR Act and is not expected to be subject to any other regulatory approvals.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 of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financing condition to the Merger. The Merger Consideration will be financed by means of a senior bridge term loan facility, proceeds of the Special Distribution to be received by Parent and its affiliates, each as described below and available cash on hand.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Bridge Facility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Merger Agreement, Parent entered into the Debt Commitment Letter, pursuant to which DNB agreed to underwrite a senior bridge term loan facility in an aggregate amount up to the lower of $75,000,000 and 85% of the Merger Consideration (the “Bridge Facility”). Pursuant to the Debt Commitment Letter, Parent and DNB have agreed to negotiate and execute a long-form bridge facility agreement (the “Bridge Facility Agreement”) as soon as is reasonably practicable and in any event prior to October 6, 2023, such that the Bridge Facility is available to Merger Sub on the closing date of the Merger, subject only to the satisfaction of certain limited conditions. All obligations of Merger Sub (in its capacity as the borrower, the “Borrower”) under the Bridge Facility Agreement will be guaranteed by Parent.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Funding under the Bridge Facility is subject to the satisfaction of a number of customary conditions including, among others, and in each case, subject to certain exceptions: (a) the absence of a “material adverse effect” (to be defined in the Bridge Facility Agreement) with respect to Parent and the absence of a Partnership Material Adverse Effect (as defined in the Merger Agreement), (b) the accuracy of certain representations and warranties to be made by Parent and Merger Sub in the Bridge Facility Agreement, (c) the execution and delivery of the Bridge Facility Agreement and all related loan documentation, (d) the delivery of officers’ certificates, legal opinions and other customary closing documentation, (e) the payment of any fees and expenses due under the Bridge Facility Agreement, (f) evidence that the Merger has been, or substantially concurrently with funding will be, consummated, (g) evidence of a minimum of pro-forma consolidated cash on the balance sheet of an aggregate equal to $75,000,000 plus the amounts drawn under the Bridge Facility after giving effect to the Merger, (h) the absence of any event of default under the Bridge Facility Agreement and (i) DNB being satisfied that the Merger and the related de-listing of the shares of the Partnership do not constitute a termination event under any debt instrument of Parent or any of its subsidiaries.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Bridge Facility will be available for drawing until March 6, 2024. The Bridge Facility will mature upon the earlier (the “Maturity Date”) of (i) April 6, 2024 and (ii) the date that is eight months following the date the Bridge Facility is drawn (the “Utilization Date”). On the date that is three months following the Utilization Date, an amount equal to the aggregate principal amount of the Bridge Facility then outstanding in excess of $70,000,000 shall be repaid, with the balance to be repaid on the Maturity 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Interest will be payable at a rate equal to the aggregate of (A) Term SOFR (to be defined in the Bridge Facility Agreement) for the applicable interest period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(B) 4%, increasing 0.50% each quarter (commencing the second quarter following the Utilization Date) (clause (B), the “Margin”). A commitment fee will be payable on any undrawn amount at a rate equal to 20% of the Margin, commencing one month after the Utilization Date, increasing to 30% after three months and to 40% after four months.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Mandatory prepayments of the Bridge Facility will be required from sale or insurance proceeds with respect to vessels owned by Parent’s subsidiaries and from the proceeds of debt or equity capital market transactions of Parent or Merger Sub.</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Bridge Facility Agreement will contain customary representations and warranties, covenants and events of default substantially consistent with Parent’s existing $1,053,000,000 facility dated December 12, 2019 (the “Existing Facility”), including the financial covenants in the Existing Facility. If funded, the Bridge Facility may be accelerated and become due and payable upon an event of default. Events of default in the Bridge Facility Agreement will include among others, and in each case, subject to certain exceptions (1) non-payment, (2) covenant breaches, (3) misrepresentation, (4) cross-default, (5) insolvency related events, (6) cessation of business, (7) unlawfulness and (8) material adverse effect.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Special Distribution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and its affiliates, as holders of the Sponsor Units, will receive payment of the Special Distribution on or prior to the closing date of the Merger. The proceeds of the Special Distribution to be received by Parent and its affiliates, along with the proceeds of the Bridge Facility and available cash on hand, will provide Parent with sufficient funds to pay the Merger Consideration and all of the fees and expenses of Parent and Merger Sub required to be paid on the closing 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and Expenses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all fees and expenses incurred in connection with the transactions contemplated by the Merger Agreement will be the obligation of the respective party incurring such fees and expenses. Expenses relating to the preparation, printing, filing and mailing of this proxy statement and the solicitation of the Unitholder Approval will be paid 50% by Parent and 50% by the Partnership. Total fees and expenses incurred or to be incurred by the Partnership, Parent, Merger Sub and the General Partner in connection with the Merger are estimated at this time to be as follows:</w:t>
      </w:r>
    </w:p>
    <w:p>
      <w:pPr>
        <w:pStyle w:val="TextBody"/>
        <w:spacing w:before="0" w:after="0"/>
        <w:ind w:left="0" w:right="0" w:hanging="0"/>
        <w:rPr>
          <w:caps w:val="false"/>
          <w:smallCaps w:val="false"/>
        </w:rPr>
      </w:pPr>
      <w:r>
        <w:rPr>
          <w:caps w:val="false"/>
          <w:smallCaps w:val="false"/>
        </w:rPr>
        <w:t> </w:t>
      </w:r>
    </w:p>
    <w:tbl>
      <w:tblPr>
        <w:tblW w:w="6624" w:type="dxa"/>
        <w:jc w:val="left"/>
        <w:tblInd w:w="0" w:type="dxa"/>
        <w:tblCellMar>
          <w:top w:w="0" w:type="dxa"/>
          <w:left w:w="0" w:type="dxa"/>
          <w:bottom w:w="0" w:type="dxa"/>
          <w:right w:w="0" w:type="dxa"/>
        </w:tblCellMar>
      </w:tblPr>
      <w:tblGrid>
        <w:gridCol w:w="4910"/>
        <w:gridCol w:w="60"/>
        <w:gridCol w:w="142"/>
        <w:gridCol w:w="1437"/>
        <w:gridCol w:w="75"/>
      </w:tblGrid>
      <w:tr>
        <w:trPr/>
        <w:tc>
          <w:tcPr>
            <w:tcW w:w="491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579"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to be Paid</w:t>
            </w:r>
          </w:p>
        </w:tc>
        <w:tc>
          <w:tcPr>
            <w:tcW w:w="75" w:type="dxa"/>
            <w:tcBorders/>
            <w:shd w:fill="auto" w:val="clear"/>
            <w:vAlign w:val="center"/>
          </w:tcPr>
          <w:p>
            <w:pPr>
              <w:pStyle w:val="TableContents"/>
              <w:spacing w:before="0" w:after="283"/>
              <w:ind w:left="0" w:right="0" w:hanging="144"/>
              <w:rPr>
                <w:caps w:val="false"/>
                <w:smallCaps w:val="false"/>
              </w:rPr>
            </w:pPr>
            <w:r>
              <w:rPr>
                <w:caps w:val="false"/>
                <w:smallCaps w:val="false"/>
              </w:rPr>
              <w:t> </w:t>
            </w:r>
          </w:p>
        </w:tc>
      </w:tr>
      <w:tr>
        <w:trPr/>
        <w:tc>
          <w:tcPr>
            <w:tcW w:w="4910" w:type="dxa"/>
            <w:tcBorders/>
            <w:shd w:fill="CCEEFF" w:val="clear"/>
            <w:vAlign w:val="center"/>
          </w:tcPr>
          <w:p>
            <w:pPr>
              <w:pStyle w:val="TableContents"/>
              <w:spacing w:before="0" w:after="283"/>
              <w:jc w:val="left"/>
              <w:rPr>
                <w:sz w:val="20"/>
              </w:rPr>
            </w:pPr>
            <w:r>
              <w:rPr>
                <w:sz w:val="20"/>
              </w:rPr>
              <w:t>Financial advisory fees and expenses</w:t>
              <w:tab/>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jc w:val="left"/>
              <w:rPr>
                <w:sz w:val="20"/>
              </w:rPr>
            </w:pPr>
            <w:r>
              <w:rPr>
                <w:sz w:val="20"/>
              </w:rPr>
              <w:t>$</w:t>
            </w:r>
          </w:p>
        </w:tc>
        <w:tc>
          <w:tcPr>
            <w:tcW w:w="1437"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ind w:left="0" w:right="0" w:hanging="144"/>
              <w:jc w:val="left"/>
              <w:rPr/>
            </w:pPr>
            <w:r>
              <w:rPr/>
              <w:t> </w:t>
            </w:r>
          </w:p>
        </w:tc>
      </w:tr>
      <w:tr>
        <w:trPr/>
        <w:tc>
          <w:tcPr>
            <w:tcW w:w="4910" w:type="dxa"/>
            <w:tcBorders/>
            <w:shd w:fill="FFFFFF" w:val="clear"/>
            <w:vAlign w:val="center"/>
          </w:tcPr>
          <w:p>
            <w:pPr>
              <w:pStyle w:val="TableContents"/>
              <w:spacing w:before="0" w:after="283"/>
              <w:jc w:val="left"/>
              <w:rPr>
                <w:sz w:val="20"/>
              </w:rPr>
            </w:pPr>
            <w:r>
              <w:rPr>
                <w:sz w:val="20"/>
              </w:rPr>
              <w:t>Legal fees and expenses</w:t>
              <w:tab/>
            </w:r>
          </w:p>
        </w:tc>
        <w:tc>
          <w:tcPr>
            <w:tcW w:w="60" w:type="dxa"/>
            <w:tcBorders/>
            <w:shd w:fill="FFFFFF" w:val="clear"/>
            <w:vAlign w:val="center"/>
          </w:tcPr>
          <w:p>
            <w:pPr>
              <w:pStyle w:val="TableContents"/>
              <w:spacing w:before="0" w:after="283"/>
              <w:rPr/>
            </w:pPr>
            <w:r>
              <w:rPr/>
              <w:t> </w:t>
            </w:r>
          </w:p>
        </w:tc>
        <w:tc>
          <w:tcPr>
            <w:tcW w:w="142" w:type="dxa"/>
            <w:tcBorders/>
            <w:shd w:fill="FFFFFF" w:val="clear"/>
            <w:vAlign w:val="center"/>
          </w:tcPr>
          <w:p>
            <w:pPr>
              <w:pStyle w:val="TableContents"/>
              <w:spacing w:before="0" w:after="283"/>
              <w:jc w:val="left"/>
              <w:rPr>
                <w:sz w:val="20"/>
              </w:rPr>
            </w:pPr>
            <w:r>
              <w:rPr>
                <w:sz w:val="20"/>
              </w:rPr>
              <w:t>$</w:t>
            </w:r>
          </w:p>
        </w:tc>
        <w:tc>
          <w:tcPr>
            <w:tcW w:w="1437" w:type="dxa"/>
            <w:tcBorders/>
            <w:shd w:fill="FFFFFF" w:val="clear"/>
            <w:vAlign w:val="center"/>
          </w:tcPr>
          <w:p>
            <w:pPr>
              <w:pStyle w:val="TableContents"/>
              <w:spacing w:before="0" w:after="283"/>
              <w:rPr>
                <w:sz w:val="4"/>
                <w:szCs w:val="4"/>
              </w:rPr>
            </w:pPr>
            <w:r>
              <w:rPr>
                <w:sz w:val="4"/>
                <w:szCs w:val="4"/>
              </w:rPr>
            </w:r>
          </w:p>
        </w:tc>
        <w:tc>
          <w:tcPr>
            <w:tcW w:w="75" w:type="dxa"/>
            <w:tcBorders/>
            <w:shd w:fill="FFFFFF" w:val="clear"/>
            <w:vAlign w:val="center"/>
          </w:tcPr>
          <w:p>
            <w:pPr>
              <w:pStyle w:val="TableContents"/>
              <w:spacing w:before="0" w:after="283"/>
              <w:ind w:left="0" w:right="0" w:hanging="144"/>
              <w:jc w:val="left"/>
              <w:rPr/>
            </w:pPr>
            <w:r>
              <w:rPr/>
              <w:t> </w:t>
            </w:r>
          </w:p>
        </w:tc>
      </w:tr>
      <w:tr>
        <w:trPr/>
        <w:tc>
          <w:tcPr>
            <w:tcW w:w="4910" w:type="dxa"/>
            <w:tcBorders/>
            <w:shd w:fill="CCEEFF" w:val="clear"/>
            <w:vAlign w:val="center"/>
          </w:tcPr>
          <w:p>
            <w:pPr>
              <w:pStyle w:val="TableContents"/>
              <w:spacing w:before="0" w:after="283"/>
              <w:jc w:val="left"/>
              <w:rPr>
                <w:sz w:val="20"/>
              </w:rPr>
            </w:pPr>
            <w:r>
              <w:rPr>
                <w:sz w:val="20"/>
              </w:rPr>
              <w:t>Proxy solicitation, printing and mailing costs and filing fees</w:t>
              <w:tab/>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jc w:val="left"/>
              <w:rPr>
                <w:sz w:val="20"/>
              </w:rPr>
            </w:pPr>
            <w:r>
              <w:rPr>
                <w:sz w:val="20"/>
              </w:rPr>
              <w:t>$</w:t>
            </w:r>
          </w:p>
        </w:tc>
        <w:tc>
          <w:tcPr>
            <w:tcW w:w="1437" w:type="dxa"/>
            <w:tcBorders/>
            <w:shd w:fill="CCEEFF" w:val="cle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ind w:left="0" w:right="0" w:hanging="144"/>
              <w:jc w:val="left"/>
              <w:rPr/>
            </w:pPr>
            <w:r>
              <w:rPr/>
              <w:t> </w:t>
            </w:r>
          </w:p>
        </w:tc>
      </w:tr>
      <w:tr>
        <w:trPr/>
        <w:tc>
          <w:tcPr>
            <w:tcW w:w="4910" w:type="dxa"/>
            <w:tcBorders/>
            <w:shd w:fill="FFFFFF" w:val="clear"/>
            <w:vAlign w:val="center"/>
          </w:tcPr>
          <w:p>
            <w:pPr>
              <w:pStyle w:val="TableContents"/>
              <w:spacing w:before="0" w:after="283"/>
              <w:jc w:val="left"/>
              <w:rPr>
                <w:sz w:val="20"/>
              </w:rPr>
            </w:pPr>
            <w:r>
              <w:rPr>
                <w:sz w:val="20"/>
              </w:rPr>
              <w:t>Transfer agent and paying agent fees and expenses</w:t>
              <w:tab/>
            </w:r>
          </w:p>
        </w:tc>
        <w:tc>
          <w:tcPr>
            <w:tcW w:w="60" w:type="dxa"/>
            <w:tcBorders/>
            <w:shd w:fill="FFFFFF" w:val="clear"/>
            <w:vAlign w:val="center"/>
          </w:tcPr>
          <w:p>
            <w:pPr>
              <w:pStyle w:val="TableContents"/>
              <w:spacing w:before="0" w:after="283"/>
              <w:rPr/>
            </w:pPr>
            <w:r>
              <w:rPr/>
              <w:t> </w:t>
            </w:r>
          </w:p>
        </w:tc>
        <w:tc>
          <w:tcPr>
            <w:tcW w:w="142" w:type="dxa"/>
            <w:tcBorders/>
            <w:shd w:fill="FFFFFF" w:val="clear"/>
            <w:vAlign w:val="center"/>
          </w:tcPr>
          <w:p>
            <w:pPr>
              <w:pStyle w:val="TableContents"/>
              <w:spacing w:before="0" w:after="283"/>
              <w:jc w:val="left"/>
              <w:rPr>
                <w:sz w:val="20"/>
              </w:rPr>
            </w:pPr>
            <w:r>
              <w:rPr>
                <w:sz w:val="20"/>
              </w:rPr>
              <w:t>$</w:t>
            </w:r>
          </w:p>
        </w:tc>
        <w:tc>
          <w:tcPr>
            <w:tcW w:w="1437" w:type="dxa"/>
            <w:tcBorders/>
            <w:shd w:fill="FFFFFF" w:val="clear"/>
            <w:vAlign w:val="center"/>
          </w:tcPr>
          <w:p>
            <w:pPr>
              <w:pStyle w:val="TableContents"/>
              <w:spacing w:before="0" w:after="283"/>
              <w:rPr>
                <w:sz w:val="4"/>
                <w:szCs w:val="4"/>
              </w:rPr>
            </w:pPr>
            <w:r>
              <w:rPr>
                <w:sz w:val="4"/>
                <w:szCs w:val="4"/>
              </w:rPr>
            </w:r>
          </w:p>
        </w:tc>
        <w:tc>
          <w:tcPr>
            <w:tcW w:w="75" w:type="dxa"/>
            <w:tcBorders/>
            <w:shd w:fill="FFFFFF" w:val="clear"/>
            <w:vAlign w:val="center"/>
          </w:tcPr>
          <w:p>
            <w:pPr>
              <w:pStyle w:val="TableContents"/>
              <w:spacing w:before="0" w:after="283"/>
              <w:ind w:left="0" w:right="0" w:hanging="144"/>
              <w:jc w:val="left"/>
              <w:rPr/>
            </w:pPr>
            <w:r>
              <w:rPr/>
              <w:t> </w:t>
            </w:r>
          </w:p>
        </w:tc>
      </w:tr>
      <w:tr>
        <w:trPr/>
        <w:tc>
          <w:tcPr>
            <w:tcW w:w="4910" w:type="dxa"/>
            <w:tcBorders/>
            <w:shd w:fill="CCEEFF" w:val="clear"/>
            <w:vAlign w:val="center"/>
          </w:tcPr>
          <w:p>
            <w:pPr>
              <w:pStyle w:val="TableContents"/>
              <w:spacing w:before="0" w:after="283"/>
              <w:jc w:val="left"/>
              <w:rPr>
                <w:sz w:val="20"/>
              </w:rPr>
            </w:pPr>
            <w:r>
              <w:rPr>
                <w:sz w:val="20"/>
              </w:rPr>
              <w:t>Insurance premiums and other costs and expenses</w:t>
              <w:tab/>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jc w:val="left"/>
              <w:rPr>
                <w:sz w:val="20"/>
              </w:rPr>
            </w:pPr>
            <w:r>
              <w:rPr>
                <w:sz w:val="20"/>
              </w:rPr>
              <w:t>$</w:t>
            </w:r>
          </w:p>
        </w:tc>
        <w:tc>
          <w:tcPr>
            <w:tcW w:w="1437" w:type="dxa"/>
            <w:tcBorders/>
            <w:shd w:fill="CCEEFF" w:val="cle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ind w:left="0" w:right="0" w:hanging="144"/>
              <w:jc w:val="left"/>
              <w:rPr/>
            </w:pPr>
            <w:r>
              <w:rPr/>
              <w:t> </w:t>
            </w:r>
          </w:p>
        </w:tc>
      </w:tr>
      <w:tr>
        <w:trPr/>
        <w:tc>
          <w:tcPr>
            <w:tcW w:w="4910" w:type="dxa"/>
            <w:tcBorders/>
            <w:shd w:fill="FFFFFF" w:val="clear"/>
            <w:vAlign w:val="center"/>
          </w:tcPr>
          <w:p>
            <w:pPr>
              <w:pStyle w:val="TableContents"/>
              <w:spacing w:before="0" w:after="283"/>
              <w:rPr>
                <w:b/>
                <w:sz w:val="20"/>
              </w:rPr>
            </w:pPr>
            <w:r>
              <w:rPr>
                <w:b/>
                <w:sz w:val="20"/>
              </w:rPr>
              <w:t>Total</w:t>
              <w:tab/>
            </w:r>
          </w:p>
        </w:tc>
        <w:tc>
          <w:tcPr>
            <w:tcW w:w="60" w:type="dxa"/>
            <w:tcBorders/>
            <w:shd w:fill="FFFFFF" w:val="clear"/>
            <w:vAlign w:val="center"/>
          </w:tcPr>
          <w:p>
            <w:pPr>
              <w:pStyle w:val="TableContents"/>
              <w:spacing w:before="0" w:after="283"/>
              <w:rPr/>
            </w:pPr>
            <w:r>
              <w:rPr/>
              <w:t> </w:t>
            </w:r>
          </w:p>
        </w:tc>
        <w:tc>
          <w:tcPr>
            <w:tcW w:w="142" w:type="dxa"/>
            <w:tcBorders/>
            <w:shd w:fill="FFFFFF" w:val="clear"/>
            <w:vAlign w:val="center"/>
          </w:tcPr>
          <w:p>
            <w:pPr>
              <w:pStyle w:val="TableContents"/>
              <w:spacing w:before="0" w:after="283"/>
              <w:jc w:val="left"/>
              <w:rPr>
                <w:b/>
                <w:sz w:val="20"/>
              </w:rPr>
            </w:pPr>
            <w:r>
              <w:rPr>
                <w:b/>
                <w:sz w:val="20"/>
              </w:rPr>
              <w:t>$</w:t>
            </w:r>
          </w:p>
        </w:tc>
        <w:tc>
          <w:tcPr>
            <w:tcW w:w="1437" w:type="dxa"/>
            <w:tcBorders/>
            <w:shd w:fill="FFFFFF" w:val="clear"/>
            <w:vAlign w:val="center"/>
          </w:tcPr>
          <w:p>
            <w:pPr>
              <w:pStyle w:val="TableContents"/>
              <w:spacing w:before="0" w:after="283"/>
              <w:rPr>
                <w:sz w:val="4"/>
                <w:szCs w:val="4"/>
              </w:rPr>
            </w:pPr>
            <w:r>
              <w:rPr>
                <w:sz w:val="4"/>
                <w:szCs w:val="4"/>
              </w:rPr>
            </w:r>
          </w:p>
        </w:tc>
        <w:tc>
          <w:tcPr>
            <w:tcW w:w="75" w:type="dxa"/>
            <w:tcBorders/>
            <w:shd w:fill="FFFF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85</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Accounting Treatment of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prepares its consolidated financial statements under IFRS as issued by the IASB and the Partnership is a de-facto controlled subsidiary. As a result, the Merger will be accounted for as an acquisition of non-controlling interest in the consolidated financial statements of Parent with a corresponding transfer from non-controlling interest to controlling interest.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Legal Matters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Merger Agreement, the parties have agreed to cooperate with each other to make all necessary filings with governmental authorities and to obtain all governmental approvals and consents necessary to consummate the Merger, subject to certain exceptions and limitations.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Litigation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the Partnership is not aware of any pending litigation related to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Provisions for Unaffiliated Unitholders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provision has been made to grant Unaffiliated Unitholders access to the partnership files of the Partnership, the General Partner, Parent or Merger Sub or to obtain counsel or appraisal services at the expense of the foregoing parties.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Delisting and Deregistration of Common Units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Merger is completed, the Surviving Entity will use its reasonable best efforts to cause the Common Units to be delisted from the NYSE and deregistered under the Exchange Act as soon as reasonably practicable following the Effective Time.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Appraisal Rights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Appraisal rights are not available in connection with the Merger under the laws of the Republic of the Marshall Islands or under the Partnership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86</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1.</w:t>
        <w:br/>
        <w:t>THE MERGER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describes the material provisions of the Merger Agreement, a copy of which is attached as Annex A to this proxy statement and incorporated by reference herein. The description in this section and elsewhere in this proxy statement is qualified in its entirety by reference to the Merger Agreement. This summary does not purport to be complete and may not contain all of the information about the Merger Agreement that is important to you. Parent and the Partnership encourage you to read carefully the Merger Agreement in its entirety before making any decisions regarding the Merger as it is the legal document governing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Merger Agreement and this summary of its terms have been included to provide you with information regarding the terms of the Merger Agreement. Factual disclosures about Parent, the Partnership or any of their respective subsidiaries or affiliates contained in this proxy statement or the Partnership’s public reports filed with the SEC may supplement, update or modify the factual disclosures about Parent, the Partnership or their respective subsidiaries or affiliates contained in the Merger Agreement and described in this summary. The representations, warranties and covenants made in the Merger Agreement by Parent, the Partnership and their respective subsidiaries were qualified and subject to important limitations agreed to by Parent, the Partnership and their respective subsidiaries in connection with negotiating the terms of the Merger Agreement. In particular, in your review of the representations and warranties contained in the Merger Agreement and described in this summary, it is important to bear in mind that the representations and warranties were negotiated with the principal purposes of allocating risk between the parties to the Merger Agreement, rather than establishing matters as facts. The representations and warranties may also be subject to a contractual standard of materiality different from those generally applicable to unitholders and reports and documents filed with the SEC and in some cases were qualified by confidential disclosures that were made by each party to the other, which disclosures are not reflected in the Merger Agreement or otherwise publicly disclosed. Moreover, information concerning the subject matter of the representations and warranties may have changed since the date of the Merger Agreement and subsequent developments or new information qualifying a representation or warranty may have been included in this proxy statement. For the foregoing reasons, the representations, warranties and covenants or any descriptions of those provisions should not be read alone.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the Merger Agreement and in accordance with the laws of the Republic of the Marshall Islands, the Merger Agreement provides for the merger of the Partnership with Merger Sub. The Partnership, which is sometimes referred to following the Merger as the Surviving Entity, will survive the Merger, and the separate limited liability company existence of Merger Sub will cease. After the completion of the Merger, the certificate of limited partnership of the Partnership in effect immediately prior to the Effective Time will be the certificate of limited partnership of the Surviving Entity, until amended in accordance with its terms and applicable law, and the Partnership Agreement in effect immediately prior to the Effective Time will be the agreement of limited partnership of the Surviving Entity, until amended in accordance with its terms and applicable law.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87</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Effective Time; Closing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Time will be at such time that a certificate of merger effecting the Merger is duly filed with the Registrar of Corporations of the Republic of the Marshall Islands by the Partnership, executed in accordance with, and in such form as required by, the relevant provisions of the Marshall Islands Limited Partnership Act, as amended, and the Marshall Islands Limited Liability Company Act of 1996, as amended, or at such later date as may be agreed by Parent and the Partnership in writing and specified in the certificate of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parties agree otherwise, the closing of the Merger will occur as promptly as practicable after the satisfaction or waiver of the conditions to the Merger provided in the Merger Agreement (other than conditions that by their nature are to be satisfied at the closing of the Merger, but subject to the satisfaction or waiver of those conditions), or at such other date or time as Parent and the Partnership agree. For further discussion of the conditions to the Merger, see “Proposal No. 1 – The Merger Agreement – Conditions to Consummation of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and the Partnership currently expect to complete the Merger by the end of the third quarter of 2023, subject to receipt of required Unitholder Approval and to the satisfaction or waiver of certain closing conditions to the transactions contemplated by the Merger Agreement described below.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Conditions to Consummation of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the Partnership, the General Partner and Merger Sub may not complete the Merger unless each of the following conditions is satisfied or waived, if waiver is permitted by applicable law:</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the Merger Agreement and the transactions contemplated thereby, including the Merger, must have received Unitholder Approval;</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6"/>
        <w:gridCol w:w="10042"/>
      </w:tblGrid>
      <w:tr>
        <w:trPr/>
        <w:tc>
          <w:tcPr>
            <w:tcW w:w="37"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rFonts w:ascii="Symbol" w:hAnsi="Symbol"/>
              </w:rPr>
            </w:pPr>
            <w:r>
              <w:rPr>
                <w:rFonts w:ascii="Symbol" w:hAnsi="Symbol"/>
              </w:rPr>
              <w:t>·</w:t>
            </w:r>
          </w:p>
        </w:tc>
        <w:tc>
          <w:tcPr>
            <w:tcW w:w="10042" w:type="dxa"/>
            <w:tcBorders/>
            <w:shd w:fill="auto" w:val="clear"/>
            <w:vAlign w:val="center"/>
          </w:tcPr>
          <w:p>
            <w:pPr>
              <w:pStyle w:val="TableContents"/>
              <w:spacing w:before="0" w:after="283"/>
              <w:rPr/>
            </w:pPr>
            <w:r>
              <w:rPr/>
              <w:t>the Special Distribution must have been declared and paid in accordance with the Merger Agreement; and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no injunction, order, judgment, ruling, decree or writ enacted, promulgated, issued, entered, amended or enforced by any governmental authority of any competent jurisdiction will be in effect enjoining, restraining, or otherwise making illegal, preventing or prohibiting the consummation of the Merger.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88</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Parent, the General Partner and Merger Sub to effect the Merger are subject to the satisfaction or waiver of the following additional conditions:</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 xml:space="preserve">(a) the representations and warranties of the Partnership in Section 3.3(a) and Section 3.3(c) of the Merger Agreement will be true and correct in all respects, both when made and at and as of the date of the closing of the Merger (except to the extent expressly made as of an earlier date, in which case as of such earlier date); (b) the representations and warranties contained in Section 3.2(a) of the Merger Agreement will be true and correct in all but </w:t>
            </w:r>
            <w:r>
              <w:rPr>
                <w:i/>
              </w:rPr>
              <w:t>de minimis</w:t>
            </w:r>
            <w:r>
              <w:rPr/>
              <w:t xml:space="preserve"> respects, both when made and at and as of the closing of the Merger (except to the extent expressly made as of an earlier date, in which case as of such date); and (c) all other representations and warranties of the Partnership in Article III of the Merger Agreement will be true and correct, both when made and at and as of the date of the closing of the Merger (except to the extent expressly made as of an earlier date, in which case as of such date), except (in the case of this clause (c)) where the failure of such representations and warranties to be so true and correct (without giving effect to any qualification or limitation as to material adverse effect or materiality contained in any individual representation or warranty), does not have, and would not reasonably be expected to have, individually or in the aggregate, a material adverse effect on the Partnership;</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the Partnership will have performed, in all material respects, all obligations required to be performed by it under the Merger Agreement;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no material adverse effect on the Partnership having occurred since the date of the Merger Agreement; and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Parent will have received an officer’s certificate executed by an authorized officer of the Partnership, in form and substance reasonably acceptable to Parent, certifying that the three preceding conditions have been satisfied.</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Partnership to effect the Merger are subject to the satisfaction or waiver of the following additional conditions:</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(a) the representations and warranties of Parent, the General Partner and Merger Sub in Section 4.3(a) of the Merger Agreement will be true and correct in all respects, both when made and at and as of the date of the closing of the Merger (except to the extent expressly made as of an earlier date, in which case as of such date); and (b) all other representations and warranties of Parent, the General Partner and Merger Sub in Article IV of the Merger Agreement will be true and correct, both when made and at and as of the date of the closing of the Merger (except to the extent expressly made as of an earlier date, in which case as of such date), except (in the case of this clause (b)) where the failure of such representations and warranties to be so true and correct (without giving effect to any qualification or limitation as to materiality set forth in any individual such representation or warranty), does not, and would not reasonably be expected to, individually or in the aggregate, prevent or materially impede, interfere with or hinder the consummation of the transactions contemplated by the Merger Agreement, including the Merger.</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Parent, the General Partner and Merger Sub will have performed, in all material respects, all obligations required to be performed by them under the Merger Agreement; and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the Partnership will have received an officer’s certificate executed by an authorized officer of Parent, in form and substance reasonably acceptable to the Partnership, certifying that the two preceding conditions have been satisfied.</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89</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the Merger Agreement, the term “material adverse effect” means, when used with respect to the Partnership, any fact, circumstance, effect, change, event or development that, individually or in the aggregate, with all other facts, circumstances, effects, changes, events or developments (a) would prevent or materially delay, interfere with, hinder or impair the consummation by the Partnership of any of the transactions contemplated by the Merger Agreement, including the Merger or (b) has had or would reasonably be expected to have a material adverse effect on the business, properties, assets, liabilities, condition (financial or otherwise) or results of operations of the Partnership and its subsidiaries, taken as a whole;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in the case of clause (b), no fact, circumstance, effect, change, event or development resulting from or arising out of any of the following, individually or in the aggregate, will constitute or be taken into account in determining whether a material adverse effect has occurred, is continuing or would reasonably be expected to occur: (i) any change or condition affecting any industry in which the Partnership or any of its subsidiaries operates; (ii) any economic, legislative or political condition or any securities, credit, financial or other capital markets condition, in each case in the United States, in any foreign jurisdiction or in any specific geographical area, including changes in interest or exchange rates, monetary policy or inflation; (iii) any failure in and of itself by the Partnership or any of its subsidiaries to meet any internal or public projection, budget, forecast, estimate or prediction in respect of revenues, earnings or other financial or operating metrics for any period (it being understood that the underlying facts or occurrences giving rise to or contributing to such failure may be deemed to constitute, or be taken into account in determining whether there has or will be, a material adverse effect); (iv) the announcement or the pendency of the Merger (other than for purposes of the representations and warranties contained in Section 3.3(b) and Section 6.2(a) of the Merger Agreement to the extent related to such representations and warranties), including any unitholder litigation arising out of or related to the Merger Agreement; (v) any change in and of itself in the market price, credit rating or trading volume of Common Units on NYSE or any change affecting the ratings or the ratings outlook for the Partnership or any of its subsidiaries (it being understood that the underlying facts or occurrences giving rise to or contributing to such failure may be deemed to constitute, or be taken into account in determining whether there has or will be, a material adverse effect); (vi) any change in applicable law, regulation or IFRS (or authoritative interpretation thereof); (vii) social unrest, riots, protests, geopolitical conditions, the outbreak or escalation of hostilities, any act of war, cyberattack, sabotage or terrorism, or any escalation or worsening of any such act of war, cyberattack, sabotage or terrorism threatened or underway as of the date of the Merger Agreement (except that any damage or destruction of any vessels owned (in whole or in part) or chartered by the Partnership or its subsidiaries may be deemed to constitute, or be taken into account in determining whether there has or will be, a material adverse effect to the extent that losses resulting therefrom are not covered by insurance); (viii) the occurrence or worsening of any pandemic, epidemic, public health emergency or disease outbreak (including COVID-19) or (ix) any hurricane, strong winds, ice event, fire, tornado, tsunami, flood, earthquake or other natural or manmade disaster or severe weather-related event, circumstance or development (except that any damage or destruction of any vessels owned (in whole or in part) or chartered by the Partnership or its subsidiaries may be deemed to constitute, or be taken into account in determining whether there has or will be, a material adverse effect to the extent that losses resulting therefrom are not covered by insurance);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any fact, circumstance, effect, change, event or development set forth in clauses (i), (ii), (vi), (vii), (viii) and (ix) above may be taken into account in determining whether a material adverse effect has occurred to the extent such fact, circumstance, effect, change, event or development has a disproportionate adverse effect on the Partnership and its subsidiaries, taken as a whole, as compared to other companies operating in the industries in which the Partnership and its subsidiaries operate.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90</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Unitholder Approval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Partnership has agreed to hold a special meeting of its Common Unitholders as soon as is practicable after the date of the Merger Agreement for the purpose of voting on the approval of the Merger Agreement and the transactions contemplated thereby, including the Merger. The Merger Agreement requires the Partnership to submit the Merger Agreement to a vote of the Common Unitholders. In addition, the Partnership has agreed to use commercially reasonable efforts to solicit from the Common Unitholders proxies in favor of the Merger and to take all other action necessary or advisable to secure the Unitholder Approval. The Partnership Board has approved the Merger Agreement and the transactions contemplated thereby, including the Merger, and authorized that the Merger Agreement be submitted to the Common Unitholders for their consideration.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Solicitation by the Partnership of Alternative Proposals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Agreement, the Partnership has agreed that it will not, and will cause its subsidiaries and will use its commercially reasonable efforts to cause its officers, directors, equityholders, employees, agents, financial advisors, investment bankers, attorneys, accountants, consultants and other advisors and representatives not to, directly or indirectly, solicit, initiate, knowingly facilitate, knowingly encourage (including by way of furnishing non-public information) or knowingly induce or take any other action intended to lead to any inquiries or any proposals that constitute or could reasonably be expected to lead to any inquiry, proposal or offer from any person or “group” (as defined in Section 13(d) of the Exchange Act), other than Parent, its subsidiaries, and their affiliates, relating to (other than the transactions contemplated in the Merger Agreement and other than in the ordinary course of business) any:</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direct or indirect acquisition (whether in a single transaction or a series of related transactions and whether through merger, tender offer, exchange offer, business combination, consolidation or otherwise) of assets of the Partnership and its subsidiaries equal to 20% or more of the Partnership’s consolidated assets (based on their fair market value) or to which 20% or more of the Partnership’s revenues or earnings on a consolidated basis are attributable,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91</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direct or indirect acquisition (whether in a single transaction or a series of related transactions) of beneficial ownership (within the meaning of Section 13 under the Exchange Act) of any class of equity securities of the Partnership; or</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tender offer or exchange offer that if consummated would result in any person or “group” (as defined in Section 13(d) of the Exchange Act) beneficially owning any class of equity securities of the Partnership.</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in the Partnership Board Recommendation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provides that the Partnership will not, and will cause its subsidiaries and use its commercially reasonable efforts to cause its officers, directors, equityholders, employees, agents, financial advisors, investment bankers, attorneys, accountants, consultants and other advisors and representatives not to, directly or indirectly, withdraw, modify or qualify, or propose publicly to withdraw, modify or qualify, in a manner adverse to Parent, the recommendation of the Partnership Board that the Common Unitholders approve the Merger Agreement or fail to include such recommendation of the Partnership Board in this proxy statement.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Partnership’s taking or failing to take, as applicable, any of the actions described above is referred to as an “Adverse Recommendation Change”.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conditions described below, the Conflicts Committee may, on behalf of the Partnership Board, at any time prior to Unitholder Approval, effect an Adverse Recommendation Change if the following conditions are met:</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the Conflicts Committee determines in good faith, after consultation with its outside legal counsel, that the failure to effect an Adverse Recommendation Change would be adverse to the interests of the Unaffiliated Unitholders or would otherwise be a breach of its duties under the Partnership Agreement and applicable law;</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the Conflicts Committee has provided prior written notice to Parent at least five days in advance of its intention to take such action, unless at the time such notice is otherwise required to be given there are less than five days prior to the Special Meeting, in which case the Conflicts Committee will provide as much notice as is practicable (the “Notice Period”); and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 xml:space="preserve">during the Notice Period, the Conflicts Committee has negotiated, and has directed its financial advisors and outside legal counsel to negotiate, with Parent in good faith (to the extent Parent desires to negotiate) to make such adjustments in the terms and conditions of the Merger Agreement so that the failure to effect such Adverse Recommendation Change would not be adverse to the interests of the Unaffiliated Unitholders or would not otherwise be a breach of its duties under the Partnership Agreement and applicable law; </w:t>
            </w:r>
            <w:r>
              <w:rPr>
                <w:i/>
              </w:rPr>
              <w:t>provided</w:t>
            </w:r>
            <w:r>
              <w:rPr/>
              <w:t xml:space="preserve">, </w:t>
            </w:r>
            <w:r>
              <w:rPr>
                <w:i/>
              </w:rPr>
              <w:t>however</w:t>
            </w:r>
            <w:r>
              <w:rPr/>
              <w:t>, that the Conflicts Committee will take into account all changes to the terms of the Merger Agreement proposed by Parent in determining whether to make an Adverse Recommendation Change.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Consideration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provides that, in connection with the transactions contemplated by the Merger Agreement, holders of each Common Unit issued and outstanding immediately prior to the Effective Time, other than the Sponsor Units, will, assuming that such holders hold Common Units both on the record date of the Special Distribution (as defined below) and at the Effective Time, receive overall consideration of $8.65 per Common Unit, consisting of the Special Distribution and the Merger Consideration (as defined below). Upon completion of the Merger, each Common Unit issued and outstanding immediately prior to the Effective Time, other than the Sponsor Units, will be converted into the right to receive $5.37 per Common Unit in cash (the “Merger Consideration”), without interest and reduced by any applicable tax withholding. In addition, as soon as reasonably practicable following the Unitholder Approval, pursuant to the terms of the Merger Agreement, the Partnership Board will declare a special distribution of $3.28 per Common Unit (with a corresponding amount distributed in respect of each General Partner Unit) (the “Special Distribution”) with a record date on a business day prior to the anticipated closing date of the Merger and a payment date occurring on or prior to the closing date of the Merger, which dates will be reasonably agreed between the Partnership and Parent. The Sponsor Units will not be cancelled, will not be converted into the right to receive the Merger Consideration and will remain outstanding as Common Units following the Effective Time.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Before the closing date, Parent will appoint a paying agent reasonably acceptable to the Partnership to act as agent for the payment and delivery of the Merger Consideration. As soon as reasonably practicable after the Effective Time, but in no event more than three business days following the Effective Time, the paying agent will send, to each record holder of Common Units a notice of the effectiveness of the Merger and cash in an amount equal to the number of Common Units held by such record holder immediately prior to the Effective Time </w:t>
      </w:r>
      <w:r>
        <w:rPr>
          <w:rFonts w:ascii="Times New Roman;Times;Serif" w:hAnsi="Times New Roman;Times;Serif"/>
          <w:b w:val="false"/>
          <w:i/>
          <w:caps w:val="false"/>
          <w:smallCaps w:val="false"/>
          <w:sz w:val="20"/>
        </w:rPr>
        <w:t>multiplied</w:t>
      </w:r>
      <w:r>
        <w:rPr>
          <w:rFonts w:ascii="Times New Roman;Times;Serif" w:hAnsi="Times New Roman;Times;Serif"/>
          <w:b w:val="false"/>
          <w:i w:val="false"/>
          <w:caps w:val="false"/>
          <w:smallCaps w:val="false"/>
          <w:sz w:val="20"/>
        </w:rPr>
        <w:t xml:space="preserve"> by the Merger Consideration to which such holder is entitled under the Merger Agreement, and such Common Units will forthwith be cancelled.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prior to the closing, Parent will deposit or cause to be deposited with the paying agent an amount of cash sufficient to pay the aggregate Merger Consideration, such cash deposited with the paying agent and any amounts earned via the investment of such amounts referred to as the “Exchange Fund”. The paying agent will deliver the Merger Consideration contemplated to be paid pursuant to the Merger Agreement out of the Exchange Fund.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Treatment of General Partner Units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Merger, the General Partner Units issued and outstanding immediately prior to the Effective Time will remain outstanding and the General Partner will continue as the sole general partner of the Partnership and the sole record owner (and Parent will continue as the sole beneficial owner) of the General Partner Units.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Treatment of Preference Units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Preference Units will remain outstanding upon completion of the Merger and continue to trade on the NYSE immediately following completion of the Merger, and no party will deliver any merger consideration in respect of any Preference Unit.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Treatment of Partnership Awards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Partnership Restricted Unit, whether vested or unvested, that is outstanding immediately prior to the Effective Time, will automatically be cancelled at the Effective Time and converted into the right to receive a cash payment equal to the sum of (a) the product of (i) the number of Common Units subject to such award as of immediately prior to the Effective Time and (ii) the Merger Consideration and (b) the amount of accrued but unpaid distributions, including the Special Distribution, with respect to such award as of immediately prior to the Effective Time, and for purposes of the foregoing, with performance goals deemed achieved based on actual achievement of any performance goals as of immediately prior to the Effective Time.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Adjustments to Prevent Dilution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issued and outstanding Common Units change into a different number of Common Units or a different class by reason of the occurrence or record date of any unit distribution, subdivision, reclassification, recapitalization, split, combination, exchange of units or similar transaction between the date of the Merger Agreement and the Effective Time, the Merger Consideration will be appropriately adjusted to reflect such unit distribution, subdivision, reclassification, recapitalization, split, combination, exchange of units or similar transaction.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Withholding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its subsidiaries and the paying agent will be entitled to deduct and withhold from the consideration otherwise payable to a holder of Common Units such amounts as are required to be deducted and withheld with respect to the making of such payment under the U.S. Internal Revenue Code of 1986, as amended (the “Code”), or under any provision of applicable U.S. federal, state, local or foreign tax law. To the extent that amounts are so withheld and timely paid over to the appropriate tax authority in accordance with applicable law, such withheld amounts will be treated as having been paid to the former holder of Common Units in respect of whom such withholding was made. Parent and its subsidiaries, the paying agent and the Partnership will reasonably cooperate in order to reduce or eliminate any amounts that would otherwise be required to be deducted or withheld from payments made pursuant to the Merger Agreement under applicable tax law.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Conflicts Committee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Effective Time, neither the General Partner nor Parent nor their representatives will, without the consent of the Conflicts Committee, cause or take any action that would cause the elimination of the Conflicts Committee, or revoke or diminish the authority of the Conflicts Committee or remove or cause the removal of any director of the Partnership Board that is a member of the Conflicts Committee either as a member of the Partnership Board or the Conflicts Committee, without the affirmative vote of the Conflicts Committee, except to fill vacancies caused by the death, incapacity or resignation of any director in accordance with the Partnership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Regulatory Matters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Partnership, the General Partner, Parent and Merger Sub have agreed to cooperate with the other parties and use (including to cause their respective subsidiaries to use) commercially reasonable efforts to promptly (a) take, or cause to be taken, all actions, and do, or cause to be done, and assist and cooperate with the other parties hereto in doing, all things necessary, proper or advisable to cause the conditions to closing of the Merger applicable to such party to be satisfied as promptly as reasonably practicable (and in any event no later than the Outside Date) and to consummate and make effective, in the most expeditious manner reasonably practicable, the transactions contemplated in the Merger Agreement, including the Merger, (b) obtain all consents, waivers, approvals, clearances, orders, licenses, permits, orders, non-objections, non-actions, expirations of waiting periods or authorizations (each, a “Consent”) (including any Consents required under applicable antitrust laws) from any governmental authority or third party necessary, proper, or advisable to consummate the transactions contemplated in the Merger Agreement, including the Merger, (c) to take all steps that are necessary, proper or advisable to avoid any proceeding by any governmental authorities with respect to the Merger Agreement or the transactions contemplated therein, including the Merger and (d) defend or contest in good faith any proceeding by any third party, whether judicial or administrative, challenging the Merger Agreement or that could otherwise prevent or impede, interfere with, hinder or delay in any material respect the consummation of the transactions contemplated therein. Parent and the Partnership have also agreed to each use its commercially reasonable efforts to (i) take all action necessary to ensure that no “fair price”, “moratorium”, “control share acquisition” or other similar anti-takeover statute or similar statute or regulation is or becomes applicable to any of the transactions contemplated in the Merger Agreement, including the Merger, and refrain from taking any actions that would cause the applicability of such laws and (ii) if the restrictions of any such laws become applicable to any of the transactions contemplated in the Merger Agreement, including the Merger, take all action necessary to ensure that such transactions, including the Merger, may be consummated as promptly as practicable on the terms contemplated in the Merger Agreement and otherwise lawfully minimize the effect of such law on such transactions.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 of the Merger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or the Partnership may terminate the Merger Agreement at any time prior to the Effective Time, by mutual written consent duly authorized by each of the Parent Board and the Conflicts Committee, respectively.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95</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either Parent or, following authorization by the Conflicts Committee, the Partnership may terminate the Merger Agreement at any time prior to the Effective Time:</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 xml:space="preserve">if the Merger has not occurred on or before the Outside Date (such termination, an “Outside Date Termination”); </w:t>
            </w:r>
            <w:r>
              <w:rPr>
                <w:i/>
              </w:rPr>
              <w:t xml:space="preserve">provided </w:t>
            </w:r>
            <w:r>
              <w:rPr/>
              <w:t>that the right to terminate the Merger Agreement if the Merger has not occurred on or before the Outside Date will not be available to a party (a) if the breach by such party of its representations and warranties set forth in the Merger Agreement or the failure of such party or its affiliates to perform any of its obligations under the Merger Agreement, its failure to act in good faith or its failure to use commercially reasonable efforts to consummate the transactions contemplated by the Merger Agreement were a principal cause of or resulted in the failure of the Merger to be consummated on or prior to the Outside Date or (b) if any other party has filed (and is then pursuing) an action seeking specific performance to enforce the obligations under the Merger Agreement;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 xml:space="preserve">if any governmental authority has enacted, promulgated, issued, entered, amended or enforced an injunction, order, judgment, ruling, decree or writ that in effect enjoins, restrains, or otherwise makes illegal, prevents or prohibits the consummation of the Merger and that has become final and nonappealable; </w:t>
            </w:r>
            <w:r>
              <w:rPr>
                <w:i/>
              </w:rPr>
              <w:t>provided</w:t>
            </w:r>
            <w:r>
              <w:rPr/>
              <w:t xml:space="preserve">, </w:t>
            </w:r>
            <w:r>
              <w:rPr>
                <w:i/>
              </w:rPr>
              <w:t>however</w:t>
            </w:r>
            <w:r>
              <w:rPr/>
              <w:t>, that the party seeking to terminate the Merger Agreement will have performed in all material respects its obligations under the Merger Agreement, acted in good faith and used commercially reasonable efforts to prevent the entry of and to remove such restraint on the consummation of the Merger in accordance with its obligations under the Merger Agreement; or</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 xml:space="preserve">if the Special Meeting has concluded and the Unitholder Approval has not been obtained (such termination, a “Unitholder Approval Failure Termination”); </w:t>
            </w:r>
            <w:r>
              <w:rPr>
                <w:i/>
              </w:rPr>
              <w:t>provided</w:t>
            </w:r>
            <w:r>
              <w:rPr/>
              <w:t xml:space="preserve">, </w:t>
            </w:r>
            <w:r>
              <w:rPr>
                <w:i/>
              </w:rPr>
              <w:t>however</w:t>
            </w:r>
            <w:r>
              <w:rPr/>
              <w:t>, that the right to terminate will be available to a party only if such party performed in all material respects its obligations under the Merger Agreement with respect to the Special Meeting.</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Parent may terminate the Merger Agreement at any time prior to the Effective Time:</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if an Adverse Recommendation Change by the Conflicts Committee on behalf of the Partnership Board has occurred (such termination, an “Adverse Recommendation Change Termination”); or</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 xml:space="preserve">if the Partnership breached any of its representations or warranties or failed to perform any of its obligations or agreements in the Merger Agreement such that such breach or failure to perform (a) would (if it occurred or was continuing as of the closing date) give rise to a failure by the Partnership to adhere to its representations and warranties, or a failure by the Partnership to perform in all material respects all obligations required to be performed by it under the Merger Agreement, and (b) is not reasonably capable of being cured prior to the Outside Date, or is not cured by the Partnership within 30 days following receipt of written notice from Parent of such breach or failure stating Parent’s intention to terminate the Merger Agreement (or in any event, is not cured by the Outside Date) (such termination, a “Partnership Breach Termination”); </w:t>
            </w:r>
            <w:r>
              <w:rPr>
                <w:i/>
              </w:rPr>
              <w:t xml:space="preserve">provided </w:t>
            </w:r>
            <w:r>
              <w:rPr/>
              <w:t>that Parent will not have the right to terminate if Parent, the General Partner or Merger Sub is then in material breach of any of its representations, warranties, obligations or agreements contained in the Merger Agreement.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96</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the Partnership may terminate the Merger Agreement at any time prior to the Effective Time if Parent, the General Partner or Merger Sub breached any of its representations or warranties or failed to perform any of its obligations or agreements in the Merger Agreement such that such breach or failure to perform (a) would (if it occurred or was continuing as of the closing date) give rise to a failure by Parent, the General Partner or Merger Sub to adhere to their representations and warranties, or a failure by Parent, the General Partner or Merger Sub to perform in all material respects all obligations required to be performed by them under the Merger Agreement, and (b) is not reasonably capable of being cured prior to the Outside Date, or is not cured by Parent, the General Partner or Merger Sub, as applicable, within 30 days following receipt of written notice from the Partnership of such breach or failure stating the Partnership’s intention to terminate the Merger Agreement (such termination, a “Parent Breach Termination”);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Partnership will not have the right to terminate (i) if the Partnership is then in material breach of any of its representations, warranties, obligations or agreements contained in the Merger Agreement and (ii) without such termination first being authorized by the Conflicts Committee.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and Expenses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all fees and expenses incurred in connection with the transactions contemplated by the Merger Agreement will be the obligation of the respective party incurring such fees and expenses. Expenses relating to the preparation, printing, filing and mailing of this proxy statement and the solicitation of the Unitholder Approval will be paid 50% by Parent and 50% by the Partnership.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Merger Agreement is terminated (a)(i) by either Parent or, following authorization by the Conflicts Committee, the Partnership pursuant to an Outside Date Termination or an Unitholder Approval Failure Termination at a time when the Merger Agreement is terminable by Parent pursuant to an Adverse Recommendation Change Termination or (ii) by Parent pursuant to an Adverse Recommendation Change Termination or Partnership Breach Termination, the Partnership will pay Parent its reasonable and documented out-of-pocket costs and expenses (including outside attorney’s fees and disbursements) incurred in connection with the Merger Agreement, the Support Agreement and the Debt Commitment Letter and the transactions contemplated thereby or (b) by the Partnership pursuant to a Parent Breach Termination, Parent shall pay the Partnership its reasonable and documented out-of-pocket costs and expenses (including outside attorney’s fees and disbursements) incurred in connection with the Merger Agreement, the Support Agreement and the Debt Commitment Letter and the transactions contemplated thereby; provided that in no event shall the Partnership or Parent, as applicable, be required to provide such reimbursement in an aggregate amount in excess of $5,000,000. For more information, see “Proposal No. 1 – The Merger Agreement – Termination of the Merger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Conduct of Business Pending the Consummation of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Merger Agreement, the Partnership has undertaken certain covenants that place restrictions on it and its subsidiaries from the date of the Merger Agreement until the earlier of the termination of the Merger Agreement in accordance with its terms and the Effective Time. In general, the Partnership has agreed to, and to cause each of its subsidiaries to, (a) conduct its business in the ordinary course of business consistent with past practice and (b) to the extent consistent with clause (a), use commercially reasonable efforts to maintain and preserve intact its business organization, existing relations with key customers, suppliers and other persons with whom the Partnership and its subsidiaries have significant business relationships and the goodwill and reputation of the Partnership’s and its subsidiaries’ respective businesses.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97</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the Partnership and its subsidiaries may take actions as may be reasonably necessary with respect to (a) any operational or maritime emergencies, equipment failures or an immediate and material threat to the health or safety of natural persons, property, vessels owned (in whole or in part) or chartered by the Partnership or its subsidiaries or the environment and (b) the actual or anticipated effects of COVID 19 or any COVID-19 Measures (as defined in the Merger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each case, the Partnership will promptly notify Parent of any such situation to the extent it involves any immediate and material threat to the health or safety of natural persons, property, vessels owned (in whole or in part) or chartered by the Partnership or its subsidiaries or the environment and any actions taken in response thereto.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 Directors’ and Officers’ Insurance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provides, from and after the Effective Time, to the fullest extent that the Partnership or any applicable subsidiary thereof would be permitted to indemnify past and present directors or officers of the Partnership or any of its subsidiaries, Parent will (or will cause the Surviving Entity to) (a) indemnify and hold harmless against any costs or expenses (including attorneys’ fees), judgments, fines, losses, claims, damages or liabilities and amounts paid in settlement (including all interest, assessments and other charges paid or payable in connection with or in respect of any thereof) in connection with any proceeding based on or arising out of (i) the fact that such indemnified person was a director or officer of the Partnership or any of its subsidiaries or (ii) acts or omissions by such indemnified person in such person’s capacity as a director or officer of the Partnership or any of its subsidiaries or taken at the request of the Partnership or any of its subsidiaries (in each case, at or prior to the Effective Time), and provide advancement promptly, and in any event within 10 days after any written request, of expenses to, all indemnified persons to the fullest extent permitted under applicable law and (b) honor the provisions regarding elimination of liability of directors, indemnification of officers and directors and advancement of expenses contained in the Partnership Agreement and organizational documents of any applicable subsidiary of the Partnership immediately prior to the Effective Time and ensure that the organizational documents of the Surviving Entity and its subsidiaries will, for a period of six years following the Effective Time, contain provisions no less favorable with respect to indemnification, advancement of expenses and exculpation of present and former directors and officers of the Partnership and its subsidiaries than are presently set forth in the Partnership Agreement and such other organizational documents. Any such right of indemnification described above will not be amended, repealed or otherwise modified at any time in a manner that would adversely affect the rights of the indemnified person described above.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98</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Surviving Entity will maintain in effect for three years from the Effective Time (the “Initial Coverage Period”) the Partnership’s current directors’ and officers’ liability insurance policies covering acts or omissions occurring at or prior to the Effective Time with respect to the past and present directors and officers of the Partnership or any of its subsidiaries;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with the written consent of the Partnership obtained prior to the Effective Time, the Surviving Entity may substitute therefor policies with reputable carriers of at least the same coverage containing terms and conditions that are no less favorable to the past and present directors and officers of the Partnership or any of its subsidiaries;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in no event will the Surviving Entity be required to expend more than an amount per year equal to 200% of current annual premiums paid by the Partnership for such insurance (the “Maximum Amount”). If the Surviving Entity would be required to expend more than the Maximum Amount, then the Surviving Entity will obtain the maximum amount of such insurance as is available for the Maximum Amount. The Partnership may, prior to the Effective Time, purchase a “tail policy” with respect to acts or omissions occurring or alleged to have occurred prior to the Effective Time that were committed or alleged to have been committed by any past and present directors and officers of the Partnership or any of its subsidiaries in their capacity as such;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cost of the tail policy will be borne by the Surviving Entity and in no event will the cost of such tail policy exceed the Maximum Amount.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Surviving Entity will maintain in effect for three years following the Initial Coverage Period directors’ and officers’ liability insurance policies, covering acts or omissions occurring at or prior to the Effective Time with respect to the past and present directors and officers of the Partnership or any of its subsidiaries, with reputable carriers and with coverage containing terms and conditions that are no less favorable to the past and present directors and officers of the Partnership and its subsidiaries than the directors’ and officers’ liability insurance policies then-maintained for the directors and officers of Parent (and in any event, providing no less than $40,000,000 of coverage).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and Waiver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any time prior to the Effective Time and subject to compliance with applicable law, whether before or after Unitholder Approval, the parties may, by written agreement, amend the Merger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following receipt of the Unitholder Approval, no amendment or change to the provisions of the Merger Agreement will be made which by applicable law would require further approval by Common Unitholders without such approval having first been obtained; and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the Partnership may not, without the prior written approval of the Conflicts Committee, agree to any amendment or modification of the Merger Agreement.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expressly set forth in the Merger Agreement, whenever a determination, decision, approval or consent of the Partnership is required pursuant to the Merger Agreement, such determination, decision, approval or consent must be authorized by the Conflicts Committee.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99</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prior to the Effective Time, any party to the Merger Agreement may, subject to applicable law:</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waive any inaccuracies in the representations and warranties of any other party contained in the Merger Agreement;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extend the time for the performance of any of the obligations or acts of any other party provided for in the Merger Agreement; or</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subject to applicable law, waive compliance by any other party with any of the agreements or, except as otherwise provided in the Merger Agreement, conditions contained in the Merger Agreement.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 the Partnership may not make or authorize any such waiver or extension without the prior approval of the Conflicts Committee and (b) following receipt of the Unitholder Approval, no waiver or extension will be made which by applicable law would require further approval by Common Unitholders without such approval having first been obtained.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Remedies; Specific Performance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termination of the Merger Agreement, the Merger Agreement provides that nothing in the Merger Agreement will relieve any party from any liability for any failure to consummate the transactions when required pursuant to the Merger Agreement or any party from liability for fraud or a willful breach of any covenant or agreement contained in the Merger Agreement. The Merger Agreement also provides that the parties are entitled to obtain an injunction to prevent breaches of the Merger Agreement and to specifically enforce the Merger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Representations and Warranties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contains representations and warranties made by the Partnership, the General Partner, Parent and Merger Sub. These representations and warranties have been made solely for the benefit of the other parties to the Merger Agreement and:</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may be intended not as statements of fact or of the condition of the parties to the Merger Agreement or their respective subsidiaries, but rather as a way of allocating the risk to one of the parties if those statements prove to be inaccurate;</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have been qualified by disclosures that were made to the other party in connection with the negotiation of the Merger Agreement, which disclosures may not be reflected in the Merger Agreement;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may apply standards of materiality in a way that is different from what may be viewed as material to you or other investors; and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were made only as of the date of the Merger Agreement or such other date or dates as may be specified in the Merger Agreement and are subject to more recent developments.</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100</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representations and warranties made by the Partnership and its subsidiaries to Parent, the General Partner and Merger Sub relate to, among other things:</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13"/>
        <w:gridCol w:w="374"/>
        <w:gridCol w:w="9718"/>
      </w:tblGrid>
      <w:tr>
        <w:trPr/>
        <w:tc>
          <w:tcPr>
            <w:tcW w:w="113"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rFonts w:ascii="Symbol" w:hAnsi="Symbol"/>
              </w:rPr>
            </w:pPr>
            <w:r>
              <w:rPr>
                <w:rFonts w:ascii="Symbol" w:hAnsi="Symbol"/>
              </w:rPr>
              <w:t>·</w:t>
            </w:r>
          </w:p>
        </w:tc>
        <w:tc>
          <w:tcPr>
            <w:tcW w:w="9718" w:type="dxa"/>
            <w:tcBorders/>
            <w:shd w:fill="auto" w:val="clear"/>
            <w:vAlign w:val="center"/>
          </w:tcPr>
          <w:p>
            <w:pPr>
              <w:pStyle w:val="TableContents"/>
              <w:spacing w:before="0" w:after="283"/>
              <w:rPr/>
            </w:pPr>
            <w:r>
              <w:rPr/>
              <w:t>organization, standing and power;</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57"/>
        <w:gridCol w:w="849"/>
        <w:gridCol w:w="9099"/>
      </w:tblGrid>
      <w:tr>
        <w:trPr/>
        <w:tc>
          <w:tcPr>
            <w:tcW w:w="257"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rFonts w:ascii="Symbol" w:hAnsi="Symbol"/>
              </w:rPr>
            </w:pPr>
            <w:r>
              <w:rPr>
                <w:rFonts w:ascii="Symbol" w:hAnsi="Symbol"/>
              </w:rPr>
              <w:t>·</w:t>
            </w:r>
          </w:p>
        </w:tc>
        <w:tc>
          <w:tcPr>
            <w:tcW w:w="9099" w:type="dxa"/>
            <w:tcBorders/>
            <w:shd w:fill="auto" w:val="clear"/>
            <w:vAlign w:val="center"/>
          </w:tcPr>
          <w:p>
            <w:pPr>
              <w:pStyle w:val="TableContents"/>
              <w:spacing w:before="0" w:after="283"/>
              <w:rPr/>
            </w:pPr>
            <w:r>
              <w:rPr/>
              <w:t>capitalization;</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approval and authorization of the Merger Agreement and the transactions contemplated by the Merger Agreement and any conflicts created by such transactions;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required consents and approvals of governmental authorities in connection with the transactions contemplated by the Merger Agreement;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03"/>
        <w:gridCol w:w="668"/>
        <w:gridCol w:w="9334"/>
      </w:tblGrid>
      <w:tr>
        <w:trPr/>
        <w:tc>
          <w:tcPr>
            <w:tcW w:w="203"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rFonts w:ascii="Symbol" w:hAnsi="Symbol"/>
              </w:rPr>
            </w:pPr>
            <w:r>
              <w:rPr>
                <w:rFonts w:ascii="Symbol" w:hAnsi="Symbol"/>
              </w:rPr>
              <w:t>·</w:t>
            </w:r>
          </w:p>
        </w:tc>
        <w:tc>
          <w:tcPr>
            <w:tcW w:w="9334" w:type="dxa"/>
            <w:tcBorders/>
            <w:shd w:fill="auto" w:val="clear"/>
            <w:vAlign w:val="center"/>
          </w:tcPr>
          <w:p>
            <w:pPr>
              <w:pStyle w:val="TableContents"/>
              <w:spacing w:before="0" w:after="283"/>
              <w:rPr/>
            </w:pPr>
            <w:r>
              <w:rPr/>
              <w:t>legal proceedings;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64"/>
        <w:gridCol w:w="214"/>
        <w:gridCol w:w="9927"/>
      </w:tblGrid>
      <w:tr>
        <w:trPr/>
        <w:tc>
          <w:tcPr>
            <w:tcW w:w="6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rFonts w:ascii="Symbol" w:hAnsi="Symbol"/>
              </w:rPr>
            </w:pPr>
            <w:r>
              <w:rPr>
                <w:rFonts w:ascii="Symbol" w:hAnsi="Symbol"/>
              </w:rPr>
              <w:t>·</w:t>
            </w:r>
          </w:p>
        </w:tc>
        <w:tc>
          <w:tcPr>
            <w:tcW w:w="9927" w:type="dxa"/>
            <w:tcBorders/>
            <w:shd w:fill="auto" w:val="clear"/>
            <w:vAlign w:val="center"/>
          </w:tcPr>
          <w:p>
            <w:pPr>
              <w:pStyle w:val="TableContents"/>
              <w:spacing w:before="0" w:after="283"/>
              <w:rPr/>
            </w:pPr>
            <w:r>
              <w:rPr/>
              <w:t>information supplied in connection with this proxy statement;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35"/>
        <w:gridCol w:w="447"/>
        <w:gridCol w:w="9623"/>
      </w:tblGrid>
      <w:tr>
        <w:trPr/>
        <w:tc>
          <w:tcPr>
            <w:tcW w:w="135"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rFonts w:ascii="Symbol" w:hAnsi="Symbol"/>
              </w:rPr>
            </w:pPr>
            <w:r>
              <w:rPr>
                <w:rFonts w:ascii="Symbol" w:hAnsi="Symbol"/>
              </w:rPr>
              <w:t>·</w:t>
            </w:r>
          </w:p>
        </w:tc>
        <w:tc>
          <w:tcPr>
            <w:tcW w:w="9623" w:type="dxa"/>
            <w:tcBorders/>
            <w:shd w:fill="auto" w:val="clear"/>
            <w:vAlign w:val="center"/>
          </w:tcPr>
          <w:p>
            <w:pPr>
              <w:pStyle w:val="TableContents"/>
              <w:spacing w:before="0" w:after="283"/>
              <w:rPr/>
            </w:pPr>
            <w:r>
              <w:rPr/>
              <w:t>opinion of financial advisor;</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22"/>
        <w:gridCol w:w="405"/>
        <w:gridCol w:w="9678"/>
      </w:tblGrid>
      <w:tr>
        <w:trPr/>
        <w:tc>
          <w:tcPr>
            <w:tcW w:w="122"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rFonts w:ascii="Symbol" w:hAnsi="Symbol"/>
              </w:rPr>
            </w:pPr>
            <w:r>
              <w:rPr>
                <w:rFonts w:ascii="Symbol" w:hAnsi="Symbol"/>
              </w:rPr>
              <w:t>·</w:t>
            </w:r>
          </w:p>
        </w:tc>
        <w:tc>
          <w:tcPr>
            <w:tcW w:w="9678" w:type="dxa"/>
            <w:tcBorders/>
            <w:shd w:fill="auto" w:val="clear"/>
            <w:vAlign w:val="center"/>
          </w:tcPr>
          <w:p>
            <w:pPr>
              <w:pStyle w:val="TableContents"/>
              <w:spacing w:before="0" w:after="283"/>
              <w:rPr/>
            </w:pPr>
            <w:r>
              <w:rPr/>
              <w:t>brokers and other advisors; and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75"/>
        <w:gridCol w:w="247"/>
        <w:gridCol w:w="9883"/>
      </w:tblGrid>
      <w:tr>
        <w:trPr/>
        <w:tc>
          <w:tcPr>
            <w:tcW w:w="75"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rFonts w:ascii="Symbol" w:hAnsi="Symbol"/>
              </w:rPr>
            </w:pPr>
            <w:r>
              <w:rPr>
                <w:rFonts w:ascii="Symbol" w:hAnsi="Symbol"/>
              </w:rPr>
              <w:t>·</w:t>
            </w:r>
          </w:p>
        </w:tc>
        <w:tc>
          <w:tcPr>
            <w:tcW w:w="9883" w:type="dxa"/>
            <w:tcBorders/>
            <w:shd w:fill="auto" w:val="clear"/>
            <w:vAlign w:val="center"/>
          </w:tcPr>
          <w:p>
            <w:pPr>
              <w:pStyle w:val="TableContents"/>
              <w:spacing w:before="0" w:after="283"/>
              <w:rPr/>
            </w:pPr>
            <w:r>
              <w:rPr/>
              <w:t>absence of additional representations and warranties.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representations and warranties made by Parent, the General Partner and Merger Sub to the Partnership and its subsidiaries relate to, among other things:</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13"/>
        <w:gridCol w:w="374"/>
        <w:gridCol w:w="9718"/>
      </w:tblGrid>
      <w:tr>
        <w:trPr/>
        <w:tc>
          <w:tcPr>
            <w:tcW w:w="113"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rFonts w:ascii="Symbol" w:hAnsi="Symbol"/>
              </w:rPr>
            </w:pPr>
            <w:r>
              <w:rPr>
                <w:rFonts w:ascii="Symbol" w:hAnsi="Symbol"/>
              </w:rPr>
              <w:t>·</w:t>
            </w:r>
          </w:p>
        </w:tc>
        <w:tc>
          <w:tcPr>
            <w:tcW w:w="9718" w:type="dxa"/>
            <w:tcBorders/>
            <w:shd w:fill="auto" w:val="clear"/>
            <w:vAlign w:val="center"/>
          </w:tcPr>
          <w:p>
            <w:pPr>
              <w:pStyle w:val="TableContents"/>
              <w:spacing w:before="0" w:after="283"/>
              <w:rPr/>
            </w:pPr>
            <w:r>
              <w:rPr/>
              <w:t>organization, standing and power;</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93"/>
        <w:gridCol w:w="309"/>
        <w:gridCol w:w="9803"/>
      </w:tblGrid>
      <w:tr>
        <w:trPr/>
        <w:tc>
          <w:tcPr>
            <w:tcW w:w="93"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rFonts w:ascii="Symbol" w:hAnsi="Symbol"/>
              </w:rPr>
            </w:pPr>
            <w:r>
              <w:rPr>
                <w:rFonts w:ascii="Symbol" w:hAnsi="Symbol"/>
              </w:rPr>
              <w:t>·</w:t>
            </w:r>
          </w:p>
        </w:tc>
        <w:tc>
          <w:tcPr>
            <w:tcW w:w="9803" w:type="dxa"/>
            <w:tcBorders/>
            <w:shd w:fill="auto" w:val="clear"/>
            <w:vAlign w:val="center"/>
          </w:tcPr>
          <w:p>
            <w:pPr>
              <w:pStyle w:val="TableContents"/>
              <w:spacing w:before="0" w:after="283"/>
              <w:rPr/>
            </w:pPr>
            <w:r>
              <w:rPr/>
              <w:t>operations and ownership of Merger Sub;</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approval and authorization of the Merger Agreement and the transactions contemplated by the Merger Agreement and any conflicts created by such transactions;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required consents and approvals of governmental authorities in connection with the transactions contemplated by the Merger Agreement;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03"/>
        <w:gridCol w:w="668"/>
        <w:gridCol w:w="9334"/>
      </w:tblGrid>
      <w:tr>
        <w:trPr/>
        <w:tc>
          <w:tcPr>
            <w:tcW w:w="203"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rFonts w:ascii="Symbol" w:hAnsi="Symbol"/>
              </w:rPr>
            </w:pPr>
            <w:r>
              <w:rPr>
                <w:rFonts w:ascii="Symbol" w:hAnsi="Symbol"/>
              </w:rPr>
              <w:t>·</w:t>
            </w:r>
          </w:p>
        </w:tc>
        <w:tc>
          <w:tcPr>
            <w:tcW w:w="9334" w:type="dxa"/>
            <w:tcBorders/>
            <w:shd w:fill="auto" w:val="clear"/>
            <w:vAlign w:val="center"/>
          </w:tcPr>
          <w:p>
            <w:pPr>
              <w:pStyle w:val="TableContents"/>
              <w:spacing w:before="0" w:after="283"/>
              <w:rPr/>
            </w:pPr>
            <w:r>
              <w:rPr/>
              <w:t>legal proceedings;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41"/>
        <w:gridCol w:w="793"/>
        <w:gridCol w:w="9171"/>
      </w:tblGrid>
      <w:tr>
        <w:trPr/>
        <w:tc>
          <w:tcPr>
            <w:tcW w:w="241"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rFonts w:ascii="Symbol" w:hAnsi="Symbol"/>
              </w:rPr>
            </w:pPr>
            <w:r>
              <w:rPr>
                <w:rFonts w:ascii="Symbol" w:hAnsi="Symbol"/>
              </w:rPr>
              <w:t>·</w:t>
            </w:r>
          </w:p>
        </w:tc>
        <w:tc>
          <w:tcPr>
            <w:tcW w:w="9171" w:type="dxa"/>
            <w:tcBorders/>
            <w:shd w:fill="auto" w:val="clear"/>
            <w:vAlign w:val="center"/>
          </w:tcPr>
          <w:p>
            <w:pPr>
              <w:pStyle w:val="TableContents"/>
              <w:spacing w:before="0" w:after="283"/>
              <w:rPr/>
            </w:pPr>
            <w:r>
              <w:rPr/>
              <w:t>debt financing;</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101</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64"/>
        <w:gridCol w:w="214"/>
        <w:gridCol w:w="9927"/>
      </w:tblGrid>
      <w:tr>
        <w:trPr/>
        <w:tc>
          <w:tcPr>
            <w:tcW w:w="6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rFonts w:ascii="Symbol" w:hAnsi="Symbol"/>
              </w:rPr>
            </w:pPr>
            <w:r>
              <w:rPr>
                <w:rFonts w:ascii="Symbol" w:hAnsi="Symbol"/>
              </w:rPr>
              <w:t>·</w:t>
            </w:r>
          </w:p>
        </w:tc>
        <w:tc>
          <w:tcPr>
            <w:tcW w:w="9927" w:type="dxa"/>
            <w:tcBorders/>
            <w:shd w:fill="auto" w:val="clear"/>
            <w:vAlign w:val="center"/>
          </w:tcPr>
          <w:p>
            <w:pPr>
              <w:pStyle w:val="TableContents"/>
              <w:spacing w:before="0" w:after="283"/>
              <w:rPr/>
            </w:pPr>
            <w:r>
              <w:rPr/>
              <w:t>information supplied in connection with this proxy statement;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00"/>
        <w:gridCol w:w="332"/>
        <w:gridCol w:w="9773"/>
      </w:tblGrid>
      <w:tr>
        <w:trPr/>
        <w:tc>
          <w:tcPr>
            <w:tcW w:w="100"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rFonts w:ascii="Symbol" w:hAnsi="Symbol"/>
              </w:rPr>
            </w:pPr>
            <w:r>
              <w:rPr>
                <w:rFonts w:ascii="Symbol" w:hAnsi="Symbol"/>
              </w:rPr>
              <w:t>·</w:t>
            </w:r>
          </w:p>
        </w:tc>
        <w:tc>
          <w:tcPr>
            <w:tcW w:w="9773" w:type="dxa"/>
            <w:tcBorders/>
            <w:shd w:fill="auto" w:val="clear"/>
            <w:vAlign w:val="center"/>
          </w:tcPr>
          <w:p>
            <w:pPr>
              <w:pStyle w:val="TableContents"/>
              <w:spacing w:before="0" w:after="283"/>
              <w:rPr/>
            </w:pPr>
            <w:r>
              <w:rPr/>
              <w:t>ownership of partnership interests; and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75"/>
        <w:gridCol w:w="247"/>
        <w:gridCol w:w="9883"/>
      </w:tblGrid>
      <w:tr>
        <w:trPr/>
        <w:tc>
          <w:tcPr>
            <w:tcW w:w="75"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rFonts w:ascii="Symbol" w:hAnsi="Symbol"/>
              </w:rPr>
            </w:pPr>
            <w:r>
              <w:rPr>
                <w:rFonts w:ascii="Symbol" w:hAnsi="Symbol"/>
              </w:rPr>
              <w:t>·</w:t>
            </w:r>
          </w:p>
        </w:tc>
        <w:tc>
          <w:tcPr>
            <w:tcW w:w="9883" w:type="dxa"/>
            <w:tcBorders/>
            <w:shd w:fill="auto" w:val="clear"/>
            <w:vAlign w:val="center"/>
          </w:tcPr>
          <w:p>
            <w:pPr>
              <w:pStyle w:val="TableContents"/>
              <w:spacing w:before="0" w:after="283"/>
              <w:rPr/>
            </w:pPr>
            <w:r>
              <w:rPr/>
              <w:t>absence of additional representations and warranties.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Distributions for Periods Prior to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Merger Agreement, if permitted by applicable law, the Partnership will declare and pay regular quarterly cash distributions to Common Unitholders (including the Unaffiliated Unitholders) and holders of the Preference Units for each completed calendar quarter ending prior to the closing date, consistent with past practice, in an amount not to be less than $0.01 per Common Unit in each case consistent with customary declaration, record and payment dates and, with respect to Preference Units, in accordance with their terms.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Agreements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also contains covenants relating to cooperation in the preparation of this proxy statement and additional agreements relating to, among other things, access to information, notice of specified matters, public announcements and the Special Distribution.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SUPPORT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describes the material provisions of the Support Agreement, a copy of which is attached as Annex B to this proxy statement and incorporated by reference herein. The description in this section and elsewhere in this proxy statement is qualified in its entirety by reference to the Support Agreement. This summary does not purport to be complete and may not contain all of the information about the Support Agreement that is important to you. Parent and the Partnership encourage you to read carefully the Support Agreement in its entirety before making any decisions regarding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6, 2023, the Partnership entered into the Support Agreement with Parent. Under the Support Agreement, Parent has agreed to appear at the Special Meeting and vote all of its Common Units in favor of the Merger Agreement and transactions contemplated thereby, including the Merger, subject to the qualifications set forth below. As of                     , 2023, Parent owns 15,621,602 Common Units (representing 30.2% of the Common Units issued and outstanding as of the record date for the Special Meeting) (the “Subject Common Units”).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Support Covenants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has agreed that, prior to the earliest of (x) Unitholder Approval being obtained, (y) the termination of the Merger Agreement or (z) the termination of the Support Agreement by the written consent of the parties thereto and the Conflicts Committee (such earliest date, the “Termination Date”), at any meeting of Common Unitholders (whether annual or special and whether or not an adjourned or postponed meeting), however called, Parent will appear at such meeting or otherwise cause the Subject Common Units to be counted as present at such meeting for purpose of establishing a quorum and vote, or cause to be voted at such meeting, all Subject Common Units:</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0"/>
        <w:gridCol w:w="133"/>
        <w:gridCol w:w="10032"/>
      </w:tblGrid>
      <w:tr>
        <w:trPr/>
        <w:tc>
          <w:tcPr>
            <w:tcW w:w="4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rFonts w:ascii="Symbol" w:hAnsi="Symbol"/>
              </w:rPr>
            </w:pPr>
            <w:r>
              <w:rPr>
                <w:rFonts w:ascii="Symbol" w:hAnsi="Symbol"/>
              </w:rPr>
              <w:t>·</w:t>
            </w:r>
          </w:p>
        </w:tc>
        <w:tc>
          <w:tcPr>
            <w:tcW w:w="10032" w:type="dxa"/>
            <w:tcBorders/>
            <w:shd w:fill="auto" w:val="clear"/>
            <w:vAlign w:val="center"/>
          </w:tcPr>
          <w:p>
            <w:pPr>
              <w:pStyle w:val="TableContents"/>
              <w:spacing w:before="0" w:after="283"/>
              <w:rPr/>
            </w:pPr>
            <w:r>
              <w:rPr/>
              <w:t>in favor of the Merger Agreement and the transactions contemplated thereby, including the Merger;</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against any agreement, transaction or proposal that relates to any other transaction, proposal, agreement or action made in opposition to adoption of the Merger Agreement or inconsistent with the Merger or matters contemplated by the Merger Agreement;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against any action or agreement that would result in a breach of any covenant, representation or warranty or any other obligation or agreement of Parent or any of its subsidiaries contained in the Merger Agreement;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against any action or agreement that would result in any condition to the consummation of the Merger or the transactions contemplated by the Merger Agreement not being fulfilled; and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against any other action that, individually or in the aggregate, would reasonably be expected to materially delay, interfere with, hinder or impair the consummation of the transactions contemplated by the Merger Agreement, including the Merger, or the Support Agreement.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Parent has agreed that from the date of the Support Agreement until the Termination Date it will (a) not transfer any Subject Common Units, (b) not deposit any Subject Common Units into a voting trust or enter into a voting agreement or arrangement with respect to the Subject Common Units or grant any proxy (except as otherwise provided in the Support Agreement) or power of attorney with respect thereto, and (c) except as otherwise permitted therein, not purchase or otherwise acquire any additional Common Units other than the Subject Common Units of which it is the beneficial owner as of the date of the Support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Support Agreement terminates on the Termination 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SELECTED HISTORICAL CONSOLIDATED FINANCIAL DATA OF THE PARTNERSHIP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the Partnership to “incorporate by reference” information into this proxy statement. This means that the Partnership can disclose important information by referring to another document filed separately with the SEC. The information incorporated by reference is considered to be part of this proxy statement. This proxy statement and the information that the Partnership later files with the SEC may update and supersede the information incorporated by reference. The audited consolidated financial statements of the Partnership for the two years ended December 31, 2022 and 2021, are incorporated herein by reference to the Partnership’s 2022 Form 20-F, originally filed on March 6, 2023 (see page F-1 of the 2022 Form 20-F and the following pages), and the interim unaudited condensed consolidated financial statements of the Partnership included in Exhibit 99.3 of the Report on Form 6-K as furnished to the SEC on April 27, 2023, are incorporated herein by reference into this proxy statement.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selected consolidated financial and operating information for the Partnership. The Partnership’s summary of consolidated statements of financial position presented below as of December 31, 2022 and 2021, and Partnership’s summary of consolidated statements of profit or loss and total comprehensive income or loss presented below for the years ended December 31, 2022 and 2021, have been derived from the Partnership’s audited consolidated financial statements, which are included in the Partnership’s 2022 Form 20-F (see page F-1 and the following pages). The Partnership’s summary of consolidated statements of financial position presented below as of March 31, 2023, and the Partnership’s summary of consolidated statements of profit or loss and total comprehensive income or loss presented below for the three-month periods ended March 31, 2022 and 2023, have been derived from the interim unaudited condensed consolidated financial statements of the Partnership included in Exhibit 99.3 of the Partnership’s Report on Form 6-K furnished to the SEC on April 27, 2023. You should read the following data in conjunction with the consolidated financial statements and the related notes thereto set forth in the Partnership’s 2022 Form 20-F, originally filed on March 6, 2023, and in conjunction with the financial results from the quarter ended March 31, 2023, included in the Partnership’s Form 6-K furnished to the SEC on April 27, 2023, each of which is incorporated by reference into this proxy statement. See “Where You Can Find More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Partnership’s historical results do not necessarily indicate results expected for any future periods. The selected consolidated financial and operating information below should be read in conjunction with, and is qualified in its entirety by reference to, the Partnership’s audited consolidated financial statements and the related notes and other financial information, which are also incorporated into this proxy statement by reference. See “Where You Can Find More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Consolidated Statements of Financial Position</w:t>
        <w:br/>
        <w:t>(All amounts expressed in thousands of U.S. Dollars, except unit data)</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363"/>
        <w:gridCol w:w="60"/>
        <w:gridCol w:w="81"/>
        <w:gridCol w:w="1162"/>
        <w:gridCol w:w="60"/>
        <w:gridCol w:w="60"/>
        <w:gridCol w:w="81"/>
        <w:gridCol w:w="1162"/>
        <w:gridCol w:w="60"/>
        <w:gridCol w:w="60"/>
        <w:gridCol w:w="63"/>
        <w:gridCol w:w="915"/>
        <w:gridCol w:w="78"/>
      </w:tblGrid>
      <w:tr>
        <w:trPr/>
        <w:tc>
          <w:tcPr>
            <w:tcW w:w="6363"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704" w:type="dxa"/>
            <w:gridSpan w:val="10"/>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tc>
        <w:tc>
          <w:tcPr>
            <w:tcW w:w="78"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6363"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1243"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December 31, 2021 </w:t>
              <w:br/>
              <w:t>(audited)</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1243"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December 31, 2022 </w:t>
              <w:br/>
              <w:t>(audited)</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978"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2023</w:t>
              <w:br/>
              <w:t>(unaudited)</w:t>
            </w:r>
          </w:p>
        </w:tc>
        <w:tc>
          <w:tcPr>
            <w:tcW w:w="78" w:type="dxa"/>
            <w:tcBorders/>
            <w:shd w:fill="auto" w:val="clear"/>
            <w:vAlign w:val="center"/>
          </w:tcPr>
          <w:p>
            <w:pPr>
              <w:pStyle w:val="TableContents"/>
              <w:spacing w:before="0" w:after="283"/>
              <w:ind w:left="0" w:right="0" w:hanging="144"/>
              <w:jc w:val="center"/>
              <w:rPr>
                <w:caps w:val="false"/>
                <w:smallCaps w:val="false"/>
              </w:rPr>
            </w:pPr>
            <w:r>
              <w:rPr>
                <w:caps w:val="false"/>
                <w:smallCaps w:val="false"/>
              </w:rPr>
              <w:t> </w:t>
            </w:r>
          </w:p>
        </w:tc>
      </w:tr>
      <w:tr>
        <w:trPr/>
        <w:tc>
          <w:tcPr>
            <w:tcW w:w="636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assets</w:t>
              <w:tab/>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8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16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1,970,623</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8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16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1,772,401</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1,661,793</w:t>
            </w:r>
          </w:p>
        </w:tc>
        <w:tc>
          <w:tcPr>
            <w:tcW w:w="78" w:type="dxa"/>
            <w:tcBorders/>
            <w:shd w:fill="CCEEFF" w:val="clear"/>
            <w:vAlign w:val="center"/>
          </w:tcPr>
          <w:p>
            <w:pPr>
              <w:pStyle w:val="TableContents"/>
              <w:spacing w:before="0" w:after="283"/>
              <w:ind w:left="0" w:right="0" w:hanging="144"/>
              <w:jc w:val="left"/>
              <w:rPr>
                <w:caps w:val="false"/>
                <w:smallCaps w:val="false"/>
              </w:rPr>
            </w:pPr>
            <w:r>
              <w:rPr>
                <w:caps w:val="false"/>
                <w:smallCaps w:val="false"/>
              </w:rPr>
              <w:t> </w:t>
            </w:r>
          </w:p>
        </w:tc>
      </w:tr>
      <w:tr>
        <w:trPr/>
        <w:tc>
          <w:tcPr>
            <w:tcW w:w="6363"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tab/>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81"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62"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161,110</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81"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62"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243,033</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3"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1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309,875</w:t>
            </w:r>
          </w:p>
        </w:tc>
        <w:tc>
          <w:tcPr>
            <w:tcW w:w="78" w:type="dxa"/>
            <w:tcBorders/>
            <w:shd w:fill="FFFFFF" w:val="clear"/>
            <w:vAlign w:val="center"/>
          </w:tcPr>
          <w:p>
            <w:pPr>
              <w:pStyle w:val="TableContents"/>
              <w:spacing w:before="0" w:after="283"/>
              <w:ind w:left="0" w:right="0" w:hanging="144"/>
              <w:jc w:val="left"/>
              <w:rPr>
                <w:caps w:val="false"/>
                <w:smallCaps w:val="false"/>
              </w:rPr>
            </w:pPr>
            <w:r>
              <w:rPr>
                <w:caps w:val="false"/>
                <w:smallCaps w:val="false"/>
              </w:rPr>
              <w:t> </w:t>
            </w:r>
          </w:p>
        </w:tc>
      </w:tr>
      <w:tr>
        <w:trPr/>
        <w:tc>
          <w:tcPr>
            <w:tcW w:w="6363"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tab/>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81" w:type="dxa"/>
            <w:tcBorders>
              <w:bottom w:val="double" w:sz="6" w:space="0" w:color="000000"/>
            </w:tcBorders>
            <w:shd w:fill="CCEEFF" w:val="clear"/>
            <w:tcMar>
              <w:bottom w:w="50" w:type="dxa"/>
            </w:tcMar>
            <w:vAlign w:val="center"/>
          </w:tcPr>
          <w:p>
            <w:pPr>
              <w:pStyle w:val="TableContents"/>
              <w:spacing w:before="0" w:after="283"/>
              <w:jc w:val="left"/>
              <w:rPr>
                <w:caps w:val="false"/>
                <w:smallCaps w:val="false"/>
              </w:rPr>
            </w:pPr>
            <w:r>
              <w:rPr>
                <w:caps w:val="false"/>
                <w:smallCaps w:val="false"/>
              </w:rPr>
              <w:t> </w:t>
            </w:r>
          </w:p>
        </w:tc>
        <w:tc>
          <w:tcPr>
            <w:tcW w:w="1162"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2,131,733</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81" w:type="dxa"/>
            <w:tcBorders>
              <w:bottom w:val="double" w:sz="6" w:space="0" w:color="000000"/>
            </w:tcBorders>
            <w:shd w:fill="CCEEFF" w:val="clear"/>
            <w:tcMar>
              <w:bottom w:w="50" w:type="dxa"/>
            </w:tcMar>
            <w:vAlign w:val="center"/>
          </w:tcPr>
          <w:p>
            <w:pPr>
              <w:pStyle w:val="TableContents"/>
              <w:spacing w:before="0" w:after="283"/>
              <w:jc w:val="left"/>
              <w:rPr>
                <w:caps w:val="false"/>
                <w:smallCaps w:val="false"/>
              </w:rPr>
            </w:pPr>
            <w:r>
              <w:rPr>
                <w:caps w:val="false"/>
                <w:smallCaps w:val="false"/>
              </w:rPr>
              <w:t> </w:t>
            </w:r>
          </w:p>
        </w:tc>
        <w:tc>
          <w:tcPr>
            <w:tcW w:w="1162"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2,015,434</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3" w:type="dxa"/>
            <w:tcBorders>
              <w:bottom w:val="double" w:sz="6" w:space="0" w:color="000000"/>
            </w:tcBorders>
            <w:shd w:fill="CCEEFF" w:val="clear"/>
            <w:tcMar>
              <w:bottom w:w="50" w:type="dxa"/>
            </w:tcMar>
            <w:vAlign w:val="center"/>
          </w:tcPr>
          <w:p>
            <w:pPr>
              <w:pStyle w:val="TableContents"/>
              <w:spacing w:before="0" w:after="283"/>
              <w:jc w:val="left"/>
              <w:rPr>
                <w:caps w:val="false"/>
                <w:smallCaps w:val="false"/>
              </w:rPr>
            </w:pPr>
            <w:r>
              <w:rPr>
                <w:caps w:val="false"/>
                <w:smallCaps w:val="false"/>
              </w:rPr>
              <w:t> </w:t>
            </w:r>
          </w:p>
        </w:tc>
        <w:tc>
          <w:tcPr>
            <w:tcW w:w="915"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1,971,668</w:t>
            </w:r>
          </w:p>
        </w:tc>
        <w:tc>
          <w:tcPr>
            <w:tcW w:w="78" w:type="dxa"/>
            <w:tcBorders/>
            <w:shd w:fill="CCEEFF" w:val="clear"/>
            <w:vAlign w:val="center"/>
          </w:tcPr>
          <w:p>
            <w:pPr>
              <w:pStyle w:val="TableContents"/>
              <w:spacing w:before="0" w:after="283"/>
              <w:ind w:left="0" w:right="0" w:hanging="144"/>
              <w:jc w:val="left"/>
              <w:rPr>
                <w:caps w:val="false"/>
                <w:smallCaps w:val="false"/>
              </w:rPr>
            </w:pPr>
            <w:r>
              <w:rPr>
                <w:caps w:val="false"/>
                <w:smallCaps w:val="false"/>
              </w:rPr>
              <w:t> </w:t>
            </w:r>
          </w:p>
        </w:tc>
      </w:tr>
      <w:tr>
        <w:trPr/>
        <w:tc>
          <w:tcPr>
            <w:tcW w:w="6363"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Unitholders (51,137,201 units issued and outstanding as of December 31, 2021 and 51,687,865 units issued and outstanding as of December 31, 2022 and March 31, 2023)</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8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162"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579,447</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8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162"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668,953</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1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697,620</w:t>
            </w:r>
          </w:p>
        </w:tc>
        <w:tc>
          <w:tcPr>
            <w:tcW w:w="78" w:type="dxa"/>
            <w:tcBorders/>
            <w:shd w:fill="FFFFFF" w:val="clear"/>
            <w:vAlign w:val="center"/>
          </w:tcPr>
          <w:p>
            <w:pPr>
              <w:pStyle w:val="TableContents"/>
              <w:spacing w:before="0" w:after="283"/>
              <w:ind w:left="0" w:right="0" w:hanging="144"/>
              <w:jc w:val="left"/>
              <w:rPr>
                <w:caps w:val="false"/>
                <w:smallCaps w:val="false"/>
              </w:rPr>
            </w:pPr>
            <w:r>
              <w:rPr>
                <w:caps w:val="false"/>
                <w:smallCaps w:val="false"/>
              </w:rPr>
              <w:t> </w:t>
            </w:r>
          </w:p>
        </w:tc>
      </w:tr>
      <w:tr>
        <w:trPr/>
        <w:tc>
          <w:tcPr>
            <w:tcW w:w="636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partner (1,077,494 units issued and outstanding as of December 31, 2021 and 1,080,263 units issued and outstanding as of December 31, 2022 and March 31, 2023)</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8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16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10,717</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8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16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12,608</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13,207</w:t>
            </w:r>
          </w:p>
        </w:tc>
        <w:tc>
          <w:tcPr>
            <w:tcW w:w="78" w:type="dxa"/>
            <w:tcBorders/>
            <w:shd w:fill="CCEEFF" w:val="clear"/>
            <w:vAlign w:val="center"/>
          </w:tcPr>
          <w:p>
            <w:pPr>
              <w:pStyle w:val="TableContents"/>
              <w:spacing w:before="0" w:after="283"/>
              <w:ind w:left="0" w:right="0" w:hanging="144"/>
              <w:jc w:val="left"/>
              <w:rPr>
                <w:caps w:val="false"/>
                <w:smallCaps w:val="false"/>
              </w:rPr>
            </w:pPr>
            <w:r>
              <w:rPr>
                <w:caps w:val="false"/>
                <w:smallCaps w:val="false"/>
              </w:rPr>
              <w:t> </w:t>
            </w:r>
          </w:p>
        </w:tc>
      </w:tr>
      <w:tr>
        <w:trPr/>
        <w:tc>
          <w:tcPr>
            <w:tcW w:w="6363"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Preference Unitholders (5,750,000 Series A Preference Units, 4,135,571 Series B Preference Units and 3,730,451 Series C Preference Units issued and outstanding as of December 31, 2021 and 5,084,984 Series A Preference Units, 3,496,382 Series B Preference Units and 3,061,045 Series C Preference Units issued and outstanding as of December 31, 2022 and March 31, 2023)</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81"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62"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329,334</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81"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62"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279,349</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3"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1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279,913</w:t>
            </w:r>
          </w:p>
        </w:tc>
        <w:tc>
          <w:tcPr>
            <w:tcW w:w="78" w:type="dxa"/>
            <w:tcBorders/>
            <w:shd w:fill="FFFFFF" w:val="clear"/>
            <w:vAlign w:val="center"/>
          </w:tcPr>
          <w:p>
            <w:pPr>
              <w:pStyle w:val="TableContents"/>
              <w:spacing w:before="0" w:after="283"/>
              <w:ind w:left="0" w:right="0" w:hanging="144"/>
              <w:jc w:val="left"/>
              <w:rPr>
                <w:caps w:val="false"/>
                <w:smallCaps w:val="false"/>
              </w:rPr>
            </w:pPr>
            <w:r>
              <w:rPr>
                <w:caps w:val="false"/>
                <w:smallCaps w:val="false"/>
              </w:rPr>
              <w:t> </w:t>
            </w:r>
          </w:p>
        </w:tc>
      </w:tr>
      <w:tr>
        <w:trPr/>
        <w:tc>
          <w:tcPr>
            <w:tcW w:w="6363"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partners’ equity</w:t>
              <w:tab/>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81" w:type="dxa"/>
            <w:tcBorders>
              <w:bottom w:val="double" w:sz="6" w:space="0" w:color="000000"/>
            </w:tcBorders>
            <w:shd w:fill="CCEEFF" w:val="clear"/>
            <w:tcMar>
              <w:bottom w:w="50" w:type="dxa"/>
            </w:tcMar>
            <w:vAlign w:val="center"/>
          </w:tcPr>
          <w:p>
            <w:pPr>
              <w:pStyle w:val="TableContents"/>
              <w:spacing w:before="0" w:after="283"/>
              <w:jc w:val="left"/>
              <w:rPr>
                <w:caps w:val="false"/>
                <w:smallCaps w:val="false"/>
              </w:rPr>
            </w:pPr>
            <w:r>
              <w:rPr>
                <w:caps w:val="false"/>
                <w:smallCaps w:val="false"/>
              </w:rPr>
              <w:t> </w:t>
            </w:r>
          </w:p>
        </w:tc>
        <w:tc>
          <w:tcPr>
            <w:tcW w:w="1162"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919,498</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81" w:type="dxa"/>
            <w:tcBorders>
              <w:bottom w:val="double" w:sz="6" w:space="0" w:color="000000"/>
            </w:tcBorders>
            <w:shd w:fill="CCEEFF" w:val="clear"/>
            <w:tcMar>
              <w:bottom w:w="50" w:type="dxa"/>
            </w:tcMar>
            <w:vAlign w:val="center"/>
          </w:tcPr>
          <w:p>
            <w:pPr>
              <w:pStyle w:val="TableContents"/>
              <w:spacing w:before="0" w:after="283"/>
              <w:jc w:val="left"/>
              <w:rPr>
                <w:caps w:val="false"/>
                <w:smallCaps w:val="false"/>
              </w:rPr>
            </w:pPr>
            <w:r>
              <w:rPr>
                <w:caps w:val="false"/>
                <w:smallCaps w:val="false"/>
              </w:rPr>
              <w:t> </w:t>
            </w:r>
          </w:p>
        </w:tc>
        <w:tc>
          <w:tcPr>
            <w:tcW w:w="1162"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960,910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3" w:type="dxa"/>
            <w:tcBorders>
              <w:bottom w:val="double" w:sz="6" w:space="0" w:color="000000"/>
            </w:tcBorders>
            <w:shd w:fill="CCEEFF" w:val="clear"/>
            <w:tcMar>
              <w:bottom w:w="50" w:type="dxa"/>
            </w:tcMar>
            <w:vAlign w:val="center"/>
          </w:tcPr>
          <w:p>
            <w:pPr>
              <w:pStyle w:val="TableContents"/>
              <w:spacing w:before="0" w:after="283"/>
              <w:jc w:val="left"/>
              <w:rPr>
                <w:caps w:val="false"/>
                <w:smallCaps w:val="false"/>
              </w:rPr>
            </w:pPr>
            <w:r>
              <w:rPr>
                <w:caps w:val="false"/>
                <w:smallCaps w:val="false"/>
              </w:rPr>
              <w:t> </w:t>
            </w:r>
          </w:p>
        </w:tc>
        <w:tc>
          <w:tcPr>
            <w:tcW w:w="915"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990,740</w:t>
            </w:r>
          </w:p>
        </w:tc>
        <w:tc>
          <w:tcPr>
            <w:tcW w:w="78" w:type="dxa"/>
            <w:tcBorders/>
            <w:shd w:fill="CCEEFF" w:val="clear"/>
            <w:vAlign w:val="center"/>
          </w:tcPr>
          <w:p>
            <w:pPr>
              <w:pStyle w:val="TableContents"/>
              <w:spacing w:before="0" w:after="283"/>
              <w:ind w:left="0" w:right="0" w:hanging="144"/>
              <w:jc w:val="left"/>
              <w:rPr>
                <w:caps w:val="false"/>
                <w:smallCaps w:val="false"/>
              </w:rPr>
            </w:pPr>
            <w:r>
              <w:rPr>
                <w:caps w:val="false"/>
                <w:smallCaps w:val="false"/>
              </w:rPr>
              <w:t> </w:t>
            </w:r>
          </w:p>
        </w:tc>
      </w:tr>
      <w:tr>
        <w:trPr/>
        <w:tc>
          <w:tcPr>
            <w:tcW w:w="6363"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tab/>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8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162"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175,503</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8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162"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177,230</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1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312,123</w:t>
            </w:r>
          </w:p>
        </w:tc>
        <w:tc>
          <w:tcPr>
            <w:tcW w:w="78" w:type="dxa"/>
            <w:tcBorders/>
            <w:shd w:fill="FFFFFF" w:val="clear"/>
            <w:vAlign w:val="center"/>
          </w:tcPr>
          <w:p>
            <w:pPr>
              <w:pStyle w:val="TableContents"/>
              <w:spacing w:before="0" w:after="283"/>
              <w:ind w:left="0" w:right="0" w:hanging="144"/>
              <w:jc w:val="left"/>
              <w:rPr>
                <w:caps w:val="false"/>
                <w:smallCaps w:val="false"/>
              </w:rPr>
            </w:pPr>
            <w:r>
              <w:rPr>
                <w:caps w:val="false"/>
                <w:smallCaps w:val="false"/>
              </w:rPr>
              <w:t> </w:t>
            </w:r>
          </w:p>
        </w:tc>
      </w:tr>
      <w:tr>
        <w:trPr/>
        <w:tc>
          <w:tcPr>
            <w:tcW w:w="636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liabilities</w:t>
              <w:tab/>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81"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62"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1,036,732</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81"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62"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877,294</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3"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1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668,805</w:t>
            </w:r>
          </w:p>
        </w:tc>
        <w:tc>
          <w:tcPr>
            <w:tcW w:w="78" w:type="dxa"/>
            <w:tcBorders/>
            <w:shd w:fill="CCEEFF" w:val="clear"/>
            <w:vAlign w:val="center"/>
          </w:tcPr>
          <w:p>
            <w:pPr>
              <w:pStyle w:val="TableContents"/>
              <w:spacing w:before="0" w:after="283"/>
              <w:ind w:left="0" w:right="0" w:hanging="144"/>
              <w:jc w:val="left"/>
              <w:rPr>
                <w:caps w:val="false"/>
                <w:smallCaps w:val="false"/>
              </w:rPr>
            </w:pPr>
            <w:r>
              <w:rPr>
                <w:caps w:val="false"/>
                <w:smallCaps w:val="false"/>
              </w:rPr>
              <w:t> </w:t>
            </w:r>
          </w:p>
        </w:tc>
      </w:tr>
      <w:tr>
        <w:trPr/>
        <w:tc>
          <w:tcPr>
            <w:tcW w:w="6363" w:type="dxa"/>
            <w:tcBorders/>
            <w:shd w:fill="FFFF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partners’ equity and liabilities</w:t>
              <w:tab/>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81" w:type="dxa"/>
            <w:tcBorders>
              <w:bottom w:val="double" w:sz="6" w:space="0" w:color="000000"/>
            </w:tcBorders>
            <w:shd w:fill="FFFFFF" w:val="clear"/>
            <w:tcMar>
              <w:bottom w:w="50" w:type="dxa"/>
            </w:tcMar>
            <w:vAlign w:val="center"/>
          </w:tcPr>
          <w:p>
            <w:pPr>
              <w:pStyle w:val="TableContents"/>
              <w:spacing w:before="0" w:after="283"/>
              <w:jc w:val="left"/>
              <w:rPr>
                <w:caps w:val="false"/>
                <w:smallCaps w:val="false"/>
              </w:rPr>
            </w:pPr>
            <w:r>
              <w:rPr>
                <w:caps w:val="false"/>
                <w:smallCaps w:val="false"/>
              </w:rPr>
              <w:t> </w:t>
            </w:r>
          </w:p>
        </w:tc>
        <w:tc>
          <w:tcPr>
            <w:tcW w:w="1162"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2,131,733</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81" w:type="dxa"/>
            <w:tcBorders>
              <w:bottom w:val="double" w:sz="6" w:space="0" w:color="000000"/>
            </w:tcBorders>
            <w:shd w:fill="FFFFFF" w:val="clear"/>
            <w:tcMar>
              <w:bottom w:w="50" w:type="dxa"/>
            </w:tcMar>
            <w:vAlign w:val="center"/>
          </w:tcPr>
          <w:p>
            <w:pPr>
              <w:pStyle w:val="TableContents"/>
              <w:spacing w:before="0" w:after="283"/>
              <w:jc w:val="left"/>
              <w:rPr>
                <w:caps w:val="false"/>
                <w:smallCaps w:val="false"/>
              </w:rPr>
            </w:pPr>
            <w:r>
              <w:rPr>
                <w:caps w:val="false"/>
                <w:smallCaps w:val="false"/>
              </w:rPr>
              <w:t> </w:t>
            </w:r>
          </w:p>
        </w:tc>
        <w:tc>
          <w:tcPr>
            <w:tcW w:w="1162"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2,015,434</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3" w:type="dxa"/>
            <w:tcBorders>
              <w:bottom w:val="double" w:sz="6" w:space="0" w:color="000000"/>
            </w:tcBorders>
            <w:shd w:fill="FFFFFF" w:val="clear"/>
            <w:tcMar>
              <w:bottom w:w="50" w:type="dxa"/>
            </w:tcMar>
            <w:vAlign w:val="center"/>
          </w:tcPr>
          <w:p>
            <w:pPr>
              <w:pStyle w:val="TableContents"/>
              <w:spacing w:before="0" w:after="283"/>
              <w:jc w:val="left"/>
              <w:rPr>
                <w:caps w:val="false"/>
                <w:smallCaps w:val="false"/>
              </w:rPr>
            </w:pPr>
            <w:r>
              <w:rPr>
                <w:caps w:val="false"/>
                <w:smallCaps w:val="false"/>
              </w:rPr>
              <w:t> </w:t>
            </w:r>
          </w:p>
        </w:tc>
        <w:tc>
          <w:tcPr>
            <w:tcW w:w="915"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1,971,668</w:t>
            </w:r>
          </w:p>
        </w:tc>
        <w:tc>
          <w:tcPr>
            <w:tcW w:w="78" w:type="dxa"/>
            <w:tcBorders/>
            <w:shd w:fill="FFFF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Consolidated Statements of Profit or Loss and Total Comprehensive Income or Loss</w:t>
        <w:br/>
        <w:t>(All amounts expressed in thousands of U.S. Dollars, except per unit data)</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4308"/>
        <w:gridCol w:w="60"/>
        <w:gridCol w:w="103"/>
        <w:gridCol w:w="1082"/>
        <w:gridCol w:w="102"/>
        <w:gridCol w:w="76"/>
        <w:gridCol w:w="103"/>
        <w:gridCol w:w="1082"/>
        <w:gridCol w:w="80"/>
        <w:gridCol w:w="60"/>
        <w:gridCol w:w="106"/>
        <w:gridCol w:w="1352"/>
        <w:gridCol w:w="80"/>
        <w:gridCol w:w="60"/>
        <w:gridCol w:w="115"/>
        <w:gridCol w:w="1344"/>
        <w:gridCol w:w="92"/>
      </w:tblGrid>
      <w:tr>
        <w:trPr/>
        <w:tc>
          <w:tcPr>
            <w:tcW w:w="430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548" w:type="dxa"/>
            <w:gridSpan w:val="6"/>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Three-month period ended</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057" w:type="dxa"/>
            <w:gridSpan w:val="6"/>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Year ended</w:t>
            </w:r>
          </w:p>
        </w:tc>
        <w:tc>
          <w:tcPr>
            <w:tcW w:w="92" w:type="dxa"/>
            <w:tcBorders/>
            <w:shd w:fill="auto" w:val="clear"/>
            <w:vAlign w:val="center"/>
          </w:tcPr>
          <w:p>
            <w:pPr>
              <w:pStyle w:val="TableContents"/>
              <w:spacing w:before="0" w:after="283"/>
              <w:rPr/>
            </w:pPr>
            <w:r>
              <w:rPr/>
              <w:t> </w:t>
            </w:r>
          </w:p>
        </w:tc>
      </w:tr>
      <w:tr>
        <w:trPr/>
        <w:tc>
          <w:tcPr>
            <w:tcW w:w="4308"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185" w:type="dxa"/>
            <w:gridSpan w:val="2"/>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March 31, 2022</w:t>
              <w:br/>
              <w:t>(unaudited)</w:t>
            </w:r>
          </w:p>
        </w:tc>
        <w:tc>
          <w:tcPr>
            <w:tcW w:w="102" w:type="dxa"/>
            <w:tcBorders/>
            <w:shd w:fill="auto" w:val="clear"/>
            <w:vAlign w:val="center"/>
          </w:tcPr>
          <w:p>
            <w:pPr>
              <w:pStyle w:val="TableContents"/>
              <w:spacing w:before="0" w:after="283"/>
              <w:jc w:val="center"/>
              <w:rPr/>
            </w:pPr>
            <w:r>
              <w:rPr/>
              <w:t> </w:t>
            </w:r>
          </w:p>
        </w:tc>
        <w:tc>
          <w:tcPr>
            <w:tcW w:w="76" w:type="dxa"/>
            <w:tcBorders/>
            <w:shd w:fill="auto" w:val="clear"/>
            <w:vAlign w:val="center"/>
          </w:tcPr>
          <w:p>
            <w:pPr>
              <w:pStyle w:val="TableContents"/>
              <w:spacing w:before="0" w:after="283"/>
              <w:jc w:val="center"/>
              <w:rPr/>
            </w:pPr>
            <w:r>
              <w:rPr/>
              <w:t> </w:t>
            </w:r>
          </w:p>
        </w:tc>
        <w:tc>
          <w:tcPr>
            <w:tcW w:w="1185" w:type="dxa"/>
            <w:gridSpan w:val="2"/>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March 31, 2023</w:t>
              <w:br/>
              <w:t>(unaudited)</w:t>
            </w:r>
          </w:p>
        </w:tc>
        <w:tc>
          <w:tcPr>
            <w:tcW w:w="8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58" w:type="dxa"/>
            <w:gridSpan w:val="2"/>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December 31, 2021</w:t>
              <w:br/>
              <w:t>(audited)</w:t>
            </w:r>
          </w:p>
        </w:tc>
        <w:tc>
          <w:tcPr>
            <w:tcW w:w="8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59" w:type="dxa"/>
            <w:gridSpan w:val="2"/>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December 31, 2022</w:t>
              <w:br/>
              <w:t>(audited)</w:t>
            </w:r>
          </w:p>
        </w:tc>
        <w:tc>
          <w:tcPr>
            <w:tcW w:w="92" w:type="dxa"/>
            <w:tcBorders/>
            <w:shd w:fill="auto" w:val="clear"/>
            <w:vAlign w:val="center"/>
          </w:tcPr>
          <w:p>
            <w:pPr>
              <w:pStyle w:val="TableContents"/>
              <w:spacing w:before="0" w:after="283"/>
              <w:ind w:left="0" w:right="0" w:hanging="144"/>
              <w:jc w:val="center"/>
              <w:rPr/>
            </w:pPr>
            <w:r>
              <w:rPr/>
              <w:t> </w:t>
            </w:r>
          </w:p>
        </w:tc>
      </w:tr>
      <w:tr>
        <w:trPr/>
        <w:tc>
          <w:tcPr>
            <w:tcW w:w="4308"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tab/>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0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85,459</w:t>
            </w:r>
          </w:p>
        </w:tc>
        <w:tc>
          <w:tcPr>
            <w:tcW w:w="10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spacing w:before="0" w:after="283"/>
              <w:rPr>
                <w:caps w:val="false"/>
                <w:smallCaps w:val="false"/>
              </w:rPr>
            </w:pPr>
            <w:r>
              <w:rPr>
                <w:caps w:val="false"/>
                <w:smallCaps w:val="false"/>
              </w:rPr>
              <w:t> </w:t>
            </w:r>
          </w:p>
        </w:tc>
        <w:tc>
          <w:tcPr>
            <w:tcW w:w="10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99,069</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0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35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326,142</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34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371,034</w:t>
            </w:r>
          </w:p>
        </w:tc>
        <w:tc>
          <w:tcPr>
            <w:tcW w:w="92" w:type="dxa"/>
            <w:tcBorders/>
            <w:shd w:fill="CCEEFF" w:val="clear"/>
            <w:vAlign w:val="center"/>
          </w:tcPr>
          <w:p>
            <w:pPr>
              <w:pStyle w:val="TableContents"/>
              <w:spacing w:before="0" w:after="283"/>
              <w:ind w:left="0" w:right="0" w:hanging="144"/>
              <w:jc w:val="left"/>
              <w:rPr>
                <w:caps w:val="false"/>
                <w:smallCaps w:val="false"/>
              </w:rPr>
            </w:pPr>
            <w:r>
              <w:rPr>
                <w:caps w:val="false"/>
                <w:smallCaps w:val="false"/>
              </w:rPr>
              <w:t> </w:t>
            </w:r>
          </w:p>
        </w:tc>
      </w:tr>
      <w:tr>
        <w:trPr/>
        <w:tc>
          <w:tcPr>
            <w:tcW w:w="4308"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Voyage expenses and commissions</w:t>
              <w:tab/>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0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82"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(1,461</w:t>
            </w:r>
          </w:p>
        </w:tc>
        <w:tc>
          <w:tcPr>
            <w:tcW w:w="10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FFFFFF" w:val="clear"/>
            <w:vAlign w:val="center"/>
          </w:tcPr>
          <w:p>
            <w:pPr>
              <w:pStyle w:val="TableContents"/>
              <w:spacing w:before="0" w:after="283"/>
              <w:rPr>
                <w:caps w:val="false"/>
                <w:smallCaps w:val="false"/>
              </w:rPr>
            </w:pPr>
            <w:r>
              <w:rPr>
                <w:caps w:val="false"/>
                <w:smallCaps w:val="false"/>
              </w:rPr>
              <w:t> </w:t>
            </w:r>
          </w:p>
        </w:tc>
        <w:tc>
          <w:tcPr>
            <w:tcW w:w="10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82"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(1,996</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0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352"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(6,863</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344"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(6,756</w:t>
            </w:r>
          </w:p>
        </w:tc>
        <w:tc>
          <w:tcPr>
            <w:tcW w:w="92" w:type="dxa"/>
            <w:tcBorders/>
            <w:shd w:fill="FFFFFF" w:val="clear"/>
            <w:vAlign w:val="center"/>
          </w:tcPr>
          <w:p>
            <w:pPr>
              <w:pStyle w:val="TableContents"/>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08"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Vessel operating costs</w:t>
              <w:tab/>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0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(18,574</w:t>
            </w:r>
          </w:p>
        </w:tc>
        <w:tc>
          <w:tcPr>
            <w:tcW w:w="10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CCEEFF" w:val="clear"/>
            <w:vAlign w:val="center"/>
          </w:tcPr>
          <w:p>
            <w:pPr>
              <w:pStyle w:val="TableContents"/>
              <w:spacing w:before="0" w:after="283"/>
              <w:rPr>
                <w:caps w:val="false"/>
                <w:smallCaps w:val="false"/>
              </w:rPr>
            </w:pPr>
            <w:r>
              <w:rPr>
                <w:caps w:val="false"/>
                <w:smallCaps w:val="false"/>
              </w:rPr>
              <w:t> </w:t>
            </w:r>
          </w:p>
        </w:tc>
        <w:tc>
          <w:tcPr>
            <w:tcW w:w="10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(15,926</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0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35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(75,333</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34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(72,363</w:t>
            </w:r>
          </w:p>
        </w:tc>
        <w:tc>
          <w:tcPr>
            <w:tcW w:w="92" w:type="dxa"/>
            <w:tcBorders/>
            <w:shd w:fill="CCEEFF" w:val="clear"/>
            <w:vAlign w:val="center"/>
          </w:tcPr>
          <w:p>
            <w:pPr>
              <w:pStyle w:val="TableContents"/>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08"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w:t>
              <w:tab/>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0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82"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(21,987</w:t>
            </w:r>
          </w:p>
        </w:tc>
        <w:tc>
          <w:tcPr>
            <w:tcW w:w="10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FFFFFF" w:val="clear"/>
            <w:vAlign w:val="center"/>
          </w:tcPr>
          <w:p>
            <w:pPr>
              <w:pStyle w:val="TableContents"/>
              <w:spacing w:before="0" w:after="283"/>
              <w:rPr>
                <w:caps w:val="false"/>
                <w:smallCaps w:val="false"/>
              </w:rPr>
            </w:pPr>
            <w:r>
              <w:rPr>
                <w:caps w:val="false"/>
                <w:smallCaps w:val="false"/>
              </w:rPr>
              <w:t> </w:t>
            </w:r>
          </w:p>
        </w:tc>
        <w:tc>
          <w:tcPr>
            <w:tcW w:w="10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82"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(22,712</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0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352"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(85,493</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344"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(87,490</w:t>
            </w:r>
          </w:p>
        </w:tc>
        <w:tc>
          <w:tcPr>
            <w:tcW w:w="92" w:type="dxa"/>
            <w:tcBorders/>
            <w:shd w:fill="FFFFFF" w:val="clear"/>
            <w:vAlign w:val="center"/>
          </w:tcPr>
          <w:p>
            <w:pPr>
              <w:pStyle w:val="TableContents"/>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08"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tab/>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0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(4,691</w:t>
            </w:r>
          </w:p>
        </w:tc>
        <w:tc>
          <w:tcPr>
            <w:tcW w:w="10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CCEEFF" w:val="clear"/>
            <w:vAlign w:val="center"/>
          </w:tcPr>
          <w:p>
            <w:pPr>
              <w:pStyle w:val="TableContents"/>
              <w:spacing w:before="0" w:after="283"/>
              <w:rPr>
                <w:caps w:val="false"/>
                <w:smallCaps w:val="false"/>
              </w:rPr>
            </w:pPr>
            <w:r>
              <w:rPr>
                <w:caps w:val="false"/>
                <w:smallCaps w:val="false"/>
              </w:rPr>
              <w:t> </w:t>
            </w:r>
          </w:p>
        </w:tc>
        <w:tc>
          <w:tcPr>
            <w:tcW w:w="10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(5,647</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0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35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(13,362</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34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(17,509</w:t>
            </w:r>
          </w:p>
        </w:tc>
        <w:tc>
          <w:tcPr>
            <w:tcW w:w="92" w:type="dxa"/>
            <w:tcBorders/>
            <w:shd w:fill="CCEEFF" w:val="clear"/>
            <w:vAlign w:val="center"/>
          </w:tcPr>
          <w:p>
            <w:pPr>
              <w:pStyle w:val="TableContents"/>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08"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(Loss)/gain on disposal of vessels</w:t>
              <w:tab/>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0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82" w:type="dxa"/>
            <w:tcBorders/>
            <w:shd w:fill="FFFFFF" w:val="clear"/>
            <w:vAlign w:val="center"/>
          </w:tcPr>
          <w:p>
            <w:pPr>
              <w:pStyle w:val="TableContents"/>
              <w:spacing w:before="0" w:after="283"/>
              <w:jc w:val="right"/>
              <w:rPr>
                <w:caps w:val="false"/>
                <w:smallCaps w:val="false"/>
              </w:rPr>
            </w:pPr>
            <w:r>
              <w:rPr>
                <w:caps w:val="false"/>
                <w:smallCaps w:val="false"/>
              </w:rPr>
              <w:t>—</w:t>
            </w:r>
          </w:p>
        </w:tc>
        <w:tc>
          <w:tcPr>
            <w:tcW w:w="10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spacing w:before="0" w:after="283"/>
              <w:rPr>
                <w:caps w:val="false"/>
                <w:smallCaps w:val="false"/>
              </w:rPr>
            </w:pPr>
            <w:r>
              <w:rPr>
                <w:caps w:val="false"/>
                <w:smallCaps w:val="false"/>
              </w:rPr>
              <w:t> </w:t>
            </w:r>
          </w:p>
        </w:tc>
        <w:tc>
          <w:tcPr>
            <w:tcW w:w="10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82"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0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352"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(630</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344"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w:t>
            </w:r>
          </w:p>
        </w:tc>
        <w:tc>
          <w:tcPr>
            <w:tcW w:w="92" w:type="dxa"/>
            <w:tcBorders/>
            <w:shd w:fill="FFFFFF" w:val="clear"/>
            <w:vAlign w:val="center"/>
          </w:tcPr>
          <w:p>
            <w:pPr>
              <w:pStyle w:val="TableContents"/>
              <w:spacing w:before="0" w:after="283"/>
              <w:ind w:left="0" w:right="0" w:hanging="144"/>
              <w:jc w:val="left"/>
              <w:rPr>
                <w:caps w:val="false"/>
                <w:smallCaps w:val="false"/>
              </w:rPr>
            </w:pPr>
            <w:r>
              <w:rPr>
                <w:caps w:val="false"/>
                <w:smallCaps w:val="false"/>
              </w:rPr>
              <w:t> </w:t>
            </w:r>
          </w:p>
        </w:tc>
      </w:tr>
      <w:tr>
        <w:trPr/>
        <w:tc>
          <w:tcPr>
            <w:tcW w:w="4308"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loss on vessels</w:t>
              <w:tab/>
            </w:r>
          </w:p>
        </w:tc>
        <w:tc>
          <w:tcPr>
            <w:tcW w:w="60" w:type="dxa"/>
            <w:tcBorders/>
            <w:shd w:fill="CCEEFF" w:val="clear"/>
            <w:vAlign w:val="center"/>
          </w:tcPr>
          <w:p>
            <w:pPr>
              <w:pStyle w:val="TableContents"/>
              <w:spacing w:before="0" w:after="283"/>
              <w:rPr/>
            </w:pPr>
            <w:r>
              <w:rPr/>
              <w:t> </w:t>
            </w:r>
          </w:p>
        </w:tc>
        <w:tc>
          <w:tcPr>
            <w:tcW w:w="103"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1082" w:type="dxa"/>
            <w:tcBorders>
              <w:bottom w:val="single" w:sz="8" w:space="0" w:color="000000"/>
            </w:tcBorders>
            <w:shd w:fill="CCEEFF" w:val="clear"/>
            <w:tcMar>
              <w:bottom w:w="28" w:type="dxa"/>
            </w:tcMar>
            <w:vAlign w:val="center"/>
          </w:tcPr>
          <w:p>
            <w:pPr>
              <w:pStyle w:val="TableContents"/>
              <w:spacing w:before="0" w:after="283"/>
              <w:jc w:val="right"/>
              <w:rPr/>
            </w:pPr>
            <w:r>
              <w:rPr/>
              <w:t>—</w:t>
            </w:r>
          </w:p>
        </w:tc>
        <w:tc>
          <w:tcPr>
            <w:tcW w:w="102" w:type="dxa"/>
            <w:tcBorders/>
            <w:shd w:fill="CCEEFF" w:val="clear"/>
            <w:vAlign w:val="center"/>
          </w:tcPr>
          <w:p>
            <w:pPr>
              <w:pStyle w:val="TableContents"/>
              <w:spacing w:before="0" w:after="283"/>
              <w:jc w:val="left"/>
              <w:rPr/>
            </w:pPr>
            <w:r>
              <w:rPr/>
              <w:t> </w:t>
            </w:r>
          </w:p>
        </w:tc>
        <w:tc>
          <w:tcPr>
            <w:tcW w:w="76" w:type="dxa"/>
            <w:tcBorders/>
            <w:shd w:fill="CCEEFF" w:val="clear"/>
            <w:vAlign w:val="center"/>
          </w:tcPr>
          <w:p>
            <w:pPr>
              <w:pStyle w:val="TableContents"/>
              <w:spacing w:before="0" w:after="283"/>
              <w:rPr/>
            </w:pPr>
            <w:r>
              <w:rPr/>
              <w:t> </w:t>
            </w:r>
          </w:p>
        </w:tc>
        <w:tc>
          <w:tcPr>
            <w:tcW w:w="103"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1082"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(142</w:t>
            </w:r>
          </w:p>
        </w:tc>
        <w:tc>
          <w:tcPr>
            <w:tcW w:w="80" w:type="dxa"/>
            <w:tcBorders/>
            <w:shd w:fill="CCEEFF" w:val="clear"/>
            <w:vAlign w:val="center"/>
          </w:tcPr>
          <w:p>
            <w:pPr>
              <w:pStyle w:val="TableContents"/>
              <w:spacing w:before="0" w:after="283"/>
              <w:jc w:val="left"/>
              <w:rPr>
                <w:sz w:val="20"/>
              </w:rPr>
            </w:pPr>
            <w:r>
              <w:rPr>
                <w:sz w:val="20"/>
              </w:rPr>
              <w:t>)</w:t>
            </w:r>
          </w:p>
        </w:tc>
        <w:tc>
          <w:tcPr>
            <w:tcW w:w="60" w:type="dxa"/>
            <w:tcBorders/>
            <w:shd w:fill="CCEEFF" w:val="clear"/>
            <w:vAlign w:val="center"/>
          </w:tcPr>
          <w:p>
            <w:pPr>
              <w:pStyle w:val="TableContents"/>
              <w:spacing w:before="0" w:after="283"/>
              <w:rPr/>
            </w:pPr>
            <w:r>
              <w:rPr/>
              <w:t> </w:t>
            </w:r>
          </w:p>
        </w:tc>
        <w:tc>
          <w:tcPr>
            <w:tcW w:w="106"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1352"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(103,977</w:t>
            </w:r>
          </w:p>
        </w:tc>
        <w:tc>
          <w:tcPr>
            <w:tcW w:w="80" w:type="dxa"/>
            <w:tcBorders/>
            <w:shd w:fill="CCEEFF" w:val="clear"/>
            <w:vAlign w:val="center"/>
          </w:tcPr>
          <w:p>
            <w:pPr>
              <w:pStyle w:val="TableContents"/>
              <w:spacing w:before="0" w:after="283"/>
              <w:jc w:val="left"/>
              <w:rPr>
                <w:sz w:val="20"/>
              </w:rPr>
            </w:pPr>
            <w:r>
              <w:rPr>
                <w:sz w:val="20"/>
              </w:rPr>
              <w:t>)</w:t>
            </w:r>
          </w:p>
        </w:tc>
        <w:tc>
          <w:tcPr>
            <w:tcW w:w="60" w:type="dxa"/>
            <w:tcBorders/>
            <w:shd w:fill="CCEEFF" w:val="clear"/>
            <w:vAlign w:val="center"/>
          </w:tcPr>
          <w:p>
            <w:pPr>
              <w:pStyle w:val="TableContents"/>
              <w:spacing w:before="0" w:after="283"/>
              <w:rPr/>
            </w:pPr>
            <w:r>
              <w:rPr/>
              <w:t> </w:t>
            </w:r>
          </w:p>
        </w:tc>
        <w:tc>
          <w:tcPr>
            <w:tcW w:w="11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1344"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(32,471</w:t>
            </w:r>
          </w:p>
        </w:tc>
        <w:tc>
          <w:tcPr>
            <w:tcW w:w="92" w:type="dxa"/>
            <w:tcBorders/>
            <w:shd w:fill="CCEEFF" w:val="clear"/>
            <w:vAlign w:val="center"/>
          </w:tcPr>
          <w:p>
            <w:pPr>
              <w:pStyle w:val="TableContents"/>
              <w:spacing w:before="0" w:after="283"/>
              <w:ind w:left="0" w:right="0" w:hanging="144"/>
              <w:jc w:val="left"/>
              <w:rPr>
                <w:sz w:val="20"/>
              </w:rPr>
            </w:pPr>
            <w:r>
              <w:rPr>
                <w:sz w:val="20"/>
              </w:rPr>
              <w:t>)</w:t>
            </w:r>
          </w:p>
        </w:tc>
      </w:tr>
      <w:tr>
        <w:trPr/>
        <w:tc>
          <w:tcPr>
            <w:tcW w:w="4308" w:type="dxa"/>
            <w:tcBorders/>
            <w:shd w:fill="FFFF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Profit from operations</w:t>
              <w:tab/>
            </w:r>
          </w:p>
        </w:tc>
        <w:tc>
          <w:tcPr>
            <w:tcW w:w="60" w:type="dxa"/>
            <w:tcBorders/>
            <w:shd w:fill="FFFFFF" w:val="clear"/>
            <w:vAlign w:val="center"/>
          </w:tcPr>
          <w:p>
            <w:pPr>
              <w:pStyle w:val="TableContents"/>
              <w:spacing w:before="0" w:after="283"/>
              <w:rPr/>
            </w:pPr>
            <w:r>
              <w:rPr/>
              <w:t> </w:t>
            </w:r>
          </w:p>
        </w:tc>
        <w:tc>
          <w:tcPr>
            <w:tcW w:w="103"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1082" w:type="dxa"/>
            <w:tcBorders>
              <w:bottom w:val="single" w:sz="8" w:space="0" w:color="000000"/>
            </w:tcBorders>
            <w:shd w:fill="FFFFFF" w:val="clear"/>
            <w:tcMar>
              <w:bottom w:w="28" w:type="dxa"/>
            </w:tcMar>
            <w:vAlign w:val="center"/>
          </w:tcPr>
          <w:p>
            <w:pPr>
              <w:pStyle w:val="TableContents"/>
              <w:spacing w:before="0" w:after="283"/>
              <w:jc w:val="right"/>
              <w:rPr>
                <w:b/>
                <w:sz w:val="20"/>
              </w:rPr>
            </w:pPr>
            <w:r>
              <w:rPr>
                <w:b/>
                <w:sz w:val="20"/>
              </w:rPr>
              <w:t>38,746</w:t>
            </w:r>
          </w:p>
        </w:tc>
        <w:tc>
          <w:tcPr>
            <w:tcW w:w="102" w:type="dxa"/>
            <w:tcBorders/>
            <w:shd w:fill="FFFFFF" w:val="clear"/>
            <w:vAlign w:val="center"/>
          </w:tcPr>
          <w:p>
            <w:pPr>
              <w:pStyle w:val="TableContents"/>
              <w:spacing w:before="0" w:after="283"/>
              <w:jc w:val="left"/>
              <w:rPr/>
            </w:pPr>
            <w:r>
              <w:rPr/>
              <w:t> </w:t>
            </w:r>
          </w:p>
        </w:tc>
        <w:tc>
          <w:tcPr>
            <w:tcW w:w="76" w:type="dxa"/>
            <w:tcBorders/>
            <w:shd w:fill="FFFFFF" w:val="clear"/>
            <w:vAlign w:val="center"/>
          </w:tcPr>
          <w:p>
            <w:pPr>
              <w:pStyle w:val="TableContents"/>
              <w:spacing w:before="0" w:after="283"/>
              <w:rPr/>
            </w:pPr>
            <w:r>
              <w:rPr/>
              <w:t> </w:t>
            </w:r>
          </w:p>
        </w:tc>
        <w:tc>
          <w:tcPr>
            <w:tcW w:w="103"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1082" w:type="dxa"/>
            <w:tcBorders>
              <w:bottom w:val="single" w:sz="8" w:space="0" w:color="000000"/>
            </w:tcBorders>
            <w:shd w:fill="FFFFFF" w:val="clear"/>
            <w:tcMar>
              <w:bottom w:w="28" w:type="dxa"/>
            </w:tcMar>
            <w:vAlign w:val="center"/>
          </w:tcPr>
          <w:p>
            <w:pPr>
              <w:pStyle w:val="TableContents"/>
              <w:spacing w:before="0" w:after="283"/>
              <w:jc w:val="right"/>
              <w:rPr>
                <w:b/>
                <w:sz w:val="20"/>
              </w:rPr>
            </w:pPr>
            <w:r>
              <w:rPr>
                <w:b/>
                <w:sz w:val="20"/>
              </w:rPr>
              <w:t>51,613</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6"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1352" w:type="dxa"/>
            <w:tcBorders>
              <w:bottom w:val="single" w:sz="8" w:space="0" w:color="000000"/>
            </w:tcBorders>
            <w:shd w:fill="FFFFFF" w:val="clear"/>
            <w:tcMar>
              <w:bottom w:w="28" w:type="dxa"/>
            </w:tcMar>
            <w:vAlign w:val="center"/>
          </w:tcPr>
          <w:p>
            <w:pPr>
              <w:pStyle w:val="TableContents"/>
              <w:spacing w:before="0" w:after="283"/>
              <w:jc w:val="right"/>
              <w:rPr>
                <w:b/>
                <w:sz w:val="20"/>
              </w:rPr>
            </w:pPr>
            <w:r>
              <w:rPr>
                <w:b/>
                <w:sz w:val="20"/>
              </w:rPr>
              <w:t>40,484</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5"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1344" w:type="dxa"/>
            <w:tcBorders>
              <w:bottom w:val="single" w:sz="8" w:space="0" w:color="000000"/>
            </w:tcBorders>
            <w:shd w:fill="FFFFFF" w:val="clear"/>
            <w:tcMar>
              <w:bottom w:w="28" w:type="dxa"/>
            </w:tcMar>
            <w:vAlign w:val="center"/>
          </w:tcPr>
          <w:p>
            <w:pPr>
              <w:pStyle w:val="TableContents"/>
              <w:spacing w:before="0" w:after="283"/>
              <w:jc w:val="right"/>
              <w:rPr>
                <w:b/>
                <w:sz w:val="20"/>
              </w:rPr>
            </w:pPr>
            <w:r>
              <w:rPr>
                <w:b/>
                <w:sz w:val="20"/>
              </w:rPr>
              <w:t>154,616</w:t>
            </w:r>
          </w:p>
        </w:tc>
        <w:tc>
          <w:tcPr>
            <w:tcW w:w="92" w:type="dxa"/>
            <w:tcBorders/>
            <w:shd w:fill="FFFFFF" w:val="clear"/>
            <w:vAlign w:val="center"/>
          </w:tcPr>
          <w:p>
            <w:pPr>
              <w:pStyle w:val="TableContents"/>
              <w:spacing w:before="0" w:after="283"/>
              <w:ind w:left="0" w:right="0" w:hanging="144"/>
              <w:jc w:val="left"/>
              <w:rPr/>
            </w:pPr>
            <w:r>
              <w:rPr/>
              <w:t> </w:t>
            </w:r>
          </w:p>
        </w:tc>
      </w:tr>
      <w:tr>
        <w:trPr/>
        <w:tc>
          <w:tcPr>
            <w:tcW w:w="4308"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costs</w:t>
              <w:tab/>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0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(8,781</w:t>
            </w:r>
          </w:p>
        </w:tc>
        <w:tc>
          <w:tcPr>
            <w:tcW w:w="10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CCEEFF" w:val="clear"/>
            <w:vAlign w:val="center"/>
          </w:tcPr>
          <w:p>
            <w:pPr>
              <w:pStyle w:val="TableContents"/>
              <w:spacing w:before="0" w:after="283"/>
              <w:rPr>
                <w:caps w:val="false"/>
                <w:smallCaps w:val="false"/>
              </w:rPr>
            </w:pPr>
            <w:r>
              <w:rPr>
                <w:caps w:val="false"/>
                <w:smallCaps w:val="false"/>
              </w:rPr>
              <w:t> </w:t>
            </w:r>
          </w:p>
        </w:tc>
        <w:tc>
          <w:tcPr>
            <w:tcW w:w="10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(17,353</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0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35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(37,297</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34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(47,639</w:t>
            </w:r>
          </w:p>
        </w:tc>
        <w:tc>
          <w:tcPr>
            <w:tcW w:w="92" w:type="dxa"/>
            <w:tcBorders/>
            <w:shd w:fill="CCEEFF" w:val="clear"/>
            <w:vAlign w:val="center"/>
          </w:tcPr>
          <w:p>
            <w:pPr>
              <w:pStyle w:val="TableContents"/>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08"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income</w:t>
              <w:tab/>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0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82"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10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spacing w:before="0" w:after="283"/>
              <w:rPr>
                <w:caps w:val="false"/>
                <w:smallCaps w:val="false"/>
              </w:rPr>
            </w:pPr>
            <w:r>
              <w:rPr>
                <w:caps w:val="false"/>
                <w:smallCaps w:val="false"/>
              </w:rPr>
              <w:t> </w:t>
            </w:r>
          </w:p>
        </w:tc>
        <w:tc>
          <w:tcPr>
            <w:tcW w:w="10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82"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2,282</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0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352"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344"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2,363</w:t>
            </w:r>
          </w:p>
        </w:tc>
        <w:tc>
          <w:tcPr>
            <w:tcW w:w="92" w:type="dxa"/>
            <w:tcBorders/>
            <w:shd w:fill="FFFFFF" w:val="clear"/>
            <w:vAlign w:val="center"/>
          </w:tcPr>
          <w:p>
            <w:pPr>
              <w:pStyle w:val="TableContents"/>
              <w:spacing w:before="0" w:after="283"/>
              <w:ind w:left="0" w:right="0" w:hanging="144"/>
              <w:jc w:val="left"/>
              <w:rPr>
                <w:caps w:val="false"/>
                <w:smallCaps w:val="false"/>
              </w:rPr>
            </w:pPr>
            <w:r>
              <w:rPr>
                <w:caps w:val="false"/>
                <w:smallCaps w:val="false"/>
              </w:rPr>
              <w:t> </w:t>
            </w:r>
          </w:p>
        </w:tc>
      </w:tr>
      <w:tr>
        <w:trPr/>
        <w:tc>
          <w:tcPr>
            <w:tcW w:w="4308"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Gain/(loss) on derivatives</w:t>
              <w:tab/>
            </w:r>
          </w:p>
        </w:tc>
        <w:tc>
          <w:tcPr>
            <w:tcW w:w="60" w:type="dxa"/>
            <w:tcBorders/>
            <w:shd w:fill="CCEEFF" w:val="clear"/>
            <w:vAlign w:val="center"/>
          </w:tcPr>
          <w:p>
            <w:pPr>
              <w:pStyle w:val="TableContents"/>
              <w:spacing w:before="0" w:after="283"/>
              <w:rPr/>
            </w:pPr>
            <w:r>
              <w:rPr/>
              <w:t> </w:t>
            </w:r>
          </w:p>
        </w:tc>
        <w:tc>
          <w:tcPr>
            <w:tcW w:w="103"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1082"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4,977</w:t>
            </w:r>
          </w:p>
        </w:tc>
        <w:tc>
          <w:tcPr>
            <w:tcW w:w="102" w:type="dxa"/>
            <w:tcBorders/>
            <w:shd w:fill="CCEEFF" w:val="clear"/>
            <w:vAlign w:val="center"/>
          </w:tcPr>
          <w:p>
            <w:pPr>
              <w:pStyle w:val="TableContents"/>
              <w:spacing w:before="0" w:after="283"/>
              <w:jc w:val="left"/>
              <w:rPr/>
            </w:pPr>
            <w:r>
              <w:rPr/>
              <w:t> </w:t>
            </w:r>
          </w:p>
        </w:tc>
        <w:tc>
          <w:tcPr>
            <w:tcW w:w="76" w:type="dxa"/>
            <w:tcBorders/>
            <w:shd w:fill="CCEEFF" w:val="clear"/>
            <w:vAlign w:val="center"/>
          </w:tcPr>
          <w:p>
            <w:pPr>
              <w:pStyle w:val="TableContents"/>
              <w:spacing w:before="0" w:after="283"/>
              <w:rPr/>
            </w:pPr>
            <w:r>
              <w:rPr/>
              <w:t> </w:t>
            </w:r>
          </w:p>
        </w:tc>
        <w:tc>
          <w:tcPr>
            <w:tcW w:w="103"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1082"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(167</w:t>
            </w:r>
          </w:p>
        </w:tc>
        <w:tc>
          <w:tcPr>
            <w:tcW w:w="80" w:type="dxa"/>
            <w:tcBorders/>
            <w:shd w:fill="CCEEFF" w:val="clear"/>
            <w:vAlign w:val="center"/>
          </w:tcPr>
          <w:p>
            <w:pPr>
              <w:pStyle w:val="TableContents"/>
              <w:spacing w:before="0" w:after="283"/>
              <w:jc w:val="left"/>
              <w:rPr>
                <w:sz w:val="20"/>
              </w:rPr>
            </w:pPr>
            <w:r>
              <w:rPr>
                <w:sz w:val="20"/>
              </w:rPr>
              <w:t>)</w:t>
            </w:r>
          </w:p>
        </w:tc>
        <w:tc>
          <w:tcPr>
            <w:tcW w:w="60" w:type="dxa"/>
            <w:tcBorders/>
            <w:shd w:fill="CCEEFF" w:val="clear"/>
            <w:vAlign w:val="center"/>
          </w:tcPr>
          <w:p>
            <w:pPr>
              <w:pStyle w:val="TableContents"/>
              <w:spacing w:before="0" w:after="283"/>
              <w:rPr/>
            </w:pPr>
            <w:r>
              <w:rPr/>
              <w:t> </w:t>
            </w:r>
          </w:p>
        </w:tc>
        <w:tc>
          <w:tcPr>
            <w:tcW w:w="106"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1352"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2,496</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1344"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9,646</w:t>
            </w:r>
          </w:p>
        </w:tc>
        <w:tc>
          <w:tcPr>
            <w:tcW w:w="92" w:type="dxa"/>
            <w:tcBorders/>
            <w:shd w:fill="CCEEFF" w:val="clear"/>
            <w:vAlign w:val="center"/>
          </w:tcPr>
          <w:p>
            <w:pPr>
              <w:pStyle w:val="TableContents"/>
              <w:spacing w:before="0" w:after="283"/>
              <w:ind w:left="0" w:right="0" w:hanging="144"/>
              <w:jc w:val="left"/>
              <w:rPr/>
            </w:pPr>
            <w:r>
              <w:rPr/>
              <w:t> </w:t>
            </w:r>
          </w:p>
        </w:tc>
      </w:tr>
      <w:tr>
        <w:trPr/>
        <w:tc>
          <w:tcPr>
            <w:tcW w:w="4308" w:type="dxa"/>
            <w:tcBorders/>
            <w:shd w:fill="FFFF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other expenses, net</w:t>
              <w:tab/>
            </w:r>
          </w:p>
        </w:tc>
        <w:tc>
          <w:tcPr>
            <w:tcW w:w="60" w:type="dxa"/>
            <w:tcBorders/>
            <w:shd w:fill="FFFFFF" w:val="clear"/>
            <w:vAlign w:val="center"/>
          </w:tcPr>
          <w:p>
            <w:pPr>
              <w:pStyle w:val="TableContents"/>
              <w:spacing w:before="0" w:after="283"/>
              <w:rPr/>
            </w:pPr>
            <w:r>
              <w:rPr/>
              <w:t> </w:t>
            </w:r>
          </w:p>
        </w:tc>
        <w:tc>
          <w:tcPr>
            <w:tcW w:w="103"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1082" w:type="dxa"/>
            <w:tcBorders>
              <w:bottom w:val="single" w:sz="8" w:space="0" w:color="000000"/>
            </w:tcBorders>
            <w:shd w:fill="FFFFFF" w:val="clear"/>
            <w:tcMar>
              <w:bottom w:w="28" w:type="dxa"/>
            </w:tcMar>
            <w:vAlign w:val="center"/>
          </w:tcPr>
          <w:p>
            <w:pPr>
              <w:pStyle w:val="TableContents"/>
              <w:spacing w:before="0" w:after="283"/>
              <w:jc w:val="right"/>
              <w:rPr>
                <w:b/>
                <w:sz w:val="20"/>
              </w:rPr>
            </w:pPr>
            <w:r>
              <w:rPr>
                <w:b/>
                <w:sz w:val="20"/>
              </w:rPr>
              <w:t>(3,765</w:t>
            </w:r>
          </w:p>
        </w:tc>
        <w:tc>
          <w:tcPr>
            <w:tcW w:w="102" w:type="dxa"/>
            <w:tcBorders/>
            <w:shd w:fill="FFFFFF" w:val="clear"/>
            <w:vAlign w:val="center"/>
          </w:tcPr>
          <w:p>
            <w:pPr>
              <w:pStyle w:val="TableContents"/>
              <w:spacing w:before="0" w:after="283"/>
              <w:jc w:val="left"/>
              <w:rPr>
                <w:b/>
                <w:sz w:val="20"/>
              </w:rPr>
            </w:pPr>
            <w:r>
              <w:rPr>
                <w:b/>
                <w:sz w:val="20"/>
              </w:rPr>
              <w:t>)</w:t>
            </w:r>
          </w:p>
        </w:tc>
        <w:tc>
          <w:tcPr>
            <w:tcW w:w="76" w:type="dxa"/>
            <w:tcBorders/>
            <w:shd w:fill="FFFFFF" w:val="clear"/>
            <w:vAlign w:val="center"/>
          </w:tcPr>
          <w:p>
            <w:pPr>
              <w:pStyle w:val="TableContents"/>
              <w:spacing w:before="0" w:after="283"/>
              <w:rPr/>
            </w:pPr>
            <w:r>
              <w:rPr/>
              <w:t> </w:t>
            </w:r>
          </w:p>
        </w:tc>
        <w:tc>
          <w:tcPr>
            <w:tcW w:w="103"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1082" w:type="dxa"/>
            <w:tcBorders>
              <w:bottom w:val="single" w:sz="8" w:space="0" w:color="000000"/>
            </w:tcBorders>
            <w:shd w:fill="FFFFFF" w:val="clear"/>
            <w:tcMar>
              <w:bottom w:w="28" w:type="dxa"/>
            </w:tcMar>
            <w:vAlign w:val="center"/>
          </w:tcPr>
          <w:p>
            <w:pPr>
              <w:pStyle w:val="TableContents"/>
              <w:spacing w:before="0" w:after="283"/>
              <w:jc w:val="right"/>
              <w:rPr>
                <w:b/>
                <w:sz w:val="20"/>
              </w:rPr>
            </w:pPr>
            <w:r>
              <w:rPr>
                <w:b/>
                <w:sz w:val="20"/>
              </w:rPr>
              <w:t>(15,238</w:t>
            </w:r>
          </w:p>
        </w:tc>
        <w:tc>
          <w:tcPr>
            <w:tcW w:w="80" w:type="dxa"/>
            <w:tcBorders/>
            <w:shd w:fill="FFFFFF" w:val="clear"/>
            <w:vAlign w:val="center"/>
          </w:tcPr>
          <w:p>
            <w:pPr>
              <w:pStyle w:val="TableContents"/>
              <w:spacing w:before="0" w:after="283"/>
              <w:jc w:val="left"/>
              <w:rPr>
                <w:b/>
                <w:sz w:val="20"/>
              </w:rPr>
            </w:pPr>
            <w:r>
              <w:rPr>
                <w:b/>
                <w:sz w:val="20"/>
              </w:rPr>
              <w:t>)</w:t>
            </w:r>
          </w:p>
        </w:tc>
        <w:tc>
          <w:tcPr>
            <w:tcW w:w="60" w:type="dxa"/>
            <w:tcBorders/>
            <w:shd w:fill="FFFFFF" w:val="clear"/>
            <w:vAlign w:val="center"/>
          </w:tcPr>
          <w:p>
            <w:pPr>
              <w:pStyle w:val="TableContents"/>
              <w:spacing w:before="0" w:after="283"/>
              <w:rPr/>
            </w:pPr>
            <w:r>
              <w:rPr/>
              <w:t> </w:t>
            </w:r>
          </w:p>
        </w:tc>
        <w:tc>
          <w:tcPr>
            <w:tcW w:w="106"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1352" w:type="dxa"/>
            <w:tcBorders>
              <w:bottom w:val="single" w:sz="8" w:space="0" w:color="000000"/>
            </w:tcBorders>
            <w:shd w:fill="FFFFFF" w:val="clear"/>
            <w:tcMar>
              <w:bottom w:w="28" w:type="dxa"/>
            </w:tcMar>
            <w:vAlign w:val="center"/>
          </w:tcPr>
          <w:p>
            <w:pPr>
              <w:pStyle w:val="TableContents"/>
              <w:spacing w:before="0" w:after="283"/>
              <w:jc w:val="right"/>
              <w:rPr>
                <w:b/>
                <w:sz w:val="20"/>
              </w:rPr>
            </w:pPr>
            <w:r>
              <w:rPr>
                <w:b/>
                <w:sz w:val="20"/>
              </w:rPr>
              <w:t>(34,758</w:t>
            </w:r>
          </w:p>
        </w:tc>
        <w:tc>
          <w:tcPr>
            <w:tcW w:w="80" w:type="dxa"/>
            <w:tcBorders/>
            <w:shd w:fill="FFFFFF" w:val="clear"/>
            <w:vAlign w:val="center"/>
          </w:tcPr>
          <w:p>
            <w:pPr>
              <w:pStyle w:val="TableContents"/>
              <w:spacing w:before="0" w:after="283"/>
              <w:jc w:val="left"/>
              <w:rPr>
                <w:b/>
                <w:sz w:val="20"/>
              </w:rPr>
            </w:pPr>
            <w:r>
              <w:rPr>
                <w:b/>
                <w:sz w:val="20"/>
              </w:rPr>
              <w:t>)</w:t>
            </w:r>
          </w:p>
        </w:tc>
        <w:tc>
          <w:tcPr>
            <w:tcW w:w="60" w:type="dxa"/>
            <w:tcBorders/>
            <w:shd w:fill="FFFFFF" w:val="clear"/>
            <w:vAlign w:val="center"/>
          </w:tcPr>
          <w:p>
            <w:pPr>
              <w:pStyle w:val="TableContents"/>
              <w:spacing w:before="0" w:after="283"/>
              <w:rPr/>
            </w:pPr>
            <w:r>
              <w:rPr/>
              <w:t> </w:t>
            </w:r>
          </w:p>
        </w:tc>
        <w:tc>
          <w:tcPr>
            <w:tcW w:w="115"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1344" w:type="dxa"/>
            <w:tcBorders>
              <w:bottom w:val="single" w:sz="8" w:space="0" w:color="000000"/>
            </w:tcBorders>
            <w:shd w:fill="FFFFFF" w:val="clear"/>
            <w:tcMar>
              <w:bottom w:w="28" w:type="dxa"/>
            </w:tcMar>
            <w:vAlign w:val="center"/>
          </w:tcPr>
          <w:p>
            <w:pPr>
              <w:pStyle w:val="TableContents"/>
              <w:spacing w:before="0" w:after="283"/>
              <w:jc w:val="right"/>
              <w:rPr>
                <w:b/>
                <w:sz w:val="20"/>
              </w:rPr>
            </w:pPr>
            <w:r>
              <w:rPr>
                <w:b/>
                <w:sz w:val="20"/>
              </w:rPr>
              <w:t>(35,630</w:t>
            </w:r>
          </w:p>
        </w:tc>
        <w:tc>
          <w:tcPr>
            <w:tcW w:w="92" w:type="dxa"/>
            <w:tcBorders/>
            <w:shd w:fill="FFFFFF" w:val="clear"/>
            <w:vAlign w:val="center"/>
          </w:tcPr>
          <w:p>
            <w:pPr>
              <w:pStyle w:val="TableContents"/>
              <w:spacing w:before="0" w:after="283"/>
              <w:ind w:left="0" w:right="0" w:hanging="144"/>
              <w:jc w:val="left"/>
              <w:rPr>
                <w:b/>
                <w:sz w:val="20"/>
              </w:rPr>
            </w:pPr>
            <w:r>
              <w:rPr>
                <w:b/>
                <w:sz w:val="20"/>
              </w:rPr>
              <w:t>)</w:t>
            </w:r>
          </w:p>
        </w:tc>
      </w:tr>
      <w:tr>
        <w:trPr/>
        <w:tc>
          <w:tcPr>
            <w:tcW w:w="4308"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Profit and total comprehensive income for the year</w:t>
              <w:tab/>
            </w:r>
          </w:p>
        </w:tc>
        <w:tc>
          <w:tcPr>
            <w:tcW w:w="60" w:type="dxa"/>
            <w:tcBorders/>
            <w:shd w:fill="CCEEFF" w:val="clear"/>
            <w:vAlign w:val="center"/>
          </w:tcPr>
          <w:p>
            <w:pPr>
              <w:pStyle w:val="TableContents"/>
              <w:spacing w:before="0" w:after="283"/>
              <w:rPr/>
            </w:pPr>
            <w:r>
              <w:rPr/>
              <w:t> </w:t>
            </w:r>
          </w:p>
        </w:tc>
        <w:tc>
          <w:tcPr>
            <w:tcW w:w="103" w:type="dxa"/>
            <w:tcBorders>
              <w:bottom w:val="double" w:sz="6" w:space="0" w:color="000000"/>
            </w:tcBorders>
            <w:shd w:fill="CCEEFF" w:val="clear"/>
            <w:tcMar>
              <w:bottom w:w="50" w:type="dxa"/>
            </w:tcMar>
            <w:vAlign w:val="center"/>
          </w:tcPr>
          <w:p>
            <w:pPr>
              <w:pStyle w:val="TableContents"/>
              <w:spacing w:before="0" w:after="283"/>
              <w:jc w:val="left"/>
              <w:rPr/>
            </w:pPr>
            <w:r>
              <w:rPr/>
              <w:t> </w:t>
            </w:r>
          </w:p>
        </w:tc>
        <w:tc>
          <w:tcPr>
            <w:tcW w:w="1082" w:type="dxa"/>
            <w:tcBorders>
              <w:bottom w:val="double" w:sz="6" w:space="0" w:color="000000"/>
            </w:tcBorders>
            <w:shd w:fill="CCEEFF" w:val="clear"/>
            <w:tcMar>
              <w:bottom w:w="28" w:type="dxa"/>
            </w:tcMar>
            <w:vAlign w:val="center"/>
          </w:tcPr>
          <w:p>
            <w:pPr>
              <w:pStyle w:val="TableContents"/>
              <w:spacing w:before="0" w:after="283"/>
              <w:jc w:val="right"/>
              <w:rPr>
                <w:b/>
                <w:sz w:val="20"/>
              </w:rPr>
            </w:pPr>
            <w:r>
              <w:rPr>
                <w:b/>
                <w:sz w:val="20"/>
              </w:rPr>
              <w:t>34,981</w:t>
            </w:r>
          </w:p>
        </w:tc>
        <w:tc>
          <w:tcPr>
            <w:tcW w:w="102" w:type="dxa"/>
            <w:tcBorders/>
            <w:shd w:fill="CCEEFF" w:val="clear"/>
            <w:vAlign w:val="center"/>
          </w:tcPr>
          <w:p>
            <w:pPr>
              <w:pStyle w:val="TableContents"/>
              <w:spacing w:before="0" w:after="283"/>
              <w:rPr>
                <w:sz w:val="4"/>
                <w:szCs w:val="4"/>
              </w:rPr>
            </w:pPr>
            <w:r>
              <w:rPr>
                <w:sz w:val="4"/>
                <w:szCs w:val="4"/>
              </w:rPr>
            </w:r>
          </w:p>
        </w:tc>
        <w:tc>
          <w:tcPr>
            <w:tcW w:w="76" w:type="dxa"/>
            <w:tcBorders/>
            <w:shd w:fill="CCEEFF" w:val="clear"/>
            <w:vAlign w:val="center"/>
          </w:tcPr>
          <w:p>
            <w:pPr>
              <w:pStyle w:val="TableContents"/>
              <w:spacing w:before="0" w:after="283"/>
              <w:rPr/>
            </w:pPr>
            <w:r>
              <w:rPr/>
              <w:t> </w:t>
            </w:r>
          </w:p>
        </w:tc>
        <w:tc>
          <w:tcPr>
            <w:tcW w:w="103" w:type="dxa"/>
            <w:tcBorders>
              <w:bottom w:val="double" w:sz="6" w:space="0" w:color="000000"/>
            </w:tcBorders>
            <w:shd w:fill="CCEEFF" w:val="clear"/>
            <w:tcMar>
              <w:bottom w:w="50" w:type="dxa"/>
            </w:tcMar>
            <w:vAlign w:val="center"/>
          </w:tcPr>
          <w:p>
            <w:pPr>
              <w:pStyle w:val="TableContents"/>
              <w:spacing w:before="0" w:after="283"/>
              <w:jc w:val="left"/>
              <w:rPr/>
            </w:pPr>
            <w:r>
              <w:rPr/>
              <w:t> </w:t>
            </w:r>
          </w:p>
        </w:tc>
        <w:tc>
          <w:tcPr>
            <w:tcW w:w="1082" w:type="dxa"/>
            <w:tcBorders>
              <w:bottom w:val="double" w:sz="6" w:space="0" w:color="000000"/>
            </w:tcBorders>
            <w:shd w:fill="CCEEFF" w:val="clear"/>
            <w:tcMar>
              <w:bottom w:w="28" w:type="dxa"/>
            </w:tcMar>
            <w:vAlign w:val="center"/>
          </w:tcPr>
          <w:p>
            <w:pPr>
              <w:pStyle w:val="TableContents"/>
              <w:spacing w:before="0" w:after="283"/>
              <w:jc w:val="right"/>
              <w:rPr>
                <w:b/>
                <w:sz w:val="20"/>
              </w:rPr>
            </w:pPr>
            <w:r>
              <w:rPr>
                <w:b/>
                <w:sz w:val="20"/>
              </w:rPr>
              <w:t>36,375</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6" w:type="dxa"/>
            <w:tcBorders>
              <w:bottom w:val="double" w:sz="6" w:space="0" w:color="000000"/>
            </w:tcBorders>
            <w:shd w:fill="CCEEFF" w:val="clear"/>
            <w:tcMar>
              <w:bottom w:w="50" w:type="dxa"/>
            </w:tcMar>
            <w:vAlign w:val="center"/>
          </w:tcPr>
          <w:p>
            <w:pPr>
              <w:pStyle w:val="TableContents"/>
              <w:spacing w:before="0" w:after="283"/>
              <w:jc w:val="left"/>
              <w:rPr/>
            </w:pPr>
            <w:r>
              <w:rPr/>
              <w:t> </w:t>
            </w:r>
          </w:p>
        </w:tc>
        <w:tc>
          <w:tcPr>
            <w:tcW w:w="1352" w:type="dxa"/>
            <w:tcBorders>
              <w:bottom w:val="double" w:sz="6" w:space="0" w:color="000000"/>
            </w:tcBorders>
            <w:shd w:fill="CCEEFF" w:val="clear"/>
            <w:tcMar>
              <w:bottom w:w="28" w:type="dxa"/>
            </w:tcMar>
            <w:vAlign w:val="center"/>
          </w:tcPr>
          <w:p>
            <w:pPr>
              <w:pStyle w:val="TableContents"/>
              <w:spacing w:before="0" w:after="283"/>
              <w:jc w:val="right"/>
              <w:rPr>
                <w:b/>
                <w:sz w:val="20"/>
              </w:rPr>
            </w:pPr>
            <w:r>
              <w:rPr>
                <w:b/>
                <w:sz w:val="20"/>
              </w:rPr>
              <w:t>5,726</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5" w:type="dxa"/>
            <w:tcBorders>
              <w:bottom w:val="double" w:sz="6" w:space="0" w:color="000000"/>
            </w:tcBorders>
            <w:shd w:fill="CCEEFF" w:val="clear"/>
            <w:tcMar>
              <w:bottom w:w="50" w:type="dxa"/>
            </w:tcMar>
            <w:vAlign w:val="center"/>
          </w:tcPr>
          <w:p>
            <w:pPr>
              <w:pStyle w:val="TableContents"/>
              <w:spacing w:before="0" w:after="283"/>
              <w:jc w:val="left"/>
              <w:rPr/>
            </w:pPr>
            <w:r>
              <w:rPr/>
              <w:t> </w:t>
            </w:r>
          </w:p>
        </w:tc>
        <w:tc>
          <w:tcPr>
            <w:tcW w:w="1344" w:type="dxa"/>
            <w:tcBorders>
              <w:bottom w:val="double" w:sz="6" w:space="0" w:color="000000"/>
            </w:tcBorders>
            <w:shd w:fill="CCEEFF" w:val="clear"/>
            <w:tcMar>
              <w:bottom w:w="28" w:type="dxa"/>
            </w:tcMar>
            <w:vAlign w:val="center"/>
          </w:tcPr>
          <w:p>
            <w:pPr>
              <w:pStyle w:val="TableContents"/>
              <w:spacing w:before="0" w:after="283"/>
              <w:jc w:val="right"/>
              <w:rPr>
                <w:b/>
                <w:sz w:val="20"/>
              </w:rPr>
            </w:pPr>
            <w:r>
              <w:rPr>
                <w:b/>
                <w:sz w:val="20"/>
              </w:rPr>
              <w:t>118,986</w:t>
            </w:r>
          </w:p>
        </w:tc>
        <w:tc>
          <w:tcPr>
            <w:tcW w:w="92" w:type="dxa"/>
            <w:tcBorders/>
            <w:shd w:fill="CCEEFF" w:val="clear"/>
            <w:vAlign w:val="center"/>
          </w:tcPr>
          <w:p>
            <w:pPr>
              <w:pStyle w:val="TableContents"/>
              <w:spacing w:before="0" w:after="283"/>
              <w:ind w:left="0" w:right="0" w:hanging="144"/>
              <w:jc w:val="left"/>
              <w:rPr/>
            </w:pPr>
            <w:r>
              <w:rPr/>
              <w:t> </w:t>
            </w:r>
          </w:p>
        </w:tc>
      </w:tr>
      <w:tr>
        <w:trPr/>
        <w:tc>
          <w:tcPr>
            <w:tcW w:w="4308" w:type="dxa"/>
            <w:tcBorders/>
            <w:shd w:fill="FFFF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Earnings/(loss) per unit attributable to the Partnership, basic and diluted:</w:t>
              <w:tab/>
            </w:r>
          </w:p>
        </w:tc>
        <w:tc>
          <w:tcPr>
            <w:tcW w:w="60"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jc w:val="left"/>
              <w:rPr/>
            </w:pPr>
            <w:r>
              <w:rPr/>
              <w:t> </w:t>
            </w:r>
          </w:p>
        </w:tc>
        <w:tc>
          <w:tcPr>
            <w:tcW w:w="1082" w:type="dxa"/>
            <w:tcBorders/>
            <w:shd w:fill="FFFFFF" w:val="clear"/>
            <w:vAlign w:val="center"/>
          </w:tcPr>
          <w:p>
            <w:pPr>
              <w:pStyle w:val="TableContents"/>
              <w:spacing w:before="0" w:after="283"/>
              <w:jc w:val="right"/>
              <w:rPr/>
            </w:pPr>
            <w:r>
              <w:rPr/>
              <w:t> </w:t>
            </w:r>
          </w:p>
        </w:tc>
        <w:tc>
          <w:tcPr>
            <w:tcW w:w="102" w:type="dxa"/>
            <w:tcBorders/>
            <w:shd w:fill="FFFFFF" w:val="clear"/>
            <w:vAlign w:val="center"/>
          </w:tcPr>
          <w:p>
            <w:pPr>
              <w:pStyle w:val="TableContents"/>
              <w:spacing w:before="0" w:after="283"/>
              <w:jc w:val="left"/>
              <w:rPr/>
            </w:pPr>
            <w:r>
              <w:rPr/>
              <w:t> </w:t>
            </w:r>
          </w:p>
        </w:tc>
        <w:tc>
          <w:tcPr>
            <w:tcW w:w="76"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jc w:val="left"/>
              <w:rPr/>
            </w:pPr>
            <w:r>
              <w:rPr/>
              <w:t> </w:t>
            </w:r>
          </w:p>
        </w:tc>
        <w:tc>
          <w:tcPr>
            <w:tcW w:w="1082"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6" w:type="dxa"/>
            <w:tcBorders/>
            <w:shd w:fill="FFFFFF" w:val="clear"/>
            <w:vAlign w:val="center"/>
          </w:tcPr>
          <w:p>
            <w:pPr>
              <w:pStyle w:val="TableContents"/>
              <w:spacing w:before="0" w:after="283"/>
              <w:jc w:val="left"/>
              <w:rPr/>
            </w:pPr>
            <w:r>
              <w:rPr/>
              <w:t> </w:t>
            </w:r>
          </w:p>
        </w:tc>
        <w:tc>
          <w:tcPr>
            <w:tcW w:w="1352"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5" w:type="dxa"/>
            <w:tcBorders/>
            <w:shd w:fill="FFFFFF" w:val="clear"/>
            <w:vAlign w:val="center"/>
          </w:tcPr>
          <w:p>
            <w:pPr>
              <w:pStyle w:val="TableContents"/>
              <w:spacing w:before="0" w:after="283"/>
              <w:jc w:val="left"/>
              <w:rPr/>
            </w:pPr>
            <w:r>
              <w:rPr/>
              <w:t> </w:t>
            </w:r>
          </w:p>
        </w:tc>
        <w:tc>
          <w:tcPr>
            <w:tcW w:w="1344" w:type="dxa"/>
            <w:tcBorders/>
            <w:shd w:fill="FFFFFF" w:val="clear"/>
            <w:vAlign w:val="center"/>
          </w:tcPr>
          <w:p>
            <w:pPr>
              <w:pStyle w:val="TableContents"/>
              <w:spacing w:before="0" w:after="283"/>
              <w:jc w:val="right"/>
              <w:rPr/>
            </w:pPr>
            <w:r>
              <w:rPr/>
              <w:t> </w:t>
            </w:r>
          </w:p>
        </w:tc>
        <w:tc>
          <w:tcPr>
            <w:tcW w:w="92" w:type="dxa"/>
            <w:tcBorders/>
            <w:shd w:fill="FFFFFF" w:val="clear"/>
            <w:vAlign w:val="center"/>
          </w:tcPr>
          <w:p>
            <w:pPr>
              <w:pStyle w:val="TableContents"/>
              <w:spacing w:before="0" w:after="283"/>
              <w:ind w:left="0" w:right="0" w:hanging="144"/>
              <w:jc w:val="left"/>
              <w:rPr/>
            </w:pPr>
            <w:r>
              <w:rPr/>
              <w:t> </w:t>
            </w:r>
          </w:p>
        </w:tc>
      </w:tr>
      <w:tr>
        <w:trPr/>
        <w:tc>
          <w:tcPr>
            <w:tcW w:w="4308"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Unit (basic)</w:t>
              <w:tab/>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0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0.53</w:t>
            </w:r>
          </w:p>
        </w:tc>
        <w:tc>
          <w:tcPr>
            <w:tcW w:w="10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spacing w:before="0" w:after="283"/>
              <w:rPr>
                <w:caps w:val="false"/>
                <w:smallCaps w:val="false"/>
              </w:rPr>
            </w:pPr>
            <w:r>
              <w:rPr>
                <w:caps w:val="false"/>
                <w:smallCaps w:val="false"/>
              </w:rPr>
              <w:t> </w:t>
            </w:r>
          </w:p>
        </w:tc>
        <w:tc>
          <w:tcPr>
            <w:tcW w:w="10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0.56</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0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35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(0.47</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34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w:t>
            </w:r>
          </w:p>
        </w:tc>
        <w:tc>
          <w:tcPr>
            <w:tcW w:w="92" w:type="dxa"/>
            <w:tcBorders/>
            <w:shd w:fill="CCEEFF" w:val="clear"/>
            <w:vAlign w:val="center"/>
          </w:tcPr>
          <w:p>
            <w:pPr>
              <w:pStyle w:val="TableContents"/>
              <w:spacing w:before="0" w:after="283"/>
              <w:ind w:left="0" w:right="0" w:hanging="144"/>
              <w:jc w:val="left"/>
              <w:rPr>
                <w:caps w:val="false"/>
                <w:smallCaps w:val="false"/>
              </w:rPr>
            </w:pPr>
            <w:r>
              <w:rPr>
                <w:caps w:val="false"/>
                <w:smallCaps w:val="false"/>
              </w:rPr>
              <w:t> </w:t>
            </w:r>
          </w:p>
        </w:tc>
      </w:tr>
      <w:tr>
        <w:trPr/>
        <w:tc>
          <w:tcPr>
            <w:tcW w:w="4308"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Unit (diluted)</w:t>
              <w:tab/>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0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82"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0.52</w:t>
            </w:r>
          </w:p>
        </w:tc>
        <w:tc>
          <w:tcPr>
            <w:tcW w:w="10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spacing w:before="0" w:after="283"/>
              <w:rPr>
                <w:caps w:val="false"/>
                <w:smallCaps w:val="false"/>
              </w:rPr>
            </w:pPr>
            <w:r>
              <w:rPr>
                <w:caps w:val="false"/>
                <w:smallCaps w:val="false"/>
              </w:rPr>
              <w:t> </w:t>
            </w:r>
          </w:p>
        </w:tc>
        <w:tc>
          <w:tcPr>
            <w:tcW w:w="10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82"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0.55</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0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352"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(0.47</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344"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w:t>
            </w:r>
          </w:p>
        </w:tc>
        <w:tc>
          <w:tcPr>
            <w:tcW w:w="92" w:type="dxa"/>
            <w:tcBorders/>
            <w:shd w:fill="FFFFFF" w:val="clear"/>
            <w:vAlign w:val="center"/>
          </w:tcPr>
          <w:p>
            <w:pPr>
              <w:pStyle w:val="TableContents"/>
              <w:spacing w:before="0" w:after="283"/>
              <w:ind w:left="0" w:right="0" w:hanging="144"/>
              <w:jc w:val="left"/>
              <w:rPr>
                <w:caps w:val="false"/>
                <w:smallCaps w:val="false"/>
              </w:rPr>
            </w:pPr>
            <w:r>
              <w:rPr>
                <w:caps w:val="false"/>
                <w:smallCaps w:val="false"/>
              </w:rPr>
              <w:t> </w:t>
            </w:r>
          </w:p>
        </w:tc>
      </w:tr>
      <w:tr>
        <w:trPr/>
        <w:tc>
          <w:tcPr>
            <w:tcW w:w="4308"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Partner Unit</w:t>
              <w:tab/>
            </w:r>
          </w:p>
        </w:tc>
        <w:tc>
          <w:tcPr>
            <w:tcW w:w="60" w:type="dxa"/>
            <w:tcBorders/>
            <w:shd w:fill="CCEEFF" w:val="clear"/>
            <w:vAlign w:val="center"/>
          </w:tcPr>
          <w:p>
            <w:pPr>
              <w:pStyle w:val="TableContents"/>
              <w:spacing w:before="0" w:after="283"/>
              <w:rPr/>
            </w:pPr>
            <w:r>
              <w:rPr/>
              <w:t> </w:t>
            </w:r>
          </w:p>
        </w:tc>
        <w:tc>
          <w:tcPr>
            <w:tcW w:w="103" w:type="dxa"/>
            <w:tcBorders>
              <w:bottom w:val="double" w:sz="6" w:space="0" w:color="000000"/>
            </w:tcBorders>
            <w:shd w:fill="CCEEFF" w:val="clear"/>
            <w:tcMar>
              <w:bottom w:w="50" w:type="dxa"/>
            </w:tcMar>
            <w:vAlign w:val="center"/>
          </w:tcPr>
          <w:p>
            <w:pPr>
              <w:pStyle w:val="TableContents"/>
              <w:spacing w:before="0" w:after="283"/>
              <w:jc w:val="left"/>
              <w:rPr/>
            </w:pPr>
            <w:r>
              <w:rPr/>
              <w:t> </w:t>
            </w:r>
          </w:p>
        </w:tc>
        <w:tc>
          <w:tcPr>
            <w:tcW w:w="1082" w:type="dxa"/>
            <w:tcBorders>
              <w:bottom w:val="double" w:sz="6" w:space="0" w:color="000000"/>
            </w:tcBorders>
            <w:shd w:fill="CCEEFF" w:val="clear"/>
            <w:tcMar>
              <w:bottom w:w="28" w:type="dxa"/>
            </w:tcMar>
            <w:vAlign w:val="center"/>
          </w:tcPr>
          <w:p>
            <w:pPr>
              <w:pStyle w:val="TableContents"/>
              <w:spacing w:before="0" w:after="283"/>
              <w:jc w:val="right"/>
              <w:rPr>
                <w:sz w:val="20"/>
              </w:rPr>
            </w:pPr>
            <w:r>
              <w:rPr>
                <w:sz w:val="20"/>
              </w:rPr>
              <w:t>0.53</w:t>
            </w:r>
          </w:p>
        </w:tc>
        <w:tc>
          <w:tcPr>
            <w:tcW w:w="102" w:type="dxa"/>
            <w:tcBorders/>
            <w:shd w:fill="CCEEFF" w:val="clear"/>
            <w:vAlign w:val="center"/>
          </w:tcPr>
          <w:p>
            <w:pPr>
              <w:pStyle w:val="TableContents"/>
              <w:spacing w:before="0" w:after="283"/>
              <w:jc w:val="left"/>
              <w:rPr/>
            </w:pPr>
            <w:r>
              <w:rPr/>
              <w:t> </w:t>
            </w:r>
          </w:p>
        </w:tc>
        <w:tc>
          <w:tcPr>
            <w:tcW w:w="76" w:type="dxa"/>
            <w:tcBorders/>
            <w:shd w:fill="CCEEFF" w:val="clear"/>
            <w:vAlign w:val="center"/>
          </w:tcPr>
          <w:p>
            <w:pPr>
              <w:pStyle w:val="TableContents"/>
              <w:spacing w:before="0" w:after="283"/>
              <w:rPr/>
            </w:pPr>
            <w:r>
              <w:rPr/>
              <w:t> </w:t>
            </w:r>
          </w:p>
        </w:tc>
        <w:tc>
          <w:tcPr>
            <w:tcW w:w="103" w:type="dxa"/>
            <w:tcBorders>
              <w:bottom w:val="double" w:sz="6" w:space="0" w:color="000000"/>
            </w:tcBorders>
            <w:shd w:fill="CCEEFF" w:val="clear"/>
            <w:tcMar>
              <w:bottom w:w="50" w:type="dxa"/>
            </w:tcMar>
            <w:vAlign w:val="center"/>
          </w:tcPr>
          <w:p>
            <w:pPr>
              <w:pStyle w:val="TableContents"/>
              <w:spacing w:before="0" w:after="283"/>
              <w:jc w:val="left"/>
              <w:rPr/>
            </w:pPr>
            <w:r>
              <w:rPr/>
              <w:t> </w:t>
            </w:r>
          </w:p>
        </w:tc>
        <w:tc>
          <w:tcPr>
            <w:tcW w:w="1082" w:type="dxa"/>
            <w:tcBorders>
              <w:bottom w:val="double" w:sz="6" w:space="0" w:color="000000"/>
            </w:tcBorders>
            <w:shd w:fill="CCEEFF" w:val="clear"/>
            <w:tcMar>
              <w:bottom w:w="28" w:type="dxa"/>
            </w:tcMar>
            <w:vAlign w:val="center"/>
          </w:tcPr>
          <w:p>
            <w:pPr>
              <w:pStyle w:val="TableContents"/>
              <w:spacing w:before="0" w:after="283"/>
              <w:jc w:val="right"/>
              <w:rPr>
                <w:sz w:val="20"/>
              </w:rPr>
            </w:pPr>
            <w:r>
              <w:rPr>
                <w:sz w:val="20"/>
              </w:rPr>
              <w:t>0.56</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6" w:type="dxa"/>
            <w:tcBorders>
              <w:bottom w:val="double" w:sz="6" w:space="0" w:color="000000"/>
            </w:tcBorders>
            <w:shd w:fill="CCEEFF" w:val="clear"/>
            <w:tcMar>
              <w:bottom w:w="50" w:type="dxa"/>
            </w:tcMar>
            <w:vAlign w:val="center"/>
          </w:tcPr>
          <w:p>
            <w:pPr>
              <w:pStyle w:val="TableContents"/>
              <w:spacing w:before="0" w:after="283"/>
              <w:jc w:val="left"/>
              <w:rPr/>
            </w:pPr>
            <w:r>
              <w:rPr/>
              <w:t> </w:t>
            </w:r>
          </w:p>
        </w:tc>
        <w:tc>
          <w:tcPr>
            <w:tcW w:w="1352" w:type="dxa"/>
            <w:tcBorders>
              <w:bottom w:val="double" w:sz="6" w:space="0" w:color="000000"/>
            </w:tcBorders>
            <w:shd w:fill="CCEEFF" w:val="clear"/>
            <w:tcMar>
              <w:bottom w:w="28" w:type="dxa"/>
            </w:tcMar>
            <w:vAlign w:val="center"/>
          </w:tcPr>
          <w:p>
            <w:pPr>
              <w:pStyle w:val="TableContents"/>
              <w:spacing w:before="0" w:after="283"/>
              <w:jc w:val="right"/>
              <w:rPr>
                <w:sz w:val="20"/>
              </w:rPr>
            </w:pPr>
            <w:r>
              <w:rPr>
                <w:sz w:val="20"/>
              </w:rPr>
              <w:t>(0.46</w:t>
            </w:r>
          </w:p>
        </w:tc>
        <w:tc>
          <w:tcPr>
            <w:tcW w:w="80" w:type="dxa"/>
            <w:tcBorders/>
            <w:shd w:fill="CCEEFF" w:val="clear"/>
            <w:vAlign w:val="center"/>
          </w:tcPr>
          <w:p>
            <w:pPr>
              <w:pStyle w:val="TableContents"/>
              <w:spacing w:before="0" w:after="283"/>
              <w:jc w:val="left"/>
              <w:rPr>
                <w:sz w:val="20"/>
              </w:rPr>
            </w:pPr>
            <w:r>
              <w:rPr>
                <w:sz w:val="20"/>
              </w:rPr>
              <w:t>)</w:t>
            </w:r>
          </w:p>
        </w:tc>
        <w:tc>
          <w:tcPr>
            <w:tcW w:w="60" w:type="dxa"/>
            <w:tcBorders/>
            <w:shd w:fill="CCEEFF" w:val="clear"/>
            <w:vAlign w:val="center"/>
          </w:tcPr>
          <w:p>
            <w:pPr>
              <w:pStyle w:val="TableContents"/>
              <w:spacing w:before="0" w:after="283"/>
              <w:rPr/>
            </w:pPr>
            <w:r>
              <w:rPr/>
              <w:t> </w:t>
            </w:r>
          </w:p>
        </w:tc>
        <w:tc>
          <w:tcPr>
            <w:tcW w:w="115" w:type="dxa"/>
            <w:tcBorders>
              <w:bottom w:val="double" w:sz="6" w:space="0" w:color="000000"/>
            </w:tcBorders>
            <w:shd w:fill="CCEEFF" w:val="clear"/>
            <w:tcMar>
              <w:bottom w:w="50" w:type="dxa"/>
            </w:tcMar>
            <w:vAlign w:val="center"/>
          </w:tcPr>
          <w:p>
            <w:pPr>
              <w:pStyle w:val="TableContents"/>
              <w:spacing w:before="0" w:after="283"/>
              <w:jc w:val="left"/>
              <w:rPr/>
            </w:pPr>
            <w:r>
              <w:rPr/>
              <w:t> </w:t>
            </w:r>
          </w:p>
        </w:tc>
        <w:tc>
          <w:tcPr>
            <w:tcW w:w="1344" w:type="dxa"/>
            <w:tcBorders>
              <w:bottom w:val="double" w:sz="6" w:space="0" w:color="000000"/>
            </w:tcBorders>
            <w:shd w:fill="CCEEFF" w:val="clear"/>
            <w:tcMar>
              <w:bottom w:w="28" w:type="dxa"/>
            </w:tcMar>
            <w:vAlign w:val="center"/>
          </w:tcPr>
          <w:p>
            <w:pPr>
              <w:pStyle w:val="TableContents"/>
              <w:spacing w:before="0" w:after="283"/>
              <w:jc w:val="right"/>
              <w:rPr>
                <w:sz w:val="20"/>
              </w:rPr>
            </w:pPr>
            <w:r>
              <w:rPr>
                <w:sz w:val="20"/>
              </w:rPr>
              <w:t>1.76</w:t>
            </w:r>
          </w:p>
        </w:tc>
        <w:tc>
          <w:tcPr>
            <w:tcW w:w="92" w:type="dxa"/>
            <w:tcBorders/>
            <w:shd w:fill="CCEE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Book Value per Common Unit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2023, the book value per Common Unit was $13.50. Book value per Common Unit is computed by dividing total Common Unitholder equity of $697.620 million as of March 31, 2023 by the total Common Units issued and outstanding on that date of 51,687,865 Common Units.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105</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UNIT MARKET PRICE AND DISTRIBUTION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Units trade on the NYSE under the symbol “GLOP”. On January 24, 2023, the last trading day prior to the public announcement of Parent’s initial offer, the reported closing price of Common Units on the NYSE was $6.98 per Common Unit. On April 6, 2023, the last trading day prior to the public announcement of the execution of the Merger Agreement, the reported closing price of Common Units on the NYSE was $8.30 per Common Unit. On                     , 2023, the most recent practicable date before the printing of this proxy statement, high and low reported sales prices of Common Units were $           and $               , respectively, and there were approximately                      Common Unitholders, including beneficial owners of Common Units held in “street name”.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high and low closing prices per Common Unit as well as the cash distribution paid per Common Unit, as reported by the NYSE, for the periods indicated.</w:t>
      </w:r>
    </w:p>
    <w:p>
      <w:pPr>
        <w:pStyle w:val="TextBody"/>
        <w:spacing w:before="0" w:after="0"/>
        <w:ind w:left="0" w:right="0" w:hanging="0"/>
        <w:rPr>
          <w:caps w:val="false"/>
          <w:smallCaps w:val="false"/>
        </w:rPr>
      </w:pPr>
      <w:r>
        <w:rPr>
          <w:caps w:val="false"/>
          <w:smallCaps w:val="false"/>
        </w:rPr>
        <w:t> </w:t>
      </w:r>
    </w:p>
    <w:tbl>
      <w:tblPr>
        <w:tblW w:w="7497" w:type="dxa"/>
        <w:jc w:val="left"/>
        <w:tblInd w:w="0" w:type="dxa"/>
        <w:tblCellMar>
          <w:top w:w="0" w:type="dxa"/>
          <w:left w:w="0" w:type="dxa"/>
          <w:bottom w:w="0" w:type="dxa"/>
          <w:right w:w="0" w:type="dxa"/>
        </w:tblCellMar>
      </w:tblPr>
      <w:tblGrid>
        <w:gridCol w:w="3395"/>
        <w:gridCol w:w="60"/>
        <w:gridCol w:w="275"/>
        <w:gridCol w:w="838"/>
        <w:gridCol w:w="132"/>
        <w:gridCol w:w="275"/>
        <w:gridCol w:w="838"/>
        <w:gridCol w:w="60"/>
        <w:gridCol w:w="383"/>
        <w:gridCol w:w="1166"/>
        <w:gridCol w:w="75"/>
      </w:tblGrid>
      <w:tr>
        <w:trPr/>
        <w:tc>
          <w:tcPr>
            <w:tcW w:w="339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358" w:type="dxa"/>
            <w:gridSpan w:val="5"/>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Unit Price Ranges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549"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Cash Distribution </w:t>
              <w:br/>
              <w:t>Paid</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39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13"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w:t>
            </w:r>
          </w:p>
        </w:tc>
        <w:tc>
          <w:tcPr>
            <w:tcW w:w="132" w:type="dxa"/>
            <w:tcBorders/>
            <w:shd w:fill="auto" w:val="clear"/>
            <w:vAlign w:val="center"/>
          </w:tcPr>
          <w:p>
            <w:pPr>
              <w:pStyle w:val="TableContents"/>
              <w:spacing w:before="0" w:after="283"/>
              <w:rPr>
                <w:caps w:val="false"/>
                <w:smallCaps w:val="false"/>
              </w:rPr>
            </w:pPr>
            <w:r>
              <w:rPr>
                <w:caps w:val="false"/>
                <w:smallCaps w:val="false"/>
              </w:rPr>
              <w:t> </w:t>
            </w:r>
          </w:p>
        </w:tc>
        <w:tc>
          <w:tcPr>
            <w:tcW w:w="1113"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Low</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549"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Common Unit</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39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 from April 1, 2023 to May 4, 2023</w:t>
              <w:tab/>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7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8.61</w:t>
            </w:r>
          </w:p>
        </w:tc>
        <w:tc>
          <w:tcPr>
            <w:tcW w:w="132" w:type="dxa"/>
            <w:tcBorders/>
            <w:shd w:fill="CCEEFF" w:val="clear"/>
            <w:vAlign w:val="center"/>
          </w:tcPr>
          <w:p>
            <w:pPr>
              <w:pStyle w:val="TableContents"/>
              <w:spacing w:before="0" w:after="283"/>
              <w:rPr>
                <w:caps w:val="false"/>
                <w:smallCaps w:val="false"/>
              </w:rPr>
            </w:pPr>
            <w:r>
              <w:rPr>
                <w:caps w:val="false"/>
                <w:smallCaps w:val="false"/>
              </w:rPr>
              <w:t> </w:t>
            </w:r>
          </w:p>
        </w:tc>
        <w:tc>
          <w:tcPr>
            <w:tcW w:w="27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8.30</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8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75" w:type="dxa"/>
            <w:tcBorders/>
            <w:shd w:fill="CCEEFF" w:val="clear"/>
            <w:vAlign w:val="center"/>
          </w:tcPr>
          <w:p>
            <w:pPr>
              <w:pStyle w:val="TableContents"/>
              <w:spacing w:before="0" w:after="283"/>
              <w:rPr>
                <w:sz w:val="4"/>
                <w:szCs w:val="4"/>
              </w:rPr>
            </w:pPr>
            <w:r>
              <w:rPr>
                <w:sz w:val="4"/>
                <w:szCs w:val="4"/>
              </w:rPr>
            </w:r>
          </w:p>
        </w:tc>
      </w:tr>
      <w:tr>
        <w:trPr/>
        <w:tc>
          <w:tcPr>
            <w:tcW w:w="339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Quarter Ended March 31, 2023</w:t>
              <w:tab/>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7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9.20</w:t>
            </w:r>
          </w:p>
        </w:tc>
        <w:tc>
          <w:tcPr>
            <w:tcW w:w="132" w:type="dxa"/>
            <w:tcBorders/>
            <w:shd w:fill="FFFFFF" w:val="clear"/>
            <w:vAlign w:val="center"/>
          </w:tcPr>
          <w:p>
            <w:pPr>
              <w:pStyle w:val="TableContents"/>
              <w:spacing w:before="0" w:after="283"/>
              <w:rPr>
                <w:caps w:val="false"/>
                <w:smallCaps w:val="false"/>
              </w:rPr>
            </w:pPr>
            <w:r>
              <w:rPr>
                <w:caps w:val="false"/>
                <w:smallCaps w:val="false"/>
              </w:rPr>
              <w:t> </w:t>
            </w:r>
          </w:p>
        </w:tc>
        <w:tc>
          <w:tcPr>
            <w:tcW w:w="27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6.18</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383"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6"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39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75" w:type="dxa"/>
            <w:tcBorders/>
            <w:shd w:fill="CCEEFF" w:val="clear"/>
            <w:vAlign w:val="center"/>
          </w:tcPr>
          <w:p>
            <w:pPr>
              <w:pStyle w:val="TableContents"/>
              <w:spacing w:before="0" w:after="283"/>
              <w:jc w:val="left"/>
              <w:rPr/>
            </w:pPr>
            <w:r>
              <w:rPr/>
              <w:t> </w:t>
            </w:r>
          </w:p>
        </w:tc>
        <w:tc>
          <w:tcPr>
            <w:tcW w:w="838" w:type="dxa"/>
            <w:tcBorders/>
            <w:shd w:fill="CCEEFF" w:val="clear"/>
            <w:vAlign w:val="center"/>
          </w:tcPr>
          <w:p>
            <w:pPr>
              <w:pStyle w:val="TableContents"/>
              <w:spacing w:before="0" w:after="283"/>
              <w:jc w:val="right"/>
              <w:rPr/>
            </w:pPr>
            <w:r>
              <w:rPr/>
              <w:t> </w:t>
            </w:r>
          </w:p>
        </w:tc>
        <w:tc>
          <w:tcPr>
            <w:tcW w:w="132" w:type="dxa"/>
            <w:tcBorders/>
            <w:shd w:fill="CCEEFF" w:val="clear"/>
            <w:vAlign w:val="center"/>
          </w:tcPr>
          <w:p>
            <w:pPr>
              <w:pStyle w:val="TableContents"/>
              <w:spacing w:before="0" w:after="283"/>
              <w:rPr/>
            </w:pPr>
            <w:r>
              <w:rPr/>
              <w:t> </w:t>
            </w:r>
          </w:p>
        </w:tc>
        <w:tc>
          <w:tcPr>
            <w:tcW w:w="275" w:type="dxa"/>
            <w:tcBorders/>
            <w:shd w:fill="CCEEFF" w:val="clear"/>
            <w:vAlign w:val="center"/>
          </w:tcPr>
          <w:p>
            <w:pPr>
              <w:pStyle w:val="TableContents"/>
              <w:spacing w:before="0" w:after="283"/>
              <w:jc w:val="left"/>
              <w:rPr/>
            </w:pPr>
            <w:r>
              <w:rPr/>
              <w:t> </w:t>
            </w:r>
          </w:p>
        </w:tc>
        <w:tc>
          <w:tcPr>
            <w:tcW w:w="83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383" w:type="dxa"/>
            <w:tcBorders/>
            <w:shd w:fill="CCEEFF" w:val="clear"/>
            <w:vAlign w:val="center"/>
          </w:tcPr>
          <w:p>
            <w:pPr>
              <w:pStyle w:val="TableContents"/>
              <w:spacing w:before="0" w:after="283"/>
              <w:jc w:val="left"/>
              <w:rPr/>
            </w:pPr>
            <w:r>
              <w:rPr/>
              <w:t> </w:t>
            </w:r>
          </w:p>
        </w:tc>
        <w:tc>
          <w:tcPr>
            <w:tcW w:w="1166"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3395" w:type="dxa"/>
            <w:tcBorders/>
            <w:shd w:fill="FFFFFF"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 2022</w:t>
            </w:r>
          </w:p>
        </w:tc>
        <w:tc>
          <w:tcPr>
            <w:tcW w:w="60" w:type="dxa"/>
            <w:tcBorders/>
            <w:shd w:fill="FFFFFF" w:val="clear"/>
            <w:vAlign w:val="center"/>
          </w:tcPr>
          <w:p>
            <w:pPr>
              <w:pStyle w:val="TableContents"/>
              <w:spacing w:before="0" w:after="283"/>
              <w:rPr/>
            </w:pPr>
            <w:r>
              <w:rPr/>
              <w:t> </w:t>
            </w:r>
          </w:p>
        </w:tc>
        <w:tc>
          <w:tcPr>
            <w:tcW w:w="275" w:type="dxa"/>
            <w:tcBorders/>
            <w:shd w:fill="FFFFFF" w:val="clear"/>
            <w:vAlign w:val="center"/>
          </w:tcPr>
          <w:p>
            <w:pPr>
              <w:pStyle w:val="TableContents"/>
              <w:spacing w:before="0" w:after="283"/>
              <w:jc w:val="left"/>
              <w:rPr/>
            </w:pPr>
            <w:r>
              <w:rPr/>
              <w:t> </w:t>
            </w:r>
          </w:p>
        </w:tc>
        <w:tc>
          <w:tcPr>
            <w:tcW w:w="838" w:type="dxa"/>
            <w:tcBorders/>
            <w:shd w:fill="FFFFFF" w:val="clear"/>
            <w:vAlign w:val="center"/>
          </w:tcPr>
          <w:p>
            <w:pPr>
              <w:pStyle w:val="TableContents"/>
              <w:spacing w:before="0" w:after="283"/>
              <w:jc w:val="right"/>
              <w:rPr/>
            </w:pPr>
            <w:r>
              <w:rPr/>
              <w:t> </w:t>
            </w:r>
          </w:p>
        </w:tc>
        <w:tc>
          <w:tcPr>
            <w:tcW w:w="132" w:type="dxa"/>
            <w:tcBorders/>
            <w:shd w:fill="FFFFFF" w:val="clear"/>
            <w:vAlign w:val="center"/>
          </w:tcPr>
          <w:p>
            <w:pPr>
              <w:pStyle w:val="TableContents"/>
              <w:spacing w:before="0" w:after="283"/>
              <w:rPr/>
            </w:pPr>
            <w:r>
              <w:rPr/>
              <w:t> </w:t>
            </w:r>
          </w:p>
        </w:tc>
        <w:tc>
          <w:tcPr>
            <w:tcW w:w="275" w:type="dxa"/>
            <w:tcBorders/>
            <w:shd w:fill="FFFFFF" w:val="clear"/>
            <w:vAlign w:val="center"/>
          </w:tcPr>
          <w:p>
            <w:pPr>
              <w:pStyle w:val="TableContents"/>
              <w:spacing w:before="0" w:after="283"/>
              <w:jc w:val="left"/>
              <w:rPr/>
            </w:pPr>
            <w:r>
              <w:rPr/>
              <w:t> </w:t>
            </w:r>
          </w:p>
        </w:tc>
        <w:tc>
          <w:tcPr>
            <w:tcW w:w="838"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383" w:type="dxa"/>
            <w:tcBorders/>
            <w:shd w:fill="FFFFFF" w:val="clear"/>
            <w:vAlign w:val="center"/>
          </w:tcPr>
          <w:p>
            <w:pPr>
              <w:pStyle w:val="TableContents"/>
              <w:spacing w:before="0" w:after="283"/>
              <w:jc w:val="left"/>
              <w:rPr/>
            </w:pPr>
            <w:r>
              <w:rPr/>
              <w:t> </w:t>
            </w:r>
          </w:p>
        </w:tc>
        <w:tc>
          <w:tcPr>
            <w:tcW w:w="1166"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339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Quarter Ended December 31, 2022</w:t>
              <w:tab/>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7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8.38</w:t>
            </w:r>
          </w:p>
        </w:tc>
        <w:tc>
          <w:tcPr>
            <w:tcW w:w="132" w:type="dxa"/>
            <w:tcBorders/>
            <w:shd w:fill="CCEEFF" w:val="clear"/>
            <w:vAlign w:val="center"/>
          </w:tcPr>
          <w:p>
            <w:pPr>
              <w:pStyle w:val="TableContents"/>
              <w:spacing w:before="0" w:after="283"/>
              <w:rPr>
                <w:caps w:val="false"/>
                <w:smallCaps w:val="false"/>
              </w:rPr>
            </w:pPr>
            <w:r>
              <w:rPr>
                <w:caps w:val="false"/>
                <w:smallCaps w:val="false"/>
              </w:rPr>
              <w:t> </w:t>
            </w:r>
          </w:p>
        </w:tc>
        <w:tc>
          <w:tcPr>
            <w:tcW w:w="27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5.54</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8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39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Quarter Ended September 30, 2022</w:t>
              <w:tab/>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7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6.76</w:t>
            </w:r>
          </w:p>
        </w:tc>
        <w:tc>
          <w:tcPr>
            <w:tcW w:w="132" w:type="dxa"/>
            <w:tcBorders/>
            <w:shd w:fill="FFFFFF" w:val="clear"/>
            <w:vAlign w:val="center"/>
          </w:tcPr>
          <w:p>
            <w:pPr>
              <w:pStyle w:val="TableContents"/>
              <w:spacing w:before="0" w:after="283"/>
              <w:rPr>
                <w:caps w:val="false"/>
                <w:smallCaps w:val="false"/>
              </w:rPr>
            </w:pPr>
            <w:r>
              <w:rPr>
                <w:caps w:val="false"/>
                <w:smallCaps w:val="false"/>
              </w:rPr>
              <w:t> </w:t>
            </w:r>
          </w:p>
        </w:tc>
        <w:tc>
          <w:tcPr>
            <w:tcW w:w="27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4.79</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383"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6"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39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Quarter Ended June 30, 2022</w:t>
              <w:tab/>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7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7.07</w:t>
            </w:r>
          </w:p>
        </w:tc>
        <w:tc>
          <w:tcPr>
            <w:tcW w:w="132" w:type="dxa"/>
            <w:tcBorders/>
            <w:shd w:fill="CCEEFF" w:val="clear"/>
            <w:vAlign w:val="center"/>
          </w:tcPr>
          <w:p>
            <w:pPr>
              <w:pStyle w:val="TableContents"/>
              <w:spacing w:before="0" w:after="283"/>
              <w:rPr>
                <w:caps w:val="false"/>
                <w:smallCaps w:val="false"/>
              </w:rPr>
            </w:pPr>
            <w:r>
              <w:rPr>
                <w:caps w:val="false"/>
                <w:smallCaps w:val="false"/>
              </w:rPr>
              <w:t> </w:t>
            </w:r>
          </w:p>
        </w:tc>
        <w:tc>
          <w:tcPr>
            <w:tcW w:w="27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8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39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Quarter Ended March 31, 2022</w:t>
              <w:tab/>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7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w:t>
            </w:r>
          </w:p>
        </w:tc>
        <w:tc>
          <w:tcPr>
            <w:tcW w:w="132" w:type="dxa"/>
            <w:tcBorders/>
            <w:shd w:fill="FFFFFF" w:val="clear"/>
            <w:vAlign w:val="center"/>
          </w:tcPr>
          <w:p>
            <w:pPr>
              <w:pStyle w:val="TableContents"/>
              <w:spacing w:before="0" w:after="283"/>
              <w:rPr>
                <w:caps w:val="false"/>
                <w:smallCaps w:val="false"/>
              </w:rPr>
            </w:pPr>
            <w:r>
              <w:rPr>
                <w:caps w:val="false"/>
                <w:smallCaps w:val="false"/>
              </w:rPr>
              <w:t> </w:t>
            </w:r>
          </w:p>
        </w:tc>
        <w:tc>
          <w:tcPr>
            <w:tcW w:w="27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383"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6"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39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75" w:type="dxa"/>
            <w:tcBorders/>
            <w:shd w:fill="CCEEFF" w:val="clear"/>
            <w:vAlign w:val="center"/>
          </w:tcPr>
          <w:p>
            <w:pPr>
              <w:pStyle w:val="TableContents"/>
              <w:spacing w:before="0" w:after="283"/>
              <w:jc w:val="left"/>
              <w:rPr/>
            </w:pPr>
            <w:r>
              <w:rPr/>
              <w:t> </w:t>
            </w:r>
          </w:p>
        </w:tc>
        <w:tc>
          <w:tcPr>
            <w:tcW w:w="838" w:type="dxa"/>
            <w:tcBorders/>
            <w:shd w:fill="CCEEFF" w:val="clear"/>
            <w:vAlign w:val="center"/>
          </w:tcPr>
          <w:p>
            <w:pPr>
              <w:pStyle w:val="TableContents"/>
              <w:spacing w:before="0" w:after="283"/>
              <w:jc w:val="right"/>
              <w:rPr/>
            </w:pPr>
            <w:r>
              <w:rPr/>
              <w:t> </w:t>
            </w:r>
          </w:p>
        </w:tc>
        <w:tc>
          <w:tcPr>
            <w:tcW w:w="132" w:type="dxa"/>
            <w:tcBorders/>
            <w:shd w:fill="CCEEFF" w:val="clear"/>
            <w:vAlign w:val="center"/>
          </w:tcPr>
          <w:p>
            <w:pPr>
              <w:pStyle w:val="TableContents"/>
              <w:spacing w:before="0" w:after="283"/>
              <w:rPr/>
            </w:pPr>
            <w:r>
              <w:rPr/>
              <w:t> </w:t>
            </w:r>
          </w:p>
        </w:tc>
        <w:tc>
          <w:tcPr>
            <w:tcW w:w="275" w:type="dxa"/>
            <w:tcBorders/>
            <w:shd w:fill="CCEEFF" w:val="clear"/>
            <w:vAlign w:val="center"/>
          </w:tcPr>
          <w:p>
            <w:pPr>
              <w:pStyle w:val="TableContents"/>
              <w:spacing w:before="0" w:after="283"/>
              <w:jc w:val="left"/>
              <w:rPr/>
            </w:pPr>
            <w:r>
              <w:rPr/>
              <w:t> </w:t>
            </w:r>
          </w:p>
        </w:tc>
        <w:tc>
          <w:tcPr>
            <w:tcW w:w="83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383" w:type="dxa"/>
            <w:tcBorders/>
            <w:shd w:fill="CCEEFF" w:val="clear"/>
            <w:vAlign w:val="center"/>
          </w:tcPr>
          <w:p>
            <w:pPr>
              <w:pStyle w:val="TableContents"/>
              <w:spacing w:before="0" w:after="283"/>
              <w:jc w:val="left"/>
              <w:rPr/>
            </w:pPr>
            <w:r>
              <w:rPr/>
              <w:t> </w:t>
            </w:r>
          </w:p>
        </w:tc>
        <w:tc>
          <w:tcPr>
            <w:tcW w:w="1166"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3395" w:type="dxa"/>
            <w:tcBorders/>
            <w:shd w:fill="FFFFFF"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 2021</w:t>
            </w:r>
          </w:p>
        </w:tc>
        <w:tc>
          <w:tcPr>
            <w:tcW w:w="60" w:type="dxa"/>
            <w:tcBorders/>
            <w:shd w:fill="FFFFFF" w:val="clear"/>
            <w:vAlign w:val="center"/>
          </w:tcPr>
          <w:p>
            <w:pPr>
              <w:pStyle w:val="TableContents"/>
              <w:spacing w:before="0" w:after="283"/>
              <w:rPr/>
            </w:pPr>
            <w:r>
              <w:rPr/>
              <w:t> </w:t>
            </w:r>
          </w:p>
        </w:tc>
        <w:tc>
          <w:tcPr>
            <w:tcW w:w="275" w:type="dxa"/>
            <w:tcBorders/>
            <w:shd w:fill="FFFFFF" w:val="clear"/>
            <w:vAlign w:val="center"/>
          </w:tcPr>
          <w:p>
            <w:pPr>
              <w:pStyle w:val="TableContents"/>
              <w:spacing w:before="0" w:after="283"/>
              <w:jc w:val="left"/>
              <w:rPr/>
            </w:pPr>
            <w:r>
              <w:rPr/>
              <w:t> </w:t>
            </w:r>
          </w:p>
        </w:tc>
        <w:tc>
          <w:tcPr>
            <w:tcW w:w="838" w:type="dxa"/>
            <w:tcBorders/>
            <w:shd w:fill="FFFFFF" w:val="clear"/>
            <w:vAlign w:val="center"/>
          </w:tcPr>
          <w:p>
            <w:pPr>
              <w:pStyle w:val="TableContents"/>
              <w:spacing w:before="0" w:after="283"/>
              <w:jc w:val="right"/>
              <w:rPr/>
            </w:pPr>
            <w:r>
              <w:rPr/>
              <w:t> </w:t>
            </w:r>
          </w:p>
        </w:tc>
        <w:tc>
          <w:tcPr>
            <w:tcW w:w="132" w:type="dxa"/>
            <w:tcBorders/>
            <w:shd w:fill="FFFFFF" w:val="clear"/>
            <w:vAlign w:val="center"/>
          </w:tcPr>
          <w:p>
            <w:pPr>
              <w:pStyle w:val="TableContents"/>
              <w:spacing w:before="0" w:after="283"/>
              <w:rPr/>
            </w:pPr>
            <w:r>
              <w:rPr/>
              <w:t> </w:t>
            </w:r>
          </w:p>
        </w:tc>
        <w:tc>
          <w:tcPr>
            <w:tcW w:w="275" w:type="dxa"/>
            <w:tcBorders/>
            <w:shd w:fill="FFFFFF" w:val="clear"/>
            <w:vAlign w:val="center"/>
          </w:tcPr>
          <w:p>
            <w:pPr>
              <w:pStyle w:val="TableContents"/>
              <w:spacing w:before="0" w:after="283"/>
              <w:jc w:val="left"/>
              <w:rPr/>
            </w:pPr>
            <w:r>
              <w:rPr/>
              <w:t> </w:t>
            </w:r>
          </w:p>
        </w:tc>
        <w:tc>
          <w:tcPr>
            <w:tcW w:w="838"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383" w:type="dxa"/>
            <w:tcBorders/>
            <w:shd w:fill="FFFFFF" w:val="clear"/>
            <w:vAlign w:val="center"/>
          </w:tcPr>
          <w:p>
            <w:pPr>
              <w:pStyle w:val="TableContents"/>
              <w:spacing w:before="0" w:after="283"/>
              <w:jc w:val="left"/>
              <w:rPr/>
            </w:pPr>
            <w:r>
              <w:rPr/>
              <w:t> </w:t>
            </w:r>
          </w:p>
        </w:tc>
        <w:tc>
          <w:tcPr>
            <w:tcW w:w="1166"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339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Quarter Ended December 31, 2021</w:t>
              <w:tab/>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7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5.87</w:t>
            </w:r>
          </w:p>
        </w:tc>
        <w:tc>
          <w:tcPr>
            <w:tcW w:w="132" w:type="dxa"/>
            <w:tcBorders/>
            <w:shd w:fill="CCEEFF" w:val="clear"/>
            <w:vAlign w:val="center"/>
          </w:tcPr>
          <w:p>
            <w:pPr>
              <w:pStyle w:val="TableContents"/>
              <w:spacing w:before="0" w:after="283"/>
              <w:rPr>
                <w:caps w:val="false"/>
                <w:smallCaps w:val="false"/>
              </w:rPr>
            </w:pPr>
            <w:r>
              <w:rPr>
                <w:caps w:val="false"/>
                <w:smallCaps w:val="false"/>
              </w:rPr>
              <w:t> </w:t>
            </w:r>
          </w:p>
        </w:tc>
        <w:tc>
          <w:tcPr>
            <w:tcW w:w="27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8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39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Quarter Ended September 30, 2021</w:t>
              <w:tab/>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7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5.39</w:t>
            </w:r>
          </w:p>
        </w:tc>
        <w:tc>
          <w:tcPr>
            <w:tcW w:w="132" w:type="dxa"/>
            <w:tcBorders/>
            <w:shd w:fill="FFFFFF" w:val="clear"/>
            <w:vAlign w:val="center"/>
          </w:tcPr>
          <w:p>
            <w:pPr>
              <w:pStyle w:val="TableContents"/>
              <w:spacing w:before="0" w:after="283"/>
              <w:rPr>
                <w:caps w:val="false"/>
                <w:smallCaps w:val="false"/>
              </w:rPr>
            </w:pPr>
            <w:r>
              <w:rPr>
                <w:caps w:val="false"/>
                <w:smallCaps w:val="false"/>
              </w:rPr>
              <w:t> </w:t>
            </w:r>
          </w:p>
        </w:tc>
        <w:tc>
          <w:tcPr>
            <w:tcW w:w="27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383"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6"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39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Quarter Ended June 30, 2021</w:t>
              <w:tab/>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7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w:t>
            </w:r>
          </w:p>
        </w:tc>
        <w:tc>
          <w:tcPr>
            <w:tcW w:w="132" w:type="dxa"/>
            <w:tcBorders/>
            <w:shd w:fill="CCEEFF" w:val="clear"/>
            <w:vAlign w:val="center"/>
          </w:tcPr>
          <w:p>
            <w:pPr>
              <w:pStyle w:val="TableContents"/>
              <w:spacing w:before="0" w:after="283"/>
              <w:rPr>
                <w:caps w:val="false"/>
                <w:smallCaps w:val="false"/>
              </w:rPr>
            </w:pPr>
            <w:r>
              <w:rPr>
                <w:caps w:val="false"/>
                <w:smallCaps w:val="false"/>
              </w:rPr>
              <w:t> </w:t>
            </w:r>
          </w:p>
        </w:tc>
        <w:tc>
          <w:tcPr>
            <w:tcW w:w="27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8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39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Quarter Ended March 31, 2021</w:t>
              <w:tab/>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7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w:t>
            </w:r>
          </w:p>
        </w:tc>
        <w:tc>
          <w:tcPr>
            <w:tcW w:w="132" w:type="dxa"/>
            <w:tcBorders/>
            <w:shd w:fill="FFFFFF" w:val="clear"/>
            <w:vAlign w:val="center"/>
          </w:tcPr>
          <w:p>
            <w:pPr>
              <w:pStyle w:val="TableContents"/>
              <w:spacing w:before="0" w:after="283"/>
              <w:rPr>
                <w:caps w:val="false"/>
                <w:smallCaps w:val="false"/>
              </w:rPr>
            </w:pPr>
            <w:r>
              <w:rPr>
                <w:caps w:val="false"/>
                <w:smallCaps w:val="false"/>
              </w:rPr>
              <w:t> </w:t>
            </w:r>
          </w:p>
        </w:tc>
        <w:tc>
          <w:tcPr>
            <w:tcW w:w="27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383"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6"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 Policy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those cash distributions disclosed above, the Partnership has not declared or paid any cash distributions with respect to Common Units from the quarter ended March 31, 2021 to 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terms of the Merger Agreement, the Partnership will declare and pay regular quarterly cash distributions to the holders of each of the Common Units and the Preference Units, respectively, consistent with past practice;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in no event will the regular quarterly cash distributions declared or paid by the Partnership to the holders of Common Units exceed $0.01 per Common Unit and Preference Units will be paid in accordance with their terms.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Prior Public Offerings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below, the Partnership has made no underwritten public offerings of Common Units for cash during the past three years.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106</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Partnership’s “at-the-market” common equity offering program established in 2017, in the year ended December 31, 2021, the Partnership issued and received payment for 3,195,401 Common Units at a weighted average price of $3.19 per Common Unit for total net proceeds, after deducting fees and other expenses, of $9.6 million.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107</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 OWNERSHIP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Partnership’s voting securities consist of the Common Units. The Preference Units generally have no voting rights except (a) with respect to amendments to the Partnership Agreement that would have a material adverse effect on the existing terms of the Preference Units, (b) with respect to electing a member of the Board of Directors in the event six quarterly distributions with respect to the applicable series of Preference Units are in arrears or (c) in the event the Partnership proposes to issue Parity Securities (as defined in the Partnership Agreement), if the cumulative dividends payable on issued and outstanding Preference Units are in arrears, or Senior Securities (as defined in the Partnership Agreement). Class B Units and General Partner Units generally do not have any voting rights and are not entitled to vote on or approve the Merger Proposal or the Adjournment Proposal. The Class B Units will become eligible for conversion on a one-for-one basis into Common Units at Parent’s option on July 1, 2023, July 1, 2024, and July 1, 2025, for the 415,000 Class B-4 Units, 415,000 Class B-5 Units and the 415,000 Class B-6 units, respectively. In the event that the Effective Time does not occur prior to July 1, 2023, the 415,000 Class B-4 Units that are issued and outstanding will become eligible for conversion on a one-for-one basis into 415,000 Common Units at Parent’s option on July 1,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Unit ownership amounts below contain certain information about Common Unitholders whom the Partnership believes are the “beneficial” owners of more than five percent (5%) of the issued and outstanding Common Units. Except as described below, the Partnership knows of no person that beneficially owns more than five percent (5%) of the issued and outstanding Common Units, based solely on filings made with the SEC.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of beneficial ownership is calculated on the basis of 51,796,759 Common Units issued and outstanding as of May 4, 2023. The amounts and percentage of Common Units beneficially owned are reported on the basis of regulations of the SEC governing the determination of beneficial ownership of securities. The SEC has defined the “beneficial owner” of a security to include any person who, directly or indirectly, has or shares voting power and/or investment power over such security. Except as indicated by footnote, the persons named in the table below have sole voting and investment power with respect to all units shown as beneficially owned by them, subject to community property laws where applicable.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percentages reflect beneficial ownership as of May 4, 2023, as determined in accordance with Rule 13d-3 under the Exchange Act. The address for each director and executive officer of the Partnership and for each executive officer and member of the Parent Board is c/o GasLog LNG Services Ltd., 69 Akti Miaouli 18537, Piraeus, Greece, except as otherwise noted.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beneficial ownership of all Common Units as of May 4, 2023, by each of the Partnership’s officers and directors and, based solely on filings made with the SEC, by each person known by the Partnership to beneficially own more than 5.0% of Common Units. The number of Common Units beneficially owned by each person is determined under SEC rules and the information is not necessarily indicative of beneficial ownership for any other purpose.</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108</w:t>
      </w:r>
    </w:p>
    <w:p>
      <w:pPr>
        <w:pStyle w:val="TextBody"/>
        <w:spacing w:before="0" w:after="0"/>
        <w:ind w:left="0" w:right="0" w:hanging="0"/>
        <w:rPr/>
      </w:pPr>
      <w:r>
        <w:rPr/>
        <w:t> </w:t>
      </w:r>
    </w:p>
    <w:p>
      <w:pPr>
        <w:pStyle w:val="TextBody"/>
        <w:rPr/>
      </w:pPr>
      <w:r>
        <w:rPr/>
        <w:t> </w:t>
      </w:r>
    </w:p>
    <w:tbl>
      <w:tblPr>
        <w:tblW w:w="8113" w:type="dxa"/>
        <w:jc w:val="left"/>
        <w:tblInd w:w="0" w:type="dxa"/>
        <w:tblCellMar>
          <w:top w:w="0" w:type="dxa"/>
          <w:left w:w="0" w:type="dxa"/>
          <w:bottom w:w="0" w:type="dxa"/>
          <w:right w:w="0" w:type="dxa"/>
        </w:tblCellMar>
      </w:tblPr>
      <w:tblGrid>
        <w:gridCol w:w="4820"/>
        <w:gridCol w:w="60"/>
        <w:gridCol w:w="60"/>
        <w:gridCol w:w="1574"/>
        <w:gridCol w:w="99"/>
        <w:gridCol w:w="99"/>
        <w:gridCol w:w="99"/>
        <w:gridCol w:w="1102"/>
        <w:gridCol w:w="200"/>
      </w:tblGrid>
      <w:tr>
        <w:trPr/>
        <w:tc>
          <w:tcPr>
            <w:tcW w:w="482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jc w:val="center"/>
              <w:rPr/>
            </w:pPr>
            <w:r>
              <w:rPr/>
              <w:t> </w:t>
            </w:r>
          </w:p>
        </w:tc>
        <w:tc>
          <w:tcPr>
            <w:tcW w:w="2973" w:type="dxa"/>
            <w:gridSpan w:val="5"/>
            <w:tcBorders>
              <w:bottom w:val="single" w:sz="8" w:space="0" w:color="000000"/>
            </w:tcBorders>
            <w:shd w:fill="FFFFFF" w:val="clear"/>
            <w:tcMar>
              <w:bottom w:w="28" w:type="dxa"/>
            </w:tcMar>
            <w:vAlign w:val="center"/>
          </w:tcPr>
          <w:p>
            <w:pPr>
              <w:pStyle w:val="TableContents"/>
              <w:spacing w:before="0" w:after="283"/>
              <w:jc w:val="center"/>
              <w:rPr>
                <w:b/>
                <w:sz w:val="20"/>
              </w:rPr>
            </w:pPr>
            <w:r>
              <w:rPr>
                <w:b/>
                <w:sz w:val="20"/>
              </w:rPr>
              <w:t>Common Units Beneficially Owned</w:t>
            </w:r>
          </w:p>
        </w:tc>
        <w:tc>
          <w:tcPr>
            <w:tcW w:w="200" w:type="dxa"/>
            <w:tcBorders/>
            <w:shd w:fill="FFFFFF" w:val="clear"/>
            <w:vAlign w:val="center"/>
          </w:tcPr>
          <w:p>
            <w:pPr>
              <w:pStyle w:val="TableContents"/>
              <w:spacing w:before="0" w:after="283"/>
              <w:jc w:val="center"/>
              <w:rPr/>
            </w:pPr>
            <w:r>
              <w:rPr/>
              <w:t> </w:t>
            </w:r>
          </w:p>
        </w:tc>
      </w:tr>
      <w:tr>
        <w:trPr/>
        <w:tc>
          <w:tcPr>
            <w:tcW w:w="4820" w:type="dxa"/>
            <w:tcBorders>
              <w:bottom w:val="single" w:sz="8" w:space="0" w:color="000000"/>
            </w:tcBorders>
            <w:shd w:fill="FFFFFF" w:val="clear"/>
            <w:tcMar>
              <w:bottom w:w="28" w:type="dxa"/>
            </w:tcMar>
            <w:vAlign w:val="center"/>
          </w:tcPr>
          <w:p>
            <w:pPr>
              <w:pStyle w:val="TableContents"/>
              <w:spacing w:before="0" w:after="283"/>
              <w:jc w:val="left"/>
              <w:rPr>
                <w:b/>
                <w:sz w:val="20"/>
              </w:rPr>
            </w:pPr>
            <w:r>
              <w:rPr>
                <w:b/>
                <w:sz w:val="20"/>
              </w:rPr>
              <w:t>Name of Beneficial Owner</w:t>
            </w:r>
          </w:p>
        </w:tc>
        <w:tc>
          <w:tcPr>
            <w:tcW w:w="6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jc w:val="center"/>
              <w:rPr/>
            </w:pPr>
            <w:r>
              <w:rPr/>
              <w:t> </w:t>
            </w:r>
          </w:p>
        </w:tc>
        <w:tc>
          <w:tcPr>
            <w:tcW w:w="1574" w:type="dxa"/>
            <w:tcBorders>
              <w:bottom w:val="single" w:sz="8" w:space="0" w:color="000000"/>
            </w:tcBorders>
            <w:shd w:fill="FFFFFF" w:val="clear"/>
            <w:tcMar>
              <w:bottom w:w="28" w:type="dxa"/>
            </w:tcMar>
            <w:vAlign w:val="center"/>
          </w:tcPr>
          <w:p>
            <w:pPr>
              <w:pStyle w:val="TableContents"/>
              <w:spacing w:before="0" w:after="283"/>
              <w:jc w:val="center"/>
              <w:rPr>
                <w:b/>
                <w:sz w:val="20"/>
              </w:rPr>
            </w:pPr>
            <w:r>
              <w:rPr>
                <w:b/>
                <w:sz w:val="20"/>
              </w:rPr>
              <w:t>Number</w:t>
            </w:r>
          </w:p>
        </w:tc>
        <w:tc>
          <w:tcPr>
            <w:tcW w:w="99" w:type="dxa"/>
            <w:tcBorders/>
            <w:shd w:fill="FFFFFF" w:val="clear"/>
            <w:vAlign w:val="center"/>
          </w:tcPr>
          <w:p>
            <w:pPr>
              <w:pStyle w:val="TableContents"/>
              <w:spacing w:before="0" w:after="283"/>
              <w:jc w:val="center"/>
              <w:rPr/>
            </w:pPr>
            <w:r>
              <w:rPr/>
              <w:t> </w:t>
            </w:r>
          </w:p>
        </w:tc>
        <w:tc>
          <w:tcPr>
            <w:tcW w:w="99" w:type="dxa"/>
            <w:tcBorders/>
            <w:shd w:fill="FFFFFF" w:val="clear"/>
            <w:vAlign w:val="center"/>
          </w:tcPr>
          <w:p>
            <w:pPr>
              <w:pStyle w:val="TableContents"/>
              <w:spacing w:before="0" w:after="283"/>
              <w:jc w:val="center"/>
              <w:rPr/>
            </w:pPr>
            <w:r>
              <w:rPr/>
              <w:t> </w:t>
            </w:r>
          </w:p>
        </w:tc>
        <w:tc>
          <w:tcPr>
            <w:tcW w:w="99" w:type="dxa"/>
            <w:tcBorders/>
            <w:shd w:fill="FFFFFF" w:val="clear"/>
            <w:vAlign w:val="center"/>
          </w:tcPr>
          <w:p>
            <w:pPr>
              <w:pStyle w:val="TableContents"/>
              <w:spacing w:before="0" w:after="283"/>
              <w:jc w:val="center"/>
              <w:rPr/>
            </w:pPr>
            <w:r>
              <w:rPr/>
              <w:t> </w:t>
            </w:r>
          </w:p>
        </w:tc>
        <w:tc>
          <w:tcPr>
            <w:tcW w:w="1102" w:type="dxa"/>
            <w:tcBorders>
              <w:bottom w:val="single" w:sz="8" w:space="0" w:color="000000"/>
            </w:tcBorders>
            <w:shd w:fill="FFFFFF" w:val="clear"/>
            <w:tcMar>
              <w:bottom w:w="28" w:type="dxa"/>
            </w:tcMar>
            <w:vAlign w:val="center"/>
          </w:tcPr>
          <w:p>
            <w:pPr>
              <w:pStyle w:val="TableContents"/>
              <w:spacing w:before="0" w:after="283"/>
              <w:jc w:val="center"/>
              <w:rPr>
                <w:b/>
                <w:sz w:val="20"/>
              </w:rPr>
            </w:pPr>
            <w:r>
              <w:rPr>
                <w:b/>
                <w:sz w:val="20"/>
              </w:rPr>
              <w:t>Percent</w:t>
            </w:r>
          </w:p>
        </w:tc>
        <w:tc>
          <w:tcPr>
            <w:tcW w:w="200" w:type="dxa"/>
            <w:tcBorders/>
            <w:shd w:fill="FFFFFF" w:val="clear"/>
            <w:vAlign w:val="center"/>
          </w:tcPr>
          <w:p>
            <w:pPr>
              <w:pStyle w:val="TableContents"/>
              <w:spacing w:before="0" w:after="283"/>
              <w:jc w:val="center"/>
              <w:rPr/>
            </w:pPr>
            <w:r>
              <w:rPr/>
              <w:t> </w:t>
            </w:r>
          </w:p>
        </w:tc>
      </w:tr>
      <w:tr>
        <w:trPr/>
        <w:tc>
          <w:tcPr>
            <w:tcW w:w="4820" w:type="dxa"/>
            <w:tcBorders/>
            <w:shd w:fill="CCEEFF" w:val="clear"/>
            <w:vAlign w:val="center"/>
          </w:tcPr>
          <w:p>
            <w:pPr>
              <w:pStyle w:val="TableContents"/>
              <w:spacing w:before="0" w:after="283"/>
              <w:rPr>
                <w:sz w:val="20"/>
              </w:rPr>
            </w:pPr>
            <w:r>
              <w:rPr>
                <w:sz w:val="20"/>
              </w:rPr>
              <w:t>GasLog Ltd</w:t>
            </w:r>
            <w:r>
              <w:rPr>
                <w:position w:val="7"/>
                <w:sz w:val="16"/>
                <w:sz w:val="20"/>
              </w:rPr>
              <w:t>(1)</w:t>
            </w:r>
            <w:r>
              <w:rPr>
                <w:sz w:val="20"/>
              </w:rPr>
              <w:tab/>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574" w:type="dxa"/>
            <w:tcBorders/>
            <w:shd w:fill="CCEEFF" w:val="clear"/>
            <w:vAlign w:val="center"/>
          </w:tcPr>
          <w:p>
            <w:pPr>
              <w:pStyle w:val="TableContents"/>
              <w:spacing w:before="0" w:after="283"/>
              <w:jc w:val="right"/>
              <w:rPr>
                <w:sz w:val="20"/>
              </w:rPr>
            </w:pPr>
            <w:r>
              <w:rPr>
                <w:sz w:val="20"/>
              </w:rPr>
              <w:t>15,621,602</w:t>
            </w:r>
          </w:p>
        </w:tc>
        <w:tc>
          <w:tcPr>
            <w:tcW w:w="99" w:type="dxa"/>
            <w:tcBorders/>
            <w:shd w:fill="CCEEFF" w:val="clear"/>
            <w:vAlign w:val="center"/>
          </w:tcPr>
          <w:p>
            <w:pPr>
              <w:pStyle w:val="TableContents"/>
              <w:spacing w:before="0" w:after="283"/>
              <w:jc w:val="left"/>
              <w:rPr/>
            </w:pPr>
            <w:r>
              <w:rPr/>
              <w:t> </w:t>
            </w:r>
          </w:p>
        </w:tc>
        <w:tc>
          <w:tcPr>
            <w:tcW w:w="99" w:type="dxa"/>
            <w:tcBorders/>
            <w:shd w:fill="CCEEFF" w:val="clear"/>
            <w:vAlign w:val="center"/>
          </w:tcPr>
          <w:p>
            <w:pPr>
              <w:pStyle w:val="TableContents"/>
              <w:spacing w:before="0" w:after="283"/>
              <w:rPr/>
            </w:pPr>
            <w:r>
              <w:rPr/>
              <w:t> </w:t>
            </w:r>
          </w:p>
        </w:tc>
        <w:tc>
          <w:tcPr>
            <w:tcW w:w="99" w:type="dxa"/>
            <w:tcBorders/>
            <w:shd w:fill="CCEEFF" w:val="clear"/>
            <w:vAlign w:val="center"/>
          </w:tcPr>
          <w:p>
            <w:pPr>
              <w:pStyle w:val="TableContents"/>
              <w:spacing w:before="0" w:after="283"/>
              <w:jc w:val="left"/>
              <w:rPr/>
            </w:pPr>
            <w:r>
              <w:rPr/>
              <w:t> </w:t>
            </w:r>
          </w:p>
        </w:tc>
        <w:tc>
          <w:tcPr>
            <w:tcW w:w="1102" w:type="dxa"/>
            <w:tcBorders/>
            <w:shd w:fill="CCEEFF" w:val="clear"/>
            <w:vAlign w:val="center"/>
          </w:tcPr>
          <w:p>
            <w:pPr>
              <w:pStyle w:val="TableContents"/>
              <w:spacing w:before="0" w:after="283"/>
              <w:jc w:val="right"/>
              <w:rPr>
                <w:sz w:val="20"/>
              </w:rPr>
            </w:pPr>
            <w:r>
              <w:rPr>
                <w:sz w:val="20"/>
              </w:rPr>
              <w:t>30.2</w:t>
            </w:r>
          </w:p>
        </w:tc>
        <w:tc>
          <w:tcPr>
            <w:tcW w:w="200" w:type="dxa"/>
            <w:tcBorders/>
            <w:shd w:fill="CCEEFF" w:val="clear"/>
            <w:vAlign w:val="center"/>
          </w:tcPr>
          <w:p>
            <w:pPr>
              <w:pStyle w:val="TableContents"/>
              <w:spacing w:before="0" w:after="283"/>
              <w:jc w:val="left"/>
              <w:rPr>
                <w:sz w:val="20"/>
              </w:rPr>
            </w:pPr>
            <w:r>
              <w:rPr>
                <w:sz w:val="20"/>
              </w:rPr>
              <w:t>%</w:t>
            </w:r>
          </w:p>
        </w:tc>
      </w:tr>
      <w:tr>
        <w:trPr/>
        <w:tc>
          <w:tcPr>
            <w:tcW w:w="4820" w:type="dxa"/>
            <w:tcBorders/>
            <w:shd w:fill="FFFFFF" w:val="clear"/>
            <w:vAlign w:val="center"/>
          </w:tcPr>
          <w:p>
            <w:pPr>
              <w:pStyle w:val="TableContents"/>
              <w:spacing w:before="0" w:after="283"/>
              <w:jc w:val="left"/>
              <w:rPr>
                <w:sz w:val="20"/>
              </w:rPr>
            </w:pPr>
            <w:r>
              <w:rPr>
                <w:sz w:val="20"/>
              </w:rPr>
              <w:t>Cobas Asset Management, SGIIC, SA</w:t>
              <w:tab/>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574" w:type="dxa"/>
            <w:tcBorders/>
            <w:shd w:fill="FFFFFF" w:val="clear"/>
            <w:vAlign w:val="center"/>
          </w:tcPr>
          <w:p>
            <w:pPr>
              <w:pStyle w:val="TableContents"/>
              <w:spacing w:before="0" w:after="283"/>
              <w:jc w:val="right"/>
              <w:rPr>
                <w:sz w:val="20"/>
              </w:rPr>
            </w:pPr>
            <w:r>
              <w:rPr>
                <w:sz w:val="20"/>
              </w:rPr>
              <w:t>3,861,472</w:t>
            </w:r>
          </w:p>
        </w:tc>
        <w:tc>
          <w:tcPr>
            <w:tcW w:w="99" w:type="dxa"/>
            <w:tcBorders/>
            <w:shd w:fill="FFFFFF" w:val="clear"/>
            <w:vAlign w:val="center"/>
          </w:tcPr>
          <w:p>
            <w:pPr>
              <w:pStyle w:val="TableContents"/>
              <w:spacing w:before="0" w:after="283"/>
              <w:jc w:val="left"/>
              <w:rPr/>
            </w:pPr>
            <w:r>
              <w:rPr/>
              <w:t> </w:t>
            </w:r>
          </w:p>
        </w:tc>
        <w:tc>
          <w:tcPr>
            <w:tcW w:w="99" w:type="dxa"/>
            <w:tcBorders/>
            <w:shd w:fill="FFFFFF" w:val="clear"/>
            <w:vAlign w:val="center"/>
          </w:tcPr>
          <w:p>
            <w:pPr>
              <w:pStyle w:val="TableContents"/>
              <w:spacing w:before="0" w:after="283"/>
              <w:rPr/>
            </w:pPr>
            <w:r>
              <w:rPr/>
              <w:t> </w:t>
            </w:r>
          </w:p>
        </w:tc>
        <w:tc>
          <w:tcPr>
            <w:tcW w:w="99" w:type="dxa"/>
            <w:tcBorders/>
            <w:shd w:fill="FFFFFF" w:val="clear"/>
            <w:vAlign w:val="center"/>
          </w:tcPr>
          <w:p>
            <w:pPr>
              <w:pStyle w:val="TableContents"/>
              <w:spacing w:before="0" w:after="283"/>
              <w:jc w:val="left"/>
              <w:rPr/>
            </w:pPr>
            <w:r>
              <w:rPr/>
              <w:t> </w:t>
            </w:r>
          </w:p>
        </w:tc>
        <w:tc>
          <w:tcPr>
            <w:tcW w:w="1102" w:type="dxa"/>
            <w:tcBorders/>
            <w:shd w:fill="FFFFFF" w:val="clear"/>
            <w:vAlign w:val="center"/>
          </w:tcPr>
          <w:p>
            <w:pPr>
              <w:pStyle w:val="TableContents"/>
              <w:spacing w:before="0" w:after="283"/>
              <w:jc w:val="right"/>
              <w:rPr>
                <w:sz w:val="20"/>
              </w:rPr>
            </w:pPr>
            <w:r>
              <w:rPr>
                <w:sz w:val="20"/>
              </w:rPr>
              <w:t>7.5</w:t>
            </w:r>
          </w:p>
        </w:tc>
        <w:tc>
          <w:tcPr>
            <w:tcW w:w="200" w:type="dxa"/>
            <w:tcBorders/>
            <w:shd w:fill="FFFFFF" w:val="clear"/>
            <w:vAlign w:val="center"/>
          </w:tcPr>
          <w:p>
            <w:pPr>
              <w:pStyle w:val="TableContents"/>
              <w:spacing w:before="0" w:after="283"/>
              <w:jc w:val="left"/>
              <w:rPr>
                <w:sz w:val="20"/>
              </w:rPr>
            </w:pPr>
            <w:r>
              <w:rPr>
                <w:sz w:val="20"/>
              </w:rPr>
              <w:t>%</w:t>
            </w:r>
          </w:p>
        </w:tc>
      </w:tr>
      <w:tr>
        <w:trPr/>
        <w:tc>
          <w:tcPr>
            <w:tcW w:w="4820" w:type="dxa"/>
            <w:tcBorders/>
            <w:shd w:fill="CCEEFF" w:val="clear"/>
            <w:vAlign w:val="center"/>
          </w:tcPr>
          <w:p>
            <w:pPr>
              <w:pStyle w:val="TableContents"/>
              <w:spacing w:before="0" w:after="283"/>
              <w:jc w:val="left"/>
              <w:rPr>
                <w:sz w:val="20"/>
              </w:rPr>
            </w:pPr>
            <w:r>
              <w:rPr>
                <w:sz w:val="20"/>
              </w:rPr>
              <w:t>Curtis V. Anastasio</w:t>
              <w:tab/>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574" w:type="dxa"/>
            <w:tcBorders/>
            <w:shd w:fill="CCEEFF" w:val="clear"/>
            <w:vAlign w:val="center"/>
          </w:tcPr>
          <w:p>
            <w:pPr>
              <w:pStyle w:val="TableContents"/>
              <w:spacing w:before="0" w:after="283"/>
              <w:jc w:val="right"/>
              <w:rPr>
                <w:sz w:val="20"/>
              </w:rPr>
            </w:pPr>
            <w:r>
              <w:rPr>
                <w:sz w:val="20"/>
              </w:rPr>
              <w:t>*</w:t>
            </w:r>
          </w:p>
        </w:tc>
        <w:tc>
          <w:tcPr>
            <w:tcW w:w="99" w:type="dxa"/>
            <w:tcBorders/>
            <w:shd w:fill="CCEEFF" w:val="clear"/>
            <w:vAlign w:val="center"/>
          </w:tcPr>
          <w:p>
            <w:pPr>
              <w:pStyle w:val="TableContents"/>
              <w:spacing w:before="0" w:after="283"/>
              <w:jc w:val="left"/>
              <w:rPr/>
            </w:pPr>
            <w:r>
              <w:rPr/>
              <w:t> </w:t>
            </w:r>
          </w:p>
        </w:tc>
        <w:tc>
          <w:tcPr>
            <w:tcW w:w="99" w:type="dxa"/>
            <w:tcBorders/>
            <w:shd w:fill="CCEEFF" w:val="clear"/>
            <w:vAlign w:val="center"/>
          </w:tcPr>
          <w:p>
            <w:pPr>
              <w:pStyle w:val="TableContents"/>
              <w:spacing w:before="0" w:after="283"/>
              <w:rPr/>
            </w:pPr>
            <w:r>
              <w:rPr/>
              <w:t> </w:t>
            </w:r>
          </w:p>
        </w:tc>
        <w:tc>
          <w:tcPr>
            <w:tcW w:w="99" w:type="dxa"/>
            <w:tcBorders/>
            <w:shd w:fill="CCEEFF" w:val="clear"/>
            <w:vAlign w:val="center"/>
          </w:tcPr>
          <w:p>
            <w:pPr>
              <w:pStyle w:val="TableContents"/>
              <w:spacing w:before="0" w:after="283"/>
              <w:jc w:val="left"/>
              <w:rPr/>
            </w:pPr>
            <w:r>
              <w:rPr/>
              <w:t> </w:t>
            </w:r>
          </w:p>
        </w:tc>
        <w:tc>
          <w:tcPr>
            <w:tcW w:w="1102" w:type="dxa"/>
            <w:tcBorders/>
            <w:shd w:fill="CCEEFF" w:val="clear"/>
            <w:vAlign w:val="center"/>
          </w:tcPr>
          <w:p>
            <w:pPr>
              <w:pStyle w:val="TableContents"/>
              <w:spacing w:before="0" w:after="283"/>
              <w:jc w:val="right"/>
              <w:rPr>
                <w:sz w:val="20"/>
              </w:rPr>
            </w:pPr>
            <w:r>
              <w:rPr>
                <w:sz w:val="20"/>
              </w:rPr>
              <w:t>*</w:t>
            </w:r>
          </w:p>
        </w:tc>
        <w:tc>
          <w:tcPr>
            <w:tcW w:w="200" w:type="dxa"/>
            <w:tcBorders/>
            <w:shd w:fill="CCEEFF" w:val="clear"/>
            <w:vAlign w:val="center"/>
          </w:tcPr>
          <w:p>
            <w:pPr>
              <w:pStyle w:val="TableContents"/>
              <w:spacing w:before="0" w:after="283"/>
              <w:jc w:val="left"/>
              <w:rPr/>
            </w:pPr>
            <w:r>
              <w:rPr/>
              <w:t> </w:t>
            </w:r>
          </w:p>
        </w:tc>
      </w:tr>
      <w:tr>
        <w:trPr/>
        <w:tc>
          <w:tcPr>
            <w:tcW w:w="4820" w:type="dxa"/>
            <w:tcBorders/>
            <w:shd w:fill="FFFFFF" w:val="clear"/>
            <w:vAlign w:val="center"/>
          </w:tcPr>
          <w:p>
            <w:pPr>
              <w:pStyle w:val="TableContents"/>
              <w:spacing w:before="0" w:after="283"/>
              <w:jc w:val="left"/>
              <w:rPr>
                <w:sz w:val="20"/>
              </w:rPr>
            </w:pPr>
            <w:r>
              <w:rPr>
                <w:sz w:val="20"/>
              </w:rPr>
              <w:t>Roland Fisher</w:t>
              <w:tab/>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574" w:type="dxa"/>
            <w:tcBorders/>
            <w:shd w:fill="FFFFFF" w:val="clear"/>
            <w:vAlign w:val="center"/>
          </w:tcPr>
          <w:p>
            <w:pPr>
              <w:pStyle w:val="TableContents"/>
              <w:spacing w:before="0" w:after="283"/>
              <w:jc w:val="right"/>
              <w:rPr/>
            </w:pPr>
            <w:r>
              <w:rPr/>
              <w:t>—</w:t>
            </w:r>
          </w:p>
        </w:tc>
        <w:tc>
          <w:tcPr>
            <w:tcW w:w="99" w:type="dxa"/>
            <w:tcBorders/>
            <w:shd w:fill="FFFFFF" w:val="clear"/>
            <w:vAlign w:val="center"/>
          </w:tcPr>
          <w:p>
            <w:pPr>
              <w:pStyle w:val="TableContents"/>
              <w:spacing w:before="0" w:after="283"/>
              <w:jc w:val="left"/>
              <w:rPr/>
            </w:pPr>
            <w:r>
              <w:rPr/>
              <w:t> </w:t>
            </w:r>
          </w:p>
        </w:tc>
        <w:tc>
          <w:tcPr>
            <w:tcW w:w="99" w:type="dxa"/>
            <w:tcBorders/>
            <w:shd w:fill="FFFFFF" w:val="clear"/>
            <w:vAlign w:val="center"/>
          </w:tcPr>
          <w:p>
            <w:pPr>
              <w:pStyle w:val="TableContents"/>
              <w:spacing w:before="0" w:after="283"/>
              <w:rPr/>
            </w:pPr>
            <w:r>
              <w:rPr/>
              <w:t> </w:t>
            </w:r>
          </w:p>
        </w:tc>
        <w:tc>
          <w:tcPr>
            <w:tcW w:w="99" w:type="dxa"/>
            <w:tcBorders/>
            <w:shd w:fill="FFFFFF" w:val="clear"/>
            <w:vAlign w:val="center"/>
          </w:tcPr>
          <w:p>
            <w:pPr>
              <w:pStyle w:val="TableContents"/>
              <w:spacing w:before="0" w:after="283"/>
              <w:jc w:val="left"/>
              <w:rPr/>
            </w:pPr>
            <w:r>
              <w:rPr/>
              <w:t> </w:t>
            </w:r>
          </w:p>
        </w:tc>
        <w:tc>
          <w:tcPr>
            <w:tcW w:w="1102" w:type="dxa"/>
            <w:tcBorders/>
            <w:shd w:fill="FFFFFF" w:val="clear"/>
            <w:vAlign w:val="center"/>
          </w:tcPr>
          <w:p>
            <w:pPr>
              <w:pStyle w:val="TableContents"/>
              <w:spacing w:before="0" w:after="283"/>
              <w:jc w:val="right"/>
              <w:rPr/>
            </w:pPr>
            <w:r>
              <w:rPr/>
              <w:t>—</w:t>
            </w:r>
          </w:p>
        </w:tc>
        <w:tc>
          <w:tcPr>
            <w:tcW w:w="200" w:type="dxa"/>
            <w:tcBorders/>
            <w:shd w:fill="FFFFFF" w:val="clear"/>
            <w:vAlign w:val="center"/>
          </w:tcPr>
          <w:p>
            <w:pPr>
              <w:pStyle w:val="TableContents"/>
              <w:spacing w:before="0" w:after="283"/>
              <w:jc w:val="left"/>
              <w:rPr/>
            </w:pPr>
            <w:r>
              <w:rPr/>
              <w:t> </w:t>
            </w:r>
          </w:p>
        </w:tc>
      </w:tr>
      <w:tr>
        <w:trPr/>
        <w:tc>
          <w:tcPr>
            <w:tcW w:w="4820" w:type="dxa"/>
            <w:tcBorders/>
            <w:shd w:fill="CCEEFF" w:val="clear"/>
            <w:vAlign w:val="center"/>
          </w:tcPr>
          <w:p>
            <w:pPr>
              <w:pStyle w:val="TableContents"/>
              <w:spacing w:before="0" w:after="283"/>
              <w:jc w:val="left"/>
              <w:rPr>
                <w:sz w:val="20"/>
              </w:rPr>
            </w:pPr>
            <w:r>
              <w:rPr>
                <w:sz w:val="20"/>
              </w:rPr>
              <w:t>Kristin H. Holth</w:t>
              <w:tab/>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574" w:type="dxa"/>
            <w:tcBorders/>
            <w:shd w:fill="CCEEFF" w:val="clear"/>
            <w:vAlign w:val="center"/>
          </w:tcPr>
          <w:p>
            <w:pPr>
              <w:pStyle w:val="TableContents"/>
              <w:spacing w:before="0" w:after="283"/>
              <w:jc w:val="right"/>
              <w:rPr/>
            </w:pPr>
            <w:r>
              <w:rPr/>
              <w:t>—</w:t>
            </w:r>
          </w:p>
        </w:tc>
        <w:tc>
          <w:tcPr>
            <w:tcW w:w="99" w:type="dxa"/>
            <w:tcBorders/>
            <w:shd w:fill="CCEEFF" w:val="clear"/>
            <w:vAlign w:val="center"/>
          </w:tcPr>
          <w:p>
            <w:pPr>
              <w:pStyle w:val="TableContents"/>
              <w:spacing w:before="0" w:after="283"/>
              <w:jc w:val="left"/>
              <w:rPr/>
            </w:pPr>
            <w:r>
              <w:rPr/>
              <w:t> </w:t>
            </w:r>
          </w:p>
        </w:tc>
        <w:tc>
          <w:tcPr>
            <w:tcW w:w="99" w:type="dxa"/>
            <w:tcBorders/>
            <w:shd w:fill="CCEEFF" w:val="clear"/>
            <w:vAlign w:val="center"/>
          </w:tcPr>
          <w:p>
            <w:pPr>
              <w:pStyle w:val="TableContents"/>
              <w:spacing w:before="0" w:after="283"/>
              <w:rPr/>
            </w:pPr>
            <w:r>
              <w:rPr/>
              <w:t> </w:t>
            </w:r>
          </w:p>
        </w:tc>
        <w:tc>
          <w:tcPr>
            <w:tcW w:w="99" w:type="dxa"/>
            <w:tcBorders/>
            <w:shd w:fill="CCEEFF" w:val="clear"/>
            <w:vAlign w:val="center"/>
          </w:tcPr>
          <w:p>
            <w:pPr>
              <w:pStyle w:val="TableContents"/>
              <w:spacing w:before="0" w:after="283"/>
              <w:jc w:val="left"/>
              <w:rPr/>
            </w:pPr>
            <w:r>
              <w:rPr/>
              <w:t> </w:t>
            </w:r>
          </w:p>
        </w:tc>
        <w:tc>
          <w:tcPr>
            <w:tcW w:w="1102" w:type="dxa"/>
            <w:tcBorders/>
            <w:shd w:fill="CCEEFF" w:val="clear"/>
            <w:vAlign w:val="center"/>
          </w:tcPr>
          <w:p>
            <w:pPr>
              <w:pStyle w:val="TableContents"/>
              <w:spacing w:before="0" w:after="283"/>
              <w:jc w:val="right"/>
              <w:rPr/>
            </w:pPr>
            <w:r>
              <w:rPr/>
              <w:t>—</w:t>
            </w:r>
          </w:p>
        </w:tc>
        <w:tc>
          <w:tcPr>
            <w:tcW w:w="200" w:type="dxa"/>
            <w:tcBorders/>
            <w:shd w:fill="CCEEFF" w:val="clear"/>
            <w:vAlign w:val="center"/>
          </w:tcPr>
          <w:p>
            <w:pPr>
              <w:pStyle w:val="TableContents"/>
              <w:spacing w:before="0" w:after="283"/>
              <w:jc w:val="left"/>
              <w:rPr/>
            </w:pPr>
            <w:r>
              <w:rPr/>
              <w:t> </w:t>
            </w:r>
          </w:p>
        </w:tc>
      </w:tr>
      <w:tr>
        <w:trPr/>
        <w:tc>
          <w:tcPr>
            <w:tcW w:w="4820" w:type="dxa"/>
            <w:tcBorders/>
            <w:shd w:fill="FFFFFF" w:val="clear"/>
            <w:vAlign w:val="center"/>
          </w:tcPr>
          <w:p>
            <w:pPr>
              <w:pStyle w:val="TableContents"/>
              <w:spacing w:before="0" w:after="283"/>
              <w:jc w:val="left"/>
              <w:rPr>
                <w:sz w:val="20"/>
              </w:rPr>
            </w:pPr>
            <w:r>
              <w:rPr>
                <w:sz w:val="20"/>
              </w:rPr>
              <w:t>Julian R. Metherell</w:t>
              <w:tab/>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574" w:type="dxa"/>
            <w:tcBorders/>
            <w:shd w:fill="FFFFFF" w:val="clear"/>
            <w:vAlign w:val="center"/>
          </w:tcPr>
          <w:p>
            <w:pPr>
              <w:pStyle w:val="TableContents"/>
              <w:spacing w:before="0" w:after="283"/>
              <w:jc w:val="right"/>
              <w:rPr/>
            </w:pPr>
            <w:r>
              <w:rPr/>
              <w:t>—</w:t>
            </w:r>
          </w:p>
        </w:tc>
        <w:tc>
          <w:tcPr>
            <w:tcW w:w="99" w:type="dxa"/>
            <w:tcBorders/>
            <w:shd w:fill="FFFFFF" w:val="clear"/>
            <w:vAlign w:val="center"/>
          </w:tcPr>
          <w:p>
            <w:pPr>
              <w:pStyle w:val="TableContents"/>
              <w:spacing w:before="0" w:after="283"/>
              <w:jc w:val="left"/>
              <w:rPr/>
            </w:pPr>
            <w:r>
              <w:rPr/>
              <w:t> </w:t>
            </w:r>
          </w:p>
        </w:tc>
        <w:tc>
          <w:tcPr>
            <w:tcW w:w="99" w:type="dxa"/>
            <w:tcBorders/>
            <w:shd w:fill="FFFFFF" w:val="clear"/>
            <w:vAlign w:val="center"/>
          </w:tcPr>
          <w:p>
            <w:pPr>
              <w:pStyle w:val="TableContents"/>
              <w:spacing w:before="0" w:after="283"/>
              <w:rPr/>
            </w:pPr>
            <w:r>
              <w:rPr/>
              <w:t> </w:t>
            </w:r>
          </w:p>
        </w:tc>
        <w:tc>
          <w:tcPr>
            <w:tcW w:w="99" w:type="dxa"/>
            <w:tcBorders/>
            <w:shd w:fill="FFFFFF" w:val="clear"/>
            <w:vAlign w:val="center"/>
          </w:tcPr>
          <w:p>
            <w:pPr>
              <w:pStyle w:val="TableContents"/>
              <w:spacing w:before="0" w:after="283"/>
              <w:jc w:val="left"/>
              <w:rPr/>
            </w:pPr>
            <w:r>
              <w:rPr/>
              <w:t> </w:t>
            </w:r>
          </w:p>
        </w:tc>
        <w:tc>
          <w:tcPr>
            <w:tcW w:w="1102" w:type="dxa"/>
            <w:tcBorders/>
            <w:shd w:fill="FFFFFF" w:val="clear"/>
            <w:vAlign w:val="center"/>
          </w:tcPr>
          <w:p>
            <w:pPr>
              <w:pStyle w:val="TableContents"/>
              <w:spacing w:before="0" w:after="283"/>
              <w:jc w:val="right"/>
              <w:rPr/>
            </w:pPr>
            <w:r>
              <w:rPr/>
              <w:t>—</w:t>
            </w:r>
          </w:p>
        </w:tc>
        <w:tc>
          <w:tcPr>
            <w:tcW w:w="200" w:type="dxa"/>
            <w:tcBorders/>
            <w:shd w:fill="FFFFFF" w:val="clear"/>
            <w:vAlign w:val="center"/>
          </w:tcPr>
          <w:p>
            <w:pPr>
              <w:pStyle w:val="TableContents"/>
              <w:spacing w:before="0" w:after="283"/>
              <w:jc w:val="left"/>
              <w:rPr/>
            </w:pPr>
            <w:r>
              <w:rPr/>
              <w:t> </w:t>
            </w:r>
          </w:p>
        </w:tc>
      </w:tr>
      <w:tr>
        <w:trPr/>
        <w:tc>
          <w:tcPr>
            <w:tcW w:w="4820" w:type="dxa"/>
            <w:tcBorders/>
            <w:shd w:fill="CCEEFF" w:val="clear"/>
            <w:vAlign w:val="center"/>
          </w:tcPr>
          <w:p>
            <w:pPr>
              <w:pStyle w:val="TableContents"/>
              <w:spacing w:before="0" w:after="283"/>
              <w:jc w:val="left"/>
              <w:rPr>
                <w:sz w:val="20"/>
              </w:rPr>
            </w:pPr>
            <w:r>
              <w:rPr>
                <w:sz w:val="20"/>
              </w:rPr>
              <w:t>Achilleas Tasioulas</w:t>
              <w:tab/>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574" w:type="dxa"/>
            <w:tcBorders/>
            <w:shd w:fill="CCEEFF" w:val="clear"/>
            <w:vAlign w:val="center"/>
          </w:tcPr>
          <w:p>
            <w:pPr>
              <w:pStyle w:val="TableContents"/>
              <w:spacing w:before="0" w:after="283"/>
              <w:jc w:val="right"/>
              <w:rPr>
                <w:sz w:val="20"/>
              </w:rPr>
            </w:pPr>
            <w:r>
              <w:rPr>
                <w:sz w:val="20"/>
              </w:rPr>
              <w:t>*</w:t>
            </w:r>
          </w:p>
        </w:tc>
        <w:tc>
          <w:tcPr>
            <w:tcW w:w="99" w:type="dxa"/>
            <w:tcBorders/>
            <w:shd w:fill="CCEEFF" w:val="clear"/>
            <w:vAlign w:val="center"/>
          </w:tcPr>
          <w:p>
            <w:pPr>
              <w:pStyle w:val="TableContents"/>
              <w:spacing w:before="0" w:after="283"/>
              <w:jc w:val="left"/>
              <w:rPr/>
            </w:pPr>
            <w:r>
              <w:rPr/>
              <w:t> </w:t>
            </w:r>
          </w:p>
        </w:tc>
        <w:tc>
          <w:tcPr>
            <w:tcW w:w="99" w:type="dxa"/>
            <w:tcBorders/>
            <w:shd w:fill="CCEEFF" w:val="clear"/>
            <w:vAlign w:val="center"/>
          </w:tcPr>
          <w:p>
            <w:pPr>
              <w:pStyle w:val="TableContents"/>
              <w:spacing w:before="0" w:after="283"/>
              <w:rPr/>
            </w:pPr>
            <w:r>
              <w:rPr/>
              <w:t> </w:t>
            </w:r>
          </w:p>
        </w:tc>
        <w:tc>
          <w:tcPr>
            <w:tcW w:w="99" w:type="dxa"/>
            <w:tcBorders/>
            <w:shd w:fill="CCEEFF" w:val="clear"/>
            <w:vAlign w:val="center"/>
          </w:tcPr>
          <w:p>
            <w:pPr>
              <w:pStyle w:val="TableContents"/>
              <w:spacing w:before="0" w:after="283"/>
              <w:jc w:val="left"/>
              <w:rPr/>
            </w:pPr>
            <w:r>
              <w:rPr/>
              <w:t> </w:t>
            </w:r>
          </w:p>
        </w:tc>
        <w:tc>
          <w:tcPr>
            <w:tcW w:w="1102" w:type="dxa"/>
            <w:tcBorders/>
            <w:shd w:fill="CCEEFF" w:val="clear"/>
            <w:vAlign w:val="center"/>
          </w:tcPr>
          <w:p>
            <w:pPr>
              <w:pStyle w:val="TableContents"/>
              <w:spacing w:before="0" w:after="283"/>
              <w:jc w:val="right"/>
              <w:rPr>
                <w:sz w:val="20"/>
              </w:rPr>
            </w:pPr>
            <w:r>
              <w:rPr>
                <w:sz w:val="20"/>
              </w:rPr>
              <w:t>*</w:t>
            </w:r>
          </w:p>
        </w:tc>
        <w:tc>
          <w:tcPr>
            <w:tcW w:w="200" w:type="dxa"/>
            <w:tcBorders/>
            <w:shd w:fill="CCEEFF" w:val="clear"/>
            <w:vAlign w:val="center"/>
          </w:tcPr>
          <w:p>
            <w:pPr>
              <w:pStyle w:val="TableContents"/>
              <w:spacing w:before="0" w:after="283"/>
              <w:jc w:val="left"/>
              <w:rPr/>
            </w:pPr>
            <w:r>
              <w:rPr/>
              <w:t> </w:t>
            </w:r>
          </w:p>
        </w:tc>
      </w:tr>
      <w:tr>
        <w:trPr/>
        <w:tc>
          <w:tcPr>
            <w:tcW w:w="4820" w:type="dxa"/>
            <w:tcBorders/>
            <w:shd w:fill="FFFFFF" w:val="clear"/>
            <w:vAlign w:val="center"/>
          </w:tcPr>
          <w:p>
            <w:pPr>
              <w:pStyle w:val="TableContents"/>
              <w:spacing w:before="0" w:after="283"/>
              <w:jc w:val="left"/>
              <w:rPr>
                <w:sz w:val="20"/>
              </w:rPr>
            </w:pPr>
            <w:r>
              <w:rPr>
                <w:sz w:val="20"/>
              </w:rPr>
              <w:t>Paolo Enoizi</w:t>
              <w:tab/>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574" w:type="dxa"/>
            <w:tcBorders/>
            <w:shd w:fill="FFFFFF" w:val="clear"/>
            <w:vAlign w:val="center"/>
          </w:tcPr>
          <w:p>
            <w:pPr>
              <w:pStyle w:val="TableContents"/>
              <w:spacing w:before="0" w:after="283"/>
              <w:jc w:val="right"/>
              <w:rPr>
                <w:sz w:val="20"/>
              </w:rPr>
            </w:pPr>
            <w:r>
              <w:rPr>
                <w:sz w:val="20"/>
              </w:rPr>
              <w:t>*</w:t>
            </w:r>
          </w:p>
        </w:tc>
        <w:tc>
          <w:tcPr>
            <w:tcW w:w="99" w:type="dxa"/>
            <w:tcBorders/>
            <w:shd w:fill="FFFFFF" w:val="clear"/>
            <w:vAlign w:val="center"/>
          </w:tcPr>
          <w:p>
            <w:pPr>
              <w:pStyle w:val="TableContents"/>
              <w:spacing w:before="0" w:after="283"/>
              <w:jc w:val="left"/>
              <w:rPr/>
            </w:pPr>
            <w:r>
              <w:rPr/>
              <w:t> </w:t>
            </w:r>
          </w:p>
        </w:tc>
        <w:tc>
          <w:tcPr>
            <w:tcW w:w="99" w:type="dxa"/>
            <w:tcBorders/>
            <w:shd w:fill="FFFFFF" w:val="clear"/>
            <w:vAlign w:val="center"/>
          </w:tcPr>
          <w:p>
            <w:pPr>
              <w:pStyle w:val="TableContents"/>
              <w:spacing w:before="0" w:after="283"/>
              <w:rPr/>
            </w:pPr>
            <w:r>
              <w:rPr/>
              <w:t> </w:t>
            </w:r>
          </w:p>
        </w:tc>
        <w:tc>
          <w:tcPr>
            <w:tcW w:w="99" w:type="dxa"/>
            <w:tcBorders/>
            <w:shd w:fill="FFFFFF" w:val="clear"/>
            <w:vAlign w:val="center"/>
          </w:tcPr>
          <w:p>
            <w:pPr>
              <w:pStyle w:val="TableContents"/>
              <w:spacing w:before="0" w:after="283"/>
              <w:jc w:val="left"/>
              <w:rPr/>
            </w:pPr>
            <w:r>
              <w:rPr/>
              <w:t> </w:t>
            </w:r>
          </w:p>
        </w:tc>
        <w:tc>
          <w:tcPr>
            <w:tcW w:w="1102" w:type="dxa"/>
            <w:tcBorders/>
            <w:shd w:fill="FFFFFF" w:val="clear"/>
            <w:vAlign w:val="center"/>
          </w:tcPr>
          <w:p>
            <w:pPr>
              <w:pStyle w:val="TableContents"/>
              <w:spacing w:before="0" w:after="283"/>
              <w:jc w:val="right"/>
              <w:rPr>
                <w:sz w:val="20"/>
              </w:rPr>
            </w:pPr>
            <w:r>
              <w:rPr>
                <w:sz w:val="20"/>
              </w:rPr>
              <w:t>*</w:t>
            </w:r>
          </w:p>
        </w:tc>
        <w:tc>
          <w:tcPr>
            <w:tcW w:w="200" w:type="dxa"/>
            <w:tcBorders/>
            <w:shd w:fill="FFFFFF" w:val="clear"/>
            <w:vAlign w:val="center"/>
          </w:tcPr>
          <w:p>
            <w:pPr>
              <w:pStyle w:val="TableContents"/>
              <w:spacing w:before="0" w:after="283"/>
              <w:jc w:val="left"/>
              <w:rPr/>
            </w:pPr>
            <w:r>
              <w:rPr/>
              <w:t> </w:t>
            </w:r>
          </w:p>
        </w:tc>
      </w:tr>
      <w:tr>
        <w:trPr/>
        <w:tc>
          <w:tcPr>
            <w:tcW w:w="4820" w:type="dxa"/>
            <w:tcBorders/>
            <w:shd w:fill="CCEEFF" w:val="clear"/>
            <w:vAlign w:val="center"/>
          </w:tcPr>
          <w:p>
            <w:pPr>
              <w:pStyle w:val="TableContents"/>
              <w:spacing w:before="0" w:after="283"/>
              <w:jc w:val="left"/>
              <w:rPr>
                <w:sz w:val="20"/>
              </w:rPr>
            </w:pPr>
            <w:r>
              <w:rPr>
                <w:sz w:val="20"/>
              </w:rPr>
              <w:t>Konstantinos Karathanos</w:t>
              <w:tab/>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574" w:type="dxa"/>
            <w:tcBorders/>
            <w:shd w:fill="CCEEFF" w:val="clear"/>
            <w:vAlign w:val="center"/>
          </w:tcPr>
          <w:p>
            <w:pPr>
              <w:pStyle w:val="TableContents"/>
              <w:spacing w:before="0" w:after="283"/>
              <w:jc w:val="right"/>
              <w:rPr>
                <w:sz w:val="20"/>
              </w:rPr>
            </w:pPr>
            <w:r>
              <w:rPr>
                <w:sz w:val="20"/>
              </w:rPr>
              <w:t>*</w:t>
            </w:r>
          </w:p>
        </w:tc>
        <w:tc>
          <w:tcPr>
            <w:tcW w:w="99" w:type="dxa"/>
            <w:tcBorders/>
            <w:shd w:fill="CCEEFF" w:val="clear"/>
            <w:vAlign w:val="center"/>
          </w:tcPr>
          <w:p>
            <w:pPr>
              <w:pStyle w:val="TableContents"/>
              <w:spacing w:before="0" w:after="283"/>
              <w:jc w:val="left"/>
              <w:rPr/>
            </w:pPr>
            <w:r>
              <w:rPr/>
              <w:t> </w:t>
            </w:r>
          </w:p>
        </w:tc>
        <w:tc>
          <w:tcPr>
            <w:tcW w:w="99" w:type="dxa"/>
            <w:tcBorders/>
            <w:shd w:fill="CCEEFF" w:val="clear"/>
            <w:vAlign w:val="center"/>
          </w:tcPr>
          <w:p>
            <w:pPr>
              <w:pStyle w:val="TableContents"/>
              <w:spacing w:before="0" w:after="283"/>
              <w:rPr/>
            </w:pPr>
            <w:r>
              <w:rPr/>
              <w:t> </w:t>
            </w:r>
          </w:p>
        </w:tc>
        <w:tc>
          <w:tcPr>
            <w:tcW w:w="99" w:type="dxa"/>
            <w:tcBorders/>
            <w:shd w:fill="CCEEFF" w:val="clear"/>
            <w:vAlign w:val="center"/>
          </w:tcPr>
          <w:p>
            <w:pPr>
              <w:pStyle w:val="TableContents"/>
              <w:spacing w:before="0" w:after="283"/>
              <w:jc w:val="left"/>
              <w:rPr/>
            </w:pPr>
            <w:r>
              <w:rPr/>
              <w:t> </w:t>
            </w:r>
          </w:p>
        </w:tc>
        <w:tc>
          <w:tcPr>
            <w:tcW w:w="1102" w:type="dxa"/>
            <w:tcBorders/>
            <w:shd w:fill="CCEEFF" w:val="clear"/>
            <w:vAlign w:val="center"/>
          </w:tcPr>
          <w:p>
            <w:pPr>
              <w:pStyle w:val="TableContents"/>
              <w:spacing w:before="0" w:after="283"/>
              <w:jc w:val="right"/>
              <w:rPr>
                <w:sz w:val="20"/>
              </w:rPr>
            </w:pPr>
            <w:r>
              <w:rPr>
                <w:sz w:val="20"/>
              </w:rPr>
              <w:t>*</w:t>
            </w:r>
          </w:p>
        </w:tc>
        <w:tc>
          <w:tcPr>
            <w:tcW w:w="200" w:type="dxa"/>
            <w:tcBorders/>
            <w:shd w:fill="CCEEFF" w:val="clear"/>
            <w:vAlign w:val="center"/>
          </w:tcPr>
          <w:p>
            <w:pPr>
              <w:pStyle w:val="TableContents"/>
              <w:spacing w:before="0" w:after="283"/>
              <w:jc w:val="left"/>
              <w:rPr/>
            </w:pPr>
            <w:r>
              <w:rPr/>
              <w:t> </w:t>
            </w:r>
          </w:p>
        </w:tc>
      </w:tr>
      <w:tr>
        <w:trPr/>
        <w:tc>
          <w:tcPr>
            <w:tcW w:w="4820" w:type="dxa"/>
            <w:tcBorders/>
            <w:shd w:fill="FFFFFF" w:val="clear"/>
            <w:vAlign w:val="center"/>
          </w:tcPr>
          <w:p>
            <w:pPr>
              <w:pStyle w:val="TableContents"/>
              <w:spacing w:before="0" w:after="283"/>
              <w:jc w:val="left"/>
              <w:rPr>
                <w:sz w:val="20"/>
              </w:rPr>
            </w:pPr>
            <w:r>
              <w:rPr>
                <w:sz w:val="20"/>
              </w:rPr>
              <w:t>* All directors and executive officers as a group (7 persons)</w:t>
              <w:tab/>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574" w:type="dxa"/>
            <w:tcBorders/>
            <w:shd w:fill="FFFFFF" w:val="clear"/>
            <w:vAlign w:val="center"/>
          </w:tcPr>
          <w:p>
            <w:pPr>
              <w:pStyle w:val="TableContents"/>
              <w:spacing w:before="0" w:after="283"/>
              <w:jc w:val="right"/>
              <w:rPr>
                <w:sz w:val="20"/>
              </w:rPr>
            </w:pPr>
            <w:r>
              <w:rPr>
                <w:sz w:val="20"/>
              </w:rPr>
              <w:t>*</w:t>
            </w:r>
          </w:p>
        </w:tc>
        <w:tc>
          <w:tcPr>
            <w:tcW w:w="99" w:type="dxa"/>
            <w:tcBorders/>
            <w:shd w:fill="FFFFFF" w:val="clear"/>
            <w:vAlign w:val="center"/>
          </w:tcPr>
          <w:p>
            <w:pPr>
              <w:pStyle w:val="TableContents"/>
              <w:spacing w:before="0" w:after="283"/>
              <w:jc w:val="left"/>
              <w:rPr/>
            </w:pPr>
            <w:r>
              <w:rPr/>
              <w:t> </w:t>
            </w:r>
          </w:p>
        </w:tc>
        <w:tc>
          <w:tcPr>
            <w:tcW w:w="99" w:type="dxa"/>
            <w:tcBorders/>
            <w:shd w:fill="FFFFFF" w:val="clear"/>
            <w:vAlign w:val="center"/>
          </w:tcPr>
          <w:p>
            <w:pPr>
              <w:pStyle w:val="TableContents"/>
              <w:spacing w:before="0" w:after="283"/>
              <w:rPr/>
            </w:pPr>
            <w:r>
              <w:rPr/>
              <w:t> </w:t>
            </w:r>
          </w:p>
        </w:tc>
        <w:tc>
          <w:tcPr>
            <w:tcW w:w="99" w:type="dxa"/>
            <w:tcBorders/>
            <w:shd w:fill="FFFFFF" w:val="clear"/>
            <w:vAlign w:val="center"/>
          </w:tcPr>
          <w:p>
            <w:pPr>
              <w:pStyle w:val="TableContents"/>
              <w:spacing w:before="0" w:after="283"/>
              <w:jc w:val="left"/>
              <w:rPr/>
            </w:pPr>
            <w:r>
              <w:rPr/>
              <w:t> </w:t>
            </w:r>
          </w:p>
        </w:tc>
        <w:tc>
          <w:tcPr>
            <w:tcW w:w="1102" w:type="dxa"/>
            <w:tcBorders/>
            <w:shd w:fill="FFFFFF" w:val="clear"/>
            <w:vAlign w:val="center"/>
          </w:tcPr>
          <w:p>
            <w:pPr>
              <w:pStyle w:val="TableContents"/>
              <w:spacing w:before="0" w:after="283"/>
              <w:jc w:val="right"/>
              <w:rPr>
                <w:sz w:val="20"/>
              </w:rPr>
            </w:pPr>
            <w:r>
              <w:rPr>
                <w:sz w:val="20"/>
              </w:rPr>
              <w:t>*</w:t>
            </w:r>
          </w:p>
        </w:tc>
        <w:tc>
          <w:tcPr>
            <w:tcW w:w="200" w:type="dxa"/>
            <w:tcBorders/>
            <w:shd w:fill="FFFFFF" w:val="clear"/>
            <w:vAlign w:val="center"/>
          </w:tcPr>
          <w:p>
            <w:pPr>
              <w:pStyle w:val="TableContents"/>
              <w:spacing w:before="0" w:after="283"/>
              <w:jc w:val="left"/>
              <w:rPr/>
            </w:pPr>
            <w:r>
              <w:rPr/>
              <w:t> </w:t>
            </w:r>
          </w:p>
        </w:tc>
      </w:tr>
    </w:tbl>
    <w:p>
      <w:pPr>
        <w:pStyle w:val="TextBody"/>
        <w:rPr/>
      </w:pPr>
      <w:r>
        <w:rPr/>
        <w:t> </w:t>
      </w:r>
    </w:p>
    <w:p>
      <w:pPr>
        <w:pStyle w:val="TextBody"/>
        <w:rPr>
          <w:bdr w:val="single" w:sz="8" w:space="1" w:color="000000"/>
        </w:rPr>
      </w:pPr>
      <w:r>
        <w:rPr>
          <w:bdr w:val="single" w:sz="8" w:space="1" w:color="000000"/>
        </w:rPr>
        <w:t> </w:t>
      </w:r>
    </w:p>
    <w:p>
      <w:pPr>
        <w:pStyle w:val="TextBody"/>
        <w:spacing w:before="0" w:after="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Less than 1%</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28"/>
        <w:gridCol w:w="9940"/>
      </w:tblGrid>
      <w:tr>
        <w:trPr/>
        <w:tc>
          <w:tcPr>
            <w:tcW w:w="37"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pPr>
            <w:r>
              <w:rPr/>
              <w:t>(1)</w:t>
            </w:r>
          </w:p>
        </w:tc>
        <w:tc>
          <w:tcPr>
            <w:tcW w:w="9940" w:type="dxa"/>
            <w:tcBorders/>
            <w:shd w:fill="auto" w:val="clear"/>
            <w:vAlign w:val="center"/>
          </w:tcPr>
          <w:p>
            <w:pPr>
              <w:pStyle w:val="TableContents"/>
              <w:spacing w:before="0" w:after="283"/>
              <w:rPr/>
            </w:pPr>
            <w:r>
              <w:rPr/>
              <w:t>GasLog Ltd. is effectively controlled by its chairman, Peter G. Livanos, who is deemed to beneficially own, directly or indirectly, 30.2% of the issued and outstanding common shares of GasLog Ltd. Excludes the 2.0% general partner interest held by the General Partner. In the event that the Effective Time does not occur prior to July 1, 2023, the 415,000 Class B-4 Units that are issued and outstanding will become eligible for conversion on a one-for-one basis into 415,000 Common Units at Parent’s option on July 1, 2023.</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issued and outstanding Common Unit is entitled to one vote on matters subject to a vote of Common Unitholders. However, to preserve the Partnership’s ability to claim an exemption from U.S. federal income tax under Section 883 of the Code, if at any time any person or group beneficially owns more than 4.9% of any class or series of units then outstanding, any units beneficially owned by that person or group in excess of 4.9% may not be voted on any matter and will not be considered to be outstanding when sending notices of a meeting of limited partners, calculating required votes (except for purposes of nominating a person for election to the Partnership Board), determining the presence of a quorum or for other similar purposes under the Partnership Agreement, unless otherwise required by law. The General Partner, its affiliates and persons who acquired Common Units with the prior approval of the Partnership Board will not be subject to this 4.9% limitation except with respect to voting their Common Units in the election of the elected directors.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109</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PURCHASES AND SALES OF COMMON UNITS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sales in the last 60 days in the Common Units by the Partnership, the General Partner, Merger Sub or Parent or any executive officer, director, associate or majority-owned subsidiary of the foregoing parties or by any pension, profit-sharing or similar plan of the foregoing parties.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Purchases by the Partnership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Partnership has not repurchased any Common Units at any time within the past two years.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Purchases by Parent, the General Partner and Merger Sub</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below, none of Parent, the General Partner and Merger Sub have purchased or acquired any Common Units at any time within the past two years.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24, 2019, the Partnership entered into an exchange agreement, effective as of June 30, 2019, pursuant to which Parent contributed all of its IDRs to the Partnership in exchange for the issuance by the Partnership to Parent of (i) 2,532,911 Common Units (equivalent to approximately 5.41% of the outstanding Common Units as of December 31, 2019) and (ii) 2,490,000 Class B Units (of which 415,000 were Class B-1 Units, 415,000 were Class B-2 Units, 415,000 were Class B-3 Units, 415,000 were Class B-4 Units, 415,000 were Class B-5 Units and 415,000 were Class B-6 Units). The Class B Units become eligible for conversion on a one-for-one basis into Common Units at Parent’s option on a schedule described in the Partnership Agreement. On July 1, 2020, July 1, 2021 and July 1, 2022, the Partnership issued 415,000 Common Units on each date in connection with Parent’s exercise of its option to convert its Class B Units. The remaining Class B Units become eligible for conversion into Common Units at Parent’s option on July 1, 2023, July 1, 2024, and July 1, 2025, for the 415,000 Class B-4 Units, 415,000 Class B-5 Units and the 415,000 Class B-6 units, respectively. In the event that the Effective Time does not occur prior to July 1, 2023, 415,000 Class B-4 Units that are issued and outstanding will become eligible for conversion on a one-for-one basis into 415,000 Common Units at Parent’s option on July 1,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110</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UNITHOLDER PROPOSALS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Partnership Agreement, a Special Meeting of the limited partners may be called by the General Partner, the Partnership Board or by limited partners owning 20% or more of the issued and outstanding units of the class or series for which a meeting is proposed. Such limited partners may call a special meeting by delivering to the Partnership Board one or more requests in writing stating that the signing limited partners wish to call a special meeting and indicating the general or specific purposes for which the special meeting is to be called, it being understood that the purposes of such special meeting may only be to vote on matters that require the vote of the unitholders pursuant to the Partnership Agreement. However, limited partners are not allowed to vote on matters that would cause the limited partners to be deemed to be taking part in the management and control of the business and affairs of the Partnership so as to jeopardize the limited partners’ limited liability under Marshall Islands law or the law of any other jurisdiction in which the Partnership is qualified to do business. Only those record holders of the units on the record date will be entitled to notice of and to vote at the meeting of limited partners or give approvals without a meeting.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111</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DELISTING AND DEREGISTRATION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Merger is completed, the Surviving Entity will use its reasonable best efforts to cause the Common Units to be delisted from the NYSE and deregistered under the Exchange Act (via termination of registration pursuant to Section 12(g) of the Exchange Act) as soon as reasonably practicable following the Effective Time.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U.S. FEDERAL INCOME TAX CONSEQUENCES OF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discussion of the material U.S. federal income tax considerations to U.S. Holders and Non-U.S. Holders (each as defined below) of the Special Distribution and the exchange of Common Units for Merger Consideration pursuant to the Merger. This discussion is for general information only and does not purport to consider all aspects of U.S. federal income taxation that might be relevant to Common Unitholders.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based upon provisions of the Code, applicable U.S. Treasury regulations, and current administrative rulings and court decisions, all as in effect or existence on the date of this proxy statement and all of which are subject to change or differing interpretation, possibly with retroactive effect. Changes in these authorities may cause the tax consequences of the Merger to vary substantially from the consequences described below.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applies only to beneficial owners of Common Units that own the Common Units as “capital assets” within the meaning of Section 1221 of the Code (generally, for investment purposes).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this discussion does not address certain categories of Common Unitholders that may be subject to special tax rules, such as:</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76"/>
        <w:gridCol w:w="791"/>
        <w:gridCol w:w="9238"/>
      </w:tblGrid>
      <w:tr>
        <w:trPr/>
        <w:tc>
          <w:tcPr>
            <w:tcW w:w="176"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pPr>
            <w:r>
              <w:rPr/>
              <w:t>●</w:t>
            </w:r>
          </w:p>
        </w:tc>
        <w:tc>
          <w:tcPr>
            <w:tcW w:w="9238" w:type="dxa"/>
            <w:tcBorders/>
            <w:shd w:fill="auto" w:val="clear"/>
            <w:vAlign w:val="center"/>
          </w:tcPr>
          <w:p>
            <w:pPr>
              <w:pStyle w:val="TableContents"/>
              <w:spacing w:before="0" w:after="283"/>
              <w:rPr/>
            </w:pPr>
            <w:r>
              <w:rPr/>
              <w:t>financial institutions;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70"/>
        <w:gridCol w:w="765"/>
        <w:gridCol w:w="9270"/>
      </w:tblGrid>
      <w:tr>
        <w:trPr/>
        <w:tc>
          <w:tcPr>
            <w:tcW w:w="170"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pPr>
            <w:r>
              <w:rPr/>
              <w:t>●</w:t>
            </w:r>
          </w:p>
        </w:tc>
        <w:tc>
          <w:tcPr>
            <w:tcW w:w="9270" w:type="dxa"/>
            <w:tcBorders/>
            <w:shd w:fill="auto" w:val="clear"/>
            <w:vAlign w:val="center"/>
          </w:tcPr>
          <w:p>
            <w:pPr>
              <w:pStyle w:val="TableContents"/>
              <w:spacing w:before="0" w:after="283"/>
              <w:rPr/>
            </w:pPr>
            <w:r>
              <w:rPr/>
              <w:t>insurance companies;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34"/>
        <w:gridCol w:w="1049"/>
        <w:gridCol w:w="8922"/>
      </w:tblGrid>
      <w:tr>
        <w:trPr/>
        <w:tc>
          <w:tcPr>
            <w:tcW w:w="234" w:type="dxa"/>
            <w:tcBorders/>
            <w:shd w:fill="auto" w:val="clear"/>
            <w:vAlign w:val="center"/>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pPr>
            <w:r>
              <w:rPr/>
              <w:t>●</w:t>
            </w:r>
          </w:p>
        </w:tc>
        <w:tc>
          <w:tcPr>
            <w:tcW w:w="8922" w:type="dxa"/>
            <w:tcBorders/>
            <w:shd w:fill="auto" w:val="clear"/>
            <w:vAlign w:val="center"/>
          </w:tcPr>
          <w:p>
            <w:pPr>
              <w:pStyle w:val="TableContents"/>
              <w:spacing w:before="0" w:after="283"/>
              <w:rPr/>
            </w:pPr>
            <w:r>
              <w:rPr/>
              <w:t>broker-dealers;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44"/>
        <w:gridCol w:w="649"/>
        <w:gridCol w:w="9412"/>
      </w:tblGrid>
      <w:tr>
        <w:trPr/>
        <w:tc>
          <w:tcPr>
            <w:tcW w:w="144"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pPr>
            <w:r>
              <w:rPr/>
              <w:t>●</w:t>
            </w:r>
          </w:p>
        </w:tc>
        <w:tc>
          <w:tcPr>
            <w:tcW w:w="9412" w:type="dxa"/>
            <w:tcBorders/>
            <w:shd w:fill="auto" w:val="clear"/>
            <w:vAlign w:val="center"/>
          </w:tcPr>
          <w:p>
            <w:pPr>
              <w:pStyle w:val="TableContents"/>
              <w:spacing w:before="0" w:after="283"/>
              <w:rPr/>
            </w:pPr>
            <w:r>
              <w:rPr/>
              <w:t>tax-exempt organizations;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52"/>
        <w:gridCol w:w="1132"/>
        <w:gridCol w:w="8821"/>
      </w:tblGrid>
      <w:tr>
        <w:trPr/>
        <w:tc>
          <w:tcPr>
            <w:tcW w:w="252"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pPr>
            <w:r>
              <w:rPr/>
              <w:t>●</w:t>
            </w:r>
          </w:p>
        </w:tc>
        <w:tc>
          <w:tcPr>
            <w:tcW w:w="8821" w:type="dxa"/>
            <w:tcBorders/>
            <w:shd w:fill="auto" w:val="clear"/>
            <w:vAlign w:val="center"/>
          </w:tcPr>
          <w:p>
            <w:pPr>
              <w:pStyle w:val="TableContents"/>
              <w:spacing w:before="0" w:after="283"/>
              <w:rPr/>
            </w:pPr>
            <w:r>
              <w:rPr/>
              <w:t>mutual funds;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qualified pension, profit sharing or other retirement trusts, retirement plans or individual retirement accounts;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67"/>
        <w:gridCol w:w="303"/>
        <w:gridCol w:w="9835"/>
      </w:tblGrid>
      <w:tr>
        <w:trPr/>
        <w:tc>
          <w:tcPr>
            <w:tcW w:w="67"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pPr>
            <w:r>
              <w:rPr/>
              <w:t>●</w:t>
            </w:r>
          </w:p>
        </w:tc>
        <w:tc>
          <w:tcPr>
            <w:tcW w:w="9835" w:type="dxa"/>
            <w:tcBorders/>
            <w:shd w:fill="auto" w:val="clear"/>
            <w:vAlign w:val="center"/>
          </w:tcPr>
          <w:p>
            <w:pPr>
              <w:pStyle w:val="TableContents"/>
              <w:spacing w:before="0" w:after="283"/>
              <w:rPr/>
            </w:pPr>
            <w:r>
              <w:rPr/>
              <w:t>former citizens or long-term residents of the United States;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persons that hold their Common Units as part of a straddle, conversion, constructive sale or other integrated transaction for U.S. federal income tax purposes;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60"/>
        <w:gridCol w:w="269"/>
        <w:gridCol w:w="9876"/>
      </w:tblGrid>
      <w:tr>
        <w:trPr/>
        <w:tc>
          <w:tcPr>
            <w:tcW w:w="60"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pPr>
            <w:r>
              <w:rPr/>
              <w:t>●</w:t>
            </w:r>
          </w:p>
        </w:tc>
        <w:tc>
          <w:tcPr>
            <w:tcW w:w="9876" w:type="dxa"/>
            <w:tcBorders/>
            <w:shd w:fill="auto" w:val="clear"/>
            <w:vAlign w:val="center"/>
          </w:tcPr>
          <w:p>
            <w:pPr>
              <w:pStyle w:val="TableContents"/>
              <w:spacing w:before="0" w:after="283"/>
              <w:rPr/>
            </w:pPr>
            <w:r>
              <w:rPr/>
              <w:t>persons that have a functional currency other than the U.S. dollar;</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left"/>
              <w:rPr/>
            </w:pPr>
            <w:r>
              <w:rPr/>
              <w:t>persons that acquired their Common Units pursuant to an exercise of employee options, in connection with employee incentive plans, or otherwise as compensation or in connection with services;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83"/>
        <w:gridCol w:w="371"/>
        <w:gridCol w:w="9751"/>
      </w:tblGrid>
      <w:tr>
        <w:trPr/>
        <w:tc>
          <w:tcPr>
            <w:tcW w:w="83"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pPr>
            <w:r>
              <w:rPr/>
              <w:t>●</w:t>
            </w:r>
          </w:p>
        </w:tc>
        <w:tc>
          <w:tcPr>
            <w:tcW w:w="9751" w:type="dxa"/>
            <w:tcBorders/>
            <w:shd w:fill="auto" w:val="clear"/>
            <w:vAlign w:val="center"/>
          </w:tcPr>
          <w:p>
            <w:pPr>
              <w:pStyle w:val="TableContents"/>
              <w:spacing w:before="0" w:after="283"/>
              <w:rPr/>
            </w:pPr>
            <w:r>
              <w:rPr/>
              <w:t>persons subject to the alternative minimum tax;</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61"/>
        <w:gridCol w:w="273"/>
        <w:gridCol w:w="9871"/>
      </w:tblGrid>
      <w:tr>
        <w:trPr/>
        <w:tc>
          <w:tcPr>
            <w:tcW w:w="61"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pPr>
            <w:r>
              <w:rPr/>
              <w:t>●</w:t>
            </w:r>
          </w:p>
        </w:tc>
        <w:tc>
          <w:tcPr>
            <w:tcW w:w="9871" w:type="dxa"/>
            <w:tcBorders/>
            <w:shd w:fill="auto" w:val="clear"/>
            <w:vAlign w:val="center"/>
          </w:tcPr>
          <w:p>
            <w:pPr>
              <w:pStyle w:val="TableContents"/>
              <w:spacing w:before="0" w:after="283"/>
              <w:rPr/>
            </w:pPr>
            <w:r>
              <w:rPr/>
              <w:t>regulated investment companies and real estate investment trusts;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0"/>
        <w:gridCol w:w="184"/>
        <w:gridCol w:w="9981"/>
      </w:tblGrid>
      <w:tr>
        <w:trPr/>
        <w:tc>
          <w:tcPr>
            <w:tcW w:w="40"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pPr>
            <w:r>
              <w:rPr/>
              <w:t>●</w:t>
            </w:r>
          </w:p>
        </w:tc>
        <w:tc>
          <w:tcPr>
            <w:tcW w:w="9981" w:type="dxa"/>
            <w:tcBorders/>
            <w:shd w:fill="auto" w:val="clear"/>
            <w:vAlign w:val="center"/>
          </w:tcPr>
          <w:p>
            <w:pPr>
              <w:pStyle w:val="TableContents"/>
              <w:spacing w:before="0" w:after="283"/>
              <w:rPr/>
            </w:pPr>
            <w:r>
              <w:rPr/>
              <w:t>traders in securities who elect to apply a mark-to-market method of accounting for their securities;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4"/>
        <w:gridCol w:w="198"/>
        <w:gridCol w:w="9963"/>
      </w:tblGrid>
      <w:tr>
        <w:trPr/>
        <w:tc>
          <w:tcPr>
            <w:tcW w:w="44"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pPr>
            <w:r>
              <w:rPr/>
              <w:t>●</w:t>
            </w:r>
          </w:p>
        </w:tc>
        <w:tc>
          <w:tcPr>
            <w:tcW w:w="9963" w:type="dxa"/>
            <w:tcBorders/>
            <w:shd w:fill="auto" w:val="clear"/>
            <w:vAlign w:val="center"/>
          </w:tcPr>
          <w:p>
            <w:pPr>
              <w:pStyle w:val="TableContents"/>
              <w:spacing w:before="0" w:after="283"/>
              <w:rPr/>
            </w:pPr>
            <w:r>
              <w:rPr/>
              <w:t>persons that also own (directly, indirectly, or constructively) any equity interests in Parent;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any persons that, at any time, own (directly, indirectly, or constructively) 10% or more of the voting power or total value of the Partnership’s equity; and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S corporations, entities treated as partnerships for U.S. federal income tax purposes, and other pass-through entities and their owners.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or other entity classified as a partnership for U.S. federal income tax purposes holds the Common Units, the tax treatment of its partners generally will depend upon the status of the partner and the activities of the partnership. Entities treated as partnerships for U.S. federal income tax purposes holding the Common Units and their owners are urged to consult their tax advisors regarding the tax consequences to them of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ruling has been or will be requested from the Internal Revenue Service (the “IRS”) regarding the U.S. federal income tax consequences of the Merger. Accordingly, the statements made herein may be challenged by the IRS and, if so challenged, may not be sustained upon review in a court. This summary is not binding on the IRS, and the IRS is not precluded from taking a position that is different from, and contrary to, the positions taken in this summary. In addition, because the authorities on which this summary is based are subject to various interpretations, the IRS and the U.S. courts could disagree with one or more of the positions taken in this summary.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does not contain information regarding any U.S. state or local, estate, gift, net investment income or alternative minimum tax considerations concerning the Merger. This discussion does not comment on all aspects of U.S. federal income taxation that may be important to particular unitholders in light of their individual circumstances, and each unitholder is urged to consult its tax advisor regarding the U.S. federal, state, local and other tax consequences of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herein, the term “U.S. Holder” means a beneficial owner of Common Units that is:</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4"/>
        <w:gridCol w:w="197"/>
        <w:gridCol w:w="9964"/>
      </w:tblGrid>
      <w:tr>
        <w:trPr/>
        <w:tc>
          <w:tcPr>
            <w:tcW w:w="44"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pPr>
            <w:r>
              <w:rPr/>
              <w:t>●</w:t>
            </w:r>
          </w:p>
        </w:tc>
        <w:tc>
          <w:tcPr>
            <w:tcW w:w="9964" w:type="dxa"/>
            <w:tcBorders/>
            <w:shd w:fill="auto" w:val="clear"/>
            <w:vAlign w:val="center"/>
          </w:tcPr>
          <w:p>
            <w:pPr>
              <w:pStyle w:val="TableContents"/>
              <w:spacing w:before="0" w:after="283"/>
              <w:rPr/>
            </w:pPr>
            <w:r>
              <w:rPr/>
              <w:t>an individual U.S. citizen or resident (as determined for U.S. federal income tax purposes);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a corporation (or other entity that is classified as a corporation for U.S. federal income tax purposes) organized under the laws of the United States or any of its political subdivisions;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0"/>
        <w:gridCol w:w="183"/>
        <w:gridCol w:w="9982"/>
      </w:tblGrid>
      <w:tr>
        <w:trPr/>
        <w:tc>
          <w:tcPr>
            <w:tcW w:w="40"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pPr>
            <w:r>
              <w:rPr/>
              <w:t>●</w:t>
            </w:r>
          </w:p>
        </w:tc>
        <w:tc>
          <w:tcPr>
            <w:tcW w:w="9982" w:type="dxa"/>
            <w:tcBorders/>
            <w:shd w:fill="auto" w:val="clear"/>
            <w:vAlign w:val="center"/>
          </w:tcPr>
          <w:p>
            <w:pPr>
              <w:pStyle w:val="TableContents"/>
              <w:spacing w:before="0" w:after="283"/>
              <w:rPr/>
            </w:pPr>
            <w:r>
              <w:rPr/>
              <w:t>an estate the income of which is subject to U.S. federal income taxation regardless of its source; or</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a trust if (a) a court within the United States is able to exercise primary supervision over the administration of the trust and one or more U.S. persons have the authority to control all substantial decisions of the trust or (b) the trust has a valid election in effect to be treated as a U.S. person for U.S. federal income tax purposes.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Special Distribution. </w:t>
      </w:r>
      <w:r>
        <w:rPr>
          <w:rFonts w:ascii="Times New Roman;Times;Serif" w:hAnsi="Times New Roman;Times;Serif"/>
          <w:b w:val="false"/>
          <w:i w:val="false"/>
          <w:caps w:val="false"/>
          <w:smallCaps w:val="false"/>
          <w:sz w:val="20"/>
        </w:rPr>
        <w:t>Subject to the discussion below of the rules applicable to PFICs, the Special Distribution received by a U.S. Holder with respect to its Common Units generally will constitute a dividend to the extent of the Partnership’s current and accumulated earnings and profits, as determined under U.S. federal income tax principles. Any amount of the Special Distribution in excess of the Partnership’s earnings and profits will be treated first as a nontaxable return of capital to the extent of the U.S. Holder’s tax basis in its Common Units and thereafter as capital gain. U.S. Holders that are corporations generally will not be entitled to claim a dividend received deduction with respect to the Special Distribution. Dividends received with respect to the Common Units generally will be treated as foreign source “passive category income” for purposes of computing allowable foreign tax credits for U.S. federal income tax purposes.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Special Distribution received by a U.S. Holder with respect to its Common Units that is an individual, trust or estate (a “U.S. Individual Holder”) generally will be treated as “qualified dividend income”, which is taxable to such U.S. Individual Holder at preferential tax rates;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the Common Units are readily tradable on an established securities market in the United States (such as the NYSE, on which the Common Units are currently traded); (b) the Partnership is not a PFIC for the tax year during which the Special Distribution is paid or the immediately preceding tax year (which the Partnership does not believe it is, has been or will be, as discussed below under “—PFIC Status and Significant Tax Consequences”); (c) the U.S. Individual Holder has owned the Common Units for more than 60 days during the 121-day period beginning 60 days before the date on which the Common Units become ex-dividend (and has not entered into certain risk limiting transactions with respect to such Common Units); and (d) the U.S. Individual Holder is not under an obligation to make related payments with respect to positions in substantially similar or related property. There is no assurance that the Special Distribution paid on the Common Units will be eligible for these preferential rates in the hands of a U.S. Individual Holder, and any distributions paid on the Common Units that are not eligible for these preferential rates will be taxed at ordinary income rates to a U.S. Individual Holder.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rules may apply if the Special Distribution is treated as an “extraordinary dividend”. In general, an extraordinary dividend is a dividend with respect to a Common Unit that is equal to or in excess of 10% of a U.S. Holder’s adjusted tax basis (or fair market value upon the U.S. Holder’s election) in such Common Units. In addition, extraordinary dividends include dividends received within a one-year period that, in the aggregate, equal or exceed 20% of a unitholder’s adjusted tax basis (or fair market value). If the Partnership pays an “extraordinary dividend” on the Common Units that is treated as “qualified dividend income”, then any loss recognized by a U.S. Individual Holder from the sale or exchange of such Common Units will be treated as long-term capital loss to the extent of the amount of such dividend.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115</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Merger Consideration. </w:t>
      </w:r>
      <w:r>
        <w:rPr>
          <w:rFonts w:ascii="Times New Roman;Times;Serif" w:hAnsi="Times New Roman;Times;Serif"/>
          <w:b w:val="false"/>
          <w:i w:val="false"/>
          <w:caps w:val="false"/>
          <w:smallCaps w:val="false"/>
          <w:sz w:val="20"/>
        </w:rPr>
        <w:t>Subject to the discussion of PFIC status below, a U.S. Holder generally will recognize capital gain or loss on the exchange of Common Units for the Merger Consideration pursuant to the Merger in an amount equal to the difference, if any, between (a) the Merger Consideration received by the U.S. Holder and (b) the U.S. Holder’s adjusted tax basis in such Common Units. Such gain or loss generally will be treated as long-term capital gain or loss if the U.S. Holder’s holding period is greater than one year at the time of the exchange. If a U.S. Holder acquired different blocks of Common Units at different times or different prices, such U.S. Holder must determine its adjusted tax basis and holding period separately with respect to each block of such Common Units. Certain U.S. Holders (including individuals) may be eligible for preferential rates of U.S. federal income tax in respect of long-term capital gains. A U.S. Holder’s ability to deduct capital losses is subject to limitations. Such capital gain or loss generally will be treated as U.S. source income or loss, as applicable, for U.S. foreign tax credit purposes.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Medicare Tax on Net Investment Income.</w:t>
      </w:r>
      <w:r>
        <w:rPr>
          <w:rFonts w:ascii="Times New Roman;Times;Serif" w:hAnsi="Times New Roman;Times;Serif"/>
          <w:b w:val="false"/>
          <w:i w:val="false"/>
          <w:caps w:val="false"/>
          <w:smallCaps w:val="false"/>
          <w:sz w:val="20"/>
        </w:rPr>
        <w:t xml:space="preserve"> Certain U.S. Holders, including individuals, estates and trusts, will be subject to an additional 3.8% Medicare tax on, among other things, dividends and capital gains from the exchange of Common Units. For individuals, the additional Medicare tax applies to the lesser of (a) “net investment income” or (b) the excess of “modified adjusted gross income” over $200,000 ($250,000 if married and filing jointly or $125,000 if married and filing separately). “Net investment income” generally equals the taxpayer’s gross investment income reduced by deductions that are allocable to such income. U.S. Holders are encouraged to consult their tax advisors regarding the implications of the additional Medicare tax resulting from their ownership and disposition of the Common Units.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PFIC Status and Significant Tax Consequences. </w:t>
      </w:r>
      <w:r>
        <w:rPr>
          <w:rFonts w:ascii="Times New Roman;Times;Serif" w:hAnsi="Times New Roman;Times;Serif"/>
          <w:b w:val="false"/>
          <w:i w:val="false"/>
          <w:caps w:val="false"/>
          <w:smallCaps w:val="false"/>
          <w:sz w:val="20"/>
        </w:rPr>
        <w:t>Adverse U.S. federal income tax rules may apply to a U.S. Holder that owns an equity interest in a non-U.S. corporation that is classified as a passive foreign investment company (a “PFIC”) for U.S. federal income tax purposes. In general, the Partnership will be treated as a PFIC with respect to a U.S. Holder if, for any taxable year in which such U.S. Holder held the Common Units, either:</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at least 75% of the Partnership’s gross income (including its proportionate share of the gross income of its subsidiaries in which it owns at least 25% (by value) of the equity interests) for such taxable year consists of passive income (</w:t>
            </w:r>
            <w:r>
              <w:rPr>
                <w:i/>
              </w:rPr>
              <w:t>e.g.</w:t>
            </w:r>
            <w:r>
              <w:rPr/>
              <w:t>, dividends, interest, capital gains from the sale or exchange of investment property, and rents derived other than in the active conduct of a rental business); or</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at least 50% of the average value of the assets held by the Partnership (including its proportionate share of the assets of its subsidiaries in which it owns at least 25% (by value) of the equity interests) during such taxable year produce, or are held for the production of, passive income.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116</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earned, or treated as earned (for U.S. federal income tax purposes), by the Partnership in connection with the performance of services would not constitute passive income for PFIC purposes. By contrast, rental income generally would constitute “passive income” unless the Partnership was treated as deriving that rental income in the active conduct of a trade or business under the applicable rules.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Partnership’s current and projected methods of operation, and an opinion of counsel, the Partnership does not believe that it is or will be a PFIC for its current or any future tax year. The Partnership has received an opinion of its U.S. counsel, Cravath, Swaine &amp; Moore LLP, in support of this position that concludes that the income the Partnership’s subsidiaries earn from certain of its present time-chartering activities should not constitute passive income for purposes of determining whether the Partnership is a PFIC. In addition, the Partnership has represented to its U.S. counsel that the Partnership expects that more than 25% of its gross income for its current tax year and each future year will arise from such time-chartering activities, and more than 50% of the average value of its assets for each such year will be held for the production of such nonpassive income. Assuming the composition of the Partnership’s income and assets is consistent with these expectations, and assuming the accuracy of other representations it has made to its U.S. counsel for purposes of their opinion, the Partnership’s U.S. counsel is of the opinion that the Partnership should not be a PFIC for its current tax year or any future year.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Partnership’s counsel has indicated to the Partnership that the conclusions described above are not free from doubt. While there is legal authority supporting the Partnership’s conclusions, including IRS pronouncements concerning the characterization of income derived from time charters as services income, the Fifth Circuit held in </w:t>
      </w:r>
      <w:r>
        <w:rPr>
          <w:rFonts w:ascii="Times New Roman;Times;Serif" w:hAnsi="Times New Roman;Times;Serif"/>
          <w:b w:val="false"/>
          <w:i/>
          <w:caps w:val="false"/>
          <w:smallCaps w:val="false"/>
          <w:sz w:val="20"/>
        </w:rPr>
        <w:t>Tidewater Inc. v. United States</w:t>
      </w:r>
      <w:r>
        <w:rPr>
          <w:rFonts w:ascii="Times New Roman;Times;Serif" w:hAnsi="Times New Roman;Times;Serif"/>
          <w:b w:val="false"/>
          <w:i w:val="false"/>
          <w:caps w:val="false"/>
          <w:smallCaps w:val="false"/>
          <w:sz w:val="20"/>
        </w:rPr>
        <w:t xml:space="preserve">, 565 F.3d 299 (5th Cir. 2009) that income derived from certain marine time charter agreements should be treated as rental income rather than services income for purposes of a “foreign sales corporation” provision of the Code. In that case, the Fifth Circuit did not address the definition of passive income or the PFIC rules; however, the reasoning of the case could have implications as to how the income from a time charter would be classified under such rules. If the reasoning of this case were extended to the PFIC context, the gross income the Partnership derives or is deemed to derive from its time-chartering activities may be treated as rental income, and it would likely be treated as a PFIC. The IRS has announced its nonacquiescence with the court’s holding in the </w:t>
      </w:r>
      <w:r>
        <w:rPr>
          <w:rFonts w:ascii="Times New Roman;Times;Serif" w:hAnsi="Times New Roman;Times;Serif"/>
          <w:b w:val="false"/>
          <w:i/>
          <w:caps w:val="false"/>
          <w:smallCaps w:val="false"/>
          <w:sz w:val="20"/>
        </w:rPr>
        <w:t>Tidewater</w:t>
      </w:r>
      <w:r>
        <w:rPr>
          <w:rFonts w:ascii="Times New Roman;Times;Serif" w:hAnsi="Times New Roman;Times;Serif"/>
          <w:b w:val="false"/>
          <w:i w:val="false"/>
          <w:caps w:val="false"/>
          <w:smallCaps w:val="false"/>
          <w:sz w:val="20"/>
        </w:rPr>
        <w:t xml:space="preserve"> case and, at the same time, announced the position of the IRS that the marine time charter agreements at issue in that case should be treated as service contracts.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Distinguishing between arrangements treated as generating rental income and those treated as generating services income involves weighing and balancing competing factual considerations, and there is no legal authority under the PFIC rules addressing the Partnership’s specific method of operation. Conclusions in this area therefore remain matters of interpretation. The Partnership is not seeking a ruling from the IRS on the treatment of income generated from the Partnership’s time-chartering operations, and the opinion of the Partnership’s counsel is not binding on the IRS or any court. Thus, while the Partnership has received an opinion of counsel in support of the Partnership’s position, it is possible that the IRS or a court could disagree with this position and the opinion of the Partnership’s counsel. In addition, although the Partnership intends to conduct its affairs in a manner to avoid being classified as a PFIC with respect to any tax year, it cannot assure unitholders that the nature of its operations will not change in the future and that it will not become a PFIC in any future tax year.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117</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more fully below, if the Partnership was to be treated as a PFIC for any tax year, a U.S. Holder would be subject to different taxation rules depending on whether the U.S. Holder makes an election to treat the Partnership as a “Qualified Electing Fund”, which the Partnership refers to as a “QEF election”. As an alternative to making a QEF election, a U.S. Holder should be able to make a “mark-to-market” election with respect to the Common Units, as discussed below. In addition, if a U.S. Holder owns the Common Units during any tax year that the Partnership is a PFIC, such units owned by such holder will be treated as PFIC units even if the Partnership is not a PFIC in a subsequent year and, if the total value of all PFIC stock that such holder directly or indirectly owns exceeds certain thresholds, such holder must file IRS Form 8621 with their U.S. federal income tax return to report their ownership of the Common Units.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PFIC rules are complex, and you are encouraged to consult your own tax advisor regarding the PFIC rules, including the annual PFIC reporting requirement.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Taxation of U.S. Holders Making a Timely QEF Election. </w:t>
      </w:r>
      <w:r>
        <w:rPr>
          <w:rFonts w:ascii="Times New Roman;Times;Serif" w:hAnsi="Times New Roman;Times;Serif"/>
          <w:b w:val="false"/>
          <w:i w:val="false"/>
          <w:caps w:val="false"/>
          <w:smallCaps w:val="false"/>
          <w:sz w:val="20"/>
        </w:rPr>
        <w:t>If the Partnership was to be treated as a PFIC for any tax year, and a U.S. Holder makes a timely QEF election, such holder hereinafter an “Electing Holder”, then, for U.S. federal income tax purposes, that holder must report as income for its tax year its pro rata share of the Partnership’s ordinary earnings and net capital gain, if any, for the Partnership’s tax years that end with or within the tax year for which that holder is reporting, regardless of whether or not the Electing Holder received distributions from the Partnership in that year. The Electing Holder’s adjusted tax basis in the Common Units will be increased to reflect taxed but undistributed earnings and profits. Distributions of earnings and profits that were previously taxed will result in a corresponding reduction in the Electing Holder’s adjusted tax basis in the Common Units and will not be taxed again once distributed. An Electing Holder generally will recognize capital gain or loss on the sale, exchange or other disposition of the Common Units. A U.S. Holder makes a QEF election with respect to any year that the Partnership is a PFIC by filing IRS Form 8621 with its U.S. federal income tax return. If, contrary to the Partnership’s expectations, it determines that it is treated as a PFIC for any tax year, it will provide each U.S. Holder with the information necessary to make the QEF election described above. Although the QEF election is available with respect to subsidiaries, in the event the Partnership acquires or owns a subsidiary that is treated as a PFIC, no assurances can be made that the Partnership will be able to provide U.S. Holders with the necessary information to make the QEF election with respect to such subsidiary.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Taxation of U.S. Holders Making a “Mark-to-Market” Election. </w:t>
      </w:r>
      <w:r>
        <w:rPr>
          <w:rFonts w:ascii="Times New Roman;Times;Serif" w:hAnsi="Times New Roman;Times;Serif"/>
          <w:b w:val="false"/>
          <w:i w:val="false"/>
          <w:caps w:val="false"/>
          <w:smallCaps w:val="false"/>
          <w:sz w:val="20"/>
        </w:rPr>
        <w:t>If the Partnership was to be treated as a PFIC and its Common Units are treated as “marketable stock”, a U.S. Holder may make an election to “mark to market” its Common Units. If a U.S. Holder has in effect a valid “mark-to-market” election with respect to the Common Units, then, in lieu of being subject to the PFIC tax and interest charge rules discussed below, such U.S. Holder generally would recognize gain or loss on the exchange of Common Units for merger consideration pursuant to the Merger equal to the difference, if any, between (a) the merger consideration received by the U.S. Holder and (b) the U.S. Holder’s adjusted tax basis (which would reflect any income or loss recognized by the U.S. Holder as a result of the “mark-to-market” election) in the Common Units. Gain on the exchange of Common Units for merger consideration generally would be treated as ordinary income, and any loss on such exchange generally would be treated as ordinary loss to the extent that such loss does not exceed the net mark-to-market gains previously included in income by the U.S. Holder. If a U.S. Holder has made a valid mark-to-market election, such election is effective for the taxable year for which the election was made and for all subsequent taxable years unless the Common Units cease to be treated as “marketable stock” or the IRS consents to the revocation of the election.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118</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Taxation of U.S. Holders Not Making a Timely QEF or “Mark-to-Market” Election. </w:t>
      </w:r>
      <w:r>
        <w:rPr>
          <w:rFonts w:ascii="Times New Roman;Times;Serif" w:hAnsi="Times New Roman;Times;Serif"/>
          <w:b w:val="false"/>
          <w:i w:val="false"/>
          <w:caps w:val="false"/>
          <w:smallCaps w:val="false"/>
          <w:sz w:val="20"/>
        </w:rPr>
        <w:t>If the Partnership was to be treated as a PFIC with respect to a U.S. Holder that does not have in effect either a QEF election or a “mark-to-market” election (a “Non-Electing Holder”), then such Non-Electing Holder would be subject to special rules with respect to (1) any excess distribution (i.e., the portion of any distributions, including the Special Distribution, received by the Non-Electing Holder on the Common Units in a tax year in excess of 125% of the average annual distributions received by the Non-Electing Holder in the three preceding tax years, or, if shorter, the portion of the Non-Electing Holder’s holding period for the Common Units before the tax year) and (2) any gain realized on the exchange of Common Units for merger consideration pursuant to the Merger. Under these special rules:</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the excess distribution or gain would be allocated ratably over each day of the Non-Electing Holder’s aggregate holding period for the Common Units;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the amount allocated to the current taxable year and any taxable year prior to the taxable year the Partnership was first treated as a PFIC with respect to the Non-Electing Holder would be taxed as ordinary income; and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the amount allocated to each of the other taxable years would be subject to tax at the highest rate of tax in effect for the applicable class of taxpayers for that year, and an interest charge for the deemed deferral benefit would be imposed with respect to the resulting tax attributable to each such other taxable year.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Non-Electing Holders may not be able to offset any gain recognized in the Merger with capital losses.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Non-U.S. 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beneficial owner of Common Units that is an individual, corporation, estate or trust for U.S. federal income tax purposes and, in each case, is not a U.S. Holder is referred to as a “Non-U.S. Holder”.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general, a Non-U.S. Holder is not subject to U.S. federal income tax or withholding tax on any income resulting from the Special Distribution nor any gain resulting from the exchange of Common Units for merger consideration in the Merger;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Non-U.S. Holder is not engaged in a U.S. trade or business. A Non-U.S. Holder that is engaged in a U.S. trade or business will be subject to U.S. federal income tax in the event such income or gain is effectively connected with the conduct of such U.S. trade or business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a Non-U.S. Holder entitled to the benefits of an income tax treaty with the United States, such gain also is attributable to a U.S. permanent establishment). Income and gain described in the preceding sentence will be subject to U.S. federal income tax on a net income basis at the regular graduated U.S. federal income tax rates in the same manner as if such Non-U.S. Holder were a U.S. person. A Non-U.S. Holder that is a corporation also may be subject to an additional branch profits tax at a rate of 30% (or such lower rate as may be specified by an applicable income tax treaty) on its “effectively connected earnings and profits” for the taxable year, subject to certain adjustments. However, even if not engaged in a U.S. trade or business, individual Non-U.S. Holders may be subject to tax on gain resulting from exchange of Common Units for merger consideration in the Merger if they are present in the United States for 183 days or more during the taxable year in which the Merger closes and meet certain other requirements.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119</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and gain described in the preceding sentence will be subject to U.S. federal income tax at a 30% rate (or such lower rate as may be specified by an applicable income tax treaty), but may be offset by U.S.-source capital losses, if any, of the Non-U.S. Holder.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Backup Withholding and Information Reporting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the payment of the Special Distribution and Merger Consideration to a non-corporate U.S. Holder will be subject to information reporting. These payments to a non-corporate U.S. Holder also may be subject to backup withholding if the non-corporate U.S. Holder:</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67"/>
        <w:gridCol w:w="300"/>
        <w:gridCol w:w="9838"/>
      </w:tblGrid>
      <w:tr>
        <w:trPr/>
        <w:tc>
          <w:tcPr>
            <w:tcW w:w="67"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pPr>
            <w:r>
              <w:rPr/>
              <w:t>●</w:t>
            </w:r>
          </w:p>
        </w:tc>
        <w:tc>
          <w:tcPr>
            <w:tcW w:w="9838" w:type="dxa"/>
            <w:tcBorders/>
            <w:shd w:fill="auto" w:val="clear"/>
            <w:vAlign w:val="center"/>
          </w:tcPr>
          <w:p>
            <w:pPr>
              <w:pStyle w:val="TableContents"/>
              <w:spacing w:before="0" w:after="283"/>
              <w:rPr/>
            </w:pPr>
            <w:r>
              <w:rPr/>
              <w:t>fails to provide an accurate taxpayer identification number;</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is notified by the IRS that it has failed to report all interest or corporate distributions required to be reported on its U.S. federal income tax returns; or</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8"/>
        <w:gridCol w:w="216"/>
        <w:gridCol w:w="9941"/>
      </w:tblGrid>
      <w:tr>
        <w:trPr/>
        <w:tc>
          <w:tcPr>
            <w:tcW w:w="48"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pPr>
            <w:r>
              <w:rPr/>
              <w:t>●</w:t>
            </w:r>
          </w:p>
        </w:tc>
        <w:tc>
          <w:tcPr>
            <w:tcW w:w="9941" w:type="dxa"/>
            <w:tcBorders/>
            <w:shd w:fill="auto" w:val="clear"/>
            <w:vAlign w:val="center"/>
          </w:tcPr>
          <w:p>
            <w:pPr>
              <w:pStyle w:val="TableContents"/>
              <w:spacing w:before="0" w:after="283"/>
              <w:rPr/>
            </w:pPr>
            <w:r>
              <w:rPr/>
              <w:t>in certain circumstances, fails to comply with applicable certification requirements.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backup withholding rate is currently 24%. Non-U.S. Holders may be required to establish their exemption from information reporting and backup withholding by certifying their status on IRS Form W-8BEN, W-8BEN-E, W-8ECI, W-8EXP or W-8IMY, as applicable.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Rather, a unitholder generally may obtain a credit for any amount withheld against its liability for U.S. federal income tax (and obtain a refund of any amounts withheld in excess of such liability) by timely filing a U.S. federal income tax return with the IRS.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GENERAL SUMMARY SET FORTH ABOVE IS INCLUDED FOR GENERAL INFORMATION PURPOSES ONLY AND DOES NOT DISCUSS ALL ASPECTS OF U.S. FEDERAL INCOME TAXATION THAT MAY BE RELEVANT TO PARTICULAR COMMON UNITHOLDERS IN LIGHT OF THEIR PARTICULAR CIRCUMSTANCES AND INCOME TAX SITUATIONS. ALL COMMON UNITHOLDERS ARE URGED TO CONSULT THEIR TAX ADVISORS TO DETERMINE THE PARTICULAR TAX CONSEQUENCES OF THE MERGER APPLICABLE TO THEM, INCLUDING THE EFFECT OF ANY U.S. FEDERAL, STATE, LOCAL, OR NON-U.S. TAX LAWS.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120</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NON-UNITED STATES TAX CONSIDERATIONS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Marshall Islands Tax Considerations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applicable only to persons who are not citizens of, and do not reside in, maintain offices in or carry on business or conduct transactions or operations in the Republic of the Marshall Islands.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and our subsidiaries do not, and we and our subsidiaries will not, maintain offices or carry on business or conduct transactions or operations in the Republic of the Marshall Islands, and because all documentation related to this offering has been and will be executed outside of the Republic of the Marshall Islands, under current Marshall Islands law unitholders that are not citizens of, and do not reside in, maintain offices in or carry on business or conduct transactions or operations in the Republic of the Marshall Islands, will not be subject to Marshall Islands stamp, capital gains or other taxes on the disposition of our Common Units pursuant to the Merger and receipt of the Special Distribution.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the responsibility of each Common Unitholder to investigate the legal and tax consequences, under the laws of pertinent jurisdictions, including the Marshall Islands, of the disposition of our Common Units pursuant to the Merger and receipt of the Special Distribution. Accordingly, each Common Unitholder is urged to consult its tax counsel or other advisor with regard to those matters. Further, it is the responsibility of each Common Unitholder to file any Marshall Islands tax returns that may be required of such Common Unitholder.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121</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CONCERNING PARENT, THE GENERAL PARTNER AND MERGER SUB</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is an international owner, operator and manager of LNG carriers providing support to international energy companies as part of their LNG logistics chain. Parent’s consolidated fleet consists of 38 LNG carriers (33 on the water, four under construction and one vessel undergoing conversion into an FSRU). Of these vessels, 18 are owned by Parent, six have been sold and leased back by Parent under long-term bareboat charters and of the remaining 14 LNG carriers, eleven are owned by the Partnership, and three have been sold and leased back by the Partnership.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Partner is the general partner of the Partnership and holds the General Partner Units. The General Partner is wholly owned by Parent. Under the Partnership Agreement, the General Partner has irrevocably delegated to the Partnership Board all management powers over the business and affairs of the Partnership that it possesses or may possess under applicable law, including the authority to oversee and direct the operation, management and policies of the Partnership on an exclusive basis.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formed Merger Sub on April 4, 2023, and is its sole member. Merger Sub is a direct wholly owned subsidiary of Parent formed for the sole purpose of effecting the Merger. Merger Sub has not carried out any activities to date, except for activities incidental to its formation and activities undertaken in connection with the transactions contemplated by the Merger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address and telephone number of each of Parent and the General Partner is c/o GasLog LNG Services Ltd., 69 Akti Miaouli 18537, Piraeus, Greece and +30 210 459 1000. The business address and telephone number of Merger Sub is c/o GasLog LNG Services Ltd., 69 Akti Miaouli 18537, Piraeus, Greece and +30 210 459 1000.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operation of the Merger, Merger Sub will be merged with and into the Partnership, with the Partnership surviving the Merger as a direct subsidiary of Parent. The General Partner will remain the sole general partner of the Partnership.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past five years, none of the entities described above have been (a) convicted in a criminal proceeding (excluding traffic violations and similar misdemeanors) or (b) party to any judicial or administrative proceeding (except for matters that were dismissed without sanction or settlement) that resulted in a judgment, decree or final order enjoining the entity from future violations of, or prohibiting activities subject to, federal or state securities laws, or a finding of any violation of federal or state securities laws.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and Executive Officers of Parent, the General Partner and Merger Sub</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and material occupations, positions, offices or employment during the past five years of the each of Parent’s, the General Partner’s and Merger Sub’s directors and executive officers are set forth below. During the past five years, none of such entities’ directors or executive officers have been (a) convicted in a criminal proceeding (excluding traffic violations and similar misdemeanors) or (b) party to any judicial or administrative proceeding (except for matters that were dismissed without sanction or settlement) that resulted in a judgment, decree or final order enjoining such person from future violations of, or prohibiting activities subject to, federal or state securities laws, or a finding of any violation of federal or state securities laws. Unless otherwise indicated, the address for each of the entities’ listed directors and executive officers is c/o GasLog LNG Services Ltd., 69 Akti Miaouli, 18537 Piraeus, Greece, and the phone number for each of the entities’ listed directors and executive officers is +30 210 459 1000.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28" w:type="dxa"/>
          <w:left w:w="115" w:type="dxa"/>
          <w:bottom w:w="28" w:type="dxa"/>
          <w:right w:w="115" w:type="dxa"/>
        </w:tblCellMar>
      </w:tblPr>
      <w:tblGrid>
        <w:gridCol w:w="941"/>
        <w:gridCol w:w="1403"/>
        <w:gridCol w:w="1110"/>
        <w:gridCol w:w="2163"/>
        <w:gridCol w:w="2355"/>
        <w:gridCol w:w="2233"/>
      </w:tblGrid>
      <w:tr>
        <w:trPr/>
        <w:tc>
          <w:tcPr>
            <w:tcW w:w="941"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jc w:val="center"/>
              <w:rPr>
                <w:b/>
              </w:rPr>
            </w:pPr>
            <w:r>
              <w:rPr>
                <w:b/>
              </w:rPr>
              <w:t>Director /</w:t>
              <w:br/>
            </w:r>
            <w:r>
              <w:rPr>
                <w:rFonts w:ascii="Times New Roman;Times;Serif" w:hAnsi="Times New Roman;Times;Serif"/>
                <w:b/>
                <w:sz w:val="20"/>
              </w:rPr>
              <w:t>Officer</w:t>
            </w:r>
          </w:p>
        </w:tc>
        <w:tc>
          <w:tcPr>
            <w:tcW w:w="1403"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Address of</w:t>
              <w:br/>
              <w:t xml:space="preserve">Principal </w:t>
              <w:br/>
              <w:t>Office /</w:t>
              <w:br/>
              <w:t>Business</w:t>
            </w:r>
          </w:p>
        </w:tc>
        <w:tc>
          <w:tcPr>
            <w:tcW w:w="1110"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Country of</w:t>
              <w:br/>
              <w:t>Citizenship</w:t>
            </w:r>
          </w:p>
        </w:tc>
        <w:tc>
          <w:tcPr>
            <w:tcW w:w="2163"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Name /</w:t>
              <w:br/>
              <w:t xml:space="preserve">Address of </w:t>
              <w:br/>
              <w:t xml:space="preserve">Principal </w:t>
              <w:br/>
              <w:t xml:space="preserve">Employer </w:t>
              <w:br/>
              <w:t xml:space="preserve">and </w:t>
              <w:br/>
              <w:t>Occupation</w:t>
            </w:r>
          </w:p>
        </w:tc>
        <w:tc>
          <w:tcPr>
            <w:tcW w:w="2355"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Principal</w:t>
              <w:br/>
              <w:t>Business of</w:t>
              <w:br/>
              <w:t>Employer</w:t>
            </w:r>
          </w:p>
        </w:tc>
        <w:tc>
          <w:tcPr>
            <w:tcW w:w="2233"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Material Occupations or</w:t>
              <w:br/>
              <w:t>Positions During Past Five</w:t>
              <w:br/>
              <w:t>Years</w:t>
            </w:r>
          </w:p>
        </w:tc>
      </w:tr>
      <w:tr>
        <w:trPr/>
        <w:tc>
          <w:tcPr>
            <w:tcW w:w="10205" w:type="dxa"/>
            <w:gridSpan w:val="6"/>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i/>
                <w:sz w:val="20"/>
              </w:rPr>
            </w:pPr>
            <w:r>
              <w:rPr>
                <w:rFonts w:ascii="Times New Roman;Times;Serif" w:hAnsi="Times New Roman;Times;Serif"/>
                <w:i/>
                <w:sz w:val="20"/>
              </w:rPr>
              <w:t>Directors</w:t>
            </w:r>
          </w:p>
        </w:tc>
      </w:tr>
      <w:tr>
        <w:trPr/>
        <w:tc>
          <w:tcPr>
            <w:tcW w:w="941"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Peter G. Livanos</w:t>
            </w:r>
          </w:p>
        </w:tc>
        <w:tc>
          <w:tcPr>
            <w:tcW w:w="1403"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c/o Ceres Monaco SAM Gildo Pastor Centre, 7, rue du Gabian, 98000 Monaco</w:t>
            </w:r>
          </w:p>
        </w:tc>
        <w:tc>
          <w:tcPr>
            <w:tcW w:w="111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Greece and United Kingdom</w:t>
            </w:r>
          </w:p>
        </w:tc>
        <w:tc>
          <w:tcPr>
            <w:tcW w:w="2163"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GasLog Ltd., </w:t>
            </w:r>
            <w:r>
              <w:rPr>
                <w:rFonts w:ascii="Times New Roman;Times;Serif" w:hAnsi="Times New Roman;Times;Serif"/>
                <w:i/>
                <w:sz w:val="20"/>
              </w:rPr>
              <w:t>Chairman and Director</w:t>
            </w:r>
          </w:p>
        </w:tc>
        <w:tc>
          <w:tcPr>
            <w:tcW w:w="235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International owner, operator and manager of LNG carriers</w:t>
            </w:r>
          </w:p>
        </w:tc>
        <w:tc>
          <w:tcPr>
            <w:tcW w:w="2233"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GasLog Ltd., </w:t>
            </w:r>
            <w:r>
              <w:rPr>
                <w:rFonts w:ascii="Times New Roman;Times;Serif" w:hAnsi="Times New Roman;Times;Serif"/>
                <w:b w:val="false"/>
                <w:i/>
                <w:caps w:val="false"/>
                <w:smallCaps w:val="false"/>
                <w:sz w:val="20"/>
              </w:rPr>
              <w:t xml:space="preserve">Chairman and Director </w:t>
            </w:r>
            <w:r>
              <w:rPr>
                <w:rFonts w:ascii="Times New Roman;Times;Serif" w:hAnsi="Times New Roman;Times;Serif"/>
                <w:b w:val="false"/>
                <w:i w:val="false"/>
                <w:caps w:val="false"/>
                <w:smallCaps w:val="false"/>
                <w:sz w:val="20"/>
              </w:rPr>
              <w:t>(2003 - current)</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GasLog Partners LP, </w:t>
            </w:r>
            <w:r>
              <w:rPr>
                <w:rFonts w:ascii="Times New Roman;Times;Serif" w:hAnsi="Times New Roman;Times;Serif"/>
                <w:b w:val="false"/>
                <w:i/>
                <w:caps w:val="false"/>
                <w:smallCaps w:val="false"/>
                <w:sz w:val="20"/>
              </w:rPr>
              <w:t>Director</w:t>
            </w:r>
            <w:r>
              <w:rPr>
                <w:rFonts w:ascii="Times New Roman;Times;Serif" w:hAnsi="Times New Roman;Times;Serif"/>
                <w:b w:val="false"/>
                <w:i w:val="false"/>
                <w:caps w:val="false"/>
                <w:smallCaps w:val="false"/>
                <w:sz w:val="20"/>
              </w:rPr>
              <w:t xml:space="preserve"> (2014 - 2020)</w:t>
            </w:r>
          </w:p>
        </w:tc>
      </w:tr>
      <w:tr>
        <w:trPr/>
        <w:tc>
          <w:tcPr>
            <w:tcW w:w="941"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pPr>
            <w:r>
              <w:rPr/>
              <w:t> </w:t>
            </w:r>
          </w:p>
        </w:tc>
        <w:tc>
          <w:tcPr>
            <w:tcW w:w="1403"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111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2163"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Ceres Shipping Ltd., </w:t>
            </w:r>
            <w:r>
              <w:rPr>
                <w:rFonts w:ascii="Times New Roman;Times;Serif" w:hAnsi="Times New Roman;Times;Serif"/>
                <w:i/>
                <w:sz w:val="20"/>
              </w:rPr>
              <w:t>Chairman, Chief Executive Officer</w:t>
            </w:r>
            <w:r>
              <w:rPr>
                <w:rFonts w:ascii="Times New Roman;Times;Serif" w:hAnsi="Times New Roman;Times;Serif"/>
                <w:sz w:val="20"/>
              </w:rPr>
              <w:t xml:space="preserve"> and </w:t>
            </w:r>
            <w:r>
              <w:rPr>
                <w:rFonts w:ascii="Times New Roman;Times;Serif" w:hAnsi="Times New Roman;Times;Serif"/>
                <w:i/>
                <w:sz w:val="20"/>
              </w:rPr>
              <w:t>sole shareholder</w:t>
            </w:r>
            <w:r>
              <w:rPr>
                <w:rFonts w:ascii="Times New Roman;Times;Serif" w:hAnsi="Times New Roman;Times;Serif"/>
                <w:sz w:val="20"/>
              </w:rPr>
              <w:t>, Clarendon House 2 Church Street, HM11 Hamilton, Bermuda</w:t>
            </w:r>
          </w:p>
        </w:tc>
        <w:tc>
          <w:tcPr>
            <w:tcW w:w="235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Holding Company that has interests in international operators, owners and managers of LNG carriers and Dry Bulk carriers</w:t>
            </w:r>
          </w:p>
        </w:tc>
        <w:tc>
          <w:tcPr>
            <w:tcW w:w="2233"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Ceres Shipping Ltd., </w:t>
            </w:r>
            <w:r>
              <w:rPr>
                <w:rFonts w:ascii="Times New Roman;Times;Serif" w:hAnsi="Times New Roman;Times;Serif"/>
                <w:b w:val="false"/>
                <w:i/>
                <w:caps w:val="false"/>
                <w:smallCaps w:val="false"/>
                <w:sz w:val="20"/>
              </w:rPr>
              <w:t>Chairman</w:t>
            </w:r>
            <w:r>
              <w:rPr>
                <w:rFonts w:ascii="Times New Roman;Times;Serif" w:hAnsi="Times New Roman;Times;Serif"/>
                <w:b w:val="false"/>
                <w:i w:val="false"/>
                <w:caps w:val="false"/>
                <w:smallCaps w:val="false"/>
                <w:sz w:val="20"/>
              </w:rPr>
              <w:t xml:space="preserve"> (2010 - current)</w:t>
            </w:r>
            <w:r>
              <w:rPr>
                <w:rFonts w:ascii="Times New Roman;Times;Serif" w:hAnsi="Times New Roman;Times;Serif"/>
                <w:b w:val="false"/>
                <w:i/>
                <w:caps w:val="false"/>
                <w:smallCaps w:val="false"/>
                <w:sz w:val="20"/>
              </w:rPr>
              <w:t>, Chief Executive Officer</w:t>
            </w:r>
            <w:r>
              <w:rPr>
                <w:rFonts w:ascii="Times New Roman;Times;Serif" w:hAnsi="Times New Roman;Times;Serif"/>
                <w:b w:val="false"/>
                <w:i w:val="false"/>
                <w:caps w:val="false"/>
                <w:smallCaps w:val="false"/>
                <w:sz w:val="20"/>
              </w:rPr>
              <w:t xml:space="preserve"> (2017 - current) and </w:t>
            </w:r>
            <w:r>
              <w:rPr>
                <w:rFonts w:ascii="Times New Roman;Times;Serif" w:hAnsi="Times New Roman;Times;Serif"/>
                <w:b w:val="false"/>
                <w:i/>
                <w:caps w:val="false"/>
                <w:smallCaps w:val="false"/>
                <w:sz w:val="20"/>
              </w:rPr>
              <w:t>sole shareholder</w:t>
            </w:r>
            <w:r>
              <w:rPr>
                <w:rFonts w:ascii="Times New Roman;Times;Serif" w:hAnsi="Times New Roman;Times;Serif"/>
                <w:b w:val="false"/>
                <w:i w:val="false"/>
                <w:caps w:val="false"/>
                <w:smallCaps w:val="false"/>
                <w:sz w:val="20"/>
              </w:rPr>
              <w:t xml:space="preserve"> (2001 - current)</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caps w:val="false"/>
                <w:smallCaps w:val="false"/>
              </w:rPr>
            </w:pPr>
            <w:r>
              <w:rPr>
                <w:caps w:val="false"/>
                <w:smallCaps w:val="false"/>
              </w:rPr>
              <w:t> </w:t>
            </w:r>
          </w:p>
        </w:tc>
      </w:tr>
      <w:tr>
        <w:trPr/>
        <w:tc>
          <w:tcPr>
            <w:tcW w:w="941"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Julian Metherell</w:t>
            </w:r>
          </w:p>
        </w:tc>
        <w:tc>
          <w:tcPr>
            <w:tcW w:w="1403"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81 Kings Road, London, SW3 4NX, United Kingdom</w:t>
            </w:r>
          </w:p>
        </w:tc>
        <w:tc>
          <w:tcPr>
            <w:tcW w:w="111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United Kingdom</w:t>
            </w:r>
          </w:p>
        </w:tc>
        <w:tc>
          <w:tcPr>
            <w:tcW w:w="2163"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GasLog Ltd., </w:t>
            </w:r>
            <w:r>
              <w:rPr>
                <w:rFonts w:ascii="Times New Roman;Times;Serif" w:hAnsi="Times New Roman;Times;Serif"/>
                <w:i/>
                <w:sz w:val="20"/>
              </w:rPr>
              <w:t>Vice Chairman</w:t>
            </w:r>
          </w:p>
        </w:tc>
        <w:tc>
          <w:tcPr>
            <w:tcW w:w="235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See above</w:t>
            </w:r>
          </w:p>
        </w:tc>
        <w:tc>
          <w:tcPr>
            <w:tcW w:w="2233"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GasLog Ltd., </w:t>
            </w:r>
            <w:r>
              <w:rPr>
                <w:rFonts w:ascii="Times New Roman;Times;Serif" w:hAnsi="Times New Roman;Times;Serif"/>
                <w:i/>
                <w:sz w:val="20"/>
              </w:rPr>
              <w:t>Vice-Chairman and Director</w:t>
            </w:r>
            <w:r>
              <w:rPr>
                <w:rFonts w:ascii="Times New Roman;Times;Serif" w:hAnsi="Times New Roman;Times;Serif"/>
                <w:sz w:val="20"/>
              </w:rPr>
              <w:t xml:space="preserve"> (2011 - current)</w:t>
            </w:r>
          </w:p>
        </w:tc>
      </w:tr>
      <w:tr>
        <w:trPr/>
        <w:tc>
          <w:tcPr>
            <w:tcW w:w="941"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pPr>
            <w:r>
              <w:rPr/>
              <w:t> </w:t>
            </w:r>
          </w:p>
        </w:tc>
        <w:tc>
          <w:tcPr>
            <w:tcW w:w="1403"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111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2163"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MW&amp;L Capital, 81 Kings Road, London, SW3 4NX, United Kingdom</w:t>
            </w:r>
          </w:p>
        </w:tc>
        <w:tc>
          <w:tcPr>
            <w:tcW w:w="235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Investment</w:t>
            </w:r>
          </w:p>
        </w:tc>
        <w:tc>
          <w:tcPr>
            <w:tcW w:w="2233"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MW&amp;L Capital, </w:t>
            </w:r>
            <w:r>
              <w:rPr>
                <w:rFonts w:ascii="Times New Roman;Times;Serif" w:hAnsi="Times New Roman;Times;Serif"/>
                <w:i/>
                <w:sz w:val="20"/>
              </w:rPr>
              <w:t>Director</w:t>
            </w:r>
            <w:r>
              <w:rPr>
                <w:rFonts w:ascii="Times New Roman;Times;Serif" w:hAnsi="Times New Roman;Times;Serif"/>
                <w:sz w:val="20"/>
              </w:rPr>
              <w:t xml:space="preserve"> (2017 - current)</w:t>
            </w:r>
          </w:p>
        </w:tc>
      </w:tr>
      <w:tr>
        <w:trPr/>
        <w:tc>
          <w:tcPr>
            <w:tcW w:w="941"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pPr>
            <w:r>
              <w:rPr/>
              <w:t> </w:t>
            </w:r>
          </w:p>
        </w:tc>
        <w:tc>
          <w:tcPr>
            <w:tcW w:w="1403"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111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2163"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GasLog Partners LP, </w:t>
            </w:r>
            <w:r>
              <w:rPr>
                <w:rFonts w:ascii="Times New Roman;Times;Serif" w:hAnsi="Times New Roman;Times;Serif"/>
                <w:i/>
                <w:sz w:val="20"/>
              </w:rPr>
              <w:t>Director</w:t>
            </w:r>
          </w:p>
        </w:tc>
        <w:tc>
          <w:tcPr>
            <w:tcW w:w="235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Owner, operator and acquirer of LNG carriers</w:t>
            </w:r>
          </w:p>
        </w:tc>
        <w:tc>
          <w:tcPr>
            <w:tcW w:w="2233"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GasLog Partners LP, </w:t>
            </w:r>
            <w:r>
              <w:rPr>
                <w:rFonts w:ascii="Times New Roman;Times;Serif" w:hAnsi="Times New Roman;Times;Serif"/>
                <w:i/>
                <w:sz w:val="20"/>
              </w:rPr>
              <w:t>Director</w:t>
            </w:r>
            <w:r>
              <w:rPr>
                <w:rFonts w:ascii="Times New Roman;Times;Serif" w:hAnsi="Times New Roman;Times;Serif"/>
                <w:sz w:val="20"/>
              </w:rPr>
              <w:t xml:space="preserve"> (2020 - current)</w:t>
            </w:r>
          </w:p>
        </w:tc>
      </w:tr>
      <w:tr>
        <w:trPr/>
        <w:tc>
          <w:tcPr>
            <w:tcW w:w="941"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pPr>
            <w:r>
              <w:rPr/>
              <w:t> </w:t>
            </w:r>
          </w:p>
        </w:tc>
        <w:tc>
          <w:tcPr>
            <w:tcW w:w="1403"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111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2163"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Well-Safe Solutions Limited, </w:t>
            </w:r>
            <w:r>
              <w:rPr>
                <w:rFonts w:ascii="Times New Roman;Times;Serif" w:hAnsi="Times New Roman;Times;Serif"/>
                <w:i/>
                <w:sz w:val="20"/>
              </w:rPr>
              <w:t>Director,</w:t>
            </w:r>
            <w:r>
              <w:rPr>
                <w:rFonts w:ascii="Times New Roman;Times;Serif" w:hAnsi="Times New Roman;Times;Serif"/>
                <w:sz w:val="20"/>
              </w:rPr>
              <w:t xml:space="preserve"> 28 Albyn Place, Aberdeen, United Kingdom, AB10 1YL</w:t>
            </w:r>
          </w:p>
        </w:tc>
        <w:tc>
          <w:tcPr>
            <w:tcW w:w="235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Oil and gas well decommissioning</w:t>
            </w:r>
          </w:p>
        </w:tc>
        <w:tc>
          <w:tcPr>
            <w:tcW w:w="2233"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Wellsafe Solutions, </w:t>
            </w:r>
            <w:r>
              <w:rPr>
                <w:rFonts w:ascii="Times New Roman;Times;Serif" w:hAnsi="Times New Roman;Times;Serif"/>
                <w:i/>
                <w:sz w:val="20"/>
              </w:rPr>
              <w:t>Director</w:t>
            </w:r>
            <w:r>
              <w:rPr>
                <w:rFonts w:ascii="Times New Roman;Times;Serif" w:hAnsi="Times New Roman;Times;Serif"/>
                <w:sz w:val="20"/>
              </w:rPr>
              <w:t xml:space="preserve"> (2019 - current)</w:t>
            </w:r>
          </w:p>
        </w:tc>
      </w:tr>
      <w:tr>
        <w:trPr/>
        <w:tc>
          <w:tcPr>
            <w:tcW w:w="941"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pPr>
            <w:r>
              <w:rPr/>
              <w:t> </w:t>
            </w:r>
          </w:p>
        </w:tc>
        <w:tc>
          <w:tcPr>
            <w:tcW w:w="1403"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111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2163"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Natural Capital Research Limited , </w:t>
            </w:r>
            <w:r>
              <w:rPr>
                <w:rFonts w:ascii="Times New Roman;Times;Serif" w:hAnsi="Times New Roman;Times;Serif"/>
                <w:b w:val="false"/>
                <w:i/>
                <w:caps w:val="false"/>
                <w:smallCaps w:val="false"/>
                <w:sz w:val="20"/>
              </w:rPr>
              <w:t>Director</w:t>
            </w:r>
            <w:r>
              <w:rPr>
                <w:rFonts w:ascii="Times New Roman;Times;Serif" w:hAnsi="Times New Roman;Times;Serif"/>
                <w:b w:val="false"/>
                <w:i w:val="false"/>
                <w:caps w:val="false"/>
                <w:smallCaps w:val="false"/>
                <w:sz w:val="20"/>
              </w:rPr>
              <w:t>, 24 Greville Street, London, United Kingdom, EC1N 8SS </w:t>
            </w:r>
          </w:p>
        </w:tc>
        <w:tc>
          <w:tcPr>
            <w:tcW w:w="235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Data analytics</w:t>
            </w:r>
          </w:p>
        </w:tc>
        <w:tc>
          <w:tcPr>
            <w:tcW w:w="2233"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Natural Capital Research Limited, </w:t>
            </w:r>
            <w:r>
              <w:rPr>
                <w:rFonts w:ascii="Times New Roman;Times;Serif" w:hAnsi="Times New Roman;Times;Serif"/>
                <w:i/>
                <w:sz w:val="20"/>
              </w:rPr>
              <w:t>Director</w:t>
            </w:r>
            <w:r>
              <w:rPr>
                <w:rFonts w:ascii="Times New Roman;Times;Serif" w:hAnsi="Times New Roman;Times;Serif"/>
                <w:sz w:val="20"/>
              </w:rPr>
              <w:t xml:space="preserve"> (2021 - current) </w:t>
            </w:r>
          </w:p>
        </w:tc>
      </w:tr>
      <w:tr>
        <w:trPr/>
        <w:tc>
          <w:tcPr>
            <w:tcW w:w="941"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pPr>
            <w:r>
              <w:rPr/>
              <w:t> </w:t>
            </w:r>
          </w:p>
        </w:tc>
        <w:tc>
          <w:tcPr>
            <w:tcW w:w="1403"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111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2163"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Chair Mentors International Limited, </w:t>
            </w:r>
            <w:r>
              <w:rPr>
                <w:rFonts w:ascii="Times New Roman;Times;Serif" w:hAnsi="Times New Roman;Times;Serif"/>
                <w:i/>
                <w:sz w:val="20"/>
              </w:rPr>
              <w:t>Director</w:t>
            </w:r>
            <w:r>
              <w:rPr>
                <w:rFonts w:ascii="Times New Roman;Times;Serif" w:hAnsi="Times New Roman;Times;Serif"/>
                <w:sz w:val="20"/>
              </w:rPr>
              <w:t>, 81 Kings Road, London, England, SW3 4NX</w:t>
            </w:r>
          </w:p>
        </w:tc>
        <w:tc>
          <w:tcPr>
            <w:tcW w:w="235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Provision of corporate executive mentoring to Executives and Board members </w:t>
            </w:r>
          </w:p>
        </w:tc>
        <w:tc>
          <w:tcPr>
            <w:tcW w:w="2233"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Chair Mentors International Limited, </w:t>
            </w:r>
            <w:r>
              <w:rPr>
                <w:rFonts w:ascii="Times New Roman;Times;Serif" w:hAnsi="Times New Roman;Times;Serif"/>
                <w:i/>
                <w:sz w:val="20"/>
              </w:rPr>
              <w:t>Director</w:t>
            </w:r>
            <w:r>
              <w:rPr>
                <w:rFonts w:ascii="Times New Roman;Times;Serif" w:hAnsi="Times New Roman;Times;Serif"/>
                <w:sz w:val="20"/>
              </w:rPr>
              <w:t xml:space="preserve"> (2019 - current)</w:t>
            </w:r>
          </w:p>
        </w:tc>
      </w:tr>
    </w:tbl>
    <w:p>
      <w:pPr>
        <w:pStyle w:val="TextBody"/>
        <w:rPr/>
      </w:pPr>
      <w:r>
        <w:rPr/>
        <w:t> </w:t>
      </w:r>
    </w:p>
    <w:p>
      <w:pPr>
        <w:pStyle w:val="TextBody"/>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123</w:t>
      </w:r>
    </w:p>
    <w:p>
      <w:pPr>
        <w:pStyle w:val="TextBody"/>
        <w:spacing w:before="0" w:after="0"/>
        <w:ind w:left="0" w:right="0" w:hanging="0"/>
        <w:rPr/>
      </w:pPr>
      <w:r>
        <w:rPr/>
        <w:t> </w:t>
      </w:r>
    </w:p>
    <w:p>
      <w:pPr>
        <w:pStyle w:val="TextBody"/>
        <w:rPr/>
      </w:pPr>
      <w:r>
        <w:rPr/>
        <w:t> </w:t>
      </w:r>
    </w:p>
    <w:tbl>
      <w:tblPr>
        <w:tblW w:w="10205" w:type="dxa"/>
        <w:jc w:val="left"/>
        <w:tblInd w:w="0" w:type="dxa"/>
        <w:tblCellMar>
          <w:top w:w="28" w:type="dxa"/>
          <w:left w:w="115" w:type="dxa"/>
          <w:bottom w:w="28" w:type="dxa"/>
          <w:right w:w="115" w:type="dxa"/>
        </w:tblCellMar>
      </w:tblPr>
      <w:tblGrid>
        <w:gridCol w:w="1365"/>
        <w:gridCol w:w="1433"/>
        <w:gridCol w:w="965"/>
        <w:gridCol w:w="2258"/>
        <w:gridCol w:w="1136"/>
        <w:gridCol w:w="3048"/>
      </w:tblGrid>
      <w:tr>
        <w:trPr/>
        <w:tc>
          <w:tcPr>
            <w:tcW w:w="1365"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jc w:val="center"/>
              <w:rPr>
                <w:b/>
              </w:rPr>
            </w:pPr>
            <w:r>
              <w:rPr>
                <w:b/>
              </w:rPr>
              <w:t>Director /</w:t>
              <w:br/>
            </w:r>
            <w:r>
              <w:rPr>
                <w:rFonts w:ascii="Times New Roman;Times;Serif" w:hAnsi="Times New Roman;Times;Serif"/>
                <w:b/>
                <w:sz w:val="20"/>
              </w:rPr>
              <w:t>Officer</w:t>
            </w:r>
          </w:p>
        </w:tc>
        <w:tc>
          <w:tcPr>
            <w:tcW w:w="1433"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Address of</w:t>
              <w:br/>
              <w:t xml:space="preserve">Principal </w:t>
              <w:br/>
              <w:t>Office /</w:t>
              <w:br/>
              <w:t>Business</w:t>
            </w:r>
          </w:p>
        </w:tc>
        <w:tc>
          <w:tcPr>
            <w:tcW w:w="965"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Country of</w:t>
              <w:br/>
              <w:t>Citizenship</w:t>
            </w:r>
          </w:p>
        </w:tc>
        <w:tc>
          <w:tcPr>
            <w:tcW w:w="2258"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Name /</w:t>
              <w:br/>
              <w:t xml:space="preserve">Address of </w:t>
              <w:br/>
              <w:t xml:space="preserve">Principal </w:t>
              <w:br/>
              <w:t xml:space="preserve">Employer </w:t>
              <w:br/>
              <w:t xml:space="preserve">and </w:t>
              <w:br/>
              <w:t>Occupation</w:t>
            </w:r>
          </w:p>
        </w:tc>
        <w:tc>
          <w:tcPr>
            <w:tcW w:w="1136"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Principal</w:t>
              <w:br/>
              <w:t>Business of</w:t>
              <w:br/>
              <w:t>Employer</w:t>
            </w:r>
          </w:p>
        </w:tc>
        <w:tc>
          <w:tcPr>
            <w:tcW w:w="3048"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Material Occupations or</w:t>
              <w:br/>
              <w:t>Positions During Past Five</w:t>
              <w:br/>
              <w:t>Years</w:t>
            </w:r>
          </w:p>
        </w:tc>
      </w:tr>
      <w:tr>
        <w:trPr/>
        <w:tc>
          <w:tcPr>
            <w:tcW w:w="1365"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Anthony S. Papadimitriou</w:t>
            </w:r>
          </w:p>
        </w:tc>
        <w:tc>
          <w:tcPr>
            <w:tcW w:w="1433"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367 Syngrou Av. Paleo Faliro 17564 Athens Greece</w:t>
            </w:r>
          </w:p>
        </w:tc>
        <w:tc>
          <w:tcPr>
            <w:tcW w:w="96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Greece</w:t>
            </w:r>
          </w:p>
        </w:tc>
        <w:tc>
          <w:tcPr>
            <w:tcW w:w="225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GasLog Ltd., </w:t>
            </w:r>
            <w:r>
              <w:rPr>
                <w:rFonts w:ascii="Times New Roman;Times;Serif" w:hAnsi="Times New Roman;Times;Serif"/>
                <w:i/>
                <w:sz w:val="20"/>
              </w:rPr>
              <w:t>Director</w:t>
            </w:r>
          </w:p>
        </w:tc>
        <w:tc>
          <w:tcPr>
            <w:tcW w:w="1136"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See above</w:t>
            </w:r>
          </w:p>
        </w:tc>
        <w:tc>
          <w:tcPr>
            <w:tcW w:w="304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GasLog Ltd., </w:t>
            </w:r>
            <w:r>
              <w:rPr>
                <w:rFonts w:ascii="Times New Roman;Times;Serif" w:hAnsi="Times New Roman;Times;Serif"/>
                <w:b w:val="false"/>
                <w:i/>
                <w:caps w:val="false"/>
                <w:smallCaps w:val="false"/>
                <w:sz w:val="20"/>
              </w:rPr>
              <w:t>Director</w:t>
            </w:r>
            <w:r>
              <w:rPr>
                <w:rFonts w:ascii="Times New Roman;Times;Serif" w:hAnsi="Times New Roman;Times;Serif"/>
                <w:b w:val="false"/>
                <w:i w:val="false"/>
                <w:caps w:val="false"/>
                <w:smallCaps w:val="false"/>
                <w:sz w:val="20"/>
              </w:rPr>
              <w:t xml:space="preserve"> (2011 - current)</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GasLog Partners LP, </w:t>
            </w:r>
            <w:r>
              <w:rPr>
                <w:rFonts w:ascii="Times New Roman;Times;Serif" w:hAnsi="Times New Roman;Times;Serif"/>
                <w:b w:val="false"/>
                <w:i/>
                <w:caps w:val="false"/>
                <w:smallCaps w:val="false"/>
                <w:sz w:val="20"/>
              </w:rPr>
              <w:t>Director</w:t>
            </w:r>
            <w:r>
              <w:rPr>
                <w:rFonts w:ascii="Times New Roman;Times;Serif" w:hAnsi="Times New Roman;Times;Serif"/>
                <w:b w:val="false"/>
                <w:i w:val="false"/>
                <w:caps w:val="false"/>
                <w:smallCaps w:val="false"/>
                <w:sz w:val="20"/>
              </w:rPr>
              <w:t xml:space="preserve"> (2015 - 2019)</w:t>
            </w:r>
          </w:p>
        </w:tc>
      </w:tr>
      <w:tr>
        <w:trPr/>
        <w:tc>
          <w:tcPr>
            <w:tcW w:w="1365"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pPr>
            <w:r>
              <w:rPr/>
              <w:t> </w:t>
            </w:r>
          </w:p>
        </w:tc>
        <w:tc>
          <w:tcPr>
            <w:tcW w:w="1433"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96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225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Alexander S. Onassis Foundation, </w:t>
            </w:r>
            <w:r>
              <w:rPr>
                <w:rFonts w:ascii="Times New Roman;Times;Serif" w:hAnsi="Times New Roman;Times;Serif"/>
                <w:b w:val="false"/>
                <w:i/>
                <w:caps w:val="false"/>
                <w:smallCaps w:val="false"/>
                <w:sz w:val="20"/>
              </w:rPr>
              <w:t>President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Treasurer and Board Member</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Heiligkreuz 2, Vaduz, FL 9490, Liechtenstein</w:t>
            </w:r>
          </w:p>
        </w:tc>
        <w:tc>
          <w:tcPr>
            <w:tcW w:w="1136"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Public benefit foundation</w:t>
            </w:r>
          </w:p>
        </w:tc>
        <w:tc>
          <w:tcPr>
            <w:tcW w:w="304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Alexander S. Onassis Foundation, </w:t>
            </w:r>
            <w:r>
              <w:rPr>
                <w:rFonts w:ascii="Times New Roman;Times;Serif" w:hAnsi="Times New Roman;Times;Serif"/>
                <w:i/>
                <w:sz w:val="20"/>
              </w:rPr>
              <w:t>President</w:t>
            </w:r>
            <w:r>
              <w:rPr>
                <w:rFonts w:ascii="Times New Roman;Times;Serif" w:hAnsi="Times New Roman;Times;Serif"/>
                <w:sz w:val="20"/>
              </w:rPr>
              <w:t xml:space="preserve"> and </w:t>
            </w:r>
            <w:r>
              <w:rPr>
                <w:rFonts w:ascii="Times New Roman;Times;Serif" w:hAnsi="Times New Roman;Times;Serif"/>
                <w:i/>
                <w:sz w:val="20"/>
              </w:rPr>
              <w:t>Treasurer</w:t>
            </w:r>
            <w:r>
              <w:rPr>
                <w:rFonts w:ascii="Times New Roman;Times;Serif" w:hAnsi="Times New Roman;Times;Serif"/>
                <w:sz w:val="20"/>
              </w:rPr>
              <w:t xml:space="preserve"> (2005 - current), and </w:t>
            </w:r>
            <w:r>
              <w:rPr>
                <w:rFonts w:ascii="Times New Roman;Times;Serif" w:hAnsi="Times New Roman;Times;Serif"/>
                <w:i/>
                <w:sz w:val="20"/>
              </w:rPr>
              <w:t>Board Member</w:t>
            </w:r>
            <w:r>
              <w:rPr>
                <w:rFonts w:ascii="Times New Roman;Times;Serif" w:hAnsi="Times New Roman;Times;Serif"/>
                <w:sz w:val="20"/>
              </w:rPr>
              <w:t xml:space="preserve"> (1988-current)</w:t>
            </w:r>
          </w:p>
        </w:tc>
      </w:tr>
      <w:tr>
        <w:trPr/>
        <w:tc>
          <w:tcPr>
            <w:tcW w:w="1365"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pPr>
            <w:r>
              <w:rPr/>
              <w:t> </w:t>
            </w:r>
          </w:p>
        </w:tc>
        <w:tc>
          <w:tcPr>
            <w:tcW w:w="1433"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96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225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ASOFIN Management S.A., </w:t>
            </w:r>
            <w:r>
              <w:rPr>
                <w:rFonts w:ascii="Times New Roman;Times;Serif" w:hAnsi="Times New Roman;Times;Serif"/>
                <w:i/>
                <w:sz w:val="20"/>
              </w:rPr>
              <w:t>Director</w:t>
            </w:r>
            <w:r>
              <w:rPr>
                <w:rFonts w:ascii="Times New Roman;Times;Serif" w:hAnsi="Times New Roman;Times;Serif"/>
                <w:sz w:val="20"/>
              </w:rPr>
              <w:t>, 8 Zephyrou Str. Paleo Faliro 17564 Athens Greece</w:t>
            </w:r>
          </w:p>
        </w:tc>
        <w:tc>
          <w:tcPr>
            <w:tcW w:w="1136"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Shipping</w:t>
            </w:r>
          </w:p>
        </w:tc>
        <w:tc>
          <w:tcPr>
            <w:tcW w:w="3048" w:type="dxa"/>
            <w:tcBorders>
              <w:bottom w:val="single" w:sz="8" w:space="0" w:color="000000"/>
              <w:right w:val="single" w:sz="8" w:space="0" w:color="000000"/>
            </w:tcBorders>
            <w:shd w:fill="auto" w:val="clear"/>
            <w:tcMar>
              <w:top w:w="0" w:type="dxa"/>
              <w:left w:w="0" w:type="dxa"/>
            </w:tcMar>
            <w:vAlign w:val="center"/>
          </w:tcPr>
          <w:p>
            <w:pPr>
              <w:pStyle w:val="TableContents"/>
              <w:rPr>
                <w:rFonts w:ascii="Times New Roman;Times;Serif" w:hAnsi="Times New Roman;Times;Serif"/>
                <w:sz w:val="20"/>
              </w:rPr>
            </w:pPr>
            <w:r>
              <w:rPr>
                <w:rFonts w:ascii="Times New Roman;Times;Serif" w:hAnsi="Times New Roman;Times;Serif"/>
                <w:sz w:val="20"/>
              </w:rPr>
              <w:t xml:space="preserve">ASOFIN Management S.A., </w:t>
            </w:r>
            <w:r>
              <w:rPr>
                <w:rFonts w:ascii="Times New Roman;Times;Serif" w:hAnsi="Times New Roman;Times;Serif"/>
                <w:i/>
                <w:sz w:val="20"/>
              </w:rPr>
              <w:t xml:space="preserve">Director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(2005 - current)</w:t>
            </w:r>
          </w:p>
        </w:tc>
      </w:tr>
      <w:tr>
        <w:trPr/>
        <w:tc>
          <w:tcPr>
            <w:tcW w:w="1365"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pPr>
            <w:r>
              <w:rPr/>
              <w:t> </w:t>
            </w:r>
          </w:p>
        </w:tc>
        <w:tc>
          <w:tcPr>
            <w:tcW w:w="1433"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96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225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Papadimitriou and Partners Law Firm, </w:t>
            </w:r>
            <w:r>
              <w:rPr>
                <w:rFonts w:ascii="Times New Roman;Times;Serif" w:hAnsi="Times New Roman;Times;Serif"/>
                <w:b w:val="false"/>
                <w:i/>
                <w:caps w:val="false"/>
                <w:smallCaps w:val="false"/>
                <w:sz w:val="20"/>
              </w:rPr>
              <w:t>Founding Partner</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Leof. Andrea Siggrou 367, Paleo Faliro 175 64</w:t>
            </w:r>
          </w:p>
        </w:tc>
        <w:tc>
          <w:tcPr>
            <w:tcW w:w="1136"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r>
              <w:rPr>
                <w:rFonts w:ascii="Times New Roman;Times;Serif" w:hAnsi="Times New Roman;Times;Serif"/>
                <w:sz w:val="20"/>
              </w:rPr>
              <w:t>Law firm</w:t>
            </w:r>
          </w:p>
        </w:tc>
        <w:tc>
          <w:tcPr>
            <w:tcW w:w="304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A.S. Papadimitriou and Partners Law Firm, </w:t>
            </w:r>
            <w:r>
              <w:rPr>
                <w:rFonts w:ascii="Times New Roman;Times;Serif" w:hAnsi="Times New Roman;Times;Serif"/>
                <w:i/>
                <w:sz w:val="20"/>
              </w:rPr>
              <w:t>Founding Partner</w:t>
            </w:r>
            <w:r>
              <w:rPr>
                <w:rFonts w:ascii="Times New Roman;Times;Serif" w:hAnsi="Times New Roman;Times;Serif"/>
                <w:sz w:val="20"/>
              </w:rPr>
              <w:t xml:space="preserve"> (1990 - current); </w:t>
            </w:r>
            <w:r>
              <w:rPr>
                <w:rFonts w:ascii="Times New Roman;Times;Serif" w:hAnsi="Times New Roman;Times;Serif"/>
                <w:i/>
                <w:sz w:val="20"/>
              </w:rPr>
              <w:t>Managing Partner</w:t>
            </w:r>
            <w:r>
              <w:rPr>
                <w:rFonts w:ascii="Times New Roman;Times;Serif" w:hAnsi="Times New Roman;Times;Serif"/>
                <w:sz w:val="20"/>
              </w:rPr>
              <w:t xml:space="preserve"> (1990 - 2018), Domboli 14, 11636 Athens</w:t>
            </w:r>
          </w:p>
        </w:tc>
      </w:tr>
    </w:tbl>
    <w:p>
      <w:pPr>
        <w:pStyle w:val="TextBody"/>
        <w:rPr/>
      </w:pPr>
      <w:r>
        <w:rPr/>
        <w:t> </w:t>
      </w:r>
    </w:p>
    <w:p>
      <w:pPr>
        <w:pStyle w:val="TextBody"/>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124</w:t>
      </w:r>
    </w:p>
    <w:p>
      <w:pPr>
        <w:pStyle w:val="TextBody"/>
        <w:spacing w:before="0" w:after="0"/>
        <w:ind w:left="0" w:right="0" w:hanging="0"/>
        <w:rPr/>
      </w:pPr>
      <w:r>
        <w:rPr/>
        <w:t> </w:t>
      </w:r>
    </w:p>
    <w:p>
      <w:pPr>
        <w:pStyle w:val="TextBody"/>
        <w:rPr/>
      </w:pPr>
      <w:r>
        <w:rPr/>
        <w:t> </w:t>
      </w:r>
    </w:p>
    <w:tbl>
      <w:tblPr>
        <w:tblW w:w="10205" w:type="dxa"/>
        <w:jc w:val="left"/>
        <w:tblInd w:w="0" w:type="dxa"/>
        <w:tblCellMar>
          <w:top w:w="28" w:type="dxa"/>
          <w:left w:w="115" w:type="dxa"/>
          <w:bottom w:w="28" w:type="dxa"/>
          <w:right w:w="115" w:type="dxa"/>
        </w:tblCellMar>
      </w:tblPr>
      <w:tblGrid>
        <w:gridCol w:w="1014"/>
        <w:gridCol w:w="2157"/>
        <w:gridCol w:w="965"/>
        <w:gridCol w:w="2546"/>
        <w:gridCol w:w="1285"/>
        <w:gridCol w:w="2238"/>
      </w:tblGrid>
      <w:tr>
        <w:trPr/>
        <w:tc>
          <w:tcPr>
            <w:tcW w:w="1014"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jc w:val="center"/>
              <w:rPr>
                <w:b/>
              </w:rPr>
            </w:pPr>
            <w:r>
              <w:rPr>
                <w:b/>
              </w:rPr>
              <w:t>Director /</w:t>
              <w:br/>
            </w:r>
            <w:r>
              <w:rPr>
                <w:rFonts w:ascii="Times New Roman;Times;Serif" w:hAnsi="Times New Roman;Times;Serif"/>
                <w:b/>
                <w:sz w:val="20"/>
              </w:rPr>
              <w:t>Officer</w:t>
            </w:r>
          </w:p>
        </w:tc>
        <w:tc>
          <w:tcPr>
            <w:tcW w:w="2157"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Address of</w:t>
              <w:br/>
              <w:t xml:space="preserve">Principal </w:t>
              <w:br/>
              <w:t>Office /</w:t>
              <w:br/>
              <w:t>Business</w:t>
            </w:r>
          </w:p>
        </w:tc>
        <w:tc>
          <w:tcPr>
            <w:tcW w:w="965"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Country of</w:t>
              <w:br/>
              <w:t>Citizenship</w:t>
            </w:r>
          </w:p>
        </w:tc>
        <w:tc>
          <w:tcPr>
            <w:tcW w:w="2546"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Name /</w:t>
              <w:br/>
              <w:t xml:space="preserve">Address of </w:t>
              <w:br/>
              <w:t xml:space="preserve">Principal </w:t>
              <w:br/>
              <w:t xml:space="preserve">Employer </w:t>
              <w:br/>
              <w:t xml:space="preserve">and </w:t>
              <w:br/>
              <w:t>Occupation</w:t>
            </w:r>
          </w:p>
        </w:tc>
        <w:tc>
          <w:tcPr>
            <w:tcW w:w="1285"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Principal</w:t>
              <w:br/>
              <w:t>Business of</w:t>
              <w:br/>
              <w:t>Employer</w:t>
            </w:r>
          </w:p>
        </w:tc>
        <w:tc>
          <w:tcPr>
            <w:tcW w:w="2238"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Material Occupations or</w:t>
              <w:br/>
              <w:t>Positions During Past Five</w:t>
              <w:br/>
              <w:t>Years</w:t>
            </w:r>
          </w:p>
        </w:tc>
      </w:tr>
      <w:tr>
        <w:trPr/>
        <w:tc>
          <w:tcPr>
            <w:tcW w:w="1014"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James Berner</w:t>
            </w:r>
          </w:p>
        </w:tc>
        <w:tc>
          <w:tcPr>
            <w:tcW w:w="2157"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BlackRock, 1 Lafayette Place, 3rd Floor, Greenwich, CT 06830, USA</w:t>
            </w:r>
          </w:p>
        </w:tc>
        <w:tc>
          <w:tcPr>
            <w:tcW w:w="96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U.S.</w:t>
            </w:r>
          </w:p>
        </w:tc>
        <w:tc>
          <w:tcPr>
            <w:tcW w:w="2546"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GasLog Ltd., </w:t>
            </w:r>
            <w:r>
              <w:rPr>
                <w:rFonts w:ascii="Times New Roman;Times;Serif" w:hAnsi="Times New Roman;Times;Serif"/>
                <w:i/>
                <w:sz w:val="20"/>
              </w:rPr>
              <w:t>Director</w:t>
            </w:r>
          </w:p>
        </w:tc>
        <w:tc>
          <w:tcPr>
            <w:tcW w:w="128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See above</w:t>
            </w:r>
          </w:p>
        </w:tc>
        <w:tc>
          <w:tcPr>
            <w:tcW w:w="223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GasLog Ltd., </w:t>
            </w:r>
            <w:r>
              <w:rPr>
                <w:rFonts w:ascii="Times New Roman;Times;Serif" w:hAnsi="Times New Roman;Times;Serif"/>
                <w:i/>
                <w:sz w:val="20"/>
              </w:rPr>
              <w:t>Director</w:t>
            </w:r>
            <w:r>
              <w:rPr>
                <w:rFonts w:ascii="Times New Roman;Times;Serif" w:hAnsi="Times New Roman;Times;Serif"/>
                <w:sz w:val="20"/>
              </w:rPr>
              <w:t xml:space="preserve"> (2021 - current)</w:t>
            </w:r>
          </w:p>
        </w:tc>
      </w:tr>
      <w:tr>
        <w:trPr/>
        <w:tc>
          <w:tcPr>
            <w:tcW w:w="1014"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pPr>
            <w:r>
              <w:rPr/>
              <w:t> </w:t>
            </w:r>
          </w:p>
        </w:tc>
        <w:tc>
          <w:tcPr>
            <w:tcW w:w="2157"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96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2546"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Blackrock, Inc., </w:t>
            </w:r>
            <w:r>
              <w:rPr>
                <w:rFonts w:ascii="Times New Roman;Times;Serif" w:hAnsi="Times New Roman;Times;Serif"/>
                <w:i/>
                <w:sz w:val="20"/>
              </w:rPr>
              <w:t>Senior Investment Professional</w:t>
            </w:r>
            <w:r>
              <w:rPr>
                <w:rFonts w:ascii="Times New Roman;Times;Serif" w:hAnsi="Times New Roman;Times;Serif"/>
                <w:sz w:val="20"/>
              </w:rPr>
              <w:t>, 50 Hudson Yards, New York, NY 10001</w:t>
            </w:r>
          </w:p>
        </w:tc>
        <w:tc>
          <w:tcPr>
            <w:tcW w:w="128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Investment Management</w:t>
            </w:r>
          </w:p>
        </w:tc>
        <w:tc>
          <w:tcPr>
            <w:tcW w:w="223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Blackrock, Inc., </w:t>
            </w:r>
            <w:r>
              <w:rPr>
                <w:rFonts w:ascii="Times New Roman;Times;Serif" w:hAnsi="Times New Roman;Times;Serif"/>
                <w:b w:val="false"/>
                <w:i/>
                <w:caps w:val="false"/>
                <w:smallCaps w:val="false"/>
                <w:sz w:val="20"/>
              </w:rPr>
              <w:t>Senior Investment Professional</w:t>
            </w:r>
            <w:r>
              <w:rPr>
                <w:rFonts w:ascii="Times New Roman;Times;Serif" w:hAnsi="Times New Roman;Times;Serif"/>
                <w:b w:val="false"/>
                <w:i w:val="false"/>
                <w:caps w:val="false"/>
                <w:smallCaps w:val="false"/>
                <w:sz w:val="20"/>
              </w:rPr>
              <w:t xml:space="preserve"> (2017 - current)</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First Reserve Energy Infrastructure, </w:t>
            </w:r>
            <w:r>
              <w:rPr>
                <w:rFonts w:ascii="Times New Roman;Times;Serif" w:hAnsi="Times New Roman;Times;Serif"/>
                <w:b w:val="false"/>
                <w:i/>
                <w:caps w:val="false"/>
                <w:smallCaps w:val="false"/>
                <w:sz w:val="20"/>
              </w:rPr>
              <w:t>Managing Director</w:t>
            </w:r>
            <w:r>
              <w:rPr>
                <w:rFonts w:ascii="Times New Roman;Times;Serif" w:hAnsi="Times New Roman;Times;Serif"/>
                <w:b w:val="false"/>
                <w:i w:val="false"/>
                <w:caps w:val="false"/>
                <w:smallCaps w:val="false"/>
                <w:sz w:val="20"/>
              </w:rPr>
              <w:t xml:space="preserve"> (2011 - 2017)</w:t>
            </w:r>
          </w:p>
        </w:tc>
      </w:tr>
      <w:tr>
        <w:trPr/>
        <w:tc>
          <w:tcPr>
            <w:tcW w:w="1014"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Christian Synetos</w:t>
            </w:r>
          </w:p>
        </w:tc>
        <w:tc>
          <w:tcPr>
            <w:tcW w:w="2157"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BlackRock Drapers Gardens, 12 Throgmorton Avenue, London EC2N 2DL</w:t>
            </w:r>
          </w:p>
        </w:tc>
        <w:tc>
          <w:tcPr>
            <w:tcW w:w="96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Germany</w:t>
            </w:r>
          </w:p>
        </w:tc>
        <w:tc>
          <w:tcPr>
            <w:tcW w:w="2546"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GasLog Ltd., </w:t>
            </w:r>
            <w:r>
              <w:rPr>
                <w:rFonts w:ascii="Times New Roman;Times;Serif" w:hAnsi="Times New Roman;Times;Serif"/>
                <w:i/>
                <w:sz w:val="20"/>
              </w:rPr>
              <w:t>Director</w:t>
            </w:r>
          </w:p>
        </w:tc>
        <w:tc>
          <w:tcPr>
            <w:tcW w:w="128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See above</w:t>
            </w:r>
          </w:p>
        </w:tc>
        <w:tc>
          <w:tcPr>
            <w:tcW w:w="223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GasLog Ltd., </w:t>
            </w:r>
            <w:r>
              <w:rPr>
                <w:rFonts w:ascii="Times New Roman;Times;Serif" w:hAnsi="Times New Roman;Times;Serif"/>
                <w:i/>
                <w:sz w:val="20"/>
              </w:rPr>
              <w:t>Director</w:t>
            </w:r>
            <w:r>
              <w:rPr>
                <w:rFonts w:ascii="Times New Roman;Times;Serif" w:hAnsi="Times New Roman;Times;Serif"/>
                <w:sz w:val="20"/>
              </w:rPr>
              <w:t xml:space="preserve"> (2023 - current)</w:t>
            </w:r>
          </w:p>
        </w:tc>
      </w:tr>
      <w:tr>
        <w:trPr/>
        <w:tc>
          <w:tcPr>
            <w:tcW w:w="1014"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pPr>
            <w:r>
              <w:rPr/>
              <w:t> </w:t>
            </w:r>
          </w:p>
        </w:tc>
        <w:tc>
          <w:tcPr>
            <w:tcW w:w="2157"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96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2546"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Blackrock, Inc., </w:t>
            </w:r>
            <w:r>
              <w:rPr>
                <w:rFonts w:ascii="Times New Roman;Times;Serif" w:hAnsi="Times New Roman;Times;Serif"/>
                <w:i/>
                <w:sz w:val="20"/>
              </w:rPr>
              <w:t>Senior Investment Professional</w:t>
            </w:r>
            <w:r>
              <w:rPr>
                <w:rFonts w:ascii="Times New Roman;Times;Serif" w:hAnsi="Times New Roman;Times;Serif"/>
                <w:sz w:val="20"/>
              </w:rPr>
              <w:t>, 50 Hudson Yards, New York, NY 10001</w:t>
            </w:r>
          </w:p>
        </w:tc>
        <w:tc>
          <w:tcPr>
            <w:tcW w:w="128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Investment Management</w:t>
            </w:r>
          </w:p>
        </w:tc>
        <w:tc>
          <w:tcPr>
            <w:tcW w:w="223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Blackrock, Inc., </w:t>
            </w:r>
            <w:r>
              <w:rPr>
                <w:rFonts w:ascii="Times New Roman;Times;Serif" w:hAnsi="Times New Roman;Times;Serif"/>
                <w:i/>
                <w:sz w:val="20"/>
              </w:rPr>
              <w:t>Senior Investment Professional</w:t>
            </w:r>
            <w:r>
              <w:rPr>
                <w:rFonts w:ascii="Times New Roman;Times;Serif" w:hAnsi="Times New Roman;Times;Serif"/>
                <w:sz w:val="20"/>
              </w:rPr>
              <w:t xml:space="preserve"> (2012 - current)</w:t>
            </w:r>
          </w:p>
        </w:tc>
      </w:tr>
    </w:tbl>
    <w:p>
      <w:pPr>
        <w:pStyle w:val="TextBody"/>
        <w:rPr/>
      </w:pPr>
      <w:r>
        <w:rPr/>
        <w:t> </w:t>
      </w:r>
    </w:p>
    <w:p>
      <w:pPr>
        <w:pStyle w:val="TextBody"/>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125</w:t>
      </w:r>
    </w:p>
    <w:p>
      <w:pPr>
        <w:pStyle w:val="TextBody"/>
        <w:spacing w:before="0" w:after="0"/>
        <w:ind w:left="0" w:right="0" w:hanging="0"/>
        <w:rPr/>
      </w:pPr>
      <w:r>
        <w:rPr/>
        <w:t> </w:t>
      </w:r>
    </w:p>
    <w:p>
      <w:pPr>
        <w:pStyle w:val="TextBody"/>
        <w:rPr/>
      </w:pPr>
      <w:r>
        <w:rPr/>
        <w:t> </w:t>
      </w:r>
    </w:p>
    <w:tbl>
      <w:tblPr>
        <w:tblW w:w="10205" w:type="dxa"/>
        <w:jc w:val="left"/>
        <w:tblInd w:w="0" w:type="dxa"/>
        <w:tblCellMar>
          <w:top w:w="28" w:type="dxa"/>
          <w:left w:w="115" w:type="dxa"/>
          <w:bottom w:w="28" w:type="dxa"/>
          <w:right w:w="115" w:type="dxa"/>
        </w:tblCellMar>
      </w:tblPr>
      <w:tblGrid>
        <w:gridCol w:w="1006"/>
        <w:gridCol w:w="1190"/>
        <w:gridCol w:w="965"/>
        <w:gridCol w:w="2551"/>
        <w:gridCol w:w="2105"/>
        <w:gridCol w:w="2388"/>
      </w:tblGrid>
      <w:tr>
        <w:trPr/>
        <w:tc>
          <w:tcPr>
            <w:tcW w:w="1006"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jc w:val="center"/>
              <w:rPr>
                <w:b/>
              </w:rPr>
            </w:pPr>
            <w:r>
              <w:rPr>
                <w:b/>
              </w:rPr>
              <w:t>Director /</w:t>
              <w:br/>
            </w:r>
            <w:r>
              <w:rPr>
                <w:rFonts w:ascii="Times New Roman;Times;Serif" w:hAnsi="Times New Roman;Times;Serif"/>
                <w:b/>
                <w:sz w:val="20"/>
              </w:rPr>
              <w:t>Officer</w:t>
            </w:r>
          </w:p>
        </w:tc>
        <w:tc>
          <w:tcPr>
            <w:tcW w:w="1190"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Address of</w:t>
              <w:br/>
              <w:t xml:space="preserve">Principal </w:t>
              <w:br/>
              <w:t>Office /</w:t>
              <w:br/>
              <w:t>Business</w:t>
            </w:r>
          </w:p>
        </w:tc>
        <w:tc>
          <w:tcPr>
            <w:tcW w:w="965"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Country of</w:t>
              <w:br/>
              <w:t>Citizenship</w:t>
            </w:r>
          </w:p>
        </w:tc>
        <w:tc>
          <w:tcPr>
            <w:tcW w:w="2551"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Name /</w:t>
              <w:br/>
              <w:t xml:space="preserve">Address of </w:t>
              <w:br/>
              <w:t xml:space="preserve">Principal </w:t>
              <w:br/>
              <w:t xml:space="preserve">Employer </w:t>
              <w:br/>
              <w:t xml:space="preserve">and </w:t>
              <w:br/>
              <w:t>Occupation</w:t>
            </w:r>
          </w:p>
        </w:tc>
        <w:tc>
          <w:tcPr>
            <w:tcW w:w="2105"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Principal</w:t>
              <w:br/>
              <w:t>Business of</w:t>
              <w:br/>
              <w:t>Employer</w:t>
            </w:r>
          </w:p>
        </w:tc>
        <w:tc>
          <w:tcPr>
            <w:tcW w:w="2388"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Material Occupations or</w:t>
              <w:br/>
              <w:t>Positions During Past Five</w:t>
              <w:br/>
              <w:t>Years</w:t>
            </w:r>
          </w:p>
        </w:tc>
      </w:tr>
      <w:tr>
        <w:trPr/>
        <w:tc>
          <w:tcPr>
            <w:tcW w:w="10205" w:type="dxa"/>
            <w:gridSpan w:val="6"/>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i/>
                <w:sz w:val="20"/>
              </w:rPr>
            </w:pPr>
            <w:r>
              <w:rPr>
                <w:rFonts w:ascii="Times New Roman;Times;Serif" w:hAnsi="Times New Roman;Times;Serif"/>
                <w:i/>
                <w:sz w:val="20"/>
              </w:rPr>
              <w:t>Executive Officers</w:t>
            </w:r>
          </w:p>
        </w:tc>
      </w:tr>
      <w:tr>
        <w:trPr/>
        <w:tc>
          <w:tcPr>
            <w:tcW w:w="1006"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Paolo Enoizi</w:t>
            </w:r>
          </w:p>
        </w:tc>
        <w:tc>
          <w:tcPr>
            <w:tcW w:w="119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c/o GasLog LNG Services Ltd.,</w:t>
              <w:br/>
              <w:t>69 Akti Miaouli 18537 Piraeus, Greece</w:t>
            </w:r>
          </w:p>
        </w:tc>
        <w:tc>
          <w:tcPr>
            <w:tcW w:w="96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Italy</w:t>
            </w:r>
          </w:p>
        </w:tc>
        <w:tc>
          <w:tcPr>
            <w:tcW w:w="2551"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GasLog Ltd., </w:t>
            </w:r>
            <w:r>
              <w:rPr>
                <w:rFonts w:ascii="Times New Roman;Times;Serif" w:hAnsi="Times New Roman;Times;Serif"/>
                <w:i/>
                <w:sz w:val="20"/>
              </w:rPr>
              <w:t>Chief Executive Officer</w:t>
            </w:r>
            <w:r>
              <w:rPr>
                <w:rFonts w:ascii="Times New Roman;Times;Serif" w:hAnsi="Times New Roman;Times;Serif"/>
                <w:sz w:val="20"/>
              </w:rPr>
              <w:t>, c/o GasLog LNG Services Ltd., 69 Akti Miaouli 18537 Piraeus, Greece</w:t>
            </w:r>
          </w:p>
        </w:tc>
        <w:tc>
          <w:tcPr>
            <w:tcW w:w="210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See above</w:t>
            </w:r>
          </w:p>
        </w:tc>
        <w:tc>
          <w:tcPr>
            <w:tcW w:w="23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GasLog Ltd., </w:t>
            </w:r>
            <w:r>
              <w:rPr>
                <w:rFonts w:ascii="Times New Roman;Times;Serif" w:hAnsi="Times New Roman;Times;Serif"/>
                <w:i/>
                <w:sz w:val="20"/>
              </w:rPr>
              <w:t>Chief Executive Officer</w:t>
            </w:r>
            <w:r>
              <w:rPr>
                <w:rFonts w:ascii="Times New Roman;Times;Serif" w:hAnsi="Times New Roman;Times;Serif"/>
                <w:sz w:val="20"/>
              </w:rPr>
              <w:t xml:space="preserve"> (2022-current); </w:t>
            </w:r>
            <w:r>
              <w:rPr>
                <w:rFonts w:ascii="Times New Roman;Times;Serif" w:hAnsi="Times New Roman;Times;Serif"/>
                <w:i/>
                <w:sz w:val="20"/>
              </w:rPr>
              <w:t>Chief Operating Officer</w:t>
            </w:r>
            <w:r>
              <w:rPr>
                <w:rFonts w:ascii="Times New Roman;Times;Serif" w:hAnsi="Times New Roman;Times;Serif"/>
                <w:sz w:val="20"/>
              </w:rPr>
              <w:t xml:space="preserve"> (2019 - 2022)</w:t>
            </w:r>
          </w:p>
        </w:tc>
      </w:tr>
      <w:tr>
        <w:trPr/>
        <w:tc>
          <w:tcPr>
            <w:tcW w:w="1006"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pPr>
            <w:r>
              <w:rPr/>
              <w:t> </w:t>
            </w:r>
          </w:p>
        </w:tc>
        <w:tc>
          <w:tcPr>
            <w:tcW w:w="119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96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2551"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HiLo Maritime Risk Management Limited, </w:t>
            </w:r>
            <w:r>
              <w:rPr>
                <w:rFonts w:ascii="Times New Roman;Times;Serif" w:hAnsi="Times New Roman;Times;Serif"/>
                <w:i/>
                <w:sz w:val="20"/>
              </w:rPr>
              <w:t>Director</w:t>
            </w:r>
            <w:r>
              <w:rPr>
                <w:rFonts w:ascii="Times New Roman;Times;Serif" w:hAnsi="Times New Roman;Times;Serif"/>
                <w:sz w:val="20"/>
              </w:rPr>
              <w:t>, Thanet House Business Centre, 231-232 Strand, London, U.K. WC2R 1DA</w:t>
            </w:r>
          </w:p>
        </w:tc>
        <w:tc>
          <w:tcPr>
            <w:tcW w:w="210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Joint industry non-profit initiative to enhance shipping industry safety</w:t>
            </w:r>
          </w:p>
        </w:tc>
        <w:tc>
          <w:tcPr>
            <w:tcW w:w="23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HiLo Maritime Risk Management Limited, </w:t>
            </w:r>
            <w:r>
              <w:rPr>
                <w:rFonts w:ascii="Times New Roman;Times;Serif" w:hAnsi="Times New Roman;Times;Serif"/>
                <w:i/>
                <w:sz w:val="20"/>
              </w:rPr>
              <w:t xml:space="preserve">Director </w:t>
            </w:r>
            <w:r>
              <w:rPr>
                <w:rFonts w:ascii="Times New Roman;Times;Serif" w:hAnsi="Times New Roman;Times;Serif"/>
                <w:sz w:val="20"/>
              </w:rPr>
              <w:t>(2020 - current)</w:t>
            </w:r>
          </w:p>
        </w:tc>
      </w:tr>
      <w:tr>
        <w:trPr/>
        <w:tc>
          <w:tcPr>
            <w:tcW w:w="1006"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pPr>
            <w:r>
              <w:rPr/>
              <w:t> </w:t>
            </w:r>
          </w:p>
        </w:tc>
        <w:tc>
          <w:tcPr>
            <w:tcW w:w="119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96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2551"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Gastrade, </w:t>
            </w:r>
            <w:r>
              <w:rPr>
                <w:rFonts w:ascii="Times New Roman;Times;Serif" w:hAnsi="Times New Roman;Times;Serif"/>
                <w:b w:val="false"/>
                <w:i/>
                <w:caps w:val="false"/>
                <w:smallCaps w:val="false"/>
                <w:sz w:val="20"/>
              </w:rPr>
              <w:t>Director</w:t>
            </w:r>
            <w:r>
              <w:rPr>
                <w:rFonts w:ascii="Times New Roman;Times;Serif" w:hAnsi="Times New Roman;Times;Serif"/>
                <w:b w:val="false"/>
                <w:i w:val="false"/>
                <w:caps w:val="false"/>
                <w:smallCaps w:val="false"/>
                <w:sz w:val="20"/>
              </w:rPr>
              <w:t>, Leof. Kifisias 197, Marousi 151 24</w:t>
            </w:r>
          </w:p>
        </w:tc>
        <w:tc>
          <w:tcPr>
            <w:tcW w:w="210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Development, operation and management of natural gas systems</w:t>
            </w:r>
          </w:p>
        </w:tc>
        <w:tc>
          <w:tcPr>
            <w:tcW w:w="23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xml:space="preserve">Gastrade, </w:t>
            </w:r>
            <w:r>
              <w:rPr>
                <w:i/>
              </w:rPr>
              <w:t xml:space="preserve">Director </w:t>
            </w:r>
            <w:r>
              <w:rPr/>
              <w:t>(2020- current)</w:t>
            </w:r>
          </w:p>
        </w:tc>
      </w:tr>
      <w:tr>
        <w:trPr/>
        <w:tc>
          <w:tcPr>
            <w:tcW w:w="1006"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pPr>
            <w:r>
              <w:rPr/>
              <w:t> </w:t>
            </w:r>
          </w:p>
        </w:tc>
        <w:tc>
          <w:tcPr>
            <w:tcW w:w="119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96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2551"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Saturn Merger Sub LLC, </w:t>
            </w:r>
            <w:r>
              <w:rPr>
                <w:rFonts w:ascii="Times New Roman;Times;Serif" w:hAnsi="Times New Roman;Times;Serif"/>
                <w:i/>
                <w:sz w:val="20"/>
              </w:rPr>
              <w:t>Chief Executive Officer</w:t>
            </w:r>
          </w:p>
        </w:tc>
        <w:tc>
          <w:tcPr>
            <w:tcW w:w="210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Merger subsidiary</w:t>
            </w:r>
          </w:p>
        </w:tc>
        <w:tc>
          <w:tcPr>
            <w:tcW w:w="23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Saturn Merger Sub LLC, </w:t>
            </w:r>
            <w:r>
              <w:rPr>
                <w:rFonts w:ascii="Times New Roman;Times;Serif" w:hAnsi="Times New Roman;Times;Serif"/>
                <w:i/>
                <w:sz w:val="20"/>
              </w:rPr>
              <w:t>Chief Executive Officer</w:t>
            </w:r>
            <w:r>
              <w:rPr>
                <w:rFonts w:ascii="Times New Roman;Times;Serif" w:hAnsi="Times New Roman;Times;Serif"/>
                <w:sz w:val="20"/>
              </w:rPr>
              <w:t xml:space="preserve"> (2023 - current)</w:t>
            </w:r>
          </w:p>
        </w:tc>
      </w:tr>
      <w:tr>
        <w:trPr/>
        <w:tc>
          <w:tcPr>
            <w:tcW w:w="1006"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pPr>
            <w:r>
              <w:rPr/>
              <w:t> </w:t>
            </w:r>
          </w:p>
        </w:tc>
        <w:tc>
          <w:tcPr>
            <w:tcW w:w="119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96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2551"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GasLog Partners LP, </w:t>
            </w:r>
            <w:r>
              <w:rPr>
                <w:rFonts w:ascii="Times New Roman;Times;Serif" w:hAnsi="Times New Roman;Times;Serif"/>
                <w:i/>
                <w:sz w:val="20"/>
              </w:rPr>
              <w:t>Chief Executive Officer</w:t>
            </w:r>
            <w:r>
              <w:rPr>
                <w:rFonts w:ascii="Times New Roman;Times;Serif" w:hAnsi="Times New Roman;Times;Serif"/>
                <w:sz w:val="20"/>
              </w:rPr>
              <w:t>, c/o GasLog LNG Services Ltd., 69 Akti Miaouli 18537 Piraeus, Greece</w:t>
            </w:r>
          </w:p>
        </w:tc>
        <w:tc>
          <w:tcPr>
            <w:tcW w:w="210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See above</w:t>
            </w:r>
          </w:p>
        </w:tc>
        <w:tc>
          <w:tcPr>
            <w:tcW w:w="23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GasLog Partners LP, </w:t>
            </w:r>
            <w:r>
              <w:rPr>
                <w:rFonts w:ascii="Times New Roman;Times;Serif" w:hAnsi="Times New Roman;Times;Serif"/>
                <w:b w:val="false"/>
                <w:i/>
                <w:caps w:val="false"/>
                <w:smallCaps w:val="false"/>
                <w:sz w:val="20"/>
              </w:rPr>
              <w:t xml:space="preserve">Director and Chief Executive Officer </w:t>
            </w:r>
            <w:r>
              <w:rPr>
                <w:rFonts w:ascii="Times New Roman;Times;Serif" w:hAnsi="Times New Roman;Times;Serif"/>
                <w:b w:val="false"/>
                <w:i w:val="false"/>
                <w:caps w:val="false"/>
                <w:smallCaps w:val="false"/>
                <w:sz w:val="20"/>
              </w:rPr>
              <w:t xml:space="preserve">(2021 - current); </w:t>
            </w:r>
            <w:r>
              <w:rPr>
                <w:rFonts w:ascii="Times New Roman;Times;Serif" w:hAnsi="Times New Roman;Times;Serif"/>
                <w:b w:val="false"/>
                <w:i/>
                <w:caps w:val="false"/>
                <w:smallCaps w:val="false"/>
                <w:sz w:val="20"/>
              </w:rPr>
              <w:t xml:space="preserve">Chief Operating Officer </w:t>
            </w:r>
            <w:r>
              <w:rPr>
                <w:rFonts w:ascii="Times New Roman;Times;Serif" w:hAnsi="Times New Roman;Times;Serif"/>
                <w:b w:val="false"/>
                <w:i w:val="false"/>
                <w:caps w:val="false"/>
                <w:smallCaps w:val="false"/>
                <w:sz w:val="20"/>
              </w:rPr>
              <w:t>(2019 - 2022)</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Stolt Tankers BV, </w:t>
            </w:r>
            <w:r>
              <w:rPr>
                <w:rFonts w:ascii="Times New Roman;Times;Serif" w:hAnsi="Times New Roman;Times;Serif"/>
                <w:b w:val="false"/>
                <w:i/>
                <w:caps w:val="false"/>
                <w:smallCaps w:val="false"/>
                <w:sz w:val="20"/>
              </w:rPr>
              <w:t>Managing Director</w:t>
            </w:r>
            <w:r>
              <w:rPr>
                <w:rFonts w:ascii="Times New Roman;Times;Serif" w:hAnsi="Times New Roman;Times;Serif"/>
                <w:b w:val="false"/>
                <w:i w:val="false"/>
                <w:caps w:val="false"/>
                <w:smallCaps w:val="false"/>
                <w:sz w:val="20"/>
              </w:rPr>
              <w:t xml:space="preserve"> (2015 - 2019)</w:t>
            </w:r>
          </w:p>
        </w:tc>
      </w:tr>
      <w:tr>
        <w:trPr/>
        <w:tc>
          <w:tcPr>
            <w:tcW w:w="1006"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Achilleas Tasioulas</w:t>
            </w:r>
          </w:p>
        </w:tc>
        <w:tc>
          <w:tcPr>
            <w:tcW w:w="119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c/o GasLog LNG Services Ltd.,</w:t>
              <w:br/>
              <w:t>69 Akti Miaouli 18537 Piraeus, Greece</w:t>
            </w:r>
          </w:p>
        </w:tc>
        <w:tc>
          <w:tcPr>
            <w:tcW w:w="96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Greece</w:t>
            </w:r>
          </w:p>
        </w:tc>
        <w:tc>
          <w:tcPr>
            <w:tcW w:w="2551"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GasLog Ltd., </w:t>
            </w:r>
            <w:r>
              <w:rPr>
                <w:rFonts w:ascii="Times New Roman;Times;Serif" w:hAnsi="Times New Roman;Times;Serif"/>
                <w:i/>
                <w:sz w:val="20"/>
              </w:rPr>
              <w:t>Chief Financial Officer</w:t>
            </w:r>
          </w:p>
        </w:tc>
        <w:tc>
          <w:tcPr>
            <w:tcW w:w="210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See above</w:t>
            </w:r>
          </w:p>
        </w:tc>
        <w:tc>
          <w:tcPr>
            <w:tcW w:w="23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GasLog Ltd.,</w:t>
              <w:br/>
            </w:r>
            <w:r>
              <w:rPr>
                <w:rFonts w:ascii="Times New Roman;Times;Serif" w:hAnsi="Times New Roman;Times;Serif"/>
                <w:i/>
                <w:sz w:val="20"/>
              </w:rPr>
              <w:t>Chief Financial Officer</w:t>
            </w:r>
            <w:r>
              <w:rPr>
                <w:rFonts w:ascii="Times New Roman;Times;Serif" w:hAnsi="Times New Roman;Times;Serif"/>
                <w:sz w:val="20"/>
              </w:rPr>
              <w:t xml:space="preserve"> (2020 - current); </w:t>
            </w:r>
            <w:r>
              <w:rPr>
                <w:rFonts w:ascii="Times New Roman;Times;Serif" w:hAnsi="Times New Roman;Times;Serif"/>
                <w:i/>
                <w:sz w:val="20"/>
              </w:rPr>
              <w:t>Deputy CFO</w:t>
            </w:r>
            <w:r>
              <w:rPr>
                <w:rFonts w:ascii="Times New Roman;Times;Serif" w:hAnsi="Times New Roman;Times;Serif"/>
                <w:sz w:val="20"/>
              </w:rPr>
              <w:t xml:space="preserve"> (2019 - 2020);</w:t>
              <w:br/>
            </w:r>
            <w:r>
              <w:rPr>
                <w:rFonts w:ascii="Times New Roman;Times;Serif" w:hAnsi="Times New Roman;Times;Serif"/>
                <w:i/>
                <w:sz w:val="20"/>
              </w:rPr>
              <w:t>Chief Risk Officer, Financial Controller</w:t>
            </w:r>
            <w:r>
              <w:rPr>
                <w:rFonts w:ascii="Times New Roman;Times;Serif" w:hAnsi="Times New Roman;Times;Serif"/>
                <w:sz w:val="20"/>
              </w:rPr>
              <w:t xml:space="preserve"> and </w:t>
            </w:r>
            <w:r>
              <w:rPr>
                <w:rFonts w:ascii="Times New Roman;Times;Serif" w:hAnsi="Times New Roman;Times;Serif"/>
                <w:i/>
                <w:sz w:val="20"/>
              </w:rPr>
              <w:t>Head of Tax</w:t>
            </w:r>
            <w:r>
              <w:rPr>
                <w:rFonts w:ascii="Times New Roman;Times;Serif" w:hAnsi="Times New Roman;Times;Serif"/>
                <w:sz w:val="20"/>
              </w:rPr>
              <w:t xml:space="preserve"> (2017 - 2019)</w:t>
            </w:r>
          </w:p>
        </w:tc>
      </w:tr>
      <w:tr>
        <w:trPr/>
        <w:tc>
          <w:tcPr>
            <w:tcW w:w="1006"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pPr>
            <w:r>
              <w:rPr/>
              <w:t> </w:t>
            </w:r>
          </w:p>
        </w:tc>
        <w:tc>
          <w:tcPr>
            <w:tcW w:w="119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96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2551"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Saturn Merger Sub LLC, </w:t>
            </w:r>
            <w:r>
              <w:rPr>
                <w:rFonts w:ascii="Times New Roman;Times;Serif" w:hAnsi="Times New Roman;Times;Serif"/>
                <w:i/>
                <w:sz w:val="20"/>
              </w:rPr>
              <w:t>Chief Financial Officer</w:t>
            </w:r>
          </w:p>
        </w:tc>
        <w:tc>
          <w:tcPr>
            <w:tcW w:w="210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See above</w:t>
            </w:r>
          </w:p>
        </w:tc>
        <w:tc>
          <w:tcPr>
            <w:tcW w:w="23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Saturn Merger Sub LLC,</w:t>
              <w:br/>
            </w:r>
            <w:r>
              <w:rPr>
                <w:rFonts w:ascii="Times New Roman;Times;Serif" w:hAnsi="Times New Roman;Times;Serif"/>
                <w:i/>
                <w:sz w:val="20"/>
              </w:rPr>
              <w:t>Chief Financial Officer</w:t>
            </w:r>
            <w:r>
              <w:rPr>
                <w:rFonts w:ascii="Times New Roman;Times;Serif" w:hAnsi="Times New Roman;Times;Serif"/>
                <w:sz w:val="20"/>
              </w:rPr>
              <w:t xml:space="preserve"> (2023 - current);</w:t>
            </w:r>
          </w:p>
        </w:tc>
      </w:tr>
      <w:tr>
        <w:trPr/>
        <w:tc>
          <w:tcPr>
            <w:tcW w:w="1006"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pPr>
            <w:r>
              <w:rPr/>
              <w:t> </w:t>
            </w:r>
          </w:p>
        </w:tc>
        <w:tc>
          <w:tcPr>
            <w:tcW w:w="119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96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2551"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GasLog Partners LP, </w:t>
            </w:r>
            <w:r>
              <w:rPr>
                <w:rFonts w:ascii="Times New Roman;Times;Serif" w:hAnsi="Times New Roman;Times;Serif"/>
                <w:i/>
                <w:sz w:val="20"/>
              </w:rPr>
              <w:t>Chief Financial Officer</w:t>
            </w:r>
            <w:r>
              <w:rPr>
                <w:rFonts w:ascii="Times New Roman;Times;Serif" w:hAnsi="Times New Roman;Times;Serif"/>
                <w:sz w:val="20"/>
              </w:rPr>
              <w:t>, c/o GasLog LNG Services Ltd., 69 Akti Miaouli 18537 Piraeus, Greece</w:t>
            </w:r>
          </w:p>
        </w:tc>
        <w:tc>
          <w:tcPr>
            <w:tcW w:w="210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See above</w:t>
            </w:r>
          </w:p>
        </w:tc>
        <w:tc>
          <w:tcPr>
            <w:tcW w:w="23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GasLog Partners LP, </w:t>
            </w:r>
            <w:r>
              <w:rPr>
                <w:rFonts w:ascii="Times New Roman;Times;Serif" w:hAnsi="Times New Roman;Times;Serif"/>
                <w:i/>
                <w:sz w:val="20"/>
              </w:rPr>
              <w:t>Chief Financial Officer</w:t>
            </w:r>
            <w:r>
              <w:rPr>
                <w:rFonts w:ascii="Times New Roman;Times;Serif" w:hAnsi="Times New Roman;Times;Serif"/>
                <w:sz w:val="20"/>
              </w:rPr>
              <w:t xml:space="preserve"> (2020 - current)</w:t>
            </w:r>
          </w:p>
        </w:tc>
      </w:tr>
      <w:tr>
        <w:trPr/>
        <w:tc>
          <w:tcPr>
            <w:tcW w:w="1006"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pPr>
            <w:r>
              <w:rPr/>
              <w:t> </w:t>
            </w:r>
          </w:p>
        </w:tc>
        <w:tc>
          <w:tcPr>
            <w:tcW w:w="119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96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2551"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xml:space="preserve">Gastrade, </w:t>
            </w:r>
            <w:r>
              <w:rPr>
                <w:i/>
              </w:rPr>
              <w:t>Director</w:t>
            </w:r>
            <w:r>
              <w:rPr/>
              <w:t>, Leof. Kifisias 197, Marousi 151 24</w:t>
            </w:r>
          </w:p>
        </w:tc>
        <w:tc>
          <w:tcPr>
            <w:tcW w:w="210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Development, operation and management of natural gas systems</w:t>
            </w:r>
          </w:p>
        </w:tc>
        <w:tc>
          <w:tcPr>
            <w:tcW w:w="23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xml:space="preserve">Gastrade, </w:t>
            </w:r>
            <w:r>
              <w:rPr>
                <w:i/>
              </w:rPr>
              <w:t xml:space="preserve">Director </w:t>
            </w:r>
            <w:r>
              <w:rPr/>
              <w:t>(2021 - current)</w:t>
            </w:r>
          </w:p>
        </w:tc>
      </w:tr>
    </w:tbl>
    <w:p>
      <w:pPr>
        <w:pStyle w:val="TextBody"/>
        <w:rPr/>
      </w:pPr>
      <w:r>
        <w:rPr/>
        <w:t> </w:t>
      </w:r>
    </w:p>
    <w:p>
      <w:pPr>
        <w:pStyle w:val="TextBody"/>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126</w:t>
      </w:r>
    </w:p>
    <w:p>
      <w:pPr>
        <w:pStyle w:val="TextBody"/>
        <w:spacing w:before="0" w:after="0"/>
        <w:ind w:left="0" w:right="0" w:hanging="0"/>
        <w:rPr/>
      </w:pPr>
      <w:r>
        <w:rPr/>
        <w:t> </w:t>
      </w:r>
    </w:p>
    <w:p>
      <w:pPr>
        <w:pStyle w:val="TextBody"/>
        <w:rPr/>
      </w:pPr>
      <w:r>
        <w:rPr/>
        <w:t> </w:t>
      </w:r>
    </w:p>
    <w:tbl>
      <w:tblPr>
        <w:tblW w:w="10205" w:type="dxa"/>
        <w:jc w:val="left"/>
        <w:tblInd w:w="0" w:type="dxa"/>
        <w:tblCellMar>
          <w:top w:w="28" w:type="dxa"/>
          <w:left w:w="115" w:type="dxa"/>
          <w:bottom w:w="28" w:type="dxa"/>
          <w:right w:w="115" w:type="dxa"/>
        </w:tblCellMar>
      </w:tblPr>
      <w:tblGrid>
        <w:gridCol w:w="1357"/>
        <w:gridCol w:w="1412"/>
        <w:gridCol w:w="965"/>
        <w:gridCol w:w="1664"/>
        <w:gridCol w:w="893"/>
        <w:gridCol w:w="3914"/>
      </w:tblGrid>
      <w:tr>
        <w:trPr/>
        <w:tc>
          <w:tcPr>
            <w:tcW w:w="1357"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jc w:val="center"/>
              <w:rPr>
                <w:b/>
              </w:rPr>
            </w:pPr>
            <w:r>
              <w:rPr>
                <w:b/>
              </w:rPr>
              <w:t>Director /</w:t>
              <w:br/>
            </w:r>
            <w:r>
              <w:rPr>
                <w:rFonts w:ascii="Times New Roman;Times;Serif" w:hAnsi="Times New Roman;Times;Serif"/>
                <w:b/>
                <w:sz w:val="20"/>
              </w:rPr>
              <w:t>Officer</w:t>
            </w:r>
          </w:p>
        </w:tc>
        <w:tc>
          <w:tcPr>
            <w:tcW w:w="1412"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Address of</w:t>
              <w:br/>
              <w:t xml:space="preserve">Principal </w:t>
              <w:br/>
              <w:t>Office /</w:t>
              <w:br/>
              <w:t>Business</w:t>
            </w:r>
          </w:p>
        </w:tc>
        <w:tc>
          <w:tcPr>
            <w:tcW w:w="965"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Country of</w:t>
              <w:br/>
              <w:t>Citizenship</w:t>
            </w:r>
          </w:p>
        </w:tc>
        <w:tc>
          <w:tcPr>
            <w:tcW w:w="1664"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Name /</w:t>
              <w:br/>
              <w:t xml:space="preserve">Address of </w:t>
              <w:br/>
              <w:t xml:space="preserve">Principal </w:t>
              <w:br/>
              <w:t xml:space="preserve">Employer </w:t>
              <w:br/>
              <w:t xml:space="preserve">and </w:t>
              <w:br/>
              <w:t>Occupation</w:t>
            </w:r>
          </w:p>
        </w:tc>
        <w:tc>
          <w:tcPr>
            <w:tcW w:w="893"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Principal</w:t>
              <w:br/>
              <w:t>Business of</w:t>
              <w:br/>
              <w:t>Employer</w:t>
            </w:r>
          </w:p>
        </w:tc>
        <w:tc>
          <w:tcPr>
            <w:tcW w:w="3914"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Material Occupations or</w:t>
              <w:br/>
              <w:t>Positions During Past Five</w:t>
              <w:br/>
              <w:t>Years</w:t>
            </w:r>
          </w:p>
        </w:tc>
      </w:tr>
      <w:tr>
        <w:trPr/>
        <w:tc>
          <w:tcPr>
            <w:tcW w:w="135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Konstantinos Karathanos</w:t>
            </w:r>
          </w:p>
        </w:tc>
        <w:tc>
          <w:tcPr>
            <w:tcW w:w="1412"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c/o GasLog LNG Services Ltd.,</w:t>
              <w:br/>
              <w:t>69 Akti Miaouli 18537 Piraeus, Greece</w:t>
            </w:r>
          </w:p>
        </w:tc>
        <w:tc>
          <w:tcPr>
            <w:tcW w:w="96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Greece</w:t>
            </w:r>
          </w:p>
        </w:tc>
        <w:tc>
          <w:tcPr>
            <w:tcW w:w="1664"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GasLog Ltd., </w:t>
            </w:r>
            <w:r>
              <w:rPr>
                <w:rFonts w:ascii="Times New Roman;Times;Serif" w:hAnsi="Times New Roman;Times;Serif"/>
                <w:i/>
                <w:sz w:val="20"/>
              </w:rPr>
              <w:t>Chief Operating Officer</w:t>
            </w:r>
          </w:p>
        </w:tc>
        <w:tc>
          <w:tcPr>
            <w:tcW w:w="893"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See above</w:t>
            </w:r>
          </w:p>
        </w:tc>
        <w:tc>
          <w:tcPr>
            <w:tcW w:w="3914"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GasLog Ltd., </w:t>
            </w:r>
            <w:r>
              <w:rPr>
                <w:rFonts w:ascii="Times New Roman;Times;Serif" w:hAnsi="Times New Roman;Times;Serif"/>
                <w:i/>
                <w:sz w:val="20"/>
              </w:rPr>
              <w:t>Chief Operating Officer</w:t>
            </w:r>
            <w:r>
              <w:rPr>
                <w:rFonts w:ascii="Times New Roman;Times;Serif" w:hAnsi="Times New Roman;Times;Serif"/>
                <w:sz w:val="20"/>
              </w:rPr>
              <w:t xml:space="preserve"> (2022 - current); </w:t>
            </w:r>
            <w:r>
              <w:rPr>
                <w:rFonts w:ascii="Times New Roman;Times;Serif" w:hAnsi="Times New Roman;Times;Serif"/>
                <w:i/>
                <w:sz w:val="20"/>
              </w:rPr>
              <w:t>Deputy COO</w:t>
            </w:r>
            <w:r>
              <w:rPr>
                <w:rFonts w:ascii="Times New Roman;Times;Serif" w:hAnsi="Times New Roman;Times;Serif"/>
                <w:sz w:val="20"/>
              </w:rPr>
              <w:t xml:space="preserve"> (2021 - 2022); </w:t>
            </w:r>
            <w:r>
              <w:rPr>
                <w:rFonts w:ascii="Times New Roman;Times;Serif" w:hAnsi="Times New Roman;Times;Serif"/>
                <w:i/>
                <w:sz w:val="20"/>
              </w:rPr>
              <w:t xml:space="preserve">General Manager Innovation and Technology </w:t>
            </w:r>
            <w:r>
              <w:rPr>
                <w:rFonts w:ascii="Times New Roman;Times;Serif" w:hAnsi="Times New Roman;Times;Serif"/>
                <w:sz w:val="20"/>
              </w:rPr>
              <w:t>(2019 - 2021)</w:t>
            </w:r>
          </w:p>
        </w:tc>
      </w:tr>
      <w:tr>
        <w:trPr/>
        <w:tc>
          <w:tcPr>
            <w:tcW w:w="135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pPr>
            <w:r>
              <w:rPr/>
              <w:t> </w:t>
            </w:r>
          </w:p>
        </w:tc>
        <w:tc>
          <w:tcPr>
            <w:tcW w:w="1412"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96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1664"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GasLog Partners LP, </w:t>
            </w:r>
            <w:r>
              <w:rPr>
                <w:rFonts w:ascii="Times New Roman;Times;Serif" w:hAnsi="Times New Roman;Times;Serif"/>
                <w:i/>
                <w:sz w:val="20"/>
              </w:rPr>
              <w:t>Chief Operating Officer</w:t>
            </w:r>
          </w:p>
        </w:tc>
        <w:tc>
          <w:tcPr>
            <w:tcW w:w="893"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See above</w:t>
            </w:r>
          </w:p>
        </w:tc>
        <w:tc>
          <w:tcPr>
            <w:tcW w:w="3914"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GasLog Partners LP, </w:t>
            </w:r>
            <w:r>
              <w:rPr>
                <w:rFonts w:ascii="Times New Roman;Times;Serif" w:hAnsi="Times New Roman;Times;Serif"/>
                <w:b w:val="false"/>
                <w:i/>
                <w:caps w:val="false"/>
                <w:smallCaps w:val="false"/>
                <w:sz w:val="20"/>
              </w:rPr>
              <w:t>Chief Operating Officer</w:t>
            </w:r>
            <w:r>
              <w:rPr>
                <w:rFonts w:ascii="Times New Roman;Times;Serif" w:hAnsi="Times New Roman;Times;Serif"/>
                <w:b w:val="false"/>
                <w:i w:val="false"/>
                <w:caps w:val="false"/>
                <w:smallCaps w:val="false"/>
                <w:sz w:val="20"/>
              </w:rPr>
              <w:t xml:space="preserve"> (2022 - current); </w:t>
            </w:r>
            <w:r>
              <w:rPr>
                <w:rFonts w:ascii="Times New Roman;Times;Serif" w:hAnsi="Times New Roman;Times;Serif"/>
                <w:b w:val="false"/>
                <w:i/>
                <w:caps w:val="false"/>
                <w:smallCaps w:val="false"/>
                <w:sz w:val="20"/>
              </w:rPr>
              <w:t>Deputy COO</w:t>
            </w:r>
            <w:r>
              <w:rPr>
                <w:rFonts w:ascii="Times New Roman;Times;Serif" w:hAnsi="Times New Roman;Times;Serif"/>
                <w:b w:val="false"/>
                <w:i w:val="false"/>
                <w:caps w:val="false"/>
                <w:smallCaps w:val="false"/>
                <w:sz w:val="20"/>
              </w:rPr>
              <w:t xml:space="preserve"> (2021 - 2022); </w:t>
            </w:r>
            <w:r>
              <w:rPr>
                <w:rFonts w:ascii="Times New Roman;Times;Serif" w:hAnsi="Times New Roman;Times;Serif"/>
                <w:b w:val="false"/>
                <w:i/>
                <w:caps w:val="false"/>
                <w:smallCaps w:val="false"/>
                <w:sz w:val="20"/>
              </w:rPr>
              <w:t xml:space="preserve">General Manager Innovation and Technology </w:t>
            </w:r>
            <w:r>
              <w:rPr>
                <w:rFonts w:ascii="Times New Roman;Times;Serif" w:hAnsi="Times New Roman;Times;Serif"/>
                <w:b w:val="false"/>
                <w:i w:val="false"/>
                <w:caps w:val="false"/>
                <w:smallCaps w:val="false"/>
                <w:sz w:val="20"/>
              </w:rPr>
              <w:t>(2019 - 2021)</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Minerva Marine, </w:t>
            </w:r>
            <w:r>
              <w:rPr>
                <w:rFonts w:ascii="Times New Roman;Times;Serif" w:hAnsi="Times New Roman;Times;Serif"/>
                <w:b w:val="false"/>
                <w:i/>
                <w:caps w:val="false"/>
                <w:smallCaps w:val="false"/>
                <w:sz w:val="20"/>
              </w:rPr>
              <w:t xml:space="preserve">Technical Manager </w:t>
            </w:r>
            <w:r>
              <w:rPr>
                <w:rFonts w:ascii="Times New Roman;Times;Serif" w:hAnsi="Times New Roman;Times;Serif"/>
                <w:b w:val="false"/>
                <w:i w:val="false"/>
                <w:caps w:val="false"/>
                <w:smallCaps w:val="false"/>
                <w:sz w:val="20"/>
              </w:rPr>
              <w:t>(2017 - 2019)</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Past Transactions and Contacts of Parent, the General Partner and Merger Sub</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agreements and arrangements in connection with the Merger or otherwise that are discussed elsewhere in this proxy statement, including in the section entitled “Special Factors – Background to the Merger” beginning on page 47, during the past two years (a) there were no negotiations, transactions or material contacts between (i) any of Parent, the General Partner or Merger Sub (including, in each case, their respective affiliates, directors and executive officers) (the “GLOG Persons”), on the one hand, and (ii) any of the Partnership and its affiliates, on the other hand, concerning any merger, consolidation, acquisition, tender offer for or other acquisition of any class of the Partnership’s securities, election of the Partnership’s directors or sale or other transfer of a material amount of assets of the Partnership, (b) none of the GLOG Persons entered into any other transaction with the Partnership or any of its affiliates with an aggregate value exceeding 1% of the Partnership’s consolidated revenues for the fiscal year when the transaction occurred, (c) none of the Partnership’s executive officers, directors or affiliates that is a natural person entered into any transaction during the past two years with an aggregate value (in respect of such transaction or series of similar transactions with that person) exceeding $60,000 with any of the GLOG Persons and (d) there were no agreements, arrangements or understandings between any of the GLOG Persons and any other person with respect to any securities of the Partnership.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127</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CONCERNING THE PARTNERSHIP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Partnership is an owner, operator and acquirer of LNG carriers. The Partnership’s fleet consists of eleven wholly owned LNG carriers as well as three vessels on bareboat charters, with an average carrying capacity of approximately 159,000 cbm. The Partnership is a publicly traded master limited partnership (NYSE: GLOP) but has elected to be treated as a C-corporation for U.S. income tax purposes and therefore its investors receive an Internal Revenue Service Form 1099 with respect to any distributions declared and received. Visit the Partnership’s website at http://www.gaslogmlp.com. The information contained in that website is not incorporated by reference in this proxy statement.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 2023, Parent holds 15,621,602 Common Units (representing 30.2% of the Common Units issued and outstanding as of                     , 2023) and 1,245,000 Class B Units and is also the owner of the General Partner. In the event that the Effective Time does not occur prior to July 1, 2023, the 415,000 Class B-4 Units that are issued and outstanding will become eligible for conversion on a one-for-one basis into 415,000 Common Units at Parent’s option on July 1,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Units trade on the NYSE under the symbol “GLOP”, and the Preference Units are listed on the NYSE under the ticker symbol “GLOP PR A”, “GLOP PR B” and “GLOP PR C”. The Partnership’s mailing address is c/o GasLog LNG Services Ltd., 69 Akti Miaouli 18537, Piraeus, Greece and its telephone number is +30 210 459 1000. A detailed description of the Partnership’s business is contained in the 2022 Form 20-F and in the other documents incorporated by reference into this proxy statement. See “Where You Can Find More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past five years, the Partnership has not been (1) convicted in a criminal proceeding (excluding traffic violations and similar misdemeanors) or (2) party to any judicial or administrative proceeding (except for matters that were dismissed without sanction or settlement) that resulted in a judgment, decree or final order enjoining the entity from future violations of, or prohibiting activities subject to, federal or state securities laws, or a finding of any violation of federal or state securities laws.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and Executive Officers of the Partnership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and material occupations, positions, offices or employment during the past five years of the Partnership’s directors and executive officers are set forth below. During the past five years, none of the Partnership’s directors or executive officers have been (a) convicted in a criminal proceeding (excluding traffic violations and similar misdemeanors) or (b) party to any judicial or administrative proceeding (except for matters that were dismissed without sanction or settlement) that resulted in a judgment, decree or final order enjoining such person from future violations of, or prohibiting activities subject to, federal or state securities laws, or a finding of any violation of federal or state securities laws. Unless otherwise indicated, the address for each of the Partnership’s listed directors and executive officers is c/o GasLog LNG Services Ltd., 69 Akti Miaouli, 18537 Piraeus, Greece, and the phone number for each of the Partnership’s listed directors and executive officers is +30 210 459 1000.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128</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28" w:type="dxa"/>
          <w:left w:w="115" w:type="dxa"/>
          <w:bottom w:w="0" w:type="dxa"/>
          <w:right w:w="115" w:type="dxa"/>
        </w:tblCellMar>
      </w:tblPr>
      <w:tblGrid>
        <w:gridCol w:w="989"/>
        <w:gridCol w:w="1163"/>
        <w:gridCol w:w="965"/>
        <w:gridCol w:w="2739"/>
        <w:gridCol w:w="2052"/>
        <w:gridCol w:w="2297"/>
      </w:tblGrid>
      <w:tr>
        <w:trPr/>
        <w:tc>
          <w:tcPr>
            <w:tcW w:w="989" w:type="dxa"/>
            <w:tcBorders>
              <w:top w:val="single" w:sz="8" w:space="0" w:color="000000"/>
              <w:left w:val="single" w:sz="8" w:space="0" w:color="000000"/>
              <w:right w:val="single" w:sz="8" w:space="0" w:color="000000"/>
            </w:tcBorders>
            <w:shd w:fill="auto" w:val="clear"/>
            <w:vAlign w:val="center"/>
          </w:tcPr>
          <w:p>
            <w:pPr>
              <w:pStyle w:val="TableContents"/>
              <w:spacing w:before="0" w:after="283"/>
              <w:jc w:val="center"/>
              <w:rPr>
                <w:b/>
              </w:rPr>
            </w:pPr>
            <w:r>
              <w:rPr>
                <w:b/>
              </w:rPr>
              <w:t>Director /</w:t>
              <w:br/>
            </w:r>
            <w:r>
              <w:rPr>
                <w:rFonts w:ascii="Times New Roman;Times;Serif" w:hAnsi="Times New Roman;Times;Serif"/>
                <w:b/>
                <w:sz w:val="20"/>
              </w:rPr>
              <w:t>Officer</w:t>
            </w:r>
          </w:p>
        </w:tc>
        <w:tc>
          <w:tcPr>
            <w:tcW w:w="1163" w:type="dxa"/>
            <w:tcBorders>
              <w:top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Address of</w:t>
              <w:br/>
              <w:t xml:space="preserve">Principal </w:t>
              <w:br/>
              <w:t>Office /</w:t>
              <w:br/>
              <w:t>Business</w:t>
            </w:r>
          </w:p>
        </w:tc>
        <w:tc>
          <w:tcPr>
            <w:tcW w:w="965" w:type="dxa"/>
            <w:tcBorders>
              <w:top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Country of</w:t>
              <w:br/>
              <w:t>Citizenship</w:t>
            </w:r>
          </w:p>
        </w:tc>
        <w:tc>
          <w:tcPr>
            <w:tcW w:w="2739" w:type="dxa"/>
            <w:tcBorders>
              <w:top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Name /</w:t>
              <w:br/>
              <w:t xml:space="preserve">Address of </w:t>
              <w:br/>
              <w:t xml:space="preserve">Principal </w:t>
              <w:br/>
              <w:t xml:space="preserve">Employer </w:t>
              <w:br/>
              <w:t xml:space="preserve">and </w:t>
              <w:br/>
              <w:t>Occupation</w:t>
            </w:r>
          </w:p>
        </w:tc>
        <w:tc>
          <w:tcPr>
            <w:tcW w:w="2052" w:type="dxa"/>
            <w:tcBorders>
              <w:top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Principal</w:t>
              <w:br/>
              <w:t>Business of</w:t>
              <w:br/>
              <w:t>Employer</w:t>
            </w:r>
          </w:p>
        </w:tc>
        <w:tc>
          <w:tcPr>
            <w:tcW w:w="2297" w:type="dxa"/>
            <w:tcBorders>
              <w:top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Material Occupations or</w:t>
              <w:br/>
              <w:t>Positions During Past Five</w:t>
              <w:br/>
              <w:t>Years</w:t>
            </w:r>
          </w:p>
        </w:tc>
      </w:tr>
      <w:tr>
        <w:trPr/>
        <w:tc>
          <w:tcPr>
            <w:tcW w:w="10205" w:type="dxa"/>
            <w:gridSpan w:val="6"/>
            <w:tcBorders>
              <w:top w:val="single" w:sz="8" w:space="0" w:color="000000"/>
              <w:left w:val="single" w:sz="8" w:space="0" w:color="000000"/>
              <w:right w:val="single" w:sz="8" w:space="0" w:color="000000"/>
            </w:tcBorders>
            <w:shd w:fill="auto" w:val="clear"/>
            <w:vAlign w:val="center"/>
          </w:tcPr>
          <w:p>
            <w:pPr>
              <w:pStyle w:val="TableContents"/>
              <w:spacing w:before="0" w:after="283"/>
              <w:rPr>
                <w:rFonts w:ascii="Times New Roman;Times;Serif" w:hAnsi="Times New Roman;Times;Serif"/>
                <w:i/>
                <w:sz w:val="20"/>
              </w:rPr>
            </w:pPr>
            <w:r>
              <w:rPr>
                <w:rFonts w:ascii="Times New Roman;Times;Serif" w:hAnsi="Times New Roman;Times;Serif"/>
                <w:i/>
                <w:sz w:val="20"/>
              </w:rPr>
              <w:t>Directors</w:t>
            </w:r>
          </w:p>
        </w:tc>
      </w:tr>
      <w:tr>
        <w:trPr/>
        <w:tc>
          <w:tcPr>
            <w:tcW w:w="989" w:type="dxa"/>
            <w:tcBorders>
              <w:top w:val="single" w:sz="8" w:space="0" w:color="000000"/>
              <w:left w:val="single" w:sz="8" w:space="0" w:color="000000"/>
              <w:right w:val="single" w:sz="8" w:space="0" w:color="000000"/>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Curtis v. Anastasio</w:t>
            </w:r>
          </w:p>
        </w:tc>
        <w:tc>
          <w:tcPr>
            <w:tcW w:w="1163" w:type="dxa"/>
            <w:tcBorders>
              <w:top w:val="single" w:sz="8" w:space="0" w:color="000000"/>
              <w:right w:val="single" w:sz="8" w:space="0" w:color="000000"/>
            </w:tcBorders>
            <w:shd w:fill="auto" w:val="clear"/>
            <w:tcMar>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c/o GasLog LNG Services Ltd.,</w:t>
              <w:br/>
              <w:t>69 Akti Miaouli 18537 Piraeus, Greece</w:t>
            </w:r>
          </w:p>
        </w:tc>
        <w:tc>
          <w:tcPr>
            <w:tcW w:w="965" w:type="dxa"/>
            <w:tcBorders>
              <w:top w:val="single" w:sz="8" w:space="0" w:color="000000"/>
              <w:right w:val="single" w:sz="8" w:space="0" w:color="000000"/>
            </w:tcBorders>
            <w:shd w:fill="auto" w:val="clear"/>
            <w:tcMar>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U.S.</w:t>
            </w:r>
          </w:p>
        </w:tc>
        <w:tc>
          <w:tcPr>
            <w:tcW w:w="2739" w:type="dxa"/>
            <w:tcBorders>
              <w:top w:val="single" w:sz="8" w:space="0" w:color="000000"/>
              <w:right w:val="single" w:sz="8" w:space="0" w:color="000000"/>
            </w:tcBorders>
            <w:shd w:fill="auto" w:val="clear"/>
            <w:tcMar>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GasLog Partners LP, </w:t>
            </w:r>
            <w:r>
              <w:rPr>
                <w:rFonts w:ascii="Times New Roman;Times;Serif" w:hAnsi="Times New Roman;Times;Serif"/>
                <w:i/>
                <w:sz w:val="20"/>
              </w:rPr>
              <w:t>Chairman and Director</w:t>
            </w:r>
          </w:p>
        </w:tc>
        <w:tc>
          <w:tcPr>
            <w:tcW w:w="2052" w:type="dxa"/>
            <w:tcBorders>
              <w:top w:val="single" w:sz="8" w:space="0" w:color="000000"/>
              <w:right w:val="single" w:sz="8" w:space="0" w:color="000000"/>
            </w:tcBorders>
            <w:shd w:fill="auto" w:val="clear"/>
            <w:tcMar>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Owner, operator and acquirer of LNG carriers</w:t>
            </w:r>
          </w:p>
        </w:tc>
        <w:tc>
          <w:tcPr>
            <w:tcW w:w="2297" w:type="dxa"/>
            <w:tcBorders>
              <w:top w:val="single" w:sz="8" w:space="0" w:color="000000"/>
              <w:right w:val="single" w:sz="8" w:space="0" w:color="000000"/>
            </w:tcBorders>
            <w:shd w:fill="auto" w:val="clear"/>
            <w:tcMar>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GasLog Partners LP, </w:t>
            </w:r>
            <w:r>
              <w:rPr>
                <w:rFonts w:ascii="Times New Roman;Times;Serif" w:hAnsi="Times New Roman;Times;Serif"/>
                <w:i/>
                <w:sz w:val="20"/>
              </w:rPr>
              <w:t xml:space="preserve">Chairman and Director </w:t>
            </w:r>
            <w:r>
              <w:rPr>
                <w:rFonts w:ascii="Times New Roman;Times;Serif" w:hAnsi="Times New Roman;Times;Serif"/>
                <w:sz w:val="20"/>
              </w:rPr>
              <w:t>(2016 - current)</w:t>
            </w:r>
          </w:p>
        </w:tc>
      </w:tr>
      <w:tr>
        <w:trPr/>
        <w:tc>
          <w:tcPr>
            <w:tcW w:w="989" w:type="dxa"/>
            <w:tcBorders>
              <w:top w:val="single" w:sz="8" w:space="0" w:color="000000"/>
              <w:left w:val="single" w:sz="8" w:space="0" w:color="000000"/>
              <w:right w:val="single" w:sz="8" w:space="0" w:color="000000"/>
            </w:tcBorders>
            <w:shd w:fill="auto" w:val="clear"/>
            <w:vAlign w:val="center"/>
          </w:tcPr>
          <w:p>
            <w:pPr>
              <w:pStyle w:val="TableContents"/>
              <w:spacing w:before="0" w:after="283"/>
              <w:rPr/>
            </w:pPr>
            <w:r>
              <w:rPr/>
              <w:t> </w:t>
            </w:r>
          </w:p>
        </w:tc>
        <w:tc>
          <w:tcPr>
            <w:tcW w:w="1163" w:type="dxa"/>
            <w:tcBorders>
              <w:top w:val="single" w:sz="8" w:space="0" w:color="000000"/>
              <w:right w:val="single" w:sz="8" w:space="0" w:color="000000"/>
            </w:tcBorders>
            <w:shd w:fill="auto" w:val="clear"/>
            <w:tcMar>
              <w:left w:w="0" w:type="dxa"/>
            </w:tcMar>
            <w:vAlign w:val="center"/>
          </w:tcPr>
          <w:p>
            <w:pPr>
              <w:pStyle w:val="TableContents"/>
              <w:spacing w:before="0" w:after="283"/>
              <w:rPr/>
            </w:pPr>
            <w:r>
              <w:rPr/>
              <w:t> </w:t>
            </w:r>
          </w:p>
        </w:tc>
        <w:tc>
          <w:tcPr>
            <w:tcW w:w="965" w:type="dxa"/>
            <w:tcBorders>
              <w:top w:val="single" w:sz="8" w:space="0" w:color="000000"/>
              <w:right w:val="single" w:sz="8" w:space="0" w:color="000000"/>
            </w:tcBorders>
            <w:shd w:fill="auto" w:val="clear"/>
            <w:tcMar>
              <w:left w:w="0" w:type="dxa"/>
            </w:tcMar>
            <w:vAlign w:val="center"/>
          </w:tcPr>
          <w:p>
            <w:pPr>
              <w:pStyle w:val="TableContents"/>
              <w:spacing w:before="0" w:after="283"/>
              <w:rPr/>
            </w:pPr>
            <w:r>
              <w:rPr/>
              <w:t> </w:t>
            </w:r>
          </w:p>
        </w:tc>
        <w:tc>
          <w:tcPr>
            <w:tcW w:w="2739" w:type="dxa"/>
            <w:tcBorders>
              <w:top w:val="single" w:sz="8" w:space="0" w:color="000000"/>
              <w:right w:val="single" w:sz="8" w:space="0" w:color="000000"/>
            </w:tcBorders>
            <w:shd w:fill="auto" w:val="clear"/>
            <w:tcMar>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Par Pacific Holdings, </w:t>
            </w:r>
            <w:r>
              <w:rPr>
                <w:rFonts w:ascii="Times New Roman;Times;Serif" w:hAnsi="Times New Roman;Times;Serif"/>
                <w:i/>
                <w:sz w:val="20"/>
              </w:rPr>
              <w:t>Director</w:t>
            </w:r>
            <w:r>
              <w:rPr>
                <w:rFonts w:ascii="Times New Roman;Times;Serif" w:hAnsi="Times New Roman;Times;Serif"/>
                <w:sz w:val="20"/>
              </w:rPr>
              <w:t xml:space="preserve">, , Par Pacific Corporate Headquarters, 825 Town &amp; Country Lane, Suite 1500, Houston, TX 77024 </w:t>
            </w:r>
          </w:p>
        </w:tc>
        <w:tc>
          <w:tcPr>
            <w:tcW w:w="2052" w:type="dxa"/>
            <w:tcBorders>
              <w:top w:val="single" w:sz="8" w:space="0" w:color="000000"/>
              <w:right w:val="single" w:sz="8" w:space="0" w:color="000000"/>
            </w:tcBorders>
            <w:shd w:fill="auto" w:val="clear"/>
            <w:tcMar>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Oil and gas exploration and production </w:t>
            </w:r>
          </w:p>
        </w:tc>
        <w:tc>
          <w:tcPr>
            <w:tcW w:w="2297" w:type="dxa"/>
            <w:tcBorders>
              <w:top w:val="single" w:sz="8" w:space="0" w:color="000000"/>
              <w:right w:val="single" w:sz="8" w:space="0" w:color="000000"/>
            </w:tcBorders>
            <w:shd w:fill="auto" w:val="clear"/>
            <w:tcMar>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Par Pacific Holdings, </w:t>
            </w:r>
            <w:r>
              <w:rPr>
                <w:rFonts w:ascii="Times New Roman;Times;Serif" w:hAnsi="Times New Roman;Times;Serif"/>
                <w:i/>
                <w:sz w:val="20"/>
              </w:rPr>
              <w:t>Director</w:t>
            </w:r>
            <w:r>
              <w:rPr>
                <w:rFonts w:ascii="Times New Roman;Times;Serif" w:hAnsi="Times New Roman;Times;Serif"/>
                <w:sz w:val="20"/>
              </w:rPr>
              <w:t xml:space="preserve"> (2014 - current)</w:t>
            </w:r>
          </w:p>
        </w:tc>
      </w:tr>
      <w:tr>
        <w:trPr/>
        <w:tc>
          <w:tcPr>
            <w:tcW w:w="989" w:type="dxa"/>
            <w:tcBorders>
              <w:top w:val="single" w:sz="8" w:space="0" w:color="000000"/>
              <w:left w:val="single" w:sz="8" w:space="0" w:color="000000"/>
              <w:right w:val="single" w:sz="8" w:space="0" w:color="000000"/>
            </w:tcBorders>
            <w:shd w:fill="auto" w:val="clear"/>
            <w:vAlign w:val="center"/>
          </w:tcPr>
          <w:p>
            <w:pPr>
              <w:pStyle w:val="TableContents"/>
              <w:spacing w:before="0" w:after="283"/>
              <w:rPr/>
            </w:pPr>
            <w:r>
              <w:rPr/>
              <w:t> </w:t>
            </w:r>
          </w:p>
        </w:tc>
        <w:tc>
          <w:tcPr>
            <w:tcW w:w="1163" w:type="dxa"/>
            <w:tcBorders>
              <w:top w:val="single" w:sz="8" w:space="0" w:color="000000"/>
              <w:right w:val="single" w:sz="8" w:space="0" w:color="000000"/>
            </w:tcBorders>
            <w:shd w:fill="auto" w:val="clear"/>
            <w:tcMar>
              <w:left w:w="0" w:type="dxa"/>
            </w:tcMar>
            <w:vAlign w:val="center"/>
          </w:tcPr>
          <w:p>
            <w:pPr>
              <w:pStyle w:val="TableContents"/>
              <w:spacing w:before="0" w:after="283"/>
              <w:rPr/>
            </w:pPr>
            <w:r>
              <w:rPr/>
              <w:t> </w:t>
            </w:r>
          </w:p>
        </w:tc>
        <w:tc>
          <w:tcPr>
            <w:tcW w:w="965" w:type="dxa"/>
            <w:tcBorders>
              <w:top w:val="single" w:sz="8" w:space="0" w:color="000000"/>
              <w:right w:val="single" w:sz="8" w:space="0" w:color="000000"/>
            </w:tcBorders>
            <w:shd w:fill="auto" w:val="clear"/>
            <w:tcMar>
              <w:left w:w="0" w:type="dxa"/>
            </w:tcMar>
            <w:vAlign w:val="center"/>
          </w:tcPr>
          <w:p>
            <w:pPr>
              <w:pStyle w:val="TableContents"/>
              <w:spacing w:before="0" w:after="283"/>
              <w:rPr/>
            </w:pPr>
            <w:r>
              <w:rPr/>
              <w:t> </w:t>
            </w:r>
          </w:p>
        </w:tc>
        <w:tc>
          <w:tcPr>
            <w:tcW w:w="2739" w:type="dxa"/>
            <w:tcBorders>
              <w:top w:val="single" w:sz="8" w:space="0" w:color="000000"/>
              <w:right w:val="single" w:sz="8" w:space="0" w:color="000000"/>
            </w:tcBorders>
            <w:shd w:fill="auto" w:val="clear"/>
            <w:tcMar>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Chemours Company,</w:t>
              <w:br/>
            </w:r>
            <w:r>
              <w:rPr>
                <w:rFonts w:ascii="Times New Roman;Times;Serif" w:hAnsi="Times New Roman;Times;Serif"/>
                <w:i/>
                <w:sz w:val="20"/>
              </w:rPr>
              <w:t>Director</w:t>
            </w:r>
            <w:r>
              <w:rPr>
                <w:rFonts w:ascii="Times New Roman;Times;Serif" w:hAnsi="Times New Roman;Times;Serif"/>
                <w:sz w:val="20"/>
              </w:rPr>
              <w:t xml:space="preserve">, 1007 Market Street, P.O. Box 2047, Wilmington, DE 19899 </w:t>
            </w:r>
          </w:p>
        </w:tc>
        <w:tc>
          <w:tcPr>
            <w:tcW w:w="2052" w:type="dxa"/>
            <w:tcBorders>
              <w:top w:val="single" w:sz="8" w:space="0" w:color="000000"/>
              <w:right w:val="single" w:sz="8" w:space="0" w:color="000000"/>
            </w:tcBorders>
            <w:shd w:fill="auto" w:val="clear"/>
            <w:tcMar>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Chemical products and research</w:t>
            </w:r>
          </w:p>
        </w:tc>
        <w:tc>
          <w:tcPr>
            <w:tcW w:w="2297" w:type="dxa"/>
            <w:tcBorders>
              <w:top w:val="single" w:sz="8" w:space="0" w:color="000000"/>
              <w:right w:val="single" w:sz="8" w:space="0" w:color="000000"/>
            </w:tcBorders>
            <w:shd w:fill="auto" w:val="clear"/>
            <w:tcMar>
              <w:left w:w="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Chemours Company, </w:t>
            </w:r>
            <w:r>
              <w:rPr>
                <w:rFonts w:ascii="Times New Roman;Times;Serif" w:hAnsi="Times New Roman;Times;Serif"/>
                <w:b w:val="false"/>
                <w:i/>
                <w:caps w:val="false"/>
                <w:smallCaps w:val="false"/>
                <w:sz w:val="20"/>
              </w:rPr>
              <w:t xml:space="preserve">Director </w:t>
            </w:r>
            <w:r>
              <w:rPr>
                <w:rFonts w:ascii="Times New Roman;Times;Serif" w:hAnsi="Times New Roman;Times;Serif"/>
                <w:b w:val="false"/>
                <w:i w:val="false"/>
                <w:caps w:val="false"/>
                <w:smallCaps w:val="false"/>
                <w:sz w:val="20"/>
              </w:rPr>
              <w:t>(2015 - current)</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Federal Reserve Bank of Dallas, </w:t>
            </w:r>
            <w:r>
              <w:rPr>
                <w:rFonts w:ascii="Times New Roman;Times;Serif" w:hAnsi="Times New Roman;Times;Serif"/>
                <w:b w:val="false"/>
                <w:i/>
                <w:caps w:val="false"/>
                <w:smallCaps w:val="false"/>
                <w:sz w:val="20"/>
              </w:rPr>
              <w:t>Director</w:t>
            </w:r>
            <w:r>
              <w:rPr>
                <w:rFonts w:ascii="Times New Roman;Times;Serif" w:hAnsi="Times New Roman;Times;Serif"/>
                <w:b w:val="false"/>
                <w:i w:val="false"/>
                <w:caps w:val="false"/>
                <w:smallCaps w:val="false"/>
                <w:sz w:val="20"/>
              </w:rPr>
              <w:t xml:space="preserve"> (2013 - 2019)</w:t>
            </w:r>
          </w:p>
        </w:tc>
      </w:tr>
      <w:tr>
        <w:trPr/>
        <w:tc>
          <w:tcPr>
            <w:tcW w:w="989" w:type="dxa"/>
            <w:tcBorders>
              <w:top w:val="single" w:sz="8" w:space="0" w:color="000000"/>
              <w:left w:val="single" w:sz="8" w:space="0" w:color="000000"/>
              <w:right w:val="single" w:sz="8" w:space="0" w:color="000000"/>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Paolo Enoizi</w:t>
            </w:r>
          </w:p>
        </w:tc>
        <w:tc>
          <w:tcPr>
            <w:tcW w:w="1163" w:type="dxa"/>
            <w:tcBorders>
              <w:top w:val="single" w:sz="8" w:space="0" w:color="000000"/>
              <w:right w:val="single" w:sz="8" w:space="0" w:color="000000"/>
            </w:tcBorders>
            <w:shd w:fill="auto" w:val="clear"/>
            <w:tcMar>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c/o GasLog LNG Services Ltd.,</w:t>
              <w:br/>
              <w:t>69 Akti Miaouli 18537 Piraeus, Greece</w:t>
            </w:r>
          </w:p>
        </w:tc>
        <w:tc>
          <w:tcPr>
            <w:tcW w:w="965" w:type="dxa"/>
            <w:tcBorders>
              <w:top w:val="single" w:sz="8" w:space="0" w:color="000000"/>
              <w:right w:val="single" w:sz="8" w:space="0" w:color="000000"/>
            </w:tcBorders>
            <w:shd w:fill="auto" w:val="clear"/>
            <w:tcMar>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Italy</w:t>
            </w:r>
          </w:p>
        </w:tc>
        <w:tc>
          <w:tcPr>
            <w:tcW w:w="2739" w:type="dxa"/>
            <w:tcBorders>
              <w:top w:val="single" w:sz="8" w:space="0" w:color="000000"/>
              <w:right w:val="single" w:sz="8" w:space="0" w:color="000000"/>
            </w:tcBorders>
            <w:shd w:fill="auto" w:val="clear"/>
            <w:tcMar>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GasLog Partners LP, </w:t>
            </w:r>
            <w:r>
              <w:rPr>
                <w:rFonts w:ascii="Times New Roman;Times;Serif" w:hAnsi="Times New Roman;Times;Serif"/>
                <w:i/>
                <w:sz w:val="20"/>
              </w:rPr>
              <w:t>Director and Chief Executive Officer</w:t>
            </w:r>
            <w:r>
              <w:rPr>
                <w:rFonts w:ascii="Times New Roman;Times;Serif" w:hAnsi="Times New Roman;Times;Serif"/>
                <w:sz w:val="20"/>
              </w:rPr>
              <w:t>, c/o GasLog LNG Services Ltd., 69 Akti Miaouli 18537 Piraeus, Greece</w:t>
            </w:r>
          </w:p>
        </w:tc>
        <w:tc>
          <w:tcPr>
            <w:tcW w:w="2052" w:type="dxa"/>
            <w:tcBorders>
              <w:top w:val="single" w:sz="8" w:space="0" w:color="000000"/>
              <w:right w:val="single" w:sz="8" w:space="0" w:color="000000"/>
            </w:tcBorders>
            <w:shd w:fill="auto" w:val="clear"/>
            <w:tcMar>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See above</w:t>
            </w:r>
          </w:p>
        </w:tc>
        <w:tc>
          <w:tcPr>
            <w:tcW w:w="2297" w:type="dxa"/>
            <w:tcBorders>
              <w:top w:val="single" w:sz="8" w:space="0" w:color="000000"/>
              <w:right w:val="single" w:sz="8" w:space="0" w:color="000000"/>
            </w:tcBorders>
            <w:shd w:fill="auto" w:val="clear"/>
            <w:tcMar>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GasLog Partners LP, </w:t>
            </w:r>
            <w:r>
              <w:rPr>
                <w:rFonts w:ascii="Times New Roman;Times;Serif" w:hAnsi="Times New Roman;Times;Serif"/>
                <w:i/>
                <w:sz w:val="20"/>
              </w:rPr>
              <w:t xml:space="preserve">Director and Chief Executive Officer </w:t>
            </w:r>
            <w:r>
              <w:rPr>
                <w:rFonts w:ascii="Times New Roman;Times;Serif" w:hAnsi="Times New Roman;Times;Serif"/>
                <w:sz w:val="20"/>
              </w:rPr>
              <w:t xml:space="preserve">(2021 - current); </w:t>
            </w:r>
            <w:r>
              <w:rPr>
                <w:rFonts w:ascii="Times New Roman;Times;Serif" w:hAnsi="Times New Roman;Times;Serif"/>
                <w:i/>
                <w:sz w:val="20"/>
              </w:rPr>
              <w:t xml:space="preserve">Chief Operating Officer </w:t>
            </w:r>
            <w:r>
              <w:rPr>
                <w:rFonts w:ascii="Times New Roman;Times;Serif" w:hAnsi="Times New Roman;Times;Serif"/>
                <w:sz w:val="20"/>
              </w:rPr>
              <w:t>(2019 - 2022)</w:t>
            </w:r>
          </w:p>
        </w:tc>
      </w:tr>
      <w:tr>
        <w:trPr/>
        <w:tc>
          <w:tcPr>
            <w:tcW w:w="989" w:type="dxa"/>
            <w:tcBorders>
              <w:top w:val="single" w:sz="8" w:space="0" w:color="000000"/>
              <w:left w:val="single" w:sz="8" w:space="0" w:color="000000"/>
              <w:right w:val="single" w:sz="8" w:space="0" w:color="000000"/>
            </w:tcBorders>
            <w:shd w:fill="auto" w:val="clear"/>
            <w:vAlign w:val="center"/>
          </w:tcPr>
          <w:p>
            <w:pPr>
              <w:pStyle w:val="TableContents"/>
              <w:spacing w:before="0" w:after="283"/>
              <w:rPr/>
            </w:pPr>
            <w:r>
              <w:rPr/>
              <w:t> </w:t>
            </w:r>
          </w:p>
        </w:tc>
        <w:tc>
          <w:tcPr>
            <w:tcW w:w="1163" w:type="dxa"/>
            <w:tcBorders>
              <w:top w:val="single" w:sz="8" w:space="0" w:color="000000"/>
              <w:right w:val="single" w:sz="8" w:space="0" w:color="000000"/>
            </w:tcBorders>
            <w:shd w:fill="auto" w:val="clear"/>
            <w:tcMar>
              <w:left w:w="0" w:type="dxa"/>
            </w:tcMar>
            <w:vAlign w:val="center"/>
          </w:tcPr>
          <w:p>
            <w:pPr>
              <w:pStyle w:val="TableContents"/>
              <w:spacing w:before="0" w:after="283"/>
              <w:rPr/>
            </w:pPr>
            <w:r>
              <w:rPr/>
              <w:t> </w:t>
            </w:r>
          </w:p>
        </w:tc>
        <w:tc>
          <w:tcPr>
            <w:tcW w:w="965" w:type="dxa"/>
            <w:tcBorders>
              <w:top w:val="single" w:sz="8" w:space="0" w:color="000000"/>
              <w:right w:val="single" w:sz="8" w:space="0" w:color="000000"/>
            </w:tcBorders>
            <w:shd w:fill="auto" w:val="clear"/>
            <w:tcMar>
              <w:left w:w="0" w:type="dxa"/>
            </w:tcMar>
            <w:vAlign w:val="center"/>
          </w:tcPr>
          <w:p>
            <w:pPr>
              <w:pStyle w:val="TableContents"/>
              <w:spacing w:before="0" w:after="283"/>
              <w:rPr/>
            </w:pPr>
            <w:r>
              <w:rPr/>
              <w:t> </w:t>
            </w:r>
          </w:p>
        </w:tc>
        <w:tc>
          <w:tcPr>
            <w:tcW w:w="2739" w:type="dxa"/>
            <w:tcBorders>
              <w:top w:val="single" w:sz="8" w:space="0" w:color="000000"/>
              <w:right w:val="single" w:sz="8" w:space="0" w:color="000000"/>
            </w:tcBorders>
            <w:shd w:fill="auto" w:val="clear"/>
            <w:tcMar>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HiLo Maritime Risk Management Limited, </w:t>
            </w:r>
            <w:r>
              <w:rPr>
                <w:rFonts w:ascii="Times New Roman;Times;Serif" w:hAnsi="Times New Roman;Times;Serif"/>
                <w:i/>
                <w:sz w:val="20"/>
              </w:rPr>
              <w:t>Director</w:t>
            </w:r>
            <w:r>
              <w:rPr>
                <w:rFonts w:ascii="Times New Roman;Times;Serif" w:hAnsi="Times New Roman;Times;Serif"/>
                <w:sz w:val="20"/>
              </w:rPr>
              <w:t>, Thanet House Business Centre, 231-232 Strand, London, U.K. WC2R 1DA</w:t>
            </w:r>
          </w:p>
        </w:tc>
        <w:tc>
          <w:tcPr>
            <w:tcW w:w="2052" w:type="dxa"/>
            <w:tcBorders>
              <w:top w:val="single" w:sz="8" w:space="0" w:color="000000"/>
              <w:right w:val="single" w:sz="8" w:space="0" w:color="000000"/>
            </w:tcBorders>
            <w:shd w:fill="auto" w:val="clear"/>
            <w:tcMar>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Joint industry non-profit initiative to enhance shipping industry safety</w:t>
            </w:r>
          </w:p>
        </w:tc>
        <w:tc>
          <w:tcPr>
            <w:tcW w:w="2297" w:type="dxa"/>
            <w:tcBorders>
              <w:top w:val="single" w:sz="8" w:space="0" w:color="000000"/>
              <w:right w:val="single" w:sz="8" w:space="0" w:color="000000"/>
            </w:tcBorders>
            <w:shd w:fill="auto" w:val="clear"/>
            <w:tcMar>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HiLo Maritime Risk Management Limited, </w:t>
            </w:r>
            <w:r>
              <w:rPr>
                <w:rFonts w:ascii="Times New Roman;Times;Serif" w:hAnsi="Times New Roman;Times;Serif"/>
                <w:i/>
                <w:sz w:val="20"/>
              </w:rPr>
              <w:t xml:space="preserve">Director </w:t>
            </w:r>
            <w:r>
              <w:rPr>
                <w:rFonts w:ascii="Times New Roman;Times;Serif" w:hAnsi="Times New Roman;Times;Serif"/>
                <w:sz w:val="20"/>
              </w:rPr>
              <w:t>(2020 - current)</w:t>
            </w:r>
          </w:p>
        </w:tc>
      </w:tr>
      <w:tr>
        <w:trPr/>
        <w:tc>
          <w:tcPr>
            <w:tcW w:w="989" w:type="dxa"/>
            <w:tcBorders>
              <w:top w:val="single" w:sz="8" w:space="0" w:color="000000"/>
              <w:left w:val="single" w:sz="8" w:space="0" w:color="000000"/>
              <w:right w:val="single" w:sz="8" w:space="0" w:color="000000"/>
            </w:tcBorders>
            <w:shd w:fill="auto" w:val="clear"/>
            <w:vAlign w:val="center"/>
          </w:tcPr>
          <w:p>
            <w:pPr>
              <w:pStyle w:val="TableContents"/>
              <w:spacing w:before="0" w:after="283"/>
              <w:rPr/>
            </w:pPr>
            <w:r>
              <w:rPr/>
              <w:t> </w:t>
            </w:r>
          </w:p>
        </w:tc>
        <w:tc>
          <w:tcPr>
            <w:tcW w:w="1163" w:type="dxa"/>
            <w:tcBorders>
              <w:top w:val="single" w:sz="8" w:space="0" w:color="000000"/>
              <w:right w:val="single" w:sz="8" w:space="0" w:color="000000"/>
            </w:tcBorders>
            <w:shd w:fill="auto" w:val="clear"/>
            <w:tcMar>
              <w:left w:w="0" w:type="dxa"/>
            </w:tcMar>
            <w:vAlign w:val="center"/>
          </w:tcPr>
          <w:p>
            <w:pPr>
              <w:pStyle w:val="TableContents"/>
              <w:spacing w:before="0" w:after="283"/>
              <w:rPr/>
            </w:pPr>
            <w:r>
              <w:rPr/>
              <w:t> </w:t>
            </w:r>
          </w:p>
        </w:tc>
        <w:tc>
          <w:tcPr>
            <w:tcW w:w="965" w:type="dxa"/>
            <w:tcBorders>
              <w:top w:val="single" w:sz="8" w:space="0" w:color="000000"/>
              <w:right w:val="single" w:sz="8" w:space="0" w:color="000000"/>
            </w:tcBorders>
            <w:shd w:fill="auto" w:val="clear"/>
            <w:tcMar>
              <w:left w:w="0" w:type="dxa"/>
            </w:tcMar>
            <w:vAlign w:val="center"/>
          </w:tcPr>
          <w:p>
            <w:pPr>
              <w:pStyle w:val="TableContents"/>
              <w:spacing w:before="0" w:after="283"/>
              <w:rPr/>
            </w:pPr>
            <w:r>
              <w:rPr/>
              <w:t> </w:t>
            </w:r>
          </w:p>
        </w:tc>
        <w:tc>
          <w:tcPr>
            <w:tcW w:w="2739" w:type="dxa"/>
            <w:tcBorders>
              <w:top w:val="single" w:sz="8" w:space="0" w:color="000000"/>
              <w:right w:val="single" w:sz="8" w:space="0" w:color="000000"/>
            </w:tcBorders>
            <w:shd w:fill="auto" w:val="clear"/>
            <w:tcMar>
              <w:left w:w="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Gastrade, </w:t>
            </w:r>
            <w:r>
              <w:rPr>
                <w:rFonts w:ascii="Times New Roman;Times;Serif" w:hAnsi="Times New Roman;Times;Serif"/>
                <w:b w:val="false"/>
                <w:i/>
                <w:caps w:val="false"/>
                <w:smallCaps w:val="false"/>
                <w:sz w:val="20"/>
              </w:rPr>
              <w:t>Director</w:t>
            </w:r>
            <w:r>
              <w:rPr>
                <w:rFonts w:ascii="Times New Roman;Times;Serif" w:hAnsi="Times New Roman;Times;Serif"/>
                <w:b w:val="false"/>
                <w:i w:val="false"/>
                <w:caps w:val="false"/>
                <w:smallCaps w:val="false"/>
                <w:sz w:val="20"/>
              </w:rPr>
              <w:t>, Leof. Kifisias 197, Marousi 151 24</w:t>
            </w:r>
          </w:p>
        </w:tc>
        <w:tc>
          <w:tcPr>
            <w:tcW w:w="2052" w:type="dxa"/>
            <w:tcBorders>
              <w:top w:val="single" w:sz="8" w:space="0" w:color="000000"/>
              <w:right w:val="single" w:sz="8" w:space="0" w:color="000000"/>
            </w:tcBorders>
            <w:shd w:fill="auto" w:val="clear"/>
            <w:tcMar>
              <w:left w:w="0" w:type="dxa"/>
            </w:tcMar>
            <w:vAlign w:val="center"/>
          </w:tcPr>
          <w:p>
            <w:pPr>
              <w:pStyle w:val="TableContents"/>
              <w:spacing w:before="0" w:after="283"/>
              <w:rPr/>
            </w:pPr>
            <w:r>
              <w:rPr/>
              <w:t>Development, operation and management of natural gas systems</w:t>
            </w:r>
          </w:p>
        </w:tc>
        <w:tc>
          <w:tcPr>
            <w:tcW w:w="2297" w:type="dxa"/>
            <w:tcBorders>
              <w:top w:val="single" w:sz="8" w:space="0" w:color="000000"/>
              <w:right w:val="single" w:sz="8" w:space="0" w:color="000000"/>
            </w:tcBorders>
            <w:shd w:fill="auto" w:val="clear"/>
            <w:tcMar>
              <w:left w:w="0" w:type="dxa"/>
            </w:tcMar>
            <w:vAlign w:val="center"/>
          </w:tcPr>
          <w:p>
            <w:pPr>
              <w:pStyle w:val="TableContents"/>
              <w:spacing w:before="0" w:after="283"/>
              <w:rPr/>
            </w:pPr>
            <w:r>
              <w:rPr/>
              <w:t xml:space="preserve">Gastrade, </w:t>
            </w:r>
            <w:r>
              <w:rPr>
                <w:i/>
              </w:rPr>
              <w:t xml:space="preserve">Director </w:t>
            </w:r>
            <w:r>
              <w:rPr/>
              <w:t>(2020- current)</w:t>
            </w:r>
          </w:p>
        </w:tc>
      </w:tr>
      <w:tr>
        <w:trPr/>
        <w:tc>
          <w:tcPr>
            <w:tcW w:w="989" w:type="dxa"/>
            <w:tcBorders>
              <w:top w:val="single" w:sz="8" w:space="0" w:color="000000"/>
              <w:left w:val="single" w:sz="8" w:space="0" w:color="000000"/>
              <w:right w:val="single" w:sz="8" w:space="0" w:color="000000"/>
            </w:tcBorders>
            <w:shd w:fill="auto" w:val="clear"/>
            <w:vAlign w:val="center"/>
          </w:tcPr>
          <w:p>
            <w:pPr>
              <w:pStyle w:val="TableContents"/>
              <w:spacing w:before="0" w:after="283"/>
              <w:rPr/>
            </w:pPr>
            <w:r>
              <w:rPr/>
              <w:t> </w:t>
            </w:r>
          </w:p>
        </w:tc>
        <w:tc>
          <w:tcPr>
            <w:tcW w:w="1163" w:type="dxa"/>
            <w:tcBorders>
              <w:top w:val="single" w:sz="8" w:space="0" w:color="000000"/>
              <w:right w:val="single" w:sz="8" w:space="0" w:color="000000"/>
            </w:tcBorders>
            <w:shd w:fill="auto" w:val="clear"/>
            <w:tcMar>
              <w:left w:w="0" w:type="dxa"/>
            </w:tcMar>
            <w:vAlign w:val="center"/>
          </w:tcPr>
          <w:p>
            <w:pPr>
              <w:pStyle w:val="TableContents"/>
              <w:spacing w:before="0" w:after="283"/>
              <w:rPr/>
            </w:pPr>
            <w:r>
              <w:rPr/>
              <w:t> </w:t>
            </w:r>
          </w:p>
        </w:tc>
        <w:tc>
          <w:tcPr>
            <w:tcW w:w="965" w:type="dxa"/>
            <w:tcBorders>
              <w:top w:val="single" w:sz="8" w:space="0" w:color="000000"/>
              <w:right w:val="single" w:sz="8" w:space="0" w:color="000000"/>
            </w:tcBorders>
            <w:shd w:fill="auto" w:val="clear"/>
            <w:tcMar>
              <w:left w:w="0" w:type="dxa"/>
            </w:tcMar>
            <w:vAlign w:val="center"/>
          </w:tcPr>
          <w:p>
            <w:pPr>
              <w:pStyle w:val="TableContents"/>
              <w:spacing w:before="0" w:after="283"/>
              <w:rPr/>
            </w:pPr>
            <w:r>
              <w:rPr/>
              <w:t> </w:t>
            </w:r>
          </w:p>
        </w:tc>
        <w:tc>
          <w:tcPr>
            <w:tcW w:w="2739" w:type="dxa"/>
            <w:tcBorders>
              <w:top w:val="single" w:sz="8" w:space="0" w:color="000000"/>
              <w:right w:val="single" w:sz="8" w:space="0" w:color="000000"/>
            </w:tcBorders>
            <w:shd w:fill="auto" w:val="clear"/>
            <w:tcMar>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Saturn Merger Sub LLC, </w:t>
            </w:r>
            <w:r>
              <w:rPr>
                <w:rFonts w:ascii="Times New Roman;Times;Serif" w:hAnsi="Times New Roman;Times;Serif"/>
                <w:i/>
                <w:sz w:val="20"/>
              </w:rPr>
              <w:t>Chief Executive Officer</w:t>
            </w:r>
          </w:p>
        </w:tc>
        <w:tc>
          <w:tcPr>
            <w:tcW w:w="2052" w:type="dxa"/>
            <w:tcBorders>
              <w:top w:val="single" w:sz="8" w:space="0" w:color="000000"/>
              <w:right w:val="single" w:sz="8" w:space="0" w:color="000000"/>
            </w:tcBorders>
            <w:shd w:fill="auto" w:val="clear"/>
            <w:tcMar>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Merger subsidiary</w:t>
            </w:r>
          </w:p>
        </w:tc>
        <w:tc>
          <w:tcPr>
            <w:tcW w:w="2297" w:type="dxa"/>
            <w:tcBorders>
              <w:top w:val="single" w:sz="8" w:space="0" w:color="000000"/>
              <w:right w:val="single" w:sz="8" w:space="0" w:color="000000"/>
            </w:tcBorders>
            <w:shd w:fill="auto" w:val="clear"/>
            <w:tcMar>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Saturn Merger Sub LLC, </w:t>
            </w:r>
            <w:r>
              <w:rPr>
                <w:rFonts w:ascii="Times New Roman;Times;Serif" w:hAnsi="Times New Roman;Times;Serif"/>
                <w:i/>
                <w:sz w:val="20"/>
              </w:rPr>
              <w:t>Chief Executive Officer</w:t>
            </w:r>
            <w:r>
              <w:rPr>
                <w:rFonts w:ascii="Times New Roman;Times;Serif" w:hAnsi="Times New Roman;Times;Serif"/>
                <w:sz w:val="20"/>
              </w:rPr>
              <w:t xml:space="preserve"> (2023 - current)</w:t>
            </w:r>
          </w:p>
        </w:tc>
      </w:tr>
      <w:tr>
        <w:trPr/>
        <w:tc>
          <w:tcPr>
            <w:tcW w:w="989" w:type="dxa"/>
            <w:tcBorders>
              <w:top w:val="single" w:sz="8" w:space="0" w:color="000000"/>
              <w:left w:val="single" w:sz="8" w:space="0" w:color="000000"/>
              <w:bottom w:val="single" w:sz="8" w:space="0" w:color="000000"/>
              <w:right w:val="single" w:sz="8" w:space="0" w:color="000000"/>
            </w:tcBorders>
            <w:shd w:fill="auto" w:val="clear"/>
            <w:tcMar>
              <w:bottom w:w="28" w:type="dxa"/>
            </w:tcMar>
            <w:vAlign w:val="center"/>
          </w:tcPr>
          <w:p>
            <w:pPr>
              <w:pStyle w:val="TableContents"/>
              <w:spacing w:before="0" w:after="283"/>
              <w:rPr/>
            </w:pPr>
            <w:r>
              <w:rPr/>
              <w:t> </w:t>
            </w:r>
          </w:p>
        </w:tc>
        <w:tc>
          <w:tcPr>
            <w:tcW w:w="1163" w:type="dxa"/>
            <w:tcBorders>
              <w:top w:val="single" w:sz="8" w:space="0" w:color="000000"/>
              <w:bottom w:val="single" w:sz="8" w:space="0" w:color="000000"/>
              <w:right w:val="single" w:sz="8" w:space="0" w:color="000000"/>
            </w:tcBorders>
            <w:shd w:fill="auto" w:val="clear"/>
            <w:tcMar>
              <w:left w:w="0" w:type="dxa"/>
              <w:bottom w:w="28" w:type="dxa"/>
            </w:tcMar>
            <w:vAlign w:val="center"/>
          </w:tcPr>
          <w:p>
            <w:pPr>
              <w:pStyle w:val="TableContents"/>
              <w:spacing w:before="0" w:after="283"/>
              <w:rPr/>
            </w:pPr>
            <w:r>
              <w:rPr/>
              <w:t> </w:t>
            </w:r>
          </w:p>
        </w:tc>
        <w:tc>
          <w:tcPr>
            <w:tcW w:w="965" w:type="dxa"/>
            <w:tcBorders>
              <w:top w:val="single" w:sz="8" w:space="0" w:color="000000"/>
              <w:bottom w:val="single" w:sz="8" w:space="0" w:color="000000"/>
              <w:right w:val="single" w:sz="8" w:space="0" w:color="000000"/>
            </w:tcBorders>
            <w:shd w:fill="auto" w:val="clear"/>
            <w:tcMar>
              <w:left w:w="0" w:type="dxa"/>
              <w:bottom w:w="28" w:type="dxa"/>
            </w:tcMar>
            <w:vAlign w:val="center"/>
          </w:tcPr>
          <w:p>
            <w:pPr>
              <w:pStyle w:val="TableContents"/>
              <w:spacing w:before="0" w:after="283"/>
              <w:rPr/>
            </w:pPr>
            <w:r>
              <w:rPr/>
              <w:t> </w:t>
            </w:r>
          </w:p>
        </w:tc>
        <w:tc>
          <w:tcPr>
            <w:tcW w:w="2739" w:type="dxa"/>
            <w:tcBorders>
              <w:top w:val="single" w:sz="8" w:space="0" w:color="000000"/>
              <w:bottom w:val="single" w:sz="8" w:space="0" w:color="000000"/>
              <w:right w:val="single" w:sz="8" w:space="0" w:color="000000"/>
            </w:tcBorders>
            <w:shd w:fill="auto" w:val="clear"/>
            <w:tcMar>
              <w:left w:w="0" w:type="dxa"/>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GasLog Ltd., </w:t>
            </w:r>
            <w:r>
              <w:rPr>
                <w:rFonts w:ascii="Times New Roman;Times;Serif" w:hAnsi="Times New Roman;Times;Serif"/>
                <w:i/>
                <w:sz w:val="20"/>
              </w:rPr>
              <w:t>Chief Executive Officer</w:t>
            </w:r>
            <w:r>
              <w:rPr>
                <w:rFonts w:ascii="Times New Roman;Times;Serif" w:hAnsi="Times New Roman;Times;Serif"/>
                <w:sz w:val="20"/>
              </w:rPr>
              <w:t>, c/o GasLog LNG Services Ltd., 69 Akti Miaouli 18537 Piraeus, Greece</w:t>
            </w:r>
          </w:p>
        </w:tc>
        <w:tc>
          <w:tcPr>
            <w:tcW w:w="2052" w:type="dxa"/>
            <w:tcBorders>
              <w:top w:val="single" w:sz="8" w:space="0" w:color="000000"/>
              <w:bottom w:val="single" w:sz="8" w:space="0" w:color="000000"/>
              <w:right w:val="single" w:sz="8" w:space="0" w:color="000000"/>
            </w:tcBorders>
            <w:shd w:fill="auto" w:val="clear"/>
            <w:tcMar>
              <w:left w:w="0" w:type="dxa"/>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International owner, operator and manager of LNG carriers</w:t>
            </w:r>
          </w:p>
        </w:tc>
        <w:tc>
          <w:tcPr>
            <w:tcW w:w="2297" w:type="dxa"/>
            <w:tcBorders>
              <w:top w:val="single" w:sz="8" w:space="0" w:color="000000"/>
              <w:bottom w:val="single" w:sz="8" w:space="0" w:color="000000"/>
              <w:right w:val="single" w:sz="8" w:space="0" w:color="000000"/>
            </w:tcBorders>
            <w:shd w:fill="auto" w:val="clear"/>
            <w:tcMar>
              <w:left w:w="0" w:type="dxa"/>
              <w:bottom w:w="28"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GasLog Ltd., </w:t>
            </w:r>
            <w:r>
              <w:rPr>
                <w:rFonts w:ascii="Times New Roman;Times;Serif" w:hAnsi="Times New Roman;Times;Serif"/>
                <w:b w:val="false"/>
                <w:i/>
                <w:caps w:val="false"/>
                <w:smallCaps w:val="false"/>
                <w:sz w:val="20"/>
              </w:rPr>
              <w:t>Chief Executive Officer</w:t>
            </w:r>
            <w:r>
              <w:rPr>
                <w:rFonts w:ascii="Times New Roman;Times;Serif" w:hAnsi="Times New Roman;Times;Serif"/>
                <w:b w:val="false"/>
                <w:i w:val="false"/>
                <w:caps w:val="false"/>
                <w:smallCaps w:val="false"/>
                <w:sz w:val="20"/>
              </w:rPr>
              <w:t xml:space="preserve"> (2022 - current); </w:t>
            </w:r>
            <w:r>
              <w:rPr>
                <w:rFonts w:ascii="Times New Roman;Times;Serif" w:hAnsi="Times New Roman;Times;Serif"/>
                <w:b w:val="false"/>
                <w:i/>
                <w:caps w:val="false"/>
                <w:smallCaps w:val="false"/>
                <w:sz w:val="20"/>
              </w:rPr>
              <w:t>Chief Operating Officer</w:t>
            </w:r>
            <w:r>
              <w:rPr>
                <w:rFonts w:ascii="Times New Roman;Times;Serif" w:hAnsi="Times New Roman;Times;Serif"/>
                <w:b w:val="false"/>
                <w:i w:val="false"/>
                <w:caps w:val="false"/>
                <w:smallCaps w:val="false"/>
                <w:sz w:val="20"/>
              </w:rPr>
              <w:t xml:space="preserve"> (2019 - 2022)</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Stolt Tankers BV, </w:t>
            </w:r>
            <w:r>
              <w:rPr>
                <w:rFonts w:ascii="Times New Roman;Times;Serif" w:hAnsi="Times New Roman;Times;Serif"/>
                <w:b w:val="false"/>
                <w:i/>
                <w:caps w:val="false"/>
                <w:smallCaps w:val="false"/>
                <w:sz w:val="20"/>
              </w:rPr>
              <w:t>Managing Director</w:t>
            </w:r>
            <w:r>
              <w:rPr>
                <w:rFonts w:ascii="Times New Roman;Times;Serif" w:hAnsi="Times New Roman;Times;Serif"/>
                <w:b w:val="false"/>
                <w:i w:val="false"/>
                <w:caps w:val="false"/>
                <w:smallCaps w:val="false"/>
                <w:sz w:val="20"/>
              </w:rPr>
              <w:t xml:space="preserve"> (2015 - 2019)</w:t>
            </w:r>
          </w:p>
        </w:tc>
      </w:tr>
    </w:tbl>
    <w:p>
      <w:pPr>
        <w:pStyle w:val="TextBody"/>
        <w:rPr/>
      </w:pPr>
      <w:r>
        <w:rPr/>
        <w:t> </w:t>
      </w:r>
    </w:p>
    <w:p>
      <w:pPr>
        <w:pStyle w:val="TextBody"/>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129</w:t>
      </w:r>
    </w:p>
    <w:p>
      <w:pPr>
        <w:pStyle w:val="TextBody"/>
        <w:spacing w:before="0" w:after="0"/>
        <w:ind w:left="0" w:right="0" w:hanging="0"/>
        <w:rPr/>
      </w:pPr>
      <w:r>
        <w:rPr/>
        <w:t> </w:t>
      </w:r>
    </w:p>
    <w:p>
      <w:pPr>
        <w:pStyle w:val="TextBody"/>
        <w:rPr/>
      </w:pPr>
      <w:r>
        <w:rPr/>
        <w:t> </w:t>
      </w:r>
    </w:p>
    <w:tbl>
      <w:tblPr>
        <w:tblW w:w="10205" w:type="dxa"/>
        <w:jc w:val="left"/>
        <w:tblInd w:w="0" w:type="dxa"/>
        <w:tblCellMar>
          <w:top w:w="28" w:type="dxa"/>
          <w:left w:w="115" w:type="dxa"/>
          <w:bottom w:w="28" w:type="dxa"/>
          <w:right w:w="115" w:type="dxa"/>
        </w:tblCellMar>
      </w:tblPr>
      <w:tblGrid>
        <w:gridCol w:w="954"/>
        <w:gridCol w:w="1960"/>
        <w:gridCol w:w="1021"/>
        <w:gridCol w:w="2360"/>
        <w:gridCol w:w="2120"/>
        <w:gridCol w:w="1790"/>
      </w:tblGrid>
      <w:tr>
        <w:trPr/>
        <w:tc>
          <w:tcPr>
            <w:tcW w:w="954"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jc w:val="center"/>
              <w:rPr>
                <w:b/>
              </w:rPr>
            </w:pPr>
            <w:r>
              <w:rPr>
                <w:b/>
              </w:rPr>
              <w:t>Director /</w:t>
              <w:br/>
            </w:r>
            <w:r>
              <w:rPr>
                <w:rFonts w:ascii="Times New Roman;Times;Serif" w:hAnsi="Times New Roman;Times;Serif"/>
                <w:b/>
                <w:sz w:val="20"/>
              </w:rPr>
              <w:t>Officer</w:t>
            </w:r>
          </w:p>
        </w:tc>
        <w:tc>
          <w:tcPr>
            <w:tcW w:w="1960"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Address of</w:t>
              <w:br/>
              <w:t xml:space="preserve">Principal </w:t>
              <w:br/>
              <w:t>Office /</w:t>
              <w:br/>
              <w:t>Business</w:t>
            </w:r>
          </w:p>
        </w:tc>
        <w:tc>
          <w:tcPr>
            <w:tcW w:w="1021"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Country of</w:t>
              <w:br/>
              <w:t>Citizenship</w:t>
            </w:r>
          </w:p>
        </w:tc>
        <w:tc>
          <w:tcPr>
            <w:tcW w:w="2360"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Name /</w:t>
              <w:br/>
              <w:t xml:space="preserve">Address of </w:t>
              <w:br/>
              <w:t xml:space="preserve">Principal </w:t>
              <w:br/>
              <w:t xml:space="preserve">Employer </w:t>
              <w:br/>
              <w:t xml:space="preserve">and </w:t>
              <w:br/>
              <w:t>Occupation</w:t>
            </w:r>
          </w:p>
        </w:tc>
        <w:tc>
          <w:tcPr>
            <w:tcW w:w="2120"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Principal</w:t>
              <w:br/>
              <w:t>Business of</w:t>
              <w:br/>
              <w:t>Employer</w:t>
            </w:r>
          </w:p>
        </w:tc>
        <w:tc>
          <w:tcPr>
            <w:tcW w:w="1790"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Material Occupations or</w:t>
              <w:br/>
              <w:t>Positions During Past Five</w:t>
              <w:br/>
              <w:t>Years</w:t>
            </w:r>
          </w:p>
        </w:tc>
      </w:tr>
      <w:tr>
        <w:trPr/>
        <w:tc>
          <w:tcPr>
            <w:tcW w:w="954"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Julian Metherell</w:t>
            </w:r>
          </w:p>
        </w:tc>
        <w:tc>
          <w:tcPr>
            <w:tcW w:w="196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81 Kings Road, London, SW3 4NX, United Kingdom</w:t>
            </w:r>
          </w:p>
        </w:tc>
        <w:tc>
          <w:tcPr>
            <w:tcW w:w="1021"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United Kingdom</w:t>
            </w:r>
          </w:p>
        </w:tc>
        <w:tc>
          <w:tcPr>
            <w:tcW w:w="236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GasLog Partners LP, </w:t>
            </w:r>
            <w:r>
              <w:rPr>
                <w:rFonts w:ascii="Times New Roman;Times;Serif" w:hAnsi="Times New Roman;Times;Serif"/>
                <w:i/>
                <w:sz w:val="20"/>
              </w:rPr>
              <w:t>Director</w:t>
            </w:r>
          </w:p>
        </w:tc>
        <w:tc>
          <w:tcPr>
            <w:tcW w:w="212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See above</w:t>
            </w:r>
          </w:p>
        </w:tc>
        <w:tc>
          <w:tcPr>
            <w:tcW w:w="179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GasLog Partners LP, </w:t>
            </w:r>
            <w:r>
              <w:rPr>
                <w:rFonts w:ascii="Times New Roman;Times;Serif" w:hAnsi="Times New Roman;Times;Serif"/>
                <w:i/>
                <w:sz w:val="20"/>
              </w:rPr>
              <w:t>Director</w:t>
            </w:r>
            <w:r>
              <w:rPr>
                <w:rFonts w:ascii="Times New Roman;Times;Serif" w:hAnsi="Times New Roman;Times;Serif"/>
                <w:sz w:val="20"/>
              </w:rPr>
              <w:t xml:space="preserve"> (2020 - current)</w:t>
            </w:r>
          </w:p>
        </w:tc>
      </w:tr>
      <w:tr>
        <w:trPr/>
        <w:tc>
          <w:tcPr>
            <w:tcW w:w="954"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pPr>
            <w:r>
              <w:rPr/>
              <w:t> </w:t>
            </w:r>
          </w:p>
        </w:tc>
        <w:tc>
          <w:tcPr>
            <w:tcW w:w="196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1021"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236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MW&amp;L Capital, </w:t>
            </w:r>
            <w:r>
              <w:rPr>
                <w:rFonts w:ascii="Times New Roman;Times;Serif" w:hAnsi="Times New Roman;Times;Serif"/>
                <w:i/>
                <w:sz w:val="20"/>
              </w:rPr>
              <w:t>Director</w:t>
            </w:r>
            <w:r>
              <w:rPr>
                <w:rFonts w:ascii="Times New Roman;Times;Serif" w:hAnsi="Times New Roman;Times;Serif"/>
                <w:sz w:val="20"/>
              </w:rPr>
              <w:t>, 81 Kings Road, London, SW3 4NX, United Kingdom</w:t>
            </w:r>
          </w:p>
        </w:tc>
        <w:tc>
          <w:tcPr>
            <w:tcW w:w="212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Investment</w:t>
            </w:r>
          </w:p>
        </w:tc>
        <w:tc>
          <w:tcPr>
            <w:tcW w:w="179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MW&amp;L Capital, </w:t>
            </w:r>
            <w:r>
              <w:rPr>
                <w:rFonts w:ascii="Times New Roman;Times;Serif" w:hAnsi="Times New Roman;Times;Serif"/>
                <w:i/>
                <w:sz w:val="20"/>
              </w:rPr>
              <w:t>Director</w:t>
            </w:r>
            <w:r>
              <w:rPr>
                <w:rFonts w:ascii="Times New Roman;Times;Serif" w:hAnsi="Times New Roman;Times;Serif"/>
                <w:sz w:val="20"/>
              </w:rPr>
              <w:t xml:space="preserve"> (2017 - current)</w:t>
            </w:r>
          </w:p>
        </w:tc>
      </w:tr>
      <w:tr>
        <w:trPr/>
        <w:tc>
          <w:tcPr>
            <w:tcW w:w="954"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pPr>
            <w:r>
              <w:rPr/>
              <w:t> </w:t>
            </w:r>
          </w:p>
        </w:tc>
        <w:tc>
          <w:tcPr>
            <w:tcW w:w="196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1021"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236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GasLog Ltd., </w:t>
            </w:r>
            <w:r>
              <w:rPr>
                <w:rFonts w:ascii="Times New Roman;Times;Serif" w:hAnsi="Times New Roman;Times;Serif"/>
                <w:i/>
                <w:sz w:val="20"/>
              </w:rPr>
              <w:t>Vice-Chairman and Director</w:t>
            </w:r>
          </w:p>
        </w:tc>
        <w:tc>
          <w:tcPr>
            <w:tcW w:w="212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See above</w:t>
            </w:r>
          </w:p>
        </w:tc>
        <w:tc>
          <w:tcPr>
            <w:tcW w:w="179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GasLog Ltd., </w:t>
            </w:r>
            <w:r>
              <w:rPr>
                <w:rFonts w:ascii="Times New Roman;Times;Serif" w:hAnsi="Times New Roman;Times;Serif"/>
                <w:i/>
                <w:sz w:val="20"/>
              </w:rPr>
              <w:t>Vice-Chairman and Director</w:t>
            </w:r>
            <w:r>
              <w:rPr>
                <w:rFonts w:ascii="Times New Roman;Times;Serif" w:hAnsi="Times New Roman;Times;Serif"/>
                <w:sz w:val="20"/>
              </w:rPr>
              <w:t xml:space="preserve"> (2011 - current)</w:t>
            </w:r>
          </w:p>
        </w:tc>
      </w:tr>
      <w:tr>
        <w:trPr/>
        <w:tc>
          <w:tcPr>
            <w:tcW w:w="954"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pPr>
            <w:r>
              <w:rPr/>
              <w:t> </w:t>
            </w:r>
          </w:p>
        </w:tc>
        <w:tc>
          <w:tcPr>
            <w:tcW w:w="196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1021"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236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Well-Safe Solutions Limited, </w:t>
            </w:r>
            <w:r>
              <w:rPr>
                <w:rFonts w:ascii="Times New Roman;Times;Serif" w:hAnsi="Times New Roman;Times;Serif"/>
                <w:i/>
                <w:sz w:val="20"/>
              </w:rPr>
              <w:t>Director,</w:t>
            </w:r>
            <w:r>
              <w:rPr>
                <w:rFonts w:ascii="Times New Roman;Times;Serif" w:hAnsi="Times New Roman;Times;Serif"/>
                <w:sz w:val="20"/>
              </w:rPr>
              <w:t xml:space="preserve"> 28 Albyn Place, Aberdeen, United Kingdom, AB10 1YL</w:t>
            </w:r>
          </w:p>
        </w:tc>
        <w:tc>
          <w:tcPr>
            <w:tcW w:w="212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Oil and gas well decommissioning</w:t>
            </w:r>
          </w:p>
        </w:tc>
        <w:tc>
          <w:tcPr>
            <w:tcW w:w="179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Wellsafe Solutions, </w:t>
            </w:r>
            <w:r>
              <w:rPr>
                <w:rFonts w:ascii="Times New Roman;Times;Serif" w:hAnsi="Times New Roman;Times;Serif"/>
                <w:i/>
                <w:sz w:val="20"/>
              </w:rPr>
              <w:t>Director</w:t>
            </w:r>
            <w:r>
              <w:rPr>
                <w:rFonts w:ascii="Times New Roman;Times;Serif" w:hAnsi="Times New Roman;Times;Serif"/>
                <w:sz w:val="20"/>
              </w:rPr>
              <w:t xml:space="preserve"> (2019 - current)</w:t>
            </w:r>
          </w:p>
        </w:tc>
      </w:tr>
      <w:tr>
        <w:trPr/>
        <w:tc>
          <w:tcPr>
            <w:tcW w:w="954"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pPr>
            <w:r>
              <w:rPr/>
              <w:t> </w:t>
            </w:r>
          </w:p>
        </w:tc>
        <w:tc>
          <w:tcPr>
            <w:tcW w:w="196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1021"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236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Natural Capital Research Limited , </w:t>
            </w:r>
            <w:r>
              <w:rPr>
                <w:rFonts w:ascii="Times New Roman;Times;Serif" w:hAnsi="Times New Roman;Times;Serif"/>
                <w:i/>
                <w:sz w:val="20"/>
              </w:rPr>
              <w:t>Director</w:t>
            </w:r>
            <w:r>
              <w:rPr>
                <w:rFonts w:ascii="Times New Roman;Times;Serif" w:hAnsi="Times New Roman;Times;Serif"/>
                <w:sz w:val="20"/>
              </w:rPr>
              <w:t>, 24 Greville Street, London, United Kingdom, EC1N 8SS</w:t>
            </w:r>
          </w:p>
        </w:tc>
        <w:tc>
          <w:tcPr>
            <w:tcW w:w="212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Data analytics</w:t>
            </w:r>
          </w:p>
        </w:tc>
        <w:tc>
          <w:tcPr>
            <w:tcW w:w="179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Natural Capital Research Limited, </w:t>
            </w:r>
            <w:r>
              <w:rPr>
                <w:rFonts w:ascii="Times New Roman;Times;Serif" w:hAnsi="Times New Roman;Times;Serif"/>
                <w:i/>
                <w:sz w:val="20"/>
              </w:rPr>
              <w:t>Director</w:t>
            </w:r>
            <w:r>
              <w:rPr>
                <w:rFonts w:ascii="Times New Roman;Times;Serif" w:hAnsi="Times New Roman;Times;Serif"/>
                <w:sz w:val="20"/>
              </w:rPr>
              <w:t xml:space="preserve"> (2021 - current) </w:t>
            </w:r>
          </w:p>
        </w:tc>
      </w:tr>
      <w:tr>
        <w:trPr/>
        <w:tc>
          <w:tcPr>
            <w:tcW w:w="954"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pPr>
            <w:r>
              <w:rPr/>
              <w:t> </w:t>
            </w:r>
          </w:p>
        </w:tc>
        <w:tc>
          <w:tcPr>
            <w:tcW w:w="196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1021"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236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Chair Mentors International Limited, </w:t>
            </w:r>
            <w:r>
              <w:rPr>
                <w:rFonts w:ascii="Times New Roman;Times;Serif" w:hAnsi="Times New Roman;Times;Serif"/>
                <w:i/>
                <w:sz w:val="20"/>
              </w:rPr>
              <w:t>Director</w:t>
            </w:r>
            <w:r>
              <w:rPr>
                <w:rFonts w:ascii="Times New Roman;Times;Serif" w:hAnsi="Times New Roman;Times;Serif"/>
                <w:sz w:val="20"/>
              </w:rPr>
              <w:t>, 81 Kings Road, London, England, SW3 4NX</w:t>
            </w:r>
          </w:p>
        </w:tc>
        <w:tc>
          <w:tcPr>
            <w:tcW w:w="212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Provision of corporate executive mentoring to Executives and Board members </w:t>
            </w:r>
          </w:p>
        </w:tc>
        <w:tc>
          <w:tcPr>
            <w:tcW w:w="179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Chair Mentors International Limited, </w:t>
            </w:r>
            <w:r>
              <w:rPr>
                <w:rFonts w:ascii="Times New Roman;Times;Serif" w:hAnsi="Times New Roman;Times;Serif"/>
                <w:i/>
                <w:sz w:val="20"/>
              </w:rPr>
              <w:t>Director</w:t>
            </w:r>
            <w:r>
              <w:rPr>
                <w:rFonts w:ascii="Times New Roman;Times;Serif" w:hAnsi="Times New Roman;Times;Serif"/>
                <w:sz w:val="20"/>
              </w:rPr>
              <w:t xml:space="preserve"> (2019 - current)</w:t>
            </w:r>
          </w:p>
        </w:tc>
      </w:tr>
      <w:tr>
        <w:trPr/>
        <w:tc>
          <w:tcPr>
            <w:tcW w:w="954"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Roland Fisher</w:t>
            </w:r>
          </w:p>
        </w:tc>
        <w:tc>
          <w:tcPr>
            <w:tcW w:w="196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Willy-Brandt-Allee 4, 53113 Bonn, Germany</w:t>
            </w:r>
          </w:p>
        </w:tc>
        <w:tc>
          <w:tcPr>
            <w:tcW w:w="1021"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United Kingdom</w:t>
            </w:r>
          </w:p>
        </w:tc>
        <w:tc>
          <w:tcPr>
            <w:tcW w:w="236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GasLog Partners LP, </w:t>
            </w:r>
            <w:r>
              <w:rPr>
                <w:rFonts w:ascii="Times New Roman;Times;Serif" w:hAnsi="Times New Roman;Times;Serif"/>
                <w:i/>
                <w:sz w:val="20"/>
              </w:rPr>
              <w:t>Director</w:t>
            </w:r>
          </w:p>
        </w:tc>
        <w:tc>
          <w:tcPr>
            <w:tcW w:w="212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See above</w:t>
            </w:r>
          </w:p>
        </w:tc>
        <w:tc>
          <w:tcPr>
            <w:tcW w:w="179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GasLog Partners LP,</w:t>
              <w:br/>
            </w:r>
            <w:r>
              <w:rPr>
                <w:rFonts w:ascii="Times New Roman;Times;Serif" w:hAnsi="Times New Roman;Times;Serif"/>
                <w:i/>
                <w:sz w:val="20"/>
              </w:rPr>
              <w:t>Director</w:t>
            </w:r>
            <w:r>
              <w:rPr>
                <w:rFonts w:ascii="Times New Roman;Times;Serif" w:hAnsi="Times New Roman;Times;Serif"/>
                <w:sz w:val="20"/>
              </w:rPr>
              <w:t xml:space="preserve"> (2021 - current)</w:t>
            </w:r>
          </w:p>
        </w:tc>
      </w:tr>
      <w:tr>
        <w:trPr/>
        <w:tc>
          <w:tcPr>
            <w:tcW w:w="954"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pPr>
            <w:r>
              <w:rPr/>
              <w:t> </w:t>
            </w:r>
          </w:p>
        </w:tc>
        <w:tc>
          <w:tcPr>
            <w:tcW w:w="196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1021"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236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Gasfin Development, SA, </w:t>
            </w:r>
            <w:r>
              <w:rPr>
                <w:rFonts w:ascii="Times New Roman;Times;Serif" w:hAnsi="Times New Roman;Times;Serif"/>
                <w:i/>
                <w:sz w:val="20"/>
              </w:rPr>
              <w:t>Director</w:t>
            </w:r>
            <w:r>
              <w:rPr>
                <w:rFonts w:ascii="Times New Roman;Times;Serif" w:hAnsi="Times New Roman;Times;Serif"/>
                <w:sz w:val="20"/>
              </w:rPr>
              <w:t>, Willy-Brandt-Allee 4, 53113 Germany</w:t>
            </w:r>
          </w:p>
        </w:tc>
        <w:tc>
          <w:tcPr>
            <w:tcW w:w="212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Mid-scale LNG infrastructure</w:t>
            </w:r>
          </w:p>
        </w:tc>
        <w:tc>
          <w:tcPr>
            <w:tcW w:w="179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Gasfin Development, SA, </w:t>
            </w:r>
            <w:r>
              <w:rPr>
                <w:rFonts w:ascii="Times New Roman;Times;Serif" w:hAnsi="Times New Roman;Times;Serif"/>
                <w:i/>
                <w:sz w:val="20"/>
              </w:rPr>
              <w:t xml:space="preserve">Director </w:t>
            </w:r>
            <w:r>
              <w:rPr>
                <w:rFonts w:ascii="Times New Roman;Times;Serif" w:hAnsi="Times New Roman;Times;Serif"/>
                <w:sz w:val="20"/>
              </w:rPr>
              <w:t>(2010 - current)</w:t>
            </w:r>
          </w:p>
        </w:tc>
      </w:tr>
      <w:tr>
        <w:trPr/>
        <w:tc>
          <w:tcPr>
            <w:tcW w:w="954"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pPr>
            <w:r>
              <w:rPr/>
              <w:t> </w:t>
            </w:r>
          </w:p>
        </w:tc>
        <w:tc>
          <w:tcPr>
            <w:tcW w:w="196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1021"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236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Transition Energy Group, </w:t>
            </w:r>
            <w:r>
              <w:rPr>
                <w:rFonts w:ascii="Times New Roman;Times;Serif" w:hAnsi="Times New Roman;Times;Serif"/>
                <w:i/>
                <w:sz w:val="20"/>
              </w:rPr>
              <w:t>Director</w:t>
            </w:r>
            <w:r>
              <w:rPr>
                <w:rFonts w:ascii="Times New Roman;Times;Serif" w:hAnsi="Times New Roman;Times;Serif"/>
                <w:sz w:val="20"/>
              </w:rPr>
              <w:t>, 5865 Ridgeway Center Pkwy, Ste 389, Memphis, Shelby County, TN, U.S.38120</w:t>
            </w:r>
          </w:p>
        </w:tc>
        <w:tc>
          <w:tcPr>
            <w:tcW w:w="212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Green Ammonia Project Development</w:t>
            </w:r>
          </w:p>
        </w:tc>
        <w:tc>
          <w:tcPr>
            <w:tcW w:w="179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Transition Energy Group, </w:t>
            </w:r>
            <w:r>
              <w:rPr>
                <w:rFonts w:ascii="Times New Roman;Times;Serif" w:hAnsi="Times New Roman;Times;Serif"/>
                <w:i/>
                <w:sz w:val="20"/>
              </w:rPr>
              <w:t>Director</w:t>
            </w:r>
            <w:r>
              <w:rPr>
                <w:rFonts w:ascii="Times New Roman;Times;Serif" w:hAnsi="Times New Roman;Times;Serif"/>
                <w:sz w:val="20"/>
              </w:rPr>
              <w:t xml:space="preserve"> (2022 - current)</w:t>
            </w:r>
          </w:p>
        </w:tc>
      </w:tr>
    </w:tbl>
    <w:p>
      <w:pPr>
        <w:pStyle w:val="TextBody"/>
        <w:rPr/>
      </w:pPr>
      <w:r>
        <w:rPr/>
        <w:t> </w:t>
      </w:r>
    </w:p>
    <w:p>
      <w:pPr>
        <w:pStyle w:val="TextBody"/>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130</w:t>
      </w:r>
    </w:p>
    <w:p>
      <w:pPr>
        <w:pStyle w:val="TextBody"/>
        <w:spacing w:before="0" w:after="0"/>
        <w:ind w:left="0" w:right="0" w:hanging="0"/>
        <w:rPr/>
      </w:pPr>
      <w:r>
        <w:rPr/>
        <w:t> </w:t>
      </w:r>
    </w:p>
    <w:p>
      <w:pPr>
        <w:pStyle w:val="TextBody"/>
        <w:rPr/>
      </w:pPr>
      <w:r>
        <w:rPr/>
        <w:t> </w:t>
      </w:r>
    </w:p>
    <w:tbl>
      <w:tblPr>
        <w:tblW w:w="10205" w:type="dxa"/>
        <w:jc w:val="left"/>
        <w:tblInd w:w="0" w:type="dxa"/>
        <w:tblCellMar>
          <w:top w:w="28" w:type="dxa"/>
          <w:left w:w="115" w:type="dxa"/>
          <w:bottom w:w="28" w:type="dxa"/>
          <w:right w:w="115" w:type="dxa"/>
        </w:tblCellMar>
      </w:tblPr>
      <w:tblGrid>
        <w:gridCol w:w="946"/>
        <w:gridCol w:w="2000"/>
        <w:gridCol w:w="965"/>
        <w:gridCol w:w="1887"/>
        <w:gridCol w:w="1754"/>
        <w:gridCol w:w="2653"/>
      </w:tblGrid>
      <w:tr>
        <w:trPr/>
        <w:tc>
          <w:tcPr>
            <w:tcW w:w="946"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jc w:val="center"/>
              <w:rPr>
                <w:b/>
              </w:rPr>
            </w:pPr>
            <w:r>
              <w:rPr>
                <w:b/>
              </w:rPr>
              <w:t>Director /</w:t>
              <w:br/>
            </w:r>
            <w:r>
              <w:rPr>
                <w:rFonts w:ascii="Times New Roman;Times;Serif" w:hAnsi="Times New Roman;Times;Serif"/>
                <w:b/>
                <w:sz w:val="20"/>
              </w:rPr>
              <w:t>Officer</w:t>
            </w:r>
          </w:p>
        </w:tc>
        <w:tc>
          <w:tcPr>
            <w:tcW w:w="2000"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Address of</w:t>
              <w:br/>
              <w:t xml:space="preserve">Principal </w:t>
              <w:br/>
              <w:t>Office /</w:t>
              <w:br/>
              <w:t>Business</w:t>
            </w:r>
          </w:p>
        </w:tc>
        <w:tc>
          <w:tcPr>
            <w:tcW w:w="965"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Country of</w:t>
              <w:br/>
              <w:t>Citizenship</w:t>
            </w:r>
          </w:p>
        </w:tc>
        <w:tc>
          <w:tcPr>
            <w:tcW w:w="1887"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Name /</w:t>
              <w:br/>
              <w:t xml:space="preserve">Address of </w:t>
              <w:br/>
              <w:t xml:space="preserve">Principal </w:t>
              <w:br/>
              <w:t xml:space="preserve">Employer </w:t>
              <w:br/>
              <w:t xml:space="preserve">and </w:t>
              <w:br/>
              <w:t>Occupation</w:t>
            </w:r>
          </w:p>
        </w:tc>
        <w:tc>
          <w:tcPr>
            <w:tcW w:w="1754"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Principal</w:t>
              <w:br/>
              <w:t>Business of</w:t>
              <w:br/>
              <w:t>Employer</w:t>
            </w:r>
          </w:p>
        </w:tc>
        <w:tc>
          <w:tcPr>
            <w:tcW w:w="2653"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Material Occupations or</w:t>
              <w:br/>
              <w:t>Positions During Past Five</w:t>
              <w:br/>
              <w:t>Years</w:t>
            </w:r>
          </w:p>
        </w:tc>
      </w:tr>
      <w:tr>
        <w:trPr/>
        <w:tc>
          <w:tcPr>
            <w:tcW w:w="946"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Kristin H. Holth</w:t>
            </w:r>
          </w:p>
        </w:tc>
        <w:tc>
          <w:tcPr>
            <w:tcW w:w="200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Tyveholmen kontorfellesskap AS Tjuvholmen Alle 19, 7. floor N-0252 Oslo</w:t>
            </w:r>
          </w:p>
        </w:tc>
        <w:tc>
          <w:tcPr>
            <w:tcW w:w="96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Norway</w:t>
            </w:r>
          </w:p>
        </w:tc>
        <w:tc>
          <w:tcPr>
            <w:tcW w:w="1887"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GasLog Partners LP, </w:t>
            </w:r>
            <w:r>
              <w:rPr>
                <w:rFonts w:ascii="Times New Roman;Times;Serif" w:hAnsi="Times New Roman;Times;Serif"/>
                <w:i/>
                <w:sz w:val="20"/>
              </w:rPr>
              <w:t>Director</w:t>
            </w:r>
          </w:p>
        </w:tc>
        <w:tc>
          <w:tcPr>
            <w:tcW w:w="1754"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Advisory Services including Non-Executive Director Positions</w:t>
            </w:r>
          </w:p>
        </w:tc>
        <w:tc>
          <w:tcPr>
            <w:tcW w:w="2653"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GasLog Partners LP,</w:t>
              <w:br/>
            </w:r>
            <w:r>
              <w:rPr>
                <w:rFonts w:ascii="Times New Roman;Times;Serif" w:hAnsi="Times New Roman;Times;Serif"/>
                <w:b w:val="false"/>
                <w:i/>
                <w:caps w:val="false"/>
                <w:smallCaps w:val="false"/>
                <w:sz w:val="20"/>
              </w:rPr>
              <w:t>Director</w:t>
            </w:r>
            <w:r>
              <w:rPr>
                <w:rFonts w:ascii="Times New Roman;Times;Serif" w:hAnsi="Times New Roman;Times;Serif"/>
                <w:b w:val="false"/>
                <w:i w:val="false"/>
                <w:caps w:val="false"/>
                <w:smallCaps w:val="false"/>
                <w:sz w:val="20"/>
              </w:rPr>
              <w:t xml:space="preserve"> (2021 - current)</w:t>
            </w:r>
          </w:p>
          <w:p>
            <w:pPr>
              <w:pStyle w:val="TableContents"/>
              <w:spacing w:before="0" w:after="0"/>
              <w:ind w:left="0" w:right="0" w:hanging="0"/>
              <w:rPr>
                <w:caps w:val="false"/>
                <w:smallCaps w:val="false"/>
              </w:rPr>
            </w:pPr>
            <w:r>
              <w:rPr>
                <w:caps w:val="false"/>
                <w:smallCaps w:val="false"/>
              </w:rPr>
              <w:t> </w:t>
            </w:r>
          </w:p>
        </w:tc>
      </w:tr>
      <w:tr>
        <w:trPr/>
        <w:tc>
          <w:tcPr>
            <w:tcW w:w="946"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pPr>
            <w:r>
              <w:rPr/>
              <w:t> </w:t>
            </w:r>
          </w:p>
        </w:tc>
        <w:tc>
          <w:tcPr>
            <w:tcW w:w="200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96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1887"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Noble Corp, </w:t>
            </w:r>
            <w:r>
              <w:rPr>
                <w:rFonts w:ascii="Times New Roman;Times;Serif" w:hAnsi="Times New Roman;Times;Serif"/>
                <w:i/>
                <w:sz w:val="20"/>
              </w:rPr>
              <w:t>Director</w:t>
            </w:r>
            <w:r>
              <w:rPr>
                <w:rFonts w:ascii="Times New Roman;Times;Serif" w:hAnsi="Times New Roman;Times;Serif"/>
                <w:sz w:val="20"/>
              </w:rPr>
              <w:t>, 3rd Floor, 1 Ashley Road, Altrincham, Cheshire, U.K. WA14 2DT</w:t>
            </w:r>
          </w:p>
        </w:tc>
        <w:tc>
          <w:tcPr>
            <w:tcW w:w="1754"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Offshore drilling contractor</w:t>
            </w:r>
          </w:p>
        </w:tc>
        <w:tc>
          <w:tcPr>
            <w:tcW w:w="2653"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Noble Corp, </w:t>
            </w:r>
            <w:r>
              <w:rPr>
                <w:rFonts w:ascii="Times New Roman;Times;Serif" w:hAnsi="Times New Roman;Times;Serif"/>
                <w:i/>
                <w:sz w:val="20"/>
              </w:rPr>
              <w:t>Director</w:t>
            </w:r>
            <w:r>
              <w:rPr>
                <w:rFonts w:ascii="Times New Roman;Times;Serif" w:hAnsi="Times New Roman;Times;Serif"/>
                <w:sz w:val="20"/>
              </w:rPr>
              <w:t xml:space="preserve"> (2022 - current)</w:t>
            </w:r>
          </w:p>
        </w:tc>
      </w:tr>
      <w:tr>
        <w:trPr/>
        <w:tc>
          <w:tcPr>
            <w:tcW w:w="946"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pPr>
            <w:r>
              <w:rPr/>
              <w:t> </w:t>
            </w:r>
          </w:p>
        </w:tc>
        <w:tc>
          <w:tcPr>
            <w:tcW w:w="200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96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1887"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Maersk Tankers A/S, </w:t>
            </w:r>
            <w:r>
              <w:rPr>
                <w:rFonts w:ascii="Times New Roman;Times;Serif" w:hAnsi="Times New Roman;Times;Serif"/>
                <w:i/>
                <w:sz w:val="20"/>
              </w:rPr>
              <w:t>Director</w:t>
            </w:r>
            <w:r>
              <w:rPr>
                <w:rFonts w:ascii="Times New Roman;Times;Serif" w:hAnsi="Times New Roman;Times;Serif"/>
                <w:sz w:val="20"/>
              </w:rPr>
              <w:t>, Holmbladsgade 133, 2300 Copenhagen, Denmark</w:t>
            </w:r>
          </w:p>
        </w:tc>
        <w:tc>
          <w:tcPr>
            <w:tcW w:w="1754"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Service company in the tanker industry</w:t>
            </w:r>
          </w:p>
        </w:tc>
        <w:tc>
          <w:tcPr>
            <w:tcW w:w="2653"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Maersk Tankers A/S, </w:t>
            </w:r>
            <w:r>
              <w:rPr>
                <w:rFonts w:ascii="Times New Roman;Times;Serif" w:hAnsi="Times New Roman;Times;Serif"/>
                <w:i/>
                <w:sz w:val="20"/>
              </w:rPr>
              <w:t>Director</w:t>
            </w:r>
            <w:r>
              <w:rPr>
                <w:rFonts w:ascii="Times New Roman;Times;Serif" w:hAnsi="Times New Roman;Times;Serif"/>
                <w:sz w:val="20"/>
              </w:rPr>
              <w:t xml:space="preserve"> (2021 - current)</w:t>
            </w:r>
          </w:p>
        </w:tc>
      </w:tr>
      <w:tr>
        <w:trPr/>
        <w:tc>
          <w:tcPr>
            <w:tcW w:w="946"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pPr>
            <w:r>
              <w:rPr/>
              <w:t> </w:t>
            </w:r>
          </w:p>
        </w:tc>
        <w:tc>
          <w:tcPr>
            <w:tcW w:w="200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96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1887"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Hitec Vision AS, </w:t>
            </w:r>
            <w:r>
              <w:rPr>
                <w:rFonts w:ascii="Times New Roman;Times;Serif" w:hAnsi="Times New Roman;Times;Serif"/>
                <w:i/>
                <w:sz w:val="20"/>
              </w:rPr>
              <w:t>Director</w:t>
            </w:r>
            <w:r>
              <w:rPr>
                <w:rFonts w:ascii="Times New Roman;Times;Serif" w:hAnsi="Times New Roman;Times;Serif"/>
                <w:sz w:val="20"/>
              </w:rPr>
              <w:t>, 4th Floor, P.O. Box 8120, 4068 Stavanger, Norway</w:t>
            </w:r>
          </w:p>
        </w:tc>
        <w:tc>
          <w:tcPr>
            <w:tcW w:w="1754"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Capital investment in energy</w:t>
            </w:r>
          </w:p>
        </w:tc>
        <w:tc>
          <w:tcPr>
            <w:tcW w:w="2653"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Hitec Vision AS, </w:t>
            </w:r>
            <w:r>
              <w:rPr>
                <w:rFonts w:ascii="Times New Roman;Times;Serif" w:hAnsi="Times New Roman;Times;Serif"/>
                <w:i/>
                <w:sz w:val="20"/>
              </w:rPr>
              <w:t>Director</w:t>
            </w:r>
            <w:r>
              <w:rPr>
                <w:rFonts w:ascii="Times New Roman;Times;Serif" w:hAnsi="Times New Roman;Times;Serif"/>
                <w:sz w:val="20"/>
              </w:rPr>
              <w:t xml:space="preserve"> (2020 - current)</w:t>
            </w:r>
          </w:p>
        </w:tc>
      </w:tr>
      <w:tr>
        <w:trPr/>
        <w:tc>
          <w:tcPr>
            <w:tcW w:w="946"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pPr>
            <w:r>
              <w:rPr/>
              <w:t> </w:t>
            </w:r>
          </w:p>
        </w:tc>
        <w:tc>
          <w:tcPr>
            <w:tcW w:w="200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96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1887"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Asset Buyout Partner A.S., </w:t>
            </w:r>
            <w:r>
              <w:rPr>
                <w:rFonts w:ascii="Times New Roman;Times;Serif" w:hAnsi="Times New Roman;Times;Serif"/>
                <w:i/>
                <w:sz w:val="20"/>
              </w:rPr>
              <w:t>Director</w:t>
            </w:r>
            <w:r>
              <w:rPr>
                <w:rFonts w:ascii="Times New Roman;Times;Serif" w:hAnsi="Times New Roman;Times;Serif"/>
                <w:sz w:val="20"/>
              </w:rPr>
              <w:t>, Haakon VIIs gate 6, 0161 Oslo, Norway</w:t>
            </w:r>
          </w:p>
        </w:tc>
        <w:tc>
          <w:tcPr>
            <w:tcW w:w="1754"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Industrial real estate</w:t>
            </w:r>
          </w:p>
        </w:tc>
        <w:tc>
          <w:tcPr>
            <w:tcW w:w="2653"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Asset Buyout Partner A.S., </w:t>
            </w:r>
            <w:r>
              <w:rPr>
                <w:rFonts w:ascii="Times New Roman;Times;Serif" w:hAnsi="Times New Roman;Times;Serif"/>
                <w:i/>
                <w:sz w:val="20"/>
              </w:rPr>
              <w:t>Director</w:t>
            </w:r>
            <w:r>
              <w:rPr>
                <w:rFonts w:ascii="Times New Roman;Times;Serif" w:hAnsi="Times New Roman;Times;Serif"/>
                <w:sz w:val="20"/>
              </w:rPr>
              <w:t xml:space="preserve"> (2020 - current)</w:t>
            </w:r>
          </w:p>
        </w:tc>
      </w:tr>
      <w:tr>
        <w:trPr/>
        <w:tc>
          <w:tcPr>
            <w:tcW w:w="946"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pPr>
            <w:r>
              <w:rPr/>
              <w:t> </w:t>
            </w:r>
          </w:p>
        </w:tc>
        <w:tc>
          <w:tcPr>
            <w:tcW w:w="200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96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1887"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Equality Check AS, </w:t>
            </w:r>
            <w:r>
              <w:rPr>
                <w:rFonts w:ascii="Times New Roman;Times;Serif" w:hAnsi="Times New Roman;Times;Serif"/>
                <w:i/>
                <w:sz w:val="20"/>
              </w:rPr>
              <w:t>Director</w:t>
            </w:r>
            <w:r>
              <w:rPr>
                <w:rFonts w:ascii="Times New Roman;Times;Serif" w:hAnsi="Times New Roman;Times;Serif"/>
                <w:sz w:val="20"/>
              </w:rPr>
              <w:t>, Torggata 8, 0181 Oslo, Norway</w:t>
            </w:r>
          </w:p>
        </w:tc>
        <w:tc>
          <w:tcPr>
            <w:tcW w:w="1754"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HR analytics software</w:t>
            </w:r>
          </w:p>
        </w:tc>
        <w:tc>
          <w:tcPr>
            <w:tcW w:w="2653"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Equality Check AS, </w:t>
            </w:r>
            <w:r>
              <w:rPr>
                <w:rFonts w:ascii="Times New Roman;Times;Serif" w:hAnsi="Times New Roman;Times;Serif"/>
                <w:i/>
                <w:sz w:val="20"/>
              </w:rPr>
              <w:t>Director</w:t>
            </w:r>
            <w:r>
              <w:rPr>
                <w:rFonts w:ascii="Times New Roman;Times;Serif" w:hAnsi="Times New Roman;Times;Serif"/>
                <w:sz w:val="20"/>
              </w:rPr>
              <w:t xml:space="preserve"> (2021 - current)</w:t>
            </w:r>
          </w:p>
        </w:tc>
      </w:tr>
      <w:tr>
        <w:trPr/>
        <w:tc>
          <w:tcPr>
            <w:tcW w:w="946"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pPr>
            <w:r>
              <w:rPr/>
              <w:t> </w:t>
            </w:r>
          </w:p>
        </w:tc>
        <w:tc>
          <w:tcPr>
            <w:tcW w:w="200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96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1887"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1754"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2653"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GasLog Ltd., </w:t>
            </w:r>
            <w:r>
              <w:rPr>
                <w:rFonts w:ascii="Times New Roman;Times;Serif" w:hAnsi="Times New Roman;Times;Serif"/>
                <w:b w:val="false"/>
                <w:i/>
                <w:caps w:val="false"/>
                <w:smallCaps w:val="false"/>
                <w:sz w:val="20"/>
              </w:rPr>
              <w:t>Director</w:t>
            </w:r>
            <w:r>
              <w:rPr>
                <w:rFonts w:ascii="Times New Roman;Times;Serif" w:hAnsi="Times New Roman;Times;Serif"/>
                <w:b w:val="false"/>
                <w:i w:val="false"/>
                <w:caps w:val="false"/>
                <w:smallCaps w:val="false"/>
                <w:sz w:val="20"/>
              </w:rPr>
              <w:t xml:space="preserve"> (2020 - 2021)</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DNB Bank ASA, </w:t>
            </w:r>
            <w:r>
              <w:rPr>
                <w:rFonts w:ascii="Times New Roman;Times;Serif" w:hAnsi="Times New Roman;Times;Serif"/>
                <w:b w:val="false"/>
                <w:i/>
                <w:caps w:val="false"/>
                <w:smallCaps w:val="false"/>
                <w:sz w:val="20"/>
              </w:rPr>
              <w:t>Executive Vice President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Global Head of Ocean Industries</w:t>
            </w:r>
            <w:r>
              <w:rPr>
                <w:rFonts w:ascii="Times New Roman;Times;Serif" w:hAnsi="Times New Roman;Times;Serif"/>
                <w:b w:val="false"/>
                <w:i w:val="false"/>
                <w:caps w:val="false"/>
                <w:smallCaps w:val="false"/>
                <w:sz w:val="20"/>
              </w:rPr>
              <w:t xml:space="preserve"> (2017 - 2020) and </w:t>
            </w:r>
            <w:r>
              <w:rPr>
                <w:rFonts w:ascii="Times New Roman;Times;Serif" w:hAnsi="Times New Roman;Times;Serif"/>
                <w:b w:val="false"/>
                <w:i/>
                <w:caps w:val="false"/>
                <w:smallCaps w:val="false"/>
                <w:sz w:val="20"/>
              </w:rPr>
              <w:t>Global Head of Shipping, Offshore &amp; Logistics</w:t>
            </w:r>
            <w:r>
              <w:rPr>
                <w:rFonts w:ascii="Times New Roman;Times;Serif" w:hAnsi="Times New Roman;Times;Serif"/>
                <w:b w:val="false"/>
                <w:i w:val="false"/>
                <w:caps w:val="false"/>
                <w:smallCaps w:val="false"/>
                <w:sz w:val="20"/>
              </w:rPr>
              <w:t xml:space="preserve"> (2013 - 2017)</w:t>
            </w:r>
          </w:p>
        </w:tc>
      </w:tr>
    </w:tbl>
    <w:p>
      <w:pPr>
        <w:pStyle w:val="TextBody"/>
        <w:rPr/>
      </w:pPr>
      <w:r>
        <w:rPr/>
        <w:t> </w:t>
      </w:r>
    </w:p>
    <w:p>
      <w:pPr>
        <w:pStyle w:val="TextBody"/>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131</w:t>
      </w:r>
    </w:p>
    <w:p>
      <w:pPr>
        <w:pStyle w:val="TextBody"/>
        <w:spacing w:before="0" w:after="0"/>
        <w:ind w:left="0" w:right="0" w:hanging="0"/>
        <w:rPr/>
      </w:pPr>
      <w:r>
        <w:rPr/>
        <w:t> </w:t>
      </w:r>
    </w:p>
    <w:p>
      <w:pPr>
        <w:pStyle w:val="TextBody"/>
        <w:rPr/>
      </w:pPr>
      <w:r>
        <w:rPr/>
        <w:t> </w:t>
      </w:r>
    </w:p>
    <w:tbl>
      <w:tblPr>
        <w:tblW w:w="10205" w:type="dxa"/>
        <w:jc w:val="left"/>
        <w:tblInd w:w="0" w:type="dxa"/>
        <w:tblCellMar>
          <w:top w:w="28" w:type="dxa"/>
          <w:left w:w="115" w:type="dxa"/>
          <w:bottom w:w="28" w:type="dxa"/>
          <w:right w:w="115" w:type="dxa"/>
        </w:tblCellMar>
      </w:tblPr>
      <w:tblGrid>
        <w:gridCol w:w="921"/>
        <w:gridCol w:w="1198"/>
        <w:gridCol w:w="965"/>
        <w:gridCol w:w="2584"/>
        <w:gridCol w:w="2121"/>
        <w:gridCol w:w="2416"/>
      </w:tblGrid>
      <w:tr>
        <w:trPr/>
        <w:tc>
          <w:tcPr>
            <w:tcW w:w="921"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jc w:val="center"/>
              <w:rPr>
                <w:b/>
              </w:rPr>
            </w:pPr>
            <w:r>
              <w:rPr>
                <w:b/>
              </w:rPr>
              <w:t>Director /</w:t>
              <w:br/>
            </w:r>
            <w:r>
              <w:rPr>
                <w:rFonts w:ascii="Times New Roman;Times;Serif" w:hAnsi="Times New Roman;Times;Serif"/>
                <w:b/>
                <w:sz w:val="20"/>
              </w:rPr>
              <w:t>Officer</w:t>
            </w:r>
          </w:p>
        </w:tc>
        <w:tc>
          <w:tcPr>
            <w:tcW w:w="1198"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Address of</w:t>
              <w:br/>
              <w:t xml:space="preserve">Principal </w:t>
              <w:br/>
              <w:t>Office /</w:t>
              <w:br/>
              <w:t>Business</w:t>
            </w:r>
          </w:p>
        </w:tc>
        <w:tc>
          <w:tcPr>
            <w:tcW w:w="965"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Country of</w:t>
              <w:br/>
              <w:t>Citizenship</w:t>
            </w:r>
          </w:p>
        </w:tc>
        <w:tc>
          <w:tcPr>
            <w:tcW w:w="2584"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Name /</w:t>
              <w:br/>
              <w:t xml:space="preserve">Address of </w:t>
              <w:br/>
              <w:t xml:space="preserve">Principal </w:t>
              <w:br/>
              <w:t xml:space="preserve">Employer </w:t>
              <w:br/>
              <w:t xml:space="preserve">and </w:t>
              <w:br/>
              <w:t>Occupation</w:t>
            </w:r>
          </w:p>
        </w:tc>
        <w:tc>
          <w:tcPr>
            <w:tcW w:w="2121"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Principal</w:t>
              <w:br/>
              <w:t>Business of</w:t>
              <w:br/>
              <w:t>Employer</w:t>
            </w:r>
          </w:p>
        </w:tc>
        <w:tc>
          <w:tcPr>
            <w:tcW w:w="2416"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Material Occupations or</w:t>
              <w:br/>
              <w:t>Positions During Past Five</w:t>
              <w:br/>
              <w:t>Years</w:t>
            </w:r>
          </w:p>
        </w:tc>
      </w:tr>
      <w:tr>
        <w:trPr/>
        <w:tc>
          <w:tcPr>
            <w:tcW w:w="10205" w:type="dxa"/>
            <w:gridSpan w:val="6"/>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i/>
                <w:sz w:val="20"/>
              </w:rPr>
            </w:pPr>
            <w:r>
              <w:rPr>
                <w:rFonts w:ascii="Times New Roman;Times;Serif" w:hAnsi="Times New Roman;Times;Serif"/>
                <w:i/>
                <w:sz w:val="20"/>
              </w:rPr>
              <w:t>Executive Officers</w:t>
            </w:r>
          </w:p>
        </w:tc>
      </w:tr>
      <w:tr>
        <w:trPr/>
        <w:tc>
          <w:tcPr>
            <w:tcW w:w="921"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Paolo Enoizi</w:t>
            </w:r>
          </w:p>
        </w:tc>
        <w:tc>
          <w:tcPr>
            <w:tcW w:w="119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c/o GasLog LNG Services Ltd.,</w:t>
              <w:br/>
              <w:t>69 Akti Miaouli 18537 Piraeus, Greece</w:t>
            </w:r>
          </w:p>
        </w:tc>
        <w:tc>
          <w:tcPr>
            <w:tcW w:w="96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Italy</w:t>
            </w:r>
          </w:p>
        </w:tc>
        <w:tc>
          <w:tcPr>
            <w:tcW w:w="2584"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GasLog Partners LP, </w:t>
            </w:r>
            <w:r>
              <w:rPr>
                <w:rFonts w:ascii="Times New Roman;Times;Serif" w:hAnsi="Times New Roman;Times;Serif"/>
                <w:i/>
                <w:sz w:val="20"/>
              </w:rPr>
              <w:t>Chief Executive Officer</w:t>
            </w:r>
            <w:r>
              <w:rPr>
                <w:rFonts w:ascii="Times New Roman;Times;Serif" w:hAnsi="Times New Roman;Times;Serif"/>
                <w:sz w:val="20"/>
              </w:rPr>
              <w:t>, c/o GasLog LNG Services Ltd., 69 Akti Miaouli 18537 Piraeus, Greece</w:t>
            </w:r>
          </w:p>
        </w:tc>
        <w:tc>
          <w:tcPr>
            <w:tcW w:w="2121"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See above</w:t>
            </w:r>
          </w:p>
        </w:tc>
        <w:tc>
          <w:tcPr>
            <w:tcW w:w="2416"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GasLog Partners LP, </w:t>
            </w:r>
            <w:r>
              <w:rPr>
                <w:rFonts w:ascii="Times New Roman;Times;Serif" w:hAnsi="Times New Roman;Times;Serif"/>
                <w:i/>
                <w:sz w:val="20"/>
              </w:rPr>
              <w:t xml:space="preserve">Director and Chief Executive Officer </w:t>
            </w:r>
            <w:r>
              <w:rPr>
                <w:rFonts w:ascii="Times New Roman;Times;Serif" w:hAnsi="Times New Roman;Times;Serif"/>
                <w:sz w:val="20"/>
              </w:rPr>
              <w:t xml:space="preserve">(2021 - current); </w:t>
            </w:r>
            <w:r>
              <w:rPr>
                <w:rFonts w:ascii="Times New Roman;Times;Serif" w:hAnsi="Times New Roman;Times;Serif"/>
                <w:i/>
                <w:sz w:val="20"/>
              </w:rPr>
              <w:t xml:space="preserve">Chief Operating Officer </w:t>
            </w:r>
            <w:r>
              <w:rPr>
                <w:rFonts w:ascii="Times New Roman;Times;Serif" w:hAnsi="Times New Roman;Times;Serif"/>
                <w:sz w:val="20"/>
              </w:rPr>
              <w:t>(2019 - 2022)</w:t>
            </w:r>
          </w:p>
        </w:tc>
      </w:tr>
      <w:tr>
        <w:trPr/>
        <w:tc>
          <w:tcPr>
            <w:tcW w:w="921"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pPr>
            <w:r>
              <w:rPr/>
              <w:t> </w:t>
            </w:r>
          </w:p>
        </w:tc>
        <w:tc>
          <w:tcPr>
            <w:tcW w:w="119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96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2584"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HiLo Maritime Risk Management Limited, </w:t>
            </w:r>
            <w:r>
              <w:rPr>
                <w:rFonts w:ascii="Times New Roman;Times;Serif" w:hAnsi="Times New Roman;Times;Serif"/>
                <w:i/>
                <w:sz w:val="20"/>
              </w:rPr>
              <w:t>Director</w:t>
            </w:r>
            <w:r>
              <w:rPr>
                <w:rFonts w:ascii="Times New Roman;Times;Serif" w:hAnsi="Times New Roman;Times;Serif"/>
                <w:sz w:val="20"/>
              </w:rPr>
              <w:t>, Thanet House Business Centre, 231-232 Strand, London, U.K. WC2R 1DA</w:t>
            </w:r>
          </w:p>
        </w:tc>
        <w:tc>
          <w:tcPr>
            <w:tcW w:w="2121"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Joint industry non-profit initiative to enhance shipping industry safety</w:t>
            </w:r>
          </w:p>
        </w:tc>
        <w:tc>
          <w:tcPr>
            <w:tcW w:w="2416"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HiLo Maritime Risk Management Limited, </w:t>
            </w:r>
            <w:r>
              <w:rPr>
                <w:rFonts w:ascii="Times New Roman;Times;Serif" w:hAnsi="Times New Roman;Times;Serif"/>
                <w:i/>
                <w:sz w:val="20"/>
              </w:rPr>
              <w:t xml:space="preserve">Director </w:t>
            </w:r>
            <w:r>
              <w:rPr>
                <w:rFonts w:ascii="Times New Roman;Times;Serif" w:hAnsi="Times New Roman;Times;Serif"/>
                <w:sz w:val="20"/>
              </w:rPr>
              <w:t>(2020 - current)</w:t>
            </w:r>
          </w:p>
        </w:tc>
      </w:tr>
      <w:tr>
        <w:trPr/>
        <w:tc>
          <w:tcPr>
            <w:tcW w:w="921"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pPr>
            <w:r>
              <w:rPr/>
              <w:t> </w:t>
            </w:r>
          </w:p>
        </w:tc>
        <w:tc>
          <w:tcPr>
            <w:tcW w:w="119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96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2584"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xml:space="preserve">Gastrade, </w:t>
            </w:r>
            <w:r>
              <w:rPr>
                <w:i/>
              </w:rPr>
              <w:t>Director</w:t>
            </w:r>
            <w:r>
              <w:rPr/>
              <w:t>, Leof. Kifisias 197, Marousi 151 24</w:t>
            </w:r>
          </w:p>
        </w:tc>
        <w:tc>
          <w:tcPr>
            <w:tcW w:w="2121"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Development, operation and management of natural gas systems</w:t>
            </w:r>
          </w:p>
        </w:tc>
        <w:tc>
          <w:tcPr>
            <w:tcW w:w="2416"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xml:space="preserve">Gastrade, </w:t>
            </w:r>
            <w:r>
              <w:rPr>
                <w:i/>
              </w:rPr>
              <w:t xml:space="preserve">Director </w:t>
            </w:r>
            <w:r>
              <w:rPr/>
              <w:t>(2020- current)</w:t>
            </w:r>
          </w:p>
        </w:tc>
      </w:tr>
      <w:tr>
        <w:trPr/>
        <w:tc>
          <w:tcPr>
            <w:tcW w:w="921"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pPr>
            <w:r>
              <w:rPr/>
              <w:t> </w:t>
            </w:r>
          </w:p>
        </w:tc>
        <w:tc>
          <w:tcPr>
            <w:tcW w:w="119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96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2584"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Saturn Merger Sub LLC, </w:t>
            </w:r>
            <w:r>
              <w:rPr>
                <w:rFonts w:ascii="Times New Roman;Times;Serif" w:hAnsi="Times New Roman;Times;Serif"/>
                <w:i/>
                <w:sz w:val="20"/>
              </w:rPr>
              <w:t>Chief Executive Officer</w:t>
            </w:r>
          </w:p>
        </w:tc>
        <w:tc>
          <w:tcPr>
            <w:tcW w:w="2121"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See above</w:t>
            </w:r>
          </w:p>
        </w:tc>
        <w:tc>
          <w:tcPr>
            <w:tcW w:w="2416"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Saturn Merger Sub LLC, </w:t>
            </w:r>
            <w:r>
              <w:rPr>
                <w:rFonts w:ascii="Times New Roman;Times;Serif" w:hAnsi="Times New Roman;Times;Serif"/>
                <w:i/>
                <w:sz w:val="20"/>
              </w:rPr>
              <w:t>Chief Executive Officer</w:t>
            </w:r>
            <w:r>
              <w:rPr>
                <w:rFonts w:ascii="Times New Roman;Times;Serif" w:hAnsi="Times New Roman;Times;Serif"/>
                <w:sz w:val="20"/>
              </w:rPr>
              <w:t xml:space="preserve"> (2023 - current)</w:t>
            </w:r>
          </w:p>
        </w:tc>
      </w:tr>
      <w:tr>
        <w:trPr/>
        <w:tc>
          <w:tcPr>
            <w:tcW w:w="921"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pPr>
            <w:r>
              <w:rPr/>
              <w:t> </w:t>
            </w:r>
          </w:p>
        </w:tc>
        <w:tc>
          <w:tcPr>
            <w:tcW w:w="119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96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2584"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GasLog Ltd., </w:t>
            </w:r>
            <w:r>
              <w:rPr>
                <w:rFonts w:ascii="Times New Roman;Times;Serif" w:hAnsi="Times New Roman;Times;Serif"/>
                <w:i/>
                <w:sz w:val="20"/>
              </w:rPr>
              <w:t>Chief Executive Officer</w:t>
            </w:r>
            <w:r>
              <w:rPr>
                <w:rFonts w:ascii="Times New Roman;Times;Serif" w:hAnsi="Times New Roman;Times;Serif"/>
                <w:sz w:val="20"/>
              </w:rPr>
              <w:t>, c/o GasLog LNG Services Ltd., 69 Akti Miaouli 18537 Piraeus, Greece</w:t>
            </w:r>
          </w:p>
        </w:tc>
        <w:tc>
          <w:tcPr>
            <w:tcW w:w="2121"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See above</w:t>
            </w:r>
          </w:p>
        </w:tc>
        <w:tc>
          <w:tcPr>
            <w:tcW w:w="2416"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GasLog Ltd., </w:t>
            </w:r>
            <w:r>
              <w:rPr>
                <w:rFonts w:ascii="Times New Roman;Times;Serif" w:hAnsi="Times New Roman;Times;Serif"/>
                <w:b w:val="false"/>
                <w:i/>
                <w:caps w:val="false"/>
                <w:smallCaps w:val="false"/>
                <w:sz w:val="20"/>
              </w:rPr>
              <w:t>Chief Executive Officer</w:t>
            </w:r>
            <w:r>
              <w:rPr>
                <w:rFonts w:ascii="Times New Roman;Times;Serif" w:hAnsi="Times New Roman;Times;Serif"/>
                <w:b w:val="false"/>
                <w:i w:val="false"/>
                <w:caps w:val="false"/>
                <w:smallCaps w:val="false"/>
                <w:sz w:val="20"/>
              </w:rPr>
              <w:t xml:space="preserve"> (2022 - current); </w:t>
            </w:r>
            <w:r>
              <w:rPr>
                <w:rFonts w:ascii="Times New Roman;Times;Serif" w:hAnsi="Times New Roman;Times;Serif"/>
                <w:b w:val="false"/>
                <w:i/>
                <w:caps w:val="false"/>
                <w:smallCaps w:val="false"/>
                <w:sz w:val="20"/>
              </w:rPr>
              <w:t>Chief Operating Officer</w:t>
            </w:r>
            <w:r>
              <w:rPr>
                <w:rFonts w:ascii="Times New Roman;Times;Serif" w:hAnsi="Times New Roman;Times;Serif"/>
                <w:b w:val="false"/>
                <w:i w:val="false"/>
                <w:caps w:val="false"/>
                <w:smallCaps w:val="false"/>
                <w:sz w:val="20"/>
              </w:rPr>
              <w:t xml:space="preserve"> (2019 - 2022)</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Stolt Tankers BV, </w:t>
            </w:r>
            <w:r>
              <w:rPr>
                <w:rFonts w:ascii="Times New Roman;Times;Serif" w:hAnsi="Times New Roman;Times;Serif"/>
                <w:b w:val="false"/>
                <w:i/>
                <w:caps w:val="false"/>
                <w:smallCaps w:val="false"/>
                <w:sz w:val="20"/>
              </w:rPr>
              <w:t>Managing Director</w:t>
            </w:r>
            <w:r>
              <w:rPr>
                <w:rFonts w:ascii="Times New Roman;Times;Serif" w:hAnsi="Times New Roman;Times;Serif"/>
                <w:b w:val="false"/>
                <w:i w:val="false"/>
                <w:caps w:val="false"/>
                <w:smallCaps w:val="false"/>
                <w:sz w:val="20"/>
              </w:rPr>
              <w:t xml:space="preserve"> (2015 - 2019)</w:t>
            </w:r>
          </w:p>
        </w:tc>
      </w:tr>
    </w:tbl>
    <w:p>
      <w:pPr>
        <w:pStyle w:val="TextBody"/>
        <w:rPr/>
      </w:pPr>
      <w:r>
        <w:rPr/>
        <w:t> </w:t>
      </w:r>
    </w:p>
    <w:p>
      <w:pPr>
        <w:pStyle w:val="TextBody"/>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132</w:t>
      </w:r>
    </w:p>
    <w:p>
      <w:pPr>
        <w:pStyle w:val="TextBody"/>
        <w:spacing w:before="0" w:after="0"/>
        <w:ind w:left="0" w:right="0" w:hanging="0"/>
        <w:rPr/>
      </w:pPr>
      <w:r>
        <w:rPr/>
        <w:t> </w:t>
      </w:r>
    </w:p>
    <w:p>
      <w:pPr>
        <w:pStyle w:val="TextBody"/>
        <w:rPr/>
      </w:pPr>
      <w:r>
        <w:rPr/>
        <w:t> </w:t>
      </w:r>
    </w:p>
    <w:tbl>
      <w:tblPr>
        <w:tblW w:w="10205" w:type="dxa"/>
        <w:jc w:val="left"/>
        <w:tblInd w:w="0" w:type="dxa"/>
        <w:tblCellMar>
          <w:top w:w="28" w:type="dxa"/>
          <w:left w:w="115" w:type="dxa"/>
          <w:bottom w:w="28" w:type="dxa"/>
          <w:right w:w="115" w:type="dxa"/>
        </w:tblCellMar>
      </w:tblPr>
      <w:tblGrid>
        <w:gridCol w:w="1259"/>
        <w:gridCol w:w="1171"/>
        <w:gridCol w:w="965"/>
        <w:gridCol w:w="2264"/>
        <w:gridCol w:w="1772"/>
        <w:gridCol w:w="2774"/>
      </w:tblGrid>
      <w:tr>
        <w:trPr/>
        <w:tc>
          <w:tcPr>
            <w:tcW w:w="1259"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jc w:val="center"/>
              <w:rPr>
                <w:b/>
              </w:rPr>
            </w:pPr>
            <w:r>
              <w:rPr>
                <w:b/>
              </w:rPr>
              <w:t>Director /</w:t>
              <w:br/>
            </w:r>
            <w:r>
              <w:rPr>
                <w:rFonts w:ascii="Times New Roman;Times;Serif" w:hAnsi="Times New Roman;Times;Serif"/>
                <w:b/>
                <w:sz w:val="20"/>
              </w:rPr>
              <w:t>Officer</w:t>
            </w:r>
          </w:p>
        </w:tc>
        <w:tc>
          <w:tcPr>
            <w:tcW w:w="1171"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Address of</w:t>
              <w:br/>
              <w:t xml:space="preserve">Principal </w:t>
              <w:br/>
              <w:t>Office /</w:t>
              <w:br/>
              <w:t>Business</w:t>
            </w:r>
          </w:p>
        </w:tc>
        <w:tc>
          <w:tcPr>
            <w:tcW w:w="965"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Country of</w:t>
              <w:br/>
              <w:t>Citizenship</w:t>
            </w:r>
          </w:p>
        </w:tc>
        <w:tc>
          <w:tcPr>
            <w:tcW w:w="2264"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Name /</w:t>
              <w:br/>
              <w:t xml:space="preserve">Address of </w:t>
              <w:br/>
              <w:t xml:space="preserve">Principal </w:t>
              <w:br/>
              <w:t xml:space="preserve">Employer </w:t>
              <w:br/>
              <w:t xml:space="preserve">and </w:t>
              <w:br/>
              <w:t>Occupation</w:t>
            </w:r>
          </w:p>
        </w:tc>
        <w:tc>
          <w:tcPr>
            <w:tcW w:w="1772"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Principal</w:t>
              <w:br/>
              <w:t>Business of</w:t>
              <w:br/>
              <w:t>Employer</w:t>
            </w:r>
          </w:p>
        </w:tc>
        <w:tc>
          <w:tcPr>
            <w:tcW w:w="2774"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Material Occupations or</w:t>
              <w:br/>
              <w:t>Positions During Past Five</w:t>
              <w:br/>
              <w:t>Years</w:t>
            </w:r>
          </w:p>
        </w:tc>
      </w:tr>
      <w:tr>
        <w:trPr/>
        <w:tc>
          <w:tcPr>
            <w:tcW w:w="1259"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Achilleas Tasioulas</w:t>
            </w:r>
          </w:p>
        </w:tc>
        <w:tc>
          <w:tcPr>
            <w:tcW w:w="1171"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c/o GasLog LNG Services Ltd.,</w:t>
              <w:br/>
              <w:t>69 Akti Miaouli 18537 Piraeus, Greece</w:t>
            </w:r>
          </w:p>
        </w:tc>
        <w:tc>
          <w:tcPr>
            <w:tcW w:w="96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Greece</w:t>
            </w:r>
          </w:p>
        </w:tc>
        <w:tc>
          <w:tcPr>
            <w:tcW w:w="2264"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GasLog Partners LP, </w:t>
            </w:r>
            <w:r>
              <w:rPr>
                <w:rFonts w:ascii="Times New Roman;Times;Serif" w:hAnsi="Times New Roman;Times;Serif"/>
                <w:i/>
                <w:sz w:val="20"/>
              </w:rPr>
              <w:t>Chief Financial Officer</w:t>
            </w:r>
            <w:r>
              <w:rPr>
                <w:rFonts w:ascii="Times New Roman;Times;Serif" w:hAnsi="Times New Roman;Times;Serif"/>
                <w:sz w:val="20"/>
              </w:rPr>
              <w:t>, c/o GasLog LNG Services Ltd., 69 Akti Miaouli 18537 Piraeus, Greece</w:t>
            </w:r>
          </w:p>
        </w:tc>
        <w:tc>
          <w:tcPr>
            <w:tcW w:w="1772"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See above</w:t>
            </w:r>
          </w:p>
        </w:tc>
        <w:tc>
          <w:tcPr>
            <w:tcW w:w="2774"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GasLog Partners LP, </w:t>
            </w:r>
            <w:r>
              <w:rPr>
                <w:rFonts w:ascii="Times New Roman;Times;Serif" w:hAnsi="Times New Roman;Times;Serif"/>
                <w:i/>
                <w:sz w:val="20"/>
              </w:rPr>
              <w:t>Chief Financial Officer</w:t>
            </w:r>
            <w:r>
              <w:rPr>
                <w:rFonts w:ascii="Times New Roman;Times;Serif" w:hAnsi="Times New Roman;Times;Serif"/>
                <w:sz w:val="20"/>
              </w:rPr>
              <w:t xml:space="preserve"> (2020 - current)</w:t>
            </w:r>
          </w:p>
        </w:tc>
      </w:tr>
      <w:tr>
        <w:trPr/>
        <w:tc>
          <w:tcPr>
            <w:tcW w:w="1259"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pPr>
            <w:r>
              <w:rPr/>
              <w:t> </w:t>
            </w:r>
          </w:p>
        </w:tc>
        <w:tc>
          <w:tcPr>
            <w:tcW w:w="1171"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96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2264"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Saturn Merger Sub LLC, </w:t>
            </w:r>
            <w:r>
              <w:rPr>
                <w:rFonts w:ascii="Times New Roman;Times;Serif" w:hAnsi="Times New Roman;Times;Serif"/>
                <w:i/>
                <w:sz w:val="20"/>
              </w:rPr>
              <w:t>Chief Financial Officer</w:t>
            </w:r>
          </w:p>
        </w:tc>
        <w:tc>
          <w:tcPr>
            <w:tcW w:w="1772"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See above</w:t>
            </w:r>
          </w:p>
        </w:tc>
        <w:tc>
          <w:tcPr>
            <w:tcW w:w="2774"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Saturn Merger Sub LLC,</w:t>
              <w:br/>
            </w:r>
            <w:r>
              <w:rPr>
                <w:rFonts w:ascii="Times New Roman;Times;Serif" w:hAnsi="Times New Roman;Times;Serif"/>
                <w:i/>
                <w:sz w:val="20"/>
              </w:rPr>
              <w:t>Chief Financial Officer</w:t>
            </w:r>
            <w:r>
              <w:rPr>
                <w:rFonts w:ascii="Times New Roman;Times;Serif" w:hAnsi="Times New Roman;Times;Serif"/>
                <w:sz w:val="20"/>
              </w:rPr>
              <w:t xml:space="preserve"> (2023 - current);</w:t>
            </w:r>
          </w:p>
        </w:tc>
      </w:tr>
      <w:tr>
        <w:trPr/>
        <w:tc>
          <w:tcPr>
            <w:tcW w:w="1259"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pPr>
            <w:r>
              <w:rPr/>
              <w:t> </w:t>
            </w:r>
          </w:p>
        </w:tc>
        <w:tc>
          <w:tcPr>
            <w:tcW w:w="1171"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96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2264"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GasLog Ltd., </w:t>
            </w:r>
            <w:r>
              <w:rPr>
                <w:rFonts w:ascii="Times New Roman;Times;Serif" w:hAnsi="Times New Roman;Times;Serif"/>
                <w:i/>
                <w:sz w:val="20"/>
              </w:rPr>
              <w:t>Chief Financial Officer</w:t>
            </w:r>
          </w:p>
        </w:tc>
        <w:tc>
          <w:tcPr>
            <w:tcW w:w="1772"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See above</w:t>
            </w:r>
          </w:p>
        </w:tc>
        <w:tc>
          <w:tcPr>
            <w:tcW w:w="2774"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GasLog Ltd.,</w:t>
              <w:br/>
            </w:r>
            <w:r>
              <w:rPr>
                <w:rFonts w:ascii="Times New Roman;Times;Serif" w:hAnsi="Times New Roman;Times;Serif"/>
                <w:i/>
                <w:sz w:val="20"/>
              </w:rPr>
              <w:t>Chief Financial Officer</w:t>
            </w:r>
            <w:r>
              <w:rPr>
                <w:rFonts w:ascii="Times New Roman;Times;Serif" w:hAnsi="Times New Roman;Times;Serif"/>
                <w:sz w:val="20"/>
              </w:rPr>
              <w:t xml:space="preserve"> (2020 - current); </w:t>
            </w:r>
            <w:r>
              <w:rPr>
                <w:rFonts w:ascii="Times New Roman;Times;Serif" w:hAnsi="Times New Roman;Times;Serif"/>
                <w:i/>
                <w:sz w:val="20"/>
              </w:rPr>
              <w:t>Deputy CFO</w:t>
            </w:r>
            <w:r>
              <w:rPr>
                <w:rFonts w:ascii="Times New Roman;Times;Serif" w:hAnsi="Times New Roman;Times;Serif"/>
                <w:sz w:val="20"/>
              </w:rPr>
              <w:t xml:space="preserve"> (2019 - 2020);</w:t>
              <w:br/>
            </w:r>
            <w:r>
              <w:rPr>
                <w:rFonts w:ascii="Times New Roman;Times;Serif" w:hAnsi="Times New Roman;Times;Serif"/>
                <w:i/>
                <w:sz w:val="20"/>
              </w:rPr>
              <w:t>Chief Risk Officer, Financial Controller</w:t>
            </w:r>
            <w:r>
              <w:rPr>
                <w:rFonts w:ascii="Times New Roman;Times;Serif" w:hAnsi="Times New Roman;Times;Serif"/>
                <w:sz w:val="20"/>
              </w:rPr>
              <w:t xml:space="preserve"> and </w:t>
            </w:r>
            <w:r>
              <w:rPr>
                <w:rFonts w:ascii="Times New Roman;Times;Serif" w:hAnsi="Times New Roman;Times;Serif"/>
                <w:i/>
                <w:sz w:val="20"/>
              </w:rPr>
              <w:t>Head of Tax</w:t>
            </w:r>
            <w:r>
              <w:rPr>
                <w:rFonts w:ascii="Times New Roman;Times;Serif" w:hAnsi="Times New Roman;Times;Serif"/>
                <w:sz w:val="20"/>
              </w:rPr>
              <w:t xml:space="preserve"> (2017 - 2019)</w:t>
            </w:r>
          </w:p>
        </w:tc>
      </w:tr>
      <w:tr>
        <w:trPr/>
        <w:tc>
          <w:tcPr>
            <w:tcW w:w="1259"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pPr>
            <w:r>
              <w:rPr/>
              <w:t> </w:t>
            </w:r>
          </w:p>
        </w:tc>
        <w:tc>
          <w:tcPr>
            <w:tcW w:w="1171"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96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2264"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Gastrade, </w:t>
            </w:r>
            <w:r>
              <w:rPr>
                <w:rFonts w:ascii="Times New Roman;Times;Serif" w:hAnsi="Times New Roman;Times;Serif"/>
                <w:i/>
                <w:sz w:val="20"/>
              </w:rPr>
              <w:t>Director</w:t>
            </w:r>
            <w:r>
              <w:rPr>
                <w:rFonts w:ascii="Times New Roman;Times;Serif" w:hAnsi="Times New Roman;Times;Serif"/>
                <w:sz w:val="20"/>
              </w:rPr>
              <w:t>, Leof. Kifisias 197, Marousi 151 24</w:t>
            </w:r>
          </w:p>
        </w:tc>
        <w:tc>
          <w:tcPr>
            <w:tcW w:w="1772"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Development, operation and management of natural gas systems</w:t>
            </w:r>
          </w:p>
        </w:tc>
        <w:tc>
          <w:tcPr>
            <w:tcW w:w="2774"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Gastrade, </w:t>
            </w:r>
            <w:r>
              <w:rPr>
                <w:rFonts w:ascii="Times New Roman;Times;Serif" w:hAnsi="Times New Roman;Times;Serif"/>
                <w:i/>
                <w:sz w:val="20"/>
              </w:rPr>
              <w:t xml:space="preserve">Director </w:t>
            </w:r>
            <w:r>
              <w:rPr>
                <w:rFonts w:ascii="Times New Roman;Times;Serif" w:hAnsi="Times New Roman;Times;Serif"/>
                <w:sz w:val="20"/>
              </w:rPr>
              <w:t>(2021 - current)</w:t>
            </w:r>
          </w:p>
        </w:tc>
      </w:tr>
      <w:tr>
        <w:trPr/>
        <w:tc>
          <w:tcPr>
            <w:tcW w:w="1259"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Konstantinos Karathanos</w:t>
            </w:r>
          </w:p>
        </w:tc>
        <w:tc>
          <w:tcPr>
            <w:tcW w:w="1171"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c/o GasLog LNG Services Ltd.,</w:t>
              <w:br/>
              <w:t>69 Akti Miaouli 18537 Piraeus, Greece</w:t>
            </w:r>
          </w:p>
        </w:tc>
        <w:tc>
          <w:tcPr>
            <w:tcW w:w="96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Greece</w:t>
            </w:r>
          </w:p>
        </w:tc>
        <w:tc>
          <w:tcPr>
            <w:tcW w:w="2264"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GasLog Partners LP, </w:t>
            </w:r>
            <w:r>
              <w:rPr>
                <w:rFonts w:ascii="Times New Roman;Times;Serif" w:hAnsi="Times New Roman;Times;Serif"/>
                <w:i/>
                <w:sz w:val="20"/>
              </w:rPr>
              <w:t>Chief Operating Officer</w:t>
            </w:r>
          </w:p>
        </w:tc>
        <w:tc>
          <w:tcPr>
            <w:tcW w:w="1772"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See above</w:t>
            </w:r>
          </w:p>
        </w:tc>
        <w:tc>
          <w:tcPr>
            <w:tcW w:w="2774"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GasLog Partners LP, </w:t>
            </w:r>
            <w:r>
              <w:rPr>
                <w:rFonts w:ascii="Times New Roman;Times;Serif" w:hAnsi="Times New Roman;Times;Serif"/>
                <w:i/>
                <w:sz w:val="20"/>
              </w:rPr>
              <w:t>Chief Operating Officer</w:t>
            </w:r>
            <w:r>
              <w:rPr>
                <w:rFonts w:ascii="Times New Roman;Times;Serif" w:hAnsi="Times New Roman;Times;Serif"/>
                <w:sz w:val="20"/>
              </w:rPr>
              <w:t xml:space="preserve"> (2022 - current); </w:t>
            </w:r>
            <w:r>
              <w:rPr>
                <w:rFonts w:ascii="Times New Roman;Times;Serif" w:hAnsi="Times New Roman;Times;Serif"/>
                <w:i/>
                <w:sz w:val="20"/>
              </w:rPr>
              <w:t>Deputy COO</w:t>
            </w:r>
            <w:r>
              <w:rPr>
                <w:rFonts w:ascii="Times New Roman;Times;Serif" w:hAnsi="Times New Roman;Times;Serif"/>
                <w:sz w:val="20"/>
              </w:rPr>
              <w:t xml:space="preserve"> (2021 - 2022); </w:t>
            </w:r>
            <w:r>
              <w:rPr>
                <w:rFonts w:ascii="Times New Roman;Times;Serif" w:hAnsi="Times New Roman;Times;Serif"/>
                <w:i/>
                <w:sz w:val="20"/>
              </w:rPr>
              <w:t xml:space="preserve">General Manager Innovation and Technology </w:t>
            </w:r>
            <w:r>
              <w:rPr>
                <w:rFonts w:ascii="Times New Roman;Times;Serif" w:hAnsi="Times New Roman;Times;Serif"/>
                <w:sz w:val="20"/>
              </w:rPr>
              <w:t>(2019 - 2021)</w:t>
            </w:r>
          </w:p>
        </w:tc>
      </w:tr>
      <w:tr>
        <w:trPr/>
        <w:tc>
          <w:tcPr>
            <w:tcW w:w="1259"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pPr>
            <w:r>
              <w:rPr/>
              <w:t> </w:t>
            </w:r>
          </w:p>
        </w:tc>
        <w:tc>
          <w:tcPr>
            <w:tcW w:w="1171"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96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2264"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GasLog Ltd., </w:t>
            </w:r>
            <w:r>
              <w:rPr>
                <w:rFonts w:ascii="Times New Roman;Times;Serif" w:hAnsi="Times New Roman;Times;Serif"/>
                <w:i/>
                <w:sz w:val="20"/>
              </w:rPr>
              <w:t>Chief Operating Officer</w:t>
            </w:r>
          </w:p>
        </w:tc>
        <w:tc>
          <w:tcPr>
            <w:tcW w:w="1772"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See above</w:t>
            </w:r>
          </w:p>
        </w:tc>
        <w:tc>
          <w:tcPr>
            <w:tcW w:w="2774"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GasLog Ltd., </w:t>
            </w:r>
            <w:r>
              <w:rPr>
                <w:rFonts w:ascii="Times New Roman;Times;Serif" w:hAnsi="Times New Roman;Times;Serif"/>
                <w:b w:val="false"/>
                <w:i/>
                <w:caps w:val="false"/>
                <w:smallCaps w:val="false"/>
                <w:sz w:val="20"/>
              </w:rPr>
              <w:t>Chief Operating Officer</w:t>
            </w:r>
            <w:r>
              <w:rPr>
                <w:rFonts w:ascii="Times New Roman;Times;Serif" w:hAnsi="Times New Roman;Times;Serif"/>
                <w:b w:val="false"/>
                <w:i w:val="false"/>
                <w:caps w:val="false"/>
                <w:smallCaps w:val="false"/>
                <w:sz w:val="20"/>
              </w:rPr>
              <w:t xml:space="preserve"> (2022 - current); </w:t>
            </w:r>
            <w:r>
              <w:rPr>
                <w:rFonts w:ascii="Times New Roman;Times;Serif" w:hAnsi="Times New Roman;Times;Serif"/>
                <w:b w:val="false"/>
                <w:i/>
                <w:caps w:val="false"/>
                <w:smallCaps w:val="false"/>
                <w:sz w:val="20"/>
              </w:rPr>
              <w:t>Deputy COO</w:t>
            </w:r>
            <w:r>
              <w:rPr>
                <w:rFonts w:ascii="Times New Roman;Times;Serif" w:hAnsi="Times New Roman;Times;Serif"/>
                <w:b w:val="false"/>
                <w:i w:val="false"/>
                <w:caps w:val="false"/>
                <w:smallCaps w:val="false"/>
                <w:sz w:val="20"/>
              </w:rPr>
              <w:t xml:space="preserve"> (2021-2022); </w:t>
            </w:r>
            <w:r>
              <w:rPr>
                <w:rFonts w:ascii="Times New Roman;Times;Serif" w:hAnsi="Times New Roman;Times;Serif"/>
                <w:b w:val="false"/>
                <w:i/>
                <w:caps w:val="false"/>
                <w:smallCaps w:val="false"/>
                <w:sz w:val="20"/>
              </w:rPr>
              <w:t xml:space="preserve">General Manager Innovation and Technology </w:t>
            </w:r>
            <w:r>
              <w:rPr>
                <w:rFonts w:ascii="Times New Roman;Times;Serif" w:hAnsi="Times New Roman;Times;Serif"/>
                <w:b w:val="false"/>
                <w:i w:val="false"/>
                <w:caps w:val="false"/>
                <w:smallCaps w:val="false"/>
                <w:sz w:val="20"/>
              </w:rPr>
              <w:t>(2019 - 2021)</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Minerva Marine, </w:t>
            </w:r>
            <w:r>
              <w:rPr>
                <w:rFonts w:ascii="Times New Roman;Times;Serif" w:hAnsi="Times New Roman;Times;Serif"/>
                <w:b w:val="false"/>
                <w:i/>
                <w:caps w:val="false"/>
                <w:smallCaps w:val="false"/>
                <w:sz w:val="20"/>
              </w:rPr>
              <w:t xml:space="preserve">Technical Manager </w:t>
            </w:r>
            <w:r>
              <w:rPr>
                <w:rFonts w:ascii="Times New Roman;Times;Serif" w:hAnsi="Times New Roman;Times;Serif"/>
                <w:b w:val="false"/>
                <w:i w:val="false"/>
                <w:caps w:val="false"/>
                <w:smallCaps w:val="false"/>
                <w:sz w:val="20"/>
              </w:rPr>
              <w:t>(2017 - 2019)</w:t>
            </w:r>
          </w:p>
        </w:tc>
      </w:tr>
    </w:tbl>
    <w:p>
      <w:pPr>
        <w:pStyle w:val="TextBody"/>
        <w:rPr/>
      </w:pPr>
      <w:r>
        <w:rPr/>
        <w:t> </w:t>
      </w:r>
    </w:p>
    <w:p>
      <w:pPr>
        <w:pStyle w:val="TextBody"/>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133</w:t>
      </w:r>
    </w:p>
    <w:p>
      <w:pPr>
        <w:pStyle w:val="TextBody"/>
        <w:spacing w:before="0" w:after="0"/>
        <w:ind w:left="0" w:right="0" w:hanging="0"/>
        <w:rPr/>
      </w:pPr>
      <w:r>
        <w:rPr/>
        <w:t> </w:t>
      </w:r>
    </w:p>
    <w:p>
      <w:pPr>
        <w:pStyle w:val="TextBody"/>
        <w:rPr/>
      </w:pPr>
      <w:r>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Past Transactions and Contacts of the Partnership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agreements and arrangements in connection with the Merger or otherwise that are discussed elsewhere in this proxy statement, including in the section entitled “Special Factors – Background to the Merger” beginning on page 47, during the past two years (a) there were no negotiations, transactions or material contacts among any of the Partnership, its affiliates, directors and executive officers (the “GLOP Persons”) concerning any merger, consolidation, acquisition, tender offer for or other acquisition of any class of the Partnership’s securities, election of the Partnership’s directors or sale or other transfer of a material amount of assets of the Partnership, (b) none of the GLOP Persons entered into any other transaction with the Partnership or any of its affiliates with an aggregate value exceeding 1% of the Partnership’s consolidated revenues for the fiscal year when the transaction occurred, (c) none of the Partnership’s executive officers, directors or affiliates that is a natural person entered into any transaction during the past two years with an aggregate value (in respect of such transaction or series of similar transactions with that person) exceeding $60,000 with any of the GLOP Persons and (d) there were no agreements, arrangements or understandings between the GLOP Persons and any other person with respect to any securities of the Partnership.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2.</w:t>
        <w:br/>
        <w:t>POSSIBLE ADJOURNMENT TO SOLICIT ADDITIONAL PROXIES, </w:t>
        <w:br/>
        <w:t>IF NECESSARY OR APPROPRIATE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Unitholders are being asked to approve a proposal that will give the Partnership Board authority to adjourn the Special Meeting, if necessary, to solicit additional proxies if there are not sufficient votes to approve the Merger Agreement at the time of the Special Meeting. If this proposal is approved, the Special Meeting could be adjourned to any date. If the Special Meeting is adjourned, Common Unitholders who have already submitted their proxies will be able to revoke them at any time prior to their use. If you return a proxy and do not indicate how you wish to vote on any proposal, or if you indicate that you wish to vote in favor of the approval of the Merger Agreement but do not indicate a choice on the Adjournment Proposal, your Common Units will be voted in favor of the Adjournment Proposal. But if you indicate that you wish to vote against the approval of the Merger Agreement, your Common Units will only be voted in favor of the Adjournment Proposal if you indicate that you wish to vote in favor of that proposal. Subject to the Cutback, if a quorum is present, holders of at least a majority of the issued and outstanding Common Units, including those held by Parent, must vote in favor of the Adjournment Proposal. Common Units held by Parent are not subject to the Cutback. Subject to the Cutback, if a quorum is not present, holders of at least a majority of the issued and outstanding Units, including those held by Parent, entitled to vote and present by attendance at the virtual meeting website or by proxy at the Special Meeting must vote in favor of the Adjournment Proposal.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if a quorum is present, abstentions will have the same effect as votes “AGAINST” approval and if you fail to give voting instructions to your broker, bank or other nominee and are otherwise represented by attendance via the virtual meeting website or by proxy, it will have the same effect as a vote “AGAINST” the Adjournment Proposal.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Partnership Board unanimously recommends that you vote “FOR” the adjournment of the Special Meeting, if necessary, to solicit additional proxies if there are not sufficient votes to approve the Merger Agreement at the time of the Special Meeting.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135</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YOU CAN FIND MORE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incorporates documents by reference which are not presented in or delivered with this proxy statement. You should rely only on the information contained in this proxy statement and in the documents that the Partnership has incorporated by reference into this proxy statement. The Partnership has not authorized anyone to provide you with information that is different from or in addition to the information contained in this document or incorporated by reference into this proxy statement.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Partnership files annual and current reports, proxy statements and other information with the SEC. The SEC maintains an Internet site that contains reports, proxy and information statements and other information regarding issuers that file electronically with the SEC, including the Partnership, at www.sec.gov. You may also access the SEC filings and obtain other information about the Partnership through the website maintained by the Partnership, which is http://www.gaslogmlp.com. The information contained in that website is not incorporated by reference in this proxy statement.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Partnership “incorporates by reference” into this proxy statement information that it filed with the SEC. This means that the Partnership can disclose important information to you without actually including the specific information in this proxy statement by referring you to other documents filed separately with the SEC. The information incorporated by reference is an important part of this proxy statement.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which were filed or furnished by the Partnership with the SEC (SEC File No. 001-36433), are incorporated by reference into this proxy statement:</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84"/>
        <w:gridCol w:w="378"/>
        <w:gridCol w:w="9743"/>
      </w:tblGrid>
      <w:tr>
        <w:trPr/>
        <w:tc>
          <w:tcPr>
            <w:tcW w:w="84"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pPr>
            <w:r>
              <w:rPr/>
              <w:t>●</w:t>
            </w:r>
          </w:p>
        </w:tc>
        <w:tc>
          <w:tcPr>
            <w:tcW w:w="9743" w:type="dxa"/>
            <w:tcBorders/>
            <w:shd w:fill="auto" w:val="clear"/>
            <w:vAlign w:val="center"/>
          </w:tcPr>
          <w:p>
            <w:pPr>
              <w:pStyle w:val="TableContents"/>
              <w:spacing w:before="0" w:after="283"/>
              <w:rPr/>
            </w:pPr>
            <w:r>
              <w:rPr/>
              <w:t>The 2022 Form 20-F, filed on March 6, 2023.</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7"/>
        <w:gridCol w:w="212"/>
        <w:gridCol w:w="9946"/>
      </w:tblGrid>
      <w:tr>
        <w:trPr/>
        <w:tc>
          <w:tcPr>
            <w:tcW w:w="47"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pPr>
            <w:r>
              <w:rPr/>
              <w:t>●</w:t>
            </w:r>
          </w:p>
        </w:tc>
        <w:tc>
          <w:tcPr>
            <w:tcW w:w="9946" w:type="dxa"/>
            <w:tcBorders/>
            <w:shd w:fill="auto" w:val="clear"/>
            <w:vAlign w:val="center"/>
          </w:tcPr>
          <w:p>
            <w:pPr>
              <w:pStyle w:val="TableContents"/>
              <w:spacing w:before="0" w:after="283"/>
              <w:rPr/>
            </w:pPr>
            <w:r>
              <w:rPr/>
              <w:t>Reports on Form 6-K furnished on April 6, 2023, April 7, 2023 and April 27, 2023.</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All subsequent Reports on Form 6-K furnished prior to the date of the Special Meeting that the Partnership identifies in such reports as being incorporated by reference into the proxy statement.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The description of the Common Units contained in the registration statement filed on Form 8-A/A filed on April 30, 2014, and including any subsequent amendments or reports filed for the purpose of updating such description.</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the Partnership is exempt under the Exchange Act from, among other things, certain rules prescribing the furnishing and content of proxy statements, and the Partnership’s executive officers, directors and principal unitholders are exempt from the reporting and short-swing profit recovery provisions contained in Section 16 of the Exchange Act. In addition, the Partnership is not required under the Exchange Act to file periodic reports and financial statements with the SEC as frequently or as promptly as U.S. companies whose securities are registered under the Exchange Act, including the filing of quarterly reports or current reports on Form 8-K.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136</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this proxy statement or in a document incorporated or deemed to be incorporated by reference into this proxy statement will be deemed to be modified or superseded for purposes of this proxy statement to the extent that a statement contained in this proxy statement or any other subsequently filed document that is deemed to be incorporated by reference into this proxy statement modifies or supersedes the statement. Any statement so modified or superseded will not be deemed, except as so modified or superseded, to constitute a part of this proxy statement.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Partnership has supplied all information contained or incorporated by reference in this proxy statement about the Partnership.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can also obtain the documents incorporated by reference in the proxy statement and any exhibit specifically incorporated by reference in the documents it incorporates by reference, without charge, by requesting them in writing or by telephone from the appropriate company at the addresses and telephone numbers listed below. To obtain timely delivery, you must request the information no later than five (5) business days before you must make your investment decision.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GasLog Ltd.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GasLog LNG Services Ltd.</w:t>
        <w:br/>
        <w:t>69 Akti Miaouli 18537</w:t>
        <w:br/>
        <w:t>Piraeus, Greece</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Investor Relations</w:t>
        <w:br/>
        <w:t>Phone: + 30 210 459 1000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GasLog Ltd.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GasLog LNG Services Ltd.</w:t>
        <w:br/>
        <w:t>69 Akti Miaouli 18537</w:t>
        <w:br/>
        <w:t>Piraeus, Greece</w:t>
        <w:br/>
        <w:t>Attention: Investor Relations</w:t>
        <w:br/>
        <w:t>Phone: + 30 210 459 1000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you have questions about the Merger or the Special Meeting, or if you need to obtain copies of the accompanying proxy statement, proxy cards, election forms or other documents incorporated by reference in the proxy statement, you may contact the appropriate contact listed above. You will not be charged for any of the documents you request.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for you to receive timely delivery of the documents in advance of the Special Meeting, the Partnership should receive your request no later than five (5) business days before the date of the Special Meeting. This means that Common Unitholders requesting documents must do so by                     , 2023, in order to receive them before the Special Meeting.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137</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does not constitute the solicitation of a proxy, in any jurisdiction to or from any person to whom or from whom it is unlawful to make such offer, solicitation of an offer or proxy solicitation in such jurisdiction. The delivery of this proxy statement will not, under any circumstances, create any implication that there has been no change in the information set forth or incorporated into this proxy statement by reference or in the affairs of the Partnership since the date of this proxy statement.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138</w:t>
      </w:r>
    </w:p>
    <w:p>
      <w:pPr>
        <w:pStyle w:val="TextBody"/>
        <w:spacing w:before="0" w:after="0"/>
        <w:ind w:left="0" w:right="0" w:hanging="0"/>
        <w:rPr/>
      </w:pPr>
      <w:r>
        <w:rPr/>
        <w:t> </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right"/>
        <w:rPr>
          <w:rFonts w:ascii="Times New Roman;Times;Serif" w:hAnsi="Times New Roman;Times;Serif"/>
          <w:b w:val="false"/>
          <w:i w:val="false"/>
          <w:caps w:val="false"/>
          <w:smallCaps w:val="false"/>
          <w:sz w:val="20"/>
        </w:rPr>
      </w:pPr>
      <w:bookmarkStart w:id="5" w:name="sss_001"/>
      <w:bookmarkEnd w:id="5"/>
      <w:r>
        <w:rPr>
          <w:rFonts w:ascii="Times New Roman;Times;Serif" w:hAnsi="Times New Roman;Times;Serif"/>
          <w:b w:val="false"/>
          <w:i w:val="false"/>
          <w:caps w:val="false"/>
          <w:smallCaps w:val="false"/>
          <w:sz w:val="20"/>
        </w:rPr>
        <w:t>ANNEX 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VERSION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AGREEMENT AND PLAN OF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April 6,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and among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GASLOG PARTNERS LP,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GASLOG PARTNERS GP LLC,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GASLOG LTD.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SATURN MERGER SUB LLC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spacing w:before="0" w:after="0"/>
        <w:ind w:left="0" w:right="0" w:hanging="0"/>
        <w:rPr>
          <w:caps w:val="false"/>
          <w:smallCaps w:val="false"/>
        </w:rPr>
      </w:pPr>
      <w:r>
        <w:rPr>
          <w:caps w:val="false"/>
          <w:smallCaps w:val="false"/>
        </w:rPr>
        <w:t> </w:t>
      </w:r>
    </w:p>
    <w:tbl>
      <w:tblPr>
        <w:tblW w:w="7290" w:type="dxa"/>
        <w:jc w:val="left"/>
        <w:tblInd w:w="0" w:type="dxa"/>
        <w:tblCellMar>
          <w:top w:w="0" w:type="dxa"/>
          <w:left w:w="0" w:type="dxa"/>
          <w:bottom w:w="0" w:type="dxa"/>
          <w:right w:w="0" w:type="dxa"/>
        </w:tblCellMar>
      </w:tblPr>
      <w:tblGrid>
        <w:gridCol w:w="995"/>
        <w:gridCol w:w="6050"/>
        <w:gridCol w:w="245"/>
      </w:tblGrid>
      <w:tr>
        <w:trPr/>
        <w:tc>
          <w:tcPr>
            <w:tcW w:w="995" w:type="dxa"/>
            <w:tcBorders/>
            <w:shd w:fill="auto" w:val="clear"/>
            <w:vAlign w:val="center"/>
          </w:tcPr>
          <w:p>
            <w:pPr>
              <w:pStyle w:val="TableContents"/>
              <w:spacing w:before="0" w:after="283"/>
              <w:jc w:val="center"/>
              <w:rPr/>
            </w:pPr>
            <w:r>
              <w:rPr/>
              <w:t> </w:t>
            </w:r>
          </w:p>
        </w:tc>
        <w:tc>
          <w:tcPr>
            <w:tcW w:w="6050" w:type="dxa"/>
            <w:tcBorders/>
            <w:shd w:fill="auto" w:val="clear"/>
            <w:vAlign w:val="center"/>
          </w:tcPr>
          <w:p>
            <w:pPr>
              <w:pStyle w:val="TableContents"/>
              <w:spacing w:before="0" w:after="283"/>
              <w:jc w:val="center"/>
              <w:rPr>
                <w:sz w:val="20"/>
              </w:rPr>
            </w:pPr>
            <w:r>
              <w:rPr>
                <w:sz w:val="20"/>
              </w:rPr>
              <w:t>ARTICLE I</w:t>
            </w:r>
          </w:p>
        </w:tc>
        <w:tc>
          <w:tcPr>
            <w:tcW w:w="245" w:type="dxa"/>
            <w:tcBorders/>
            <w:shd w:fill="auto" w:val="clear"/>
            <w:vAlign w:val="center"/>
          </w:tcPr>
          <w:p>
            <w:pPr>
              <w:pStyle w:val="TableContents"/>
              <w:spacing w:before="0" w:after="283"/>
              <w:jc w:val="right"/>
              <w:rPr/>
            </w:pPr>
            <w:r>
              <w:rPr/>
              <w:t> </w:t>
            </w:r>
          </w:p>
        </w:tc>
      </w:tr>
      <w:tr>
        <w:trPr/>
        <w:tc>
          <w:tcPr>
            <w:tcW w:w="995" w:type="dxa"/>
            <w:tcBorders/>
            <w:shd w:fill="auto" w:val="clear"/>
            <w:vAlign w:val="center"/>
          </w:tcPr>
          <w:p>
            <w:pPr>
              <w:pStyle w:val="TableContents"/>
              <w:spacing w:before="0" w:after="283"/>
              <w:jc w:val="center"/>
              <w:rPr/>
            </w:pPr>
            <w:r>
              <w:rPr/>
              <w:t> </w:t>
            </w:r>
          </w:p>
        </w:tc>
        <w:tc>
          <w:tcPr>
            <w:tcW w:w="6050" w:type="dxa"/>
            <w:tcBorders/>
            <w:shd w:fill="auto" w:val="clear"/>
            <w:vAlign w:val="center"/>
          </w:tcPr>
          <w:p>
            <w:pPr>
              <w:pStyle w:val="TableContents"/>
              <w:spacing w:before="0" w:after="283"/>
              <w:jc w:val="center"/>
              <w:rPr/>
            </w:pPr>
            <w:r>
              <w:rPr/>
              <w:t> </w:t>
            </w:r>
          </w:p>
        </w:tc>
        <w:tc>
          <w:tcPr>
            <w:tcW w:w="245" w:type="dxa"/>
            <w:tcBorders/>
            <w:shd w:fill="auto" w:val="clear"/>
            <w:vAlign w:val="center"/>
          </w:tcPr>
          <w:p>
            <w:pPr>
              <w:pStyle w:val="TableContents"/>
              <w:spacing w:before="0" w:after="283"/>
              <w:jc w:val="right"/>
              <w:rPr/>
            </w:pPr>
            <w:r>
              <w:rPr/>
              <w:t> </w:t>
            </w:r>
          </w:p>
        </w:tc>
      </w:tr>
      <w:tr>
        <w:trPr/>
        <w:tc>
          <w:tcPr>
            <w:tcW w:w="995" w:type="dxa"/>
            <w:tcBorders/>
            <w:shd w:fill="auto" w:val="clear"/>
            <w:vAlign w:val="center"/>
          </w:tcPr>
          <w:p>
            <w:pPr>
              <w:pStyle w:val="TableContents"/>
              <w:spacing w:before="0" w:after="283"/>
              <w:jc w:val="center"/>
              <w:rPr/>
            </w:pPr>
            <w:r>
              <w:rPr/>
              <w:t> </w:t>
            </w:r>
          </w:p>
        </w:tc>
        <w:tc>
          <w:tcPr>
            <w:tcW w:w="6050" w:type="dxa"/>
            <w:tcBorders/>
            <w:shd w:fill="auto" w:val="clear"/>
            <w:vAlign w:val="center"/>
          </w:tcPr>
          <w:p>
            <w:pPr>
              <w:pStyle w:val="TableContents"/>
              <w:spacing w:before="0" w:after="283"/>
              <w:jc w:val="center"/>
              <w:rPr>
                <w:sz w:val="20"/>
              </w:rPr>
            </w:pPr>
            <w:r>
              <w:rPr>
                <w:sz w:val="20"/>
              </w:rPr>
              <w:t>THE MERGER</w:t>
            </w:r>
          </w:p>
        </w:tc>
        <w:tc>
          <w:tcPr>
            <w:tcW w:w="245" w:type="dxa"/>
            <w:tcBorders/>
            <w:shd w:fill="auto" w:val="clear"/>
            <w:vAlign w:val="center"/>
          </w:tcPr>
          <w:p>
            <w:pPr>
              <w:pStyle w:val="TableContents"/>
              <w:spacing w:before="0" w:after="283"/>
              <w:jc w:val="right"/>
              <w:rPr/>
            </w:pPr>
            <w:r>
              <w:rPr/>
              <w:t> </w:t>
            </w:r>
          </w:p>
        </w:tc>
      </w:tr>
      <w:tr>
        <w:trPr/>
        <w:tc>
          <w:tcPr>
            <w:tcW w:w="995" w:type="dxa"/>
            <w:tcBorders/>
            <w:shd w:fill="auto" w:val="clear"/>
            <w:vAlign w:val="center"/>
          </w:tcPr>
          <w:p>
            <w:pPr>
              <w:pStyle w:val="TableContents"/>
              <w:spacing w:before="0" w:after="283"/>
              <w:jc w:val="center"/>
              <w:rPr/>
            </w:pPr>
            <w:r>
              <w:rPr/>
              <w:t> </w:t>
            </w:r>
          </w:p>
        </w:tc>
        <w:tc>
          <w:tcPr>
            <w:tcW w:w="6050" w:type="dxa"/>
            <w:tcBorders/>
            <w:shd w:fill="auto" w:val="clear"/>
            <w:vAlign w:val="center"/>
          </w:tcPr>
          <w:p>
            <w:pPr>
              <w:pStyle w:val="TableContents"/>
              <w:spacing w:before="0" w:after="283"/>
              <w:jc w:val="center"/>
              <w:rPr/>
            </w:pPr>
            <w:r>
              <w:rPr/>
              <w:t> </w:t>
            </w:r>
          </w:p>
        </w:tc>
        <w:tc>
          <w:tcPr>
            <w:tcW w:w="245" w:type="dxa"/>
            <w:tcBorders/>
            <w:shd w:fill="auto" w:val="clear"/>
            <w:vAlign w:val="center"/>
          </w:tcPr>
          <w:p>
            <w:pPr>
              <w:pStyle w:val="TableContents"/>
              <w:spacing w:before="0" w:after="283"/>
              <w:jc w:val="right"/>
              <w:rPr/>
            </w:pPr>
            <w:r>
              <w:rPr/>
              <w:t> </w:t>
            </w:r>
          </w:p>
        </w:tc>
      </w:tr>
      <w:tr>
        <w:trPr/>
        <w:tc>
          <w:tcPr>
            <w:tcW w:w="995" w:type="dxa"/>
            <w:tcBorders/>
            <w:shd w:fill="auto" w:val="clear"/>
            <w:vAlign w:val="center"/>
          </w:tcPr>
          <w:p>
            <w:pPr>
              <w:pStyle w:val="TableContents"/>
              <w:spacing w:before="0" w:after="283"/>
              <w:rPr>
                <w:sz w:val="20"/>
              </w:rPr>
            </w:pPr>
            <w:r>
              <w:rPr>
                <w:sz w:val="20"/>
              </w:rPr>
              <w:t>Section 1.1.</w:t>
            </w:r>
          </w:p>
        </w:tc>
        <w:tc>
          <w:tcPr>
            <w:tcW w:w="6050" w:type="dxa"/>
            <w:tcBorders/>
            <w:shd w:fill="auto" w:val="clear"/>
            <w:vAlign w:val="center"/>
          </w:tcPr>
          <w:p>
            <w:pPr>
              <w:pStyle w:val="TableContents"/>
              <w:spacing w:before="0" w:after="283"/>
              <w:rPr>
                <w:sz w:val="20"/>
              </w:rPr>
            </w:pPr>
            <w:r>
              <w:rPr>
                <w:sz w:val="20"/>
              </w:rPr>
              <w:t>The Merger</w:t>
            </w:r>
          </w:p>
        </w:tc>
        <w:tc>
          <w:tcPr>
            <w:tcW w:w="245" w:type="dxa"/>
            <w:tcBorders/>
            <w:shd w:fill="auto" w:val="clear"/>
            <w:vAlign w:val="center"/>
          </w:tcPr>
          <w:p>
            <w:pPr>
              <w:pStyle w:val="TableContents"/>
              <w:spacing w:before="0" w:after="283"/>
              <w:jc w:val="right"/>
              <w:rPr>
                <w:sz w:val="20"/>
              </w:rPr>
            </w:pPr>
            <w:r>
              <w:rPr>
                <w:sz w:val="20"/>
              </w:rPr>
              <w:t>2</w:t>
            </w:r>
          </w:p>
        </w:tc>
      </w:tr>
      <w:tr>
        <w:trPr/>
        <w:tc>
          <w:tcPr>
            <w:tcW w:w="995" w:type="dxa"/>
            <w:tcBorders/>
            <w:shd w:fill="auto" w:val="clear"/>
            <w:vAlign w:val="center"/>
          </w:tcPr>
          <w:p>
            <w:pPr>
              <w:pStyle w:val="TableContents"/>
              <w:spacing w:before="0" w:after="283"/>
              <w:rPr>
                <w:sz w:val="20"/>
              </w:rPr>
            </w:pPr>
            <w:r>
              <w:rPr>
                <w:sz w:val="20"/>
              </w:rPr>
              <w:t>Section 1.2.</w:t>
            </w:r>
          </w:p>
        </w:tc>
        <w:tc>
          <w:tcPr>
            <w:tcW w:w="6050" w:type="dxa"/>
            <w:tcBorders/>
            <w:shd w:fill="auto" w:val="clear"/>
            <w:vAlign w:val="center"/>
          </w:tcPr>
          <w:p>
            <w:pPr>
              <w:pStyle w:val="TableContents"/>
              <w:spacing w:before="0" w:after="283"/>
              <w:rPr>
                <w:sz w:val="20"/>
              </w:rPr>
            </w:pPr>
            <w:r>
              <w:rPr>
                <w:sz w:val="20"/>
              </w:rPr>
              <w:t>Closing</w:t>
            </w:r>
          </w:p>
        </w:tc>
        <w:tc>
          <w:tcPr>
            <w:tcW w:w="245" w:type="dxa"/>
            <w:tcBorders/>
            <w:shd w:fill="auto" w:val="clear"/>
            <w:vAlign w:val="center"/>
          </w:tcPr>
          <w:p>
            <w:pPr>
              <w:pStyle w:val="TableContents"/>
              <w:spacing w:before="0" w:after="283"/>
              <w:jc w:val="right"/>
              <w:rPr>
                <w:sz w:val="20"/>
              </w:rPr>
            </w:pPr>
            <w:r>
              <w:rPr>
                <w:sz w:val="20"/>
              </w:rPr>
              <w:t>2</w:t>
            </w:r>
          </w:p>
        </w:tc>
      </w:tr>
      <w:tr>
        <w:trPr/>
        <w:tc>
          <w:tcPr>
            <w:tcW w:w="995" w:type="dxa"/>
            <w:tcBorders/>
            <w:shd w:fill="auto" w:val="clear"/>
            <w:vAlign w:val="center"/>
          </w:tcPr>
          <w:p>
            <w:pPr>
              <w:pStyle w:val="TableContents"/>
              <w:spacing w:before="0" w:after="283"/>
              <w:rPr>
                <w:sz w:val="20"/>
              </w:rPr>
            </w:pPr>
            <w:r>
              <w:rPr>
                <w:sz w:val="20"/>
              </w:rPr>
              <w:t>Section 1.3.</w:t>
            </w:r>
          </w:p>
        </w:tc>
        <w:tc>
          <w:tcPr>
            <w:tcW w:w="6050" w:type="dxa"/>
            <w:tcBorders/>
            <w:shd w:fill="auto" w:val="clear"/>
            <w:vAlign w:val="center"/>
          </w:tcPr>
          <w:p>
            <w:pPr>
              <w:pStyle w:val="TableContents"/>
              <w:spacing w:before="0" w:after="283"/>
              <w:rPr>
                <w:sz w:val="20"/>
              </w:rPr>
            </w:pPr>
            <w:r>
              <w:rPr>
                <w:sz w:val="20"/>
              </w:rPr>
              <w:t>Effective Time</w:t>
            </w:r>
          </w:p>
        </w:tc>
        <w:tc>
          <w:tcPr>
            <w:tcW w:w="245" w:type="dxa"/>
            <w:tcBorders/>
            <w:shd w:fill="auto" w:val="clear"/>
            <w:vAlign w:val="center"/>
          </w:tcPr>
          <w:p>
            <w:pPr>
              <w:pStyle w:val="TableContents"/>
              <w:spacing w:before="0" w:after="283"/>
              <w:jc w:val="right"/>
              <w:rPr/>
            </w:pPr>
            <w:r>
              <w:rPr/>
              <w:t>3</w:t>
            </w:r>
          </w:p>
        </w:tc>
      </w:tr>
      <w:tr>
        <w:trPr/>
        <w:tc>
          <w:tcPr>
            <w:tcW w:w="995" w:type="dxa"/>
            <w:tcBorders/>
            <w:shd w:fill="auto" w:val="clear"/>
            <w:vAlign w:val="center"/>
          </w:tcPr>
          <w:p>
            <w:pPr>
              <w:pStyle w:val="TableContents"/>
              <w:spacing w:before="0" w:after="283"/>
              <w:rPr>
                <w:sz w:val="20"/>
              </w:rPr>
            </w:pPr>
            <w:r>
              <w:rPr>
                <w:sz w:val="20"/>
              </w:rPr>
              <w:t>Section 1.4.</w:t>
            </w:r>
          </w:p>
        </w:tc>
        <w:tc>
          <w:tcPr>
            <w:tcW w:w="6050" w:type="dxa"/>
            <w:tcBorders/>
            <w:shd w:fill="auto" w:val="clear"/>
            <w:vAlign w:val="center"/>
          </w:tcPr>
          <w:p>
            <w:pPr>
              <w:pStyle w:val="TableContents"/>
              <w:spacing w:before="0" w:after="283"/>
              <w:rPr>
                <w:sz w:val="20"/>
              </w:rPr>
            </w:pPr>
            <w:r>
              <w:rPr>
                <w:sz w:val="20"/>
              </w:rPr>
              <w:t>Effects of the Merger</w:t>
            </w:r>
          </w:p>
        </w:tc>
        <w:tc>
          <w:tcPr>
            <w:tcW w:w="245" w:type="dxa"/>
            <w:tcBorders/>
            <w:shd w:fill="auto" w:val="clear"/>
            <w:vAlign w:val="center"/>
          </w:tcPr>
          <w:p>
            <w:pPr>
              <w:pStyle w:val="TableContents"/>
              <w:spacing w:before="0" w:after="283"/>
              <w:jc w:val="right"/>
              <w:rPr>
                <w:sz w:val="20"/>
              </w:rPr>
            </w:pPr>
            <w:r>
              <w:rPr>
                <w:sz w:val="20"/>
              </w:rPr>
              <w:t>3</w:t>
            </w:r>
          </w:p>
        </w:tc>
      </w:tr>
      <w:tr>
        <w:trPr/>
        <w:tc>
          <w:tcPr>
            <w:tcW w:w="995" w:type="dxa"/>
            <w:tcBorders/>
            <w:shd w:fill="auto" w:val="clear"/>
            <w:vAlign w:val="center"/>
          </w:tcPr>
          <w:p>
            <w:pPr>
              <w:pStyle w:val="TableContents"/>
              <w:spacing w:before="0" w:after="283"/>
              <w:rPr>
                <w:sz w:val="20"/>
              </w:rPr>
            </w:pPr>
            <w:r>
              <w:rPr>
                <w:sz w:val="20"/>
              </w:rPr>
              <w:t>Section 1.5.</w:t>
            </w:r>
          </w:p>
        </w:tc>
        <w:tc>
          <w:tcPr>
            <w:tcW w:w="6050" w:type="dxa"/>
            <w:tcBorders/>
            <w:shd w:fill="auto" w:val="clear"/>
            <w:vAlign w:val="center"/>
          </w:tcPr>
          <w:p>
            <w:pPr>
              <w:pStyle w:val="TableContents"/>
              <w:spacing w:before="0" w:after="283"/>
              <w:rPr>
                <w:sz w:val="20"/>
              </w:rPr>
            </w:pPr>
            <w:r>
              <w:rPr>
                <w:sz w:val="20"/>
              </w:rPr>
              <w:t>Organizational Documents of the Surviving Entity</w:t>
            </w:r>
          </w:p>
        </w:tc>
        <w:tc>
          <w:tcPr>
            <w:tcW w:w="245" w:type="dxa"/>
            <w:tcBorders/>
            <w:shd w:fill="auto" w:val="clear"/>
            <w:vAlign w:val="center"/>
          </w:tcPr>
          <w:p>
            <w:pPr>
              <w:pStyle w:val="TableContents"/>
              <w:spacing w:before="0" w:after="283"/>
              <w:jc w:val="right"/>
              <w:rPr>
                <w:sz w:val="20"/>
              </w:rPr>
            </w:pPr>
            <w:r>
              <w:rPr>
                <w:sz w:val="20"/>
              </w:rPr>
              <w:t>3</w:t>
            </w:r>
          </w:p>
        </w:tc>
      </w:tr>
      <w:tr>
        <w:trPr/>
        <w:tc>
          <w:tcPr>
            <w:tcW w:w="995" w:type="dxa"/>
            <w:tcBorders/>
            <w:shd w:fill="auto" w:val="clear"/>
            <w:vAlign w:val="center"/>
          </w:tcPr>
          <w:p>
            <w:pPr>
              <w:pStyle w:val="TableContents"/>
              <w:spacing w:before="0" w:after="283"/>
              <w:rPr/>
            </w:pPr>
            <w:r>
              <w:rPr/>
              <w:t> </w:t>
            </w:r>
          </w:p>
        </w:tc>
        <w:tc>
          <w:tcPr>
            <w:tcW w:w="605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995" w:type="dxa"/>
            <w:tcBorders/>
            <w:shd w:fill="auto" w:val="clear"/>
            <w:vAlign w:val="center"/>
          </w:tcPr>
          <w:p>
            <w:pPr>
              <w:pStyle w:val="TableContents"/>
              <w:spacing w:before="0" w:after="283"/>
              <w:jc w:val="center"/>
              <w:rPr/>
            </w:pPr>
            <w:r>
              <w:rPr/>
              <w:t> </w:t>
            </w:r>
          </w:p>
        </w:tc>
        <w:tc>
          <w:tcPr>
            <w:tcW w:w="6050" w:type="dxa"/>
            <w:tcBorders/>
            <w:shd w:fill="auto" w:val="clear"/>
            <w:vAlign w:val="center"/>
          </w:tcPr>
          <w:p>
            <w:pPr>
              <w:pStyle w:val="TableContents"/>
              <w:spacing w:before="0" w:after="283"/>
              <w:jc w:val="center"/>
              <w:rPr>
                <w:sz w:val="20"/>
              </w:rPr>
            </w:pPr>
            <w:r>
              <w:rPr>
                <w:sz w:val="20"/>
              </w:rPr>
              <w:t>ARTICLE II</w:t>
            </w:r>
          </w:p>
        </w:tc>
        <w:tc>
          <w:tcPr>
            <w:tcW w:w="245" w:type="dxa"/>
            <w:tcBorders/>
            <w:shd w:fill="auto" w:val="clear"/>
            <w:vAlign w:val="center"/>
          </w:tcPr>
          <w:p>
            <w:pPr>
              <w:pStyle w:val="TableContents"/>
              <w:spacing w:before="0" w:after="283"/>
              <w:jc w:val="right"/>
              <w:rPr/>
            </w:pPr>
            <w:r>
              <w:rPr/>
              <w:t> </w:t>
            </w:r>
          </w:p>
        </w:tc>
      </w:tr>
      <w:tr>
        <w:trPr/>
        <w:tc>
          <w:tcPr>
            <w:tcW w:w="995" w:type="dxa"/>
            <w:tcBorders/>
            <w:shd w:fill="auto" w:val="clear"/>
            <w:vAlign w:val="center"/>
          </w:tcPr>
          <w:p>
            <w:pPr>
              <w:pStyle w:val="TableContents"/>
              <w:spacing w:before="0" w:after="283"/>
              <w:jc w:val="center"/>
              <w:rPr/>
            </w:pPr>
            <w:r>
              <w:rPr/>
              <w:t> </w:t>
            </w:r>
          </w:p>
        </w:tc>
        <w:tc>
          <w:tcPr>
            <w:tcW w:w="6050" w:type="dxa"/>
            <w:tcBorders/>
            <w:shd w:fill="auto" w:val="clear"/>
            <w:vAlign w:val="center"/>
          </w:tcPr>
          <w:p>
            <w:pPr>
              <w:pStyle w:val="TableContents"/>
              <w:spacing w:before="0" w:after="283"/>
              <w:jc w:val="center"/>
              <w:rPr/>
            </w:pPr>
            <w:r>
              <w:rPr/>
              <w:t> </w:t>
            </w:r>
          </w:p>
        </w:tc>
        <w:tc>
          <w:tcPr>
            <w:tcW w:w="245" w:type="dxa"/>
            <w:tcBorders/>
            <w:shd w:fill="auto" w:val="clear"/>
            <w:vAlign w:val="center"/>
          </w:tcPr>
          <w:p>
            <w:pPr>
              <w:pStyle w:val="TableContents"/>
              <w:spacing w:before="0" w:after="283"/>
              <w:jc w:val="right"/>
              <w:rPr/>
            </w:pPr>
            <w:r>
              <w:rPr/>
              <w:t> </w:t>
            </w:r>
          </w:p>
        </w:tc>
      </w:tr>
      <w:tr>
        <w:trPr/>
        <w:tc>
          <w:tcPr>
            <w:tcW w:w="995" w:type="dxa"/>
            <w:tcBorders/>
            <w:shd w:fill="auto" w:val="clear"/>
            <w:vAlign w:val="center"/>
          </w:tcPr>
          <w:p>
            <w:pPr>
              <w:pStyle w:val="TableContents"/>
              <w:spacing w:before="0" w:after="283"/>
              <w:jc w:val="center"/>
              <w:rPr/>
            </w:pPr>
            <w:r>
              <w:rPr/>
              <w:t> </w:t>
            </w:r>
          </w:p>
        </w:tc>
        <w:tc>
          <w:tcPr>
            <w:tcW w:w="6050" w:type="dxa"/>
            <w:tcBorders/>
            <w:shd w:fill="auto" w:val="clear"/>
            <w:vAlign w:val="center"/>
          </w:tcPr>
          <w:p>
            <w:pPr>
              <w:pStyle w:val="TableContents"/>
              <w:spacing w:before="0" w:after="283"/>
              <w:jc w:val="center"/>
              <w:rPr>
                <w:sz w:val="20"/>
              </w:rPr>
            </w:pPr>
            <w:r>
              <w:rPr>
                <w:sz w:val="20"/>
              </w:rPr>
              <w:t>EFFECT ON INTERESTS</w:t>
            </w:r>
          </w:p>
        </w:tc>
        <w:tc>
          <w:tcPr>
            <w:tcW w:w="245" w:type="dxa"/>
            <w:tcBorders/>
            <w:shd w:fill="auto" w:val="clear"/>
            <w:vAlign w:val="center"/>
          </w:tcPr>
          <w:p>
            <w:pPr>
              <w:pStyle w:val="TableContents"/>
              <w:spacing w:before="0" w:after="283"/>
              <w:jc w:val="right"/>
              <w:rPr/>
            </w:pPr>
            <w:r>
              <w:rPr/>
              <w:t> </w:t>
            </w:r>
          </w:p>
        </w:tc>
      </w:tr>
      <w:tr>
        <w:trPr/>
        <w:tc>
          <w:tcPr>
            <w:tcW w:w="995" w:type="dxa"/>
            <w:tcBorders/>
            <w:shd w:fill="auto" w:val="clear"/>
            <w:vAlign w:val="center"/>
          </w:tcPr>
          <w:p>
            <w:pPr>
              <w:pStyle w:val="TableContents"/>
              <w:spacing w:before="0" w:after="283"/>
              <w:jc w:val="center"/>
              <w:rPr/>
            </w:pPr>
            <w:r>
              <w:rPr/>
              <w:t> </w:t>
            </w:r>
          </w:p>
        </w:tc>
        <w:tc>
          <w:tcPr>
            <w:tcW w:w="6050" w:type="dxa"/>
            <w:tcBorders/>
            <w:shd w:fill="auto" w:val="clear"/>
            <w:vAlign w:val="center"/>
          </w:tcPr>
          <w:p>
            <w:pPr>
              <w:pStyle w:val="TableContents"/>
              <w:spacing w:before="0" w:after="283"/>
              <w:jc w:val="center"/>
              <w:rPr/>
            </w:pPr>
            <w:r>
              <w:rPr/>
              <w:t> </w:t>
            </w:r>
          </w:p>
        </w:tc>
        <w:tc>
          <w:tcPr>
            <w:tcW w:w="245" w:type="dxa"/>
            <w:tcBorders/>
            <w:shd w:fill="auto" w:val="clear"/>
            <w:vAlign w:val="center"/>
          </w:tcPr>
          <w:p>
            <w:pPr>
              <w:pStyle w:val="TableContents"/>
              <w:spacing w:before="0" w:after="283"/>
              <w:jc w:val="right"/>
              <w:rPr/>
            </w:pPr>
            <w:r>
              <w:rPr/>
              <w:t> </w:t>
            </w:r>
          </w:p>
        </w:tc>
      </w:tr>
      <w:tr>
        <w:trPr/>
        <w:tc>
          <w:tcPr>
            <w:tcW w:w="995" w:type="dxa"/>
            <w:tcBorders/>
            <w:shd w:fill="auto" w:val="clear"/>
            <w:vAlign w:val="center"/>
          </w:tcPr>
          <w:p>
            <w:pPr>
              <w:pStyle w:val="TableContents"/>
              <w:spacing w:before="0" w:after="283"/>
              <w:rPr>
                <w:sz w:val="20"/>
              </w:rPr>
            </w:pPr>
            <w:r>
              <w:rPr>
                <w:sz w:val="20"/>
              </w:rPr>
              <w:t>Section 2.1.</w:t>
            </w:r>
          </w:p>
        </w:tc>
        <w:tc>
          <w:tcPr>
            <w:tcW w:w="6050" w:type="dxa"/>
            <w:tcBorders/>
            <w:shd w:fill="auto" w:val="clear"/>
            <w:vAlign w:val="center"/>
          </w:tcPr>
          <w:p>
            <w:pPr>
              <w:pStyle w:val="TableContents"/>
              <w:spacing w:before="0" w:after="283"/>
              <w:rPr>
                <w:sz w:val="20"/>
              </w:rPr>
            </w:pPr>
            <w:r>
              <w:rPr>
                <w:sz w:val="20"/>
              </w:rPr>
              <w:t>Effect of Merger</w:t>
            </w:r>
          </w:p>
        </w:tc>
        <w:tc>
          <w:tcPr>
            <w:tcW w:w="245" w:type="dxa"/>
            <w:tcBorders/>
            <w:shd w:fill="auto" w:val="clear"/>
            <w:vAlign w:val="center"/>
          </w:tcPr>
          <w:p>
            <w:pPr>
              <w:pStyle w:val="TableContents"/>
              <w:spacing w:before="0" w:after="283"/>
              <w:jc w:val="right"/>
              <w:rPr>
                <w:sz w:val="20"/>
              </w:rPr>
            </w:pPr>
            <w:r>
              <w:rPr>
                <w:sz w:val="20"/>
              </w:rPr>
              <w:t>3</w:t>
            </w:r>
          </w:p>
        </w:tc>
      </w:tr>
      <w:tr>
        <w:trPr/>
        <w:tc>
          <w:tcPr>
            <w:tcW w:w="995" w:type="dxa"/>
            <w:tcBorders/>
            <w:shd w:fill="auto" w:val="clear"/>
            <w:vAlign w:val="center"/>
          </w:tcPr>
          <w:p>
            <w:pPr>
              <w:pStyle w:val="TableContents"/>
              <w:spacing w:before="0" w:after="283"/>
              <w:rPr>
                <w:sz w:val="20"/>
              </w:rPr>
            </w:pPr>
            <w:r>
              <w:rPr>
                <w:sz w:val="20"/>
              </w:rPr>
              <w:t>Section 2.2.</w:t>
            </w:r>
          </w:p>
        </w:tc>
        <w:tc>
          <w:tcPr>
            <w:tcW w:w="6050" w:type="dxa"/>
            <w:tcBorders/>
            <w:shd w:fill="auto" w:val="clear"/>
            <w:vAlign w:val="center"/>
          </w:tcPr>
          <w:p>
            <w:pPr>
              <w:pStyle w:val="TableContents"/>
              <w:spacing w:before="0" w:after="283"/>
              <w:rPr>
                <w:sz w:val="20"/>
              </w:rPr>
            </w:pPr>
            <w:r>
              <w:rPr>
                <w:sz w:val="20"/>
              </w:rPr>
              <w:t>Payment of Merger Consideration</w:t>
            </w:r>
          </w:p>
        </w:tc>
        <w:tc>
          <w:tcPr>
            <w:tcW w:w="245" w:type="dxa"/>
            <w:tcBorders/>
            <w:shd w:fill="auto" w:val="clear"/>
            <w:vAlign w:val="center"/>
          </w:tcPr>
          <w:p>
            <w:pPr>
              <w:pStyle w:val="TableContents"/>
              <w:spacing w:before="0" w:after="283"/>
              <w:jc w:val="right"/>
              <w:rPr>
                <w:sz w:val="20"/>
              </w:rPr>
            </w:pPr>
            <w:r>
              <w:rPr>
                <w:sz w:val="20"/>
              </w:rPr>
              <w:t>4</w:t>
            </w:r>
          </w:p>
        </w:tc>
      </w:tr>
      <w:tr>
        <w:trPr/>
        <w:tc>
          <w:tcPr>
            <w:tcW w:w="995" w:type="dxa"/>
            <w:tcBorders/>
            <w:shd w:fill="auto" w:val="clear"/>
            <w:vAlign w:val="center"/>
          </w:tcPr>
          <w:p>
            <w:pPr>
              <w:pStyle w:val="TableContents"/>
              <w:spacing w:before="0" w:after="283"/>
              <w:rPr>
                <w:sz w:val="20"/>
              </w:rPr>
            </w:pPr>
            <w:r>
              <w:rPr>
                <w:sz w:val="20"/>
              </w:rPr>
              <w:t>Section 2.3.</w:t>
            </w:r>
          </w:p>
        </w:tc>
        <w:tc>
          <w:tcPr>
            <w:tcW w:w="6050" w:type="dxa"/>
            <w:tcBorders/>
            <w:shd w:fill="auto" w:val="clear"/>
            <w:vAlign w:val="center"/>
          </w:tcPr>
          <w:p>
            <w:pPr>
              <w:pStyle w:val="TableContents"/>
              <w:spacing w:before="0" w:after="283"/>
              <w:rPr>
                <w:sz w:val="20"/>
              </w:rPr>
            </w:pPr>
            <w:r>
              <w:rPr>
                <w:sz w:val="20"/>
              </w:rPr>
              <w:t>Partnership Awards</w:t>
            </w:r>
          </w:p>
        </w:tc>
        <w:tc>
          <w:tcPr>
            <w:tcW w:w="245" w:type="dxa"/>
            <w:tcBorders/>
            <w:shd w:fill="auto" w:val="clear"/>
            <w:vAlign w:val="center"/>
          </w:tcPr>
          <w:p>
            <w:pPr>
              <w:pStyle w:val="TableContents"/>
              <w:spacing w:before="0" w:after="283"/>
              <w:jc w:val="right"/>
              <w:rPr>
                <w:sz w:val="20"/>
              </w:rPr>
            </w:pPr>
            <w:r>
              <w:rPr>
                <w:sz w:val="20"/>
              </w:rPr>
              <w:t>6</w:t>
            </w:r>
          </w:p>
        </w:tc>
      </w:tr>
      <w:tr>
        <w:trPr/>
        <w:tc>
          <w:tcPr>
            <w:tcW w:w="995" w:type="dxa"/>
            <w:tcBorders/>
            <w:shd w:fill="auto" w:val="clear"/>
            <w:vAlign w:val="center"/>
          </w:tcPr>
          <w:p>
            <w:pPr>
              <w:pStyle w:val="TableContents"/>
              <w:spacing w:before="0" w:after="283"/>
              <w:rPr>
                <w:sz w:val="20"/>
              </w:rPr>
            </w:pPr>
            <w:r>
              <w:rPr>
                <w:sz w:val="20"/>
              </w:rPr>
              <w:t>Section 2.4.</w:t>
            </w:r>
          </w:p>
        </w:tc>
        <w:tc>
          <w:tcPr>
            <w:tcW w:w="6050" w:type="dxa"/>
            <w:tcBorders/>
            <w:shd w:fill="auto" w:val="clear"/>
            <w:vAlign w:val="center"/>
          </w:tcPr>
          <w:p>
            <w:pPr>
              <w:pStyle w:val="TableContents"/>
              <w:spacing w:before="0" w:after="283"/>
              <w:rPr>
                <w:sz w:val="20"/>
              </w:rPr>
            </w:pPr>
            <w:r>
              <w:rPr>
                <w:sz w:val="20"/>
              </w:rPr>
              <w:t>Adjustments</w:t>
            </w:r>
          </w:p>
        </w:tc>
        <w:tc>
          <w:tcPr>
            <w:tcW w:w="245" w:type="dxa"/>
            <w:tcBorders/>
            <w:shd w:fill="auto" w:val="clear"/>
            <w:vAlign w:val="center"/>
          </w:tcPr>
          <w:p>
            <w:pPr>
              <w:pStyle w:val="TableContents"/>
              <w:spacing w:before="0" w:after="283"/>
              <w:jc w:val="right"/>
              <w:rPr>
                <w:sz w:val="20"/>
              </w:rPr>
            </w:pPr>
            <w:r>
              <w:rPr>
                <w:sz w:val="20"/>
              </w:rPr>
              <w:t>7</w:t>
            </w:r>
          </w:p>
        </w:tc>
      </w:tr>
      <w:tr>
        <w:trPr/>
        <w:tc>
          <w:tcPr>
            <w:tcW w:w="995" w:type="dxa"/>
            <w:tcBorders/>
            <w:shd w:fill="auto" w:val="clear"/>
            <w:vAlign w:val="center"/>
          </w:tcPr>
          <w:p>
            <w:pPr>
              <w:pStyle w:val="TableContents"/>
              <w:spacing w:before="0" w:after="283"/>
              <w:rPr>
                <w:sz w:val="20"/>
              </w:rPr>
            </w:pPr>
            <w:r>
              <w:rPr>
                <w:sz w:val="20"/>
              </w:rPr>
              <w:t>Section 2.5.</w:t>
            </w:r>
          </w:p>
        </w:tc>
        <w:tc>
          <w:tcPr>
            <w:tcW w:w="6050" w:type="dxa"/>
            <w:tcBorders/>
            <w:shd w:fill="auto" w:val="clear"/>
            <w:vAlign w:val="center"/>
          </w:tcPr>
          <w:p>
            <w:pPr>
              <w:pStyle w:val="TableContents"/>
              <w:spacing w:before="0" w:after="283"/>
              <w:rPr>
                <w:sz w:val="20"/>
              </w:rPr>
            </w:pPr>
            <w:r>
              <w:rPr>
                <w:sz w:val="20"/>
              </w:rPr>
              <w:t>No Dissenters’ Rights</w:t>
            </w:r>
          </w:p>
        </w:tc>
        <w:tc>
          <w:tcPr>
            <w:tcW w:w="245" w:type="dxa"/>
            <w:tcBorders/>
            <w:shd w:fill="auto" w:val="clear"/>
            <w:vAlign w:val="center"/>
          </w:tcPr>
          <w:p>
            <w:pPr>
              <w:pStyle w:val="TableContents"/>
              <w:spacing w:before="0" w:after="283"/>
              <w:jc w:val="right"/>
              <w:rPr>
                <w:sz w:val="20"/>
              </w:rPr>
            </w:pPr>
            <w:r>
              <w:rPr>
                <w:sz w:val="20"/>
              </w:rPr>
              <w:t>7</w:t>
            </w:r>
          </w:p>
        </w:tc>
      </w:tr>
      <w:tr>
        <w:trPr/>
        <w:tc>
          <w:tcPr>
            <w:tcW w:w="995" w:type="dxa"/>
            <w:tcBorders/>
            <w:shd w:fill="auto" w:val="clear"/>
            <w:vAlign w:val="center"/>
          </w:tcPr>
          <w:p>
            <w:pPr>
              <w:pStyle w:val="TableContents"/>
              <w:spacing w:before="0" w:after="283"/>
              <w:rPr/>
            </w:pPr>
            <w:r>
              <w:rPr/>
              <w:t> </w:t>
            </w:r>
          </w:p>
        </w:tc>
        <w:tc>
          <w:tcPr>
            <w:tcW w:w="605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995" w:type="dxa"/>
            <w:tcBorders/>
            <w:shd w:fill="auto" w:val="clear"/>
            <w:vAlign w:val="center"/>
          </w:tcPr>
          <w:p>
            <w:pPr>
              <w:pStyle w:val="TableContents"/>
              <w:spacing w:before="0" w:after="283"/>
              <w:jc w:val="center"/>
              <w:rPr/>
            </w:pPr>
            <w:r>
              <w:rPr/>
              <w:t> </w:t>
            </w:r>
          </w:p>
        </w:tc>
        <w:tc>
          <w:tcPr>
            <w:tcW w:w="6050" w:type="dxa"/>
            <w:tcBorders/>
            <w:shd w:fill="auto" w:val="clear"/>
            <w:vAlign w:val="center"/>
          </w:tcPr>
          <w:p>
            <w:pPr>
              <w:pStyle w:val="TableContents"/>
              <w:spacing w:before="0" w:after="283"/>
              <w:jc w:val="center"/>
              <w:rPr>
                <w:sz w:val="20"/>
              </w:rPr>
            </w:pPr>
            <w:r>
              <w:rPr>
                <w:sz w:val="20"/>
              </w:rPr>
              <w:t>ARTICLE III</w:t>
            </w:r>
          </w:p>
        </w:tc>
        <w:tc>
          <w:tcPr>
            <w:tcW w:w="245" w:type="dxa"/>
            <w:tcBorders/>
            <w:shd w:fill="auto" w:val="clear"/>
            <w:vAlign w:val="center"/>
          </w:tcPr>
          <w:p>
            <w:pPr>
              <w:pStyle w:val="TableContents"/>
              <w:spacing w:before="0" w:after="283"/>
              <w:jc w:val="right"/>
              <w:rPr/>
            </w:pPr>
            <w:r>
              <w:rPr/>
              <w:t> </w:t>
            </w:r>
          </w:p>
        </w:tc>
      </w:tr>
      <w:tr>
        <w:trPr/>
        <w:tc>
          <w:tcPr>
            <w:tcW w:w="995" w:type="dxa"/>
            <w:tcBorders/>
            <w:shd w:fill="auto" w:val="clear"/>
            <w:vAlign w:val="center"/>
          </w:tcPr>
          <w:p>
            <w:pPr>
              <w:pStyle w:val="TableContents"/>
              <w:spacing w:before="0" w:after="283"/>
              <w:jc w:val="center"/>
              <w:rPr/>
            </w:pPr>
            <w:r>
              <w:rPr/>
              <w:t> </w:t>
            </w:r>
          </w:p>
        </w:tc>
        <w:tc>
          <w:tcPr>
            <w:tcW w:w="6050" w:type="dxa"/>
            <w:tcBorders/>
            <w:shd w:fill="auto" w:val="clear"/>
            <w:vAlign w:val="center"/>
          </w:tcPr>
          <w:p>
            <w:pPr>
              <w:pStyle w:val="TableContents"/>
              <w:spacing w:before="0" w:after="283"/>
              <w:jc w:val="center"/>
              <w:rPr/>
            </w:pPr>
            <w:r>
              <w:rPr/>
              <w:t> </w:t>
            </w:r>
          </w:p>
        </w:tc>
        <w:tc>
          <w:tcPr>
            <w:tcW w:w="245" w:type="dxa"/>
            <w:tcBorders/>
            <w:shd w:fill="auto" w:val="clear"/>
            <w:vAlign w:val="center"/>
          </w:tcPr>
          <w:p>
            <w:pPr>
              <w:pStyle w:val="TableContents"/>
              <w:spacing w:before="0" w:after="283"/>
              <w:jc w:val="right"/>
              <w:rPr/>
            </w:pPr>
            <w:r>
              <w:rPr/>
              <w:t> </w:t>
            </w:r>
          </w:p>
        </w:tc>
      </w:tr>
      <w:tr>
        <w:trPr/>
        <w:tc>
          <w:tcPr>
            <w:tcW w:w="995" w:type="dxa"/>
            <w:tcBorders/>
            <w:shd w:fill="auto" w:val="clear"/>
            <w:vAlign w:val="center"/>
          </w:tcPr>
          <w:p>
            <w:pPr>
              <w:pStyle w:val="TableContents"/>
              <w:spacing w:before="0" w:after="283"/>
              <w:jc w:val="center"/>
              <w:rPr/>
            </w:pPr>
            <w:r>
              <w:rPr/>
              <w:t> </w:t>
            </w:r>
          </w:p>
        </w:tc>
        <w:tc>
          <w:tcPr>
            <w:tcW w:w="6050" w:type="dxa"/>
            <w:tcBorders/>
            <w:shd w:fill="auto" w:val="clear"/>
            <w:vAlign w:val="center"/>
          </w:tcPr>
          <w:p>
            <w:pPr>
              <w:pStyle w:val="TableContents"/>
              <w:spacing w:before="0" w:after="283"/>
              <w:jc w:val="center"/>
              <w:rPr>
                <w:sz w:val="20"/>
              </w:rPr>
            </w:pPr>
            <w:r>
              <w:rPr>
                <w:sz w:val="20"/>
              </w:rPr>
              <w:t>REPRESENTATIONS AND WARRANTIES OF THE PARTNERSHIP</w:t>
            </w:r>
          </w:p>
        </w:tc>
        <w:tc>
          <w:tcPr>
            <w:tcW w:w="245" w:type="dxa"/>
            <w:tcBorders/>
            <w:shd w:fill="auto" w:val="clear"/>
            <w:vAlign w:val="center"/>
          </w:tcPr>
          <w:p>
            <w:pPr>
              <w:pStyle w:val="TableContents"/>
              <w:spacing w:before="0" w:after="283"/>
              <w:jc w:val="right"/>
              <w:rPr/>
            </w:pPr>
            <w:r>
              <w:rPr/>
              <w:t> </w:t>
            </w:r>
          </w:p>
        </w:tc>
      </w:tr>
      <w:tr>
        <w:trPr/>
        <w:tc>
          <w:tcPr>
            <w:tcW w:w="995" w:type="dxa"/>
            <w:tcBorders/>
            <w:shd w:fill="auto" w:val="clear"/>
            <w:vAlign w:val="center"/>
          </w:tcPr>
          <w:p>
            <w:pPr>
              <w:pStyle w:val="TableContents"/>
              <w:spacing w:before="0" w:after="283"/>
              <w:jc w:val="center"/>
              <w:rPr/>
            </w:pPr>
            <w:r>
              <w:rPr/>
              <w:t> </w:t>
            </w:r>
          </w:p>
        </w:tc>
        <w:tc>
          <w:tcPr>
            <w:tcW w:w="6050" w:type="dxa"/>
            <w:tcBorders/>
            <w:shd w:fill="auto" w:val="clear"/>
            <w:vAlign w:val="center"/>
          </w:tcPr>
          <w:p>
            <w:pPr>
              <w:pStyle w:val="TableContents"/>
              <w:spacing w:before="0" w:after="283"/>
              <w:jc w:val="center"/>
              <w:rPr/>
            </w:pPr>
            <w:r>
              <w:rPr/>
              <w:t> </w:t>
            </w:r>
          </w:p>
        </w:tc>
        <w:tc>
          <w:tcPr>
            <w:tcW w:w="245" w:type="dxa"/>
            <w:tcBorders/>
            <w:shd w:fill="auto" w:val="clear"/>
            <w:vAlign w:val="center"/>
          </w:tcPr>
          <w:p>
            <w:pPr>
              <w:pStyle w:val="TableContents"/>
              <w:spacing w:before="0" w:after="283"/>
              <w:jc w:val="right"/>
              <w:rPr/>
            </w:pPr>
            <w:r>
              <w:rPr/>
              <w:t> </w:t>
            </w:r>
          </w:p>
        </w:tc>
      </w:tr>
      <w:tr>
        <w:trPr/>
        <w:tc>
          <w:tcPr>
            <w:tcW w:w="995" w:type="dxa"/>
            <w:tcBorders/>
            <w:shd w:fill="auto" w:val="clear"/>
            <w:vAlign w:val="center"/>
          </w:tcPr>
          <w:p>
            <w:pPr>
              <w:pStyle w:val="TableContents"/>
              <w:spacing w:before="0" w:after="283"/>
              <w:rPr>
                <w:sz w:val="20"/>
              </w:rPr>
            </w:pPr>
            <w:r>
              <w:rPr>
                <w:sz w:val="20"/>
              </w:rPr>
              <w:t>Section 3.1.</w:t>
            </w:r>
          </w:p>
        </w:tc>
        <w:tc>
          <w:tcPr>
            <w:tcW w:w="6050" w:type="dxa"/>
            <w:tcBorders/>
            <w:shd w:fill="auto" w:val="clear"/>
            <w:vAlign w:val="center"/>
          </w:tcPr>
          <w:p>
            <w:pPr>
              <w:pStyle w:val="TableContents"/>
              <w:spacing w:before="0" w:after="283"/>
              <w:rPr>
                <w:sz w:val="20"/>
              </w:rPr>
            </w:pPr>
            <w:r>
              <w:rPr>
                <w:sz w:val="20"/>
              </w:rPr>
              <w:t>Organization, Standing and Power</w:t>
            </w:r>
          </w:p>
        </w:tc>
        <w:tc>
          <w:tcPr>
            <w:tcW w:w="245" w:type="dxa"/>
            <w:tcBorders/>
            <w:shd w:fill="auto" w:val="clear"/>
            <w:vAlign w:val="center"/>
          </w:tcPr>
          <w:p>
            <w:pPr>
              <w:pStyle w:val="TableContents"/>
              <w:spacing w:before="0" w:after="283"/>
              <w:jc w:val="right"/>
              <w:rPr>
                <w:sz w:val="20"/>
              </w:rPr>
            </w:pPr>
            <w:r>
              <w:rPr>
                <w:sz w:val="20"/>
              </w:rPr>
              <w:t>7</w:t>
            </w:r>
          </w:p>
        </w:tc>
      </w:tr>
      <w:tr>
        <w:trPr/>
        <w:tc>
          <w:tcPr>
            <w:tcW w:w="995" w:type="dxa"/>
            <w:tcBorders/>
            <w:shd w:fill="auto" w:val="clear"/>
            <w:vAlign w:val="center"/>
          </w:tcPr>
          <w:p>
            <w:pPr>
              <w:pStyle w:val="TableContents"/>
              <w:spacing w:before="0" w:after="283"/>
              <w:rPr>
                <w:sz w:val="20"/>
              </w:rPr>
            </w:pPr>
            <w:r>
              <w:rPr>
                <w:sz w:val="20"/>
              </w:rPr>
              <w:t>Section 3.2.</w:t>
            </w:r>
          </w:p>
        </w:tc>
        <w:tc>
          <w:tcPr>
            <w:tcW w:w="6050" w:type="dxa"/>
            <w:tcBorders/>
            <w:shd w:fill="auto" w:val="clear"/>
            <w:vAlign w:val="center"/>
          </w:tcPr>
          <w:p>
            <w:pPr>
              <w:pStyle w:val="TableContents"/>
              <w:spacing w:before="0" w:after="283"/>
              <w:rPr>
                <w:sz w:val="20"/>
              </w:rPr>
            </w:pPr>
            <w:r>
              <w:rPr>
                <w:sz w:val="20"/>
              </w:rPr>
              <w:t>Capitalization</w:t>
            </w:r>
          </w:p>
        </w:tc>
        <w:tc>
          <w:tcPr>
            <w:tcW w:w="245" w:type="dxa"/>
            <w:tcBorders/>
            <w:shd w:fill="auto" w:val="clear"/>
            <w:vAlign w:val="center"/>
          </w:tcPr>
          <w:p>
            <w:pPr>
              <w:pStyle w:val="TableContents"/>
              <w:spacing w:before="0" w:after="283"/>
              <w:jc w:val="right"/>
              <w:rPr>
                <w:sz w:val="20"/>
              </w:rPr>
            </w:pPr>
            <w:r>
              <w:rPr>
                <w:sz w:val="20"/>
              </w:rPr>
              <w:t>8</w:t>
            </w:r>
          </w:p>
        </w:tc>
      </w:tr>
      <w:tr>
        <w:trPr/>
        <w:tc>
          <w:tcPr>
            <w:tcW w:w="995" w:type="dxa"/>
            <w:tcBorders/>
            <w:shd w:fill="auto" w:val="clear"/>
            <w:vAlign w:val="center"/>
          </w:tcPr>
          <w:p>
            <w:pPr>
              <w:pStyle w:val="TableContents"/>
              <w:spacing w:before="0" w:after="283"/>
              <w:rPr>
                <w:sz w:val="20"/>
              </w:rPr>
            </w:pPr>
            <w:r>
              <w:rPr>
                <w:sz w:val="20"/>
              </w:rPr>
              <w:t>Section 3.3.</w:t>
            </w:r>
          </w:p>
        </w:tc>
        <w:tc>
          <w:tcPr>
            <w:tcW w:w="6050" w:type="dxa"/>
            <w:tcBorders/>
            <w:shd w:fill="auto" w:val="clear"/>
            <w:vAlign w:val="center"/>
          </w:tcPr>
          <w:p>
            <w:pPr>
              <w:pStyle w:val="TableContents"/>
              <w:spacing w:before="0" w:after="283"/>
              <w:rPr>
                <w:sz w:val="20"/>
              </w:rPr>
            </w:pPr>
            <w:r>
              <w:rPr>
                <w:sz w:val="20"/>
              </w:rPr>
              <w:t>Authority; Noncontravention; Voting Requirements</w:t>
            </w:r>
          </w:p>
        </w:tc>
        <w:tc>
          <w:tcPr>
            <w:tcW w:w="245" w:type="dxa"/>
            <w:tcBorders/>
            <w:shd w:fill="auto" w:val="clear"/>
            <w:vAlign w:val="center"/>
          </w:tcPr>
          <w:p>
            <w:pPr>
              <w:pStyle w:val="TableContents"/>
              <w:spacing w:before="0" w:after="283"/>
              <w:jc w:val="right"/>
              <w:rPr>
                <w:sz w:val="20"/>
              </w:rPr>
            </w:pPr>
            <w:r>
              <w:rPr>
                <w:sz w:val="20"/>
              </w:rPr>
              <w:t>9</w:t>
            </w:r>
          </w:p>
        </w:tc>
      </w:tr>
      <w:tr>
        <w:trPr/>
        <w:tc>
          <w:tcPr>
            <w:tcW w:w="995" w:type="dxa"/>
            <w:tcBorders/>
            <w:shd w:fill="auto" w:val="clear"/>
            <w:vAlign w:val="center"/>
          </w:tcPr>
          <w:p>
            <w:pPr>
              <w:pStyle w:val="TableContents"/>
              <w:spacing w:before="0" w:after="283"/>
              <w:rPr>
                <w:sz w:val="20"/>
              </w:rPr>
            </w:pPr>
            <w:r>
              <w:rPr>
                <w:sz w:val="20"/>
              </w:rPr>
              <w:t>Section 3.4.</w:t>
            </w:r>
          </w:p>
        </w:tc>
        <w:tc>
          <w:tcPr>
            <w:tcW w:w="6050" w:type="dxa"/>
            <w:tcBorders/>
            <w:shd w:fill="auto" w:val="clear"/>
            <w:vAlign w:val="center"/>
          </w:tcPr>
          <w:p>
            <w:pPr>
              <w:pStyle w:val="TableContents"/>
              <w:spacing w:before="0" w:after="283"/>
              <w:rPr>
                <w:sz w:val="20"/>
              </w:rPr>
            </w:pPr>
            <w:r>
              <w:rPr>
                <w:sz w:val="20"/>
              </w:rPr>
              <w:t>Governmental Approvals</w:t>
            </w:r>
          </w:p>
        </w:tc>
        <w:tc>
          <w:tcPr>
            <w:tcW w:w="245" w:type="dxa"/>
            <w:tcBorders/>
            <w:shd w:fill="auto" w:val="clear"/>
            <w:vAlign w:val="center"/>
          </w:tcPr>
          <w:p>
            <w:pPr>
              <w:pStyle w:val="TableContents"/>
              <w:spacing w:before="0" w:after="283"/>
              <w:jc w:val="right"/>
              <w:rPr>
                <w:sz w:val="20"/>
              </w:rPr>
            </w:pPr>
            <w:r>
              <w:rPr>
                <w:sz w:val="20"/>
              </w:rPr>
              <w:t>10</w:t>
            </w:r>
          </w:p>
        </w:tc>
      </w:tr>
      <w:tr>
        <w:trPr/>
        <w:tc>
          <w:tcPr>
            <w:tcW w:w="995" w:type="dxa"/>
            <w:tcBorders/>
            <w:shd w:fill="auto" w:val="clear"/>
            <w:vAlign w:val="center"/>
          </w:tcPr>
          <w:p>
            <w:pPr>
              <w:pStyle w:val="TableContents"/>
              <w:spacing w:before="0" w:after="283"/>
              <w:rPr>
                <w:sz w:val="20"/>
              </w:rPr>
            </w:pPr>
            <w:r>
              <w:rPr>
                <w:sz w:val="20"/>
              </w:rPr>
              <w:t>Section 3.5.</w:t>
            </w:r>
          </w:p>
        </w:tc>
        <w:tc>
          <w:tcPr>
            <w:tcW w:w="6050" w:type="dxa"/>
            <w:tcBorders/>
            <w:shd w:fill="auto" w:val="clear"/>
            <w:vAlign w:val="center"/>
          </w:tcPr>
          <w:p>
            <w:pPr>
              <w:pStyle w:val="TableContents"/>
              <w:spacing w:before="0" w:after="283"/>
              <w:rPr>
                <w:sz w:val="20"/>
              </w:rPr>
            </w:pPr>
            <w:r>
              <w:rPr>
                <w:sz w:val="20"/>
              </w:rPr>
              <w:t>Legal Proceedings</w:t>
            </w:r>
          </w:p>
        </w:tc>
        <w:tc>
          <w:tcPr>
            <w:tcW w:w="245" w:type="dxa"/>
            <w:tcBorders/>
            <w:shd w:fill="auto" w:val="clear"/>
            <w:vAlign w:val="center"/>
          </w:tcPr>
          <w:p>
            <w:pPr>
              <w:pStyle w:val="TableContents"/>
              <w:spacing w:before="0" w:after="283"/>
              <w:jc w:val="right"/>
              <w:rPr>
                <w:sz w:val="20"/>
              </w:rPr>
            </w:pPr>
            <w:r>
              <w:rPr>
                <w:sz w:val="20"/>
              </w:rPr>
              <w:t>10</w:t>
            </w:r>
          </w:p>
        </w:tc>
      </w:tr>
      <w:tr>
        <w:trPr/>
        <w:tc>
          <w:tcPr>
            <w:tcW w:w="995" w:type="dxa"/>
            <w:tcBorders/>
            <w:shd w:fill="auto" w:val="clear"/>
            <w:vAlign w:val="center"/>
          </w:tcPr>
          <w:p>
            <w:pPr>
              <w:pStyle w:val="TableContents"/>
              <w:spacing w:before="0" w:after="283"/>
              <w:rPr>
                <w:sz w:val="20"/>
              </w:rPr>
            </w:pPr>
            <w:r>
              <w:rPr>
                <w:sz w:val="20"/>
              </w:rPr>
              <w:t>Section 3.6.</w:t>
            </w:r>
          </w:p>
        </w:tc>
        <w:tc>
          <w:tcPr>
            <w:tcW w:w="6050" w:type="dxa"/>
            <w:tcBorders/>
            <w:shd w:fill="auto" w:val="clear"/>
            <w:vAlign w:val="center"/>
          </w:tcPr>
          <w:p>
            <w:pPr>
              <w:pStyle w:val="TableContents"/>
              <w:spacing w:before="0" w:after="283"/>
              <w:rPr>
                <w:sz w:val="20"/>
              </w:rPr>
            </w:pPr>
            <w:r>
              <w:rPr>
                <w:sz w:val="20"/>
              </w:rPr>
              <w:t>Information Supplied</w:t>
            </w:r>
          </w:p>
        </w:tc>
        <w:tc>
          <w:tcPr>
            <w:tcW w:w="245" w:type="dxa"/>
            <w:tcBorders/>
            <w:shd w:fill="auto" w:val="clear"/>
            <w:vAlign w:val="center"/>
          </w:tcPr>
          <w:p>
            <w:pPr>
              <w:pStyle w:val="TableContents"/>
              <w:spacing w:before="0" w:after="283"/>
              <w:jc w:val="right"/>
              <w:rPr>
                <w:sz w:val="20"/>
              </w:rPr>
            </w:pPr>
            <w:r>
              <w:rPr>
                <w:sz w:val="20"/>
              </w:rPr>
              <w:t>10</w:t>
            </w:r>
          </w:p>
        </w:tc>
      </w:tr>
      <w:tr>
        <w:trPr/>
        <w:tc>
          <w:tcPr>
            <w:tcW w:w="995" w:type="dxa"/>
            <w:tcBorders/>
            <w:shd w:fill="auto" w:val="clear"/>
            <w:vAlign w:val="center"/>
          </w:tcPr>
          <w:p>
            <w:pPr>
              <w:pStyle w:val="TableContents"/>
              <w:spacing w:before="0" w:after="283"/>
              <w:rPr>
                <w:sz w:val="20"/>
              </w:rPr>
            </w:pPr>
            <w:r>
              <w:rPr>
                <w:sz w:val="20"/>
              </w:rPr>
              <w:t>Section 3.7.</w:t>
            </w:r>
          </w:p>
        </w:tc>
        <w:tc>
          <w:tcPr>
            <w:tcW w:w="6050" w:type="dxa"/>
            <w:tcBorders/>
            <w:shd w:fill="auto" w:val="clear"/>
            <w:vAlign w:val="center"/>
          </w:tcPr>
          <w:p>
            <w:pPr>
              <w:pStyle w:val="TableContents"/>
              <w:spacing w:before="0" w:after="283"/>
              <w:rPr>
                <w:sz w:val="20"/>
              </w:rPr>
            </w:pPr>
            <w:r>
              <w:rPr>
                <w:sz w:val="20"/>
              </w:rPr>
              <w:t>Opinion of Financial Advisor</w:t>
            </w:r>
          </w:p>
        </w:tc>
        <w:tc>
          <w:tcPr>
            <w:tcW w:w="245" w:type="dxa"/>
            <w:tcBorders/>
            <w:shd w:fill="auto" w:val="clear"/>
            <w:vAlign w:val="center"/>
          </w:tcPr>
          <w:p>
            <w:pPr>
              <w:pStyle w:val="TableContents"/>
              <w:spacing w:before="0" w:after="283"/>
              <w:jc w:val="right"/>
              <w:rPr>
                <w:sz w:val="20"/>
              </w:rPr>
            </w:pPr>
            <w:r>
              <w:rPr>
                <w:sz w:val="20"/>
              </w:rPr>
              <w:t>11</w:t>
            </w:r>
          </w:p>
        </w:tc>
      </w:tr>
      <w:tr>
        <w:trPr/>
        <w:tc>
          <w:tcPr>
            <w:tcW w:w="995" w:type="dxa"/>
            <w:tcBorders/>
            <w:shd w:fill="auto" w:val="clear"/>
            <w:vAlign w:val="center"/>
          </w:tcPr>
          <w:p>
            <w:pPr>
              <w:pStyle w:val="TableContents"/>
              <w:spacing w:before="0" w:after="283"/>
              <w:rPr>
                <w:sz w:val="20"/>
              </w:rPr>
            </w:pPr>
            <w:r>
              <w:rPr>
                <w:sz w:val="20"/>
              </w:rPr>
              <w:t>Section 3.8.</w:t>
            </w:r>
          </w:p>
        </w:tc>
        <w:tc>
          <w:tcPr>
            <w:tcW w:w="6050" w:type="dxa"/>
            <w:tcBorders/>
            <w:shd w:fill="auto" w:val="clear"/>
            <w:vAlign w:val="center"/>
          </w:tcPr>
          <w:p>
            <w:pPr>
              <w:pStyle w:val="TableContents"/>
              <w:spacing w:before="0" w:after="283"/>
              <w:rPr>
                <w:sz w:val="20"/>
              </w:rPr>
            </w:pPr>
            <w:r>
              <w:rPr>
                <w:sz w:val="20"/>
              </w:rPr>
              <w:t>Brokers and Other Advisors</w:t>
            </w:r>
          </w:p>
        </w:tc>
        <w:tc>
          <w:tcPr>
            <w:tcW w:w="245" w:type="dxa"/>
            <w:tcBorders/>
            <w:shd w:fill="auto" w:val="clear"/>
            <w:vAlign w:val="center"/>
          </w:tcPr>
          <w:p>
            <w:pPr>
              <w:pStyle w:val="TableContents"/>
              <w:spacing w:before="0" w:after="283"/>
              <w:jc w:val="right"/>
              <w:rPr>
                <w:sz w:val="20"/>
              </w:rPr>
            </w:pPr>
            <w:r>
              <w:rPr>
                <w:sz w:val="20"/>
              </w:rPr>
              <w:t>11</w:t>
            </w:r>
          </w:p>
        </w:tc>
      </w:tr>
      <w:tr>
        <w:trPr/>
        <w:tc>
          <w:tcPr>
            <w:tcW w:w="995" w:type="dxa"/>
            <w:tcBorders/>
            <w:shd w:fill="auto" w:val="clear"/>
            <w:vAlign w:val="center"/>
          </w:tcPr>
          <w:p>
            <w:pPr>
              <w:pStyle w:val="TableContents"/>
              <w:spacing w:before="0" w:after="283"/>
              <w:rPr>
                <w:sz w:val="20"/>
              </w:rPr>
            </w:pPr>
            <w:r>
              <w:rPr>
                <w:sz w:val="20"/>
              </w:rPr>
              <w:t>Section 3.9.</w:t>
            </w:r>
          </w:p>
        </w:tc>
        <w:tc>
          <w:tcPr>
            <w:tcW w:w="6050" w:type="dxa"/>
            <w:tcBorders/>
            <w:shd w:fill="auto" w:val="clear"/>
            <w:vAlign w:val="center"/>
          </w:tcPr>
          <w:p>
            <w:pPr>
              <w:pStyle w:val="TableContents"/>
              <w:spacing w:before="0" w:after="283"/>
              <w:rPr>
                <w:sz w:val="20"/>
              </w:rPr>
            </w:pPr>
            <w:r>
              <w:rPr>
                <w:sz w:val="20"/>
              </w:rPr>
              <w:t>No Other Representations or Warranties</w:t>
            </w:r>
          </w:p>
        </w:tc>
        <w:tc>
          <w:tcPr>
            <w:tcW w:w="245" w:type="dxa"/>
            <w:tcBorders/>
            <w:shd w:fill="auto" w:val="clear"/>
            <w:vAlign w:val="center"/>
          </w:tcPr>
          <w:p>
            <w:pPr>
              <w:pStyle w:val="TableContents"/>
              <w:spacing w:before="0" w:after="283"/>
              <w:jc w:val="right"/>
              <w:rPr>
                <w:sz w:val="20"/>
              </w:rPr>
            </w:pPr>
            <w:r>
              <w:rPr>
                <w:sz w:val="20"/>
              </w:rPr>
              <w:t>11</w:t>
            </w:r>
          </w:p>
        </w:tc>
      </w:tr>
      <w:tr>
        <w:trPr/>
        <w:tc>
          <w:tcPr>
            <w:tcW w:w="995" w:type="dxa"/>
            <w:tcBorders/>
            <w:shd w:fill="auto" w:val="clear"/>
            <w:vAlign w:val="center"/>
          </w:tcPr>
          <w:p>
            <w:pPr>
              <w:pStyle w:val="TableContents"/>
              <w:spacing w:before="0" w:after="283"/>
              <w:rPr/>
            </w:pPr>
            <w:r>
              <w:rPr/>
              <w:t> </w:t>
            </w:r>
          </w:p>
        </w:tc>
        <w:tc>
          <w:tcPr>
            <w:tcW w:w="605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995" w:type="dxa"/>
            <w:tcBorders/>
            <w:shd w:fill="auto" w:val="clear"/>
            <w:vAlign w:val="center"/>
          </w:tcPr>
          <w:p>
            <w:pPr>
              <w:pStyle w:val="TableContents"/>
              <w:spacing w:before="0" w:after="283"/>
              <w:jc w:val="center"/>
              <w:rPr/>
            </w:pPr>
            <w:r>
              <w:rPr/>
              <w:t> </w:t>
            </w:r>
          </w:p>
        </w:tc>
        <w:tc>
          <w:tcPr>
            <w:tcW w:w="6050" w:type="dxa"/>
            <w:tcBorders/>
            <w:shd w:fill="auto" w:val="clear"/>
            <w:vAlign w:val="center"/>
          </w:tcPr>
          <w:p>
            <w:pPr>
              <w:pStyle w:val="TableContents"/>
              <w:spacing w:before="0" w:after="283"/>
              <w:jc w:val="center"/>
              <w:rPr>
                <w:sz w:val="20"/>
              </w:rPr>
            </w:pPr>
            <w:r>
              <w:rPr>
                <w:sz w:val="20"/>
              </w:rPr>
              <w:t>ARTICLE IV</w:t>
            </w:r>
          </w:p>
        </w:tc>
        <w:tc>
          <w:tcPr>
            <w:tcW w:w="245" w:type="dxa"/>
            <w:tcBorders/>
            <w:shd w:fill="auto" w:val="clear"/>
            <w:vAlign w:val="center"/>
          </w:tcPr>
          <w:p>
            <w:pPr>
              <w:pStyle w:val="TableContents"/>
              <w:spacing w:before="0" w:after="283"/>
              <w:jc w:val="right"/>
              <w:rPr/>
            </w:pPr>
            <w:r>
              <w:rPr/>
              <w:t> </w:t>
            </w:r>
          </w:p>
        </w:tc>
      </w:tr>
      <w:tr>
        <w:trPr/>
        <w:tc>
          <w:tcPr>
            <w:tcW w:w="995" w:type="dxa"/>
            <w:tcBorders/>
            <w:shd w:fill="auto" w:val="clear"/>
            <w:vAlign w:val="center"/>
          </w:tcPr>
          <w:p>
            <w:pPr>
              <w:pStyle w:val="TableContents"/>
              <w:spacing w:before="0" w:after="283"/>
              <w:jc w:val="center"/>
              <w:rPr/>
            </w:pPr>
            <w:r>
              <w:rPr/>
              <w:t> </w:t>
            </w:r>
          </w:p>
        </w:tc>
        <w:tc>
          <w:tcPr>
            <w:tcW w:w="6050" w:type="dxa"/>
            <w:tcBorders/>
            <w:shd w:fill="auto" w:val="clear"/>
            <w:vAlign w:val="center"/>
          </w:tcPr>
          <w:p>
            <w:pPr>
              <w:pStyle w:val="TableContents"/>
              <w:spacing w:before="0" w:after="283"/>
              <w:jc w:val="center"/>
              <w:rPr/>
            </w:pPr>
            <w:r>
              <w:rPr/>
              <w:t> </w:t>
            </w:r>
          </w:p>
        </w:tc>
        <w:tc>
          <w:tcPr>
            <w:tcW w:w="245" w:type="dxa"/>
            <w:tcBorders/>
            <w:shd w:fill="auto" w:val="clear"/>
            <w:vAlign w:val="center"/>
          </w:tcPr>
          <w:p>
            <w:pPr>
              <w:pStyle w:val="TableContents"/>
              <w:spacing w:before="0" w:after="283"/>
              <w:jc w:val="right"/>
              <w:rPr/>
            </w:pPr>
            <w:r>
              <w:rPr/>
              <w:t> </w:t>
            </w:r>
          </w:p>
        </w:tc>
      </w:tr>
      <w:tr>
        <w:trPr/>
        <w:tc>
          <w:tcPr>
            <w:tcW w:w="995" w:type="dxa"/>
            <w:tcBorders/>
            <w:shd w:fill="auto" w:val="clear"/>
            <w:vAlign w:val="center"/>
          </w:tcPr>
          <w:p>
            <w:pPr>
              <w:pStyle w:val="TableContents"/>
              <w:spacing w:before="0" w:after="283"/>
              <w:jc w:val="center"/>
              <w:rPr/>
            </w:pPr>
            <w:r>
              <w:rPr/>
              <w:t> </w:t>
            </w:r>
          </w:p>
        </w:tc>
        <w:tc>
          <w:tcPr>
            <w:tcW w:w="6050" w:type="dxa"/>
            <w:tcBorders/>
            <w:shd w:fill="auto" w:val="clear"/>
            <w:vAlign w:val="center"/>
          </w:tcPr>
          <w:p>
            <w:pPr>
              <w:pStyle w:val="TableContents"/>
              <w:spacing w:before="0" w:after="283"/>
              <w:jc w:val="center"/>
              <w:rPr>
                <w:sz w:val="20"/>
              </w:rPr>
            </w:pPr>
            <w:r>
              <w:rPr>
                <w:sz w:val="20"/>
              </w:rPr>
              <w:t>REPRESENTATIONS AND WARRANTIES OF THE SPONSOR ENTITIES</w:t>
            </w:r>
          </w:p>
        </w:tc>
        <w:tc>
          <w:tcPr>
            <w:tcW w:w="245" w:type="dxa"/>
            <w:tcBorders/>
            <w:shd w:fill="auto" w:val="clear"/>
            <w:vAlign w:val="center"/>
          </w:tcPr>
          <w:p>
            <w:pPr>
              <w:pStyle w:val="TableContents"/>
              <w:spacing w:before="0" w:after="283"/>
              <w:jc w:val="right"/>
              <w:rPr/>
            </w:pPr>
            <w:r>
              <w:rPr/>
              <w:t> </w:t>
            </w:r>
          </w:p>
        </w:tc>
      </w:tr>
      <w:tr>
        <w:trPr/>
        <w:tc>
          <w:tcPr>
            <w:tcW w:w="995" w:type="dxa"/>
            <w:tcBorders/>
            <w:shd w:fill="auto" w:val="clear"/>
            <w:vAlign w:val="center"/>
          </w:tcPr>
          <w:p>
            <w:pPr>
              <w:pStyle w:val="TableContents"/>
              <w:spacing w:before="0" w:after="283"/>
              <w:jc w:val="center"/>
              <w:rPr/>
            </w:pPr>
            <w:r>
              <w:rPr/>
              <w:t> </w:t>
            </w:r>
          </w:p>
        </w:tc>
        <w:tc>
          <w:tcPr>
            <w:tcW w:w="6050" w:type="dxa"/>
            <w:tcBorders/>
            <w:shd w:fill="auto" w:val="clear"/>
            <w:vAlign w:val="center"/>
          </w:tcPr>
          <w:p>
            <w:pPr>
              <w:pStyle w:val="TableContents"/>
              <w:spacing w:before="0" w:after="283"/>
              <w:jc w:val="center"/>
              <w:rPr/>
            </w:pPr>
            <w:r>
              <w:rPr/>
              <w:t> </w:t>
            </w:r>
          </w:p>
        </w:tc>
        <w:tc>
          <w:tcPr>
            <w:tcW w:w="245" w:type="dxa"/>
            <w:tcBorders/>
            <w:shd w:fill="auto" w:val="clear"/>
            <w:vAlign w:val="center"/>
          </w:tcPr>
          <w:p>
            <w:pPr>
              <w:pStyle w:val="TableContents"/>
              <w:spacing w:before="0" w:after="283"/>
              <w:jc w:val="right"/>
              <w:rPr/>
            </w:pPr>
            <w:r>
              <w:rPr/>
              <w:t> </w:t>
            </w:r>
          </w:p>
        </w:tc>
      </w:tr>
      <w:tr>
        <w:trPr/>
        <w:tc>
          <w:tcPr>
            <w:tcW w:w="995" w:type="dxa"/>
            <w:tcBorders/>
            <w:shd w:fill="auto" w:val="clear"/>
            <w:vAlign w:val="center"/>
          </w:tcPr>
          <w:p>
            <w:pPr>
              <w:pStyle w:val="TableContents"/>
              <w:spacing w:before="0" w:after="283"/>
              <w:rPr>
                <w:sz w:val="20"/>
              </w:rPr>
            </w:pPr>
            <w:r>
              <w:rPr>
                <w:sz w:val="20"/>
              </w:rPr>
              <w:t>Section 4.1.</w:t>
            </w:r>
          </w:p>
        </w:tc>
        <w:tc>
          <w:tcPr>
            <w:tcW w:w="6050" w:type="dxa"/>
            <w:tcBorders/>
            <w:shd w:fill="auto" w:val="clear"/>
            <w:vAlign w:val="center"/>
          </w:tcPr>
          <w:p>
            <w:pPr>
              <w:pStyle w:val="TableContents"/>
              <w:spacing w:before="0" w:after="283"/>
              <w:rPr>
                <w:sz w:val="20"/>
              </w:rPr>
            </w:pPr>
            <w:r>
              <w:rPr>
                <w:sz w:val="20"/>
              </w:rPr>
              <w:t>Organization, Standing and Power</w:t>
            </w:r>
          </w:p>
        </w:tc>
        <w:tc>
          <w:tcPr>
            <w:tcW w:w="245" w:type="dxa"/>
            <w:tcBorders/>
            <w:shd w:fill="auto" w:val="clear"/>
            <w:vAlign w:val="center"/>
          </w:tcPr>
          <w:p>
            <w:pPr>
              <w:pStyle w:val="TableContents"/>
              <w:spacing w:before="0" w:after="283"/>
              <w:jc w:val="right"/>
              <w:rPr>
                <w:sz w:val="20"/>
              </w:rPr>
            </w:pPr>
            <w:r>
              <w:rPr>
                <w:sz w:val="20"/>
              </w:rPr>
              <w:t>11</w:t>
            </w:r>
          </w:p>
        </w:tc>
      </w:tr>
      <w:tr>
        <w:trPr/>
        <w:tc>
          <w:tcPr>
            <w:tcW w:w="995" w:type="dxa"/>
            <w:tcBorders/>
            <w:shd w:fill="auto" w:val="clear"/>
            <w:vAlign w:val="center"/>
          </w:tcPr>
          <w:p>
            <w:pPr>
              <w:pStyle w:val="TableContents"/>
              <w:spacing w:before="0" w:after="283"/>
              <w:rPr>
                <w:sz w:val="20"/>
              </w:rPr>
            </w:pPr>
            <w:r>
              <w:rPr>
                <w:sz w:val="20"/>
              </w:rPr>
              <w:t>Section 4.2.</w:t>
            </w:r>
          </w:p>
        </w:tc>
        <w:tc>
          <w:tcPr>
            <w:tcW w:w="6050" w:type="dxa"/>
            <w:tcBorders/>
            <w:shd w:fill="auto" w:val="clear"/>
            <w:vAlign w:val="center"/>
          </w:tcPr>
          <w:p>
            <w:pPr>
              <w:pStyle w:val="TableContents"/>
              <w:spacing w:before="0" w:after="283"/>
              <w:rPr>
                <w:sz w:val="20"/>
              </w:rPr>
            </w:pPr>
            <w:r>
              <w:rPr>
                <w:sz w:val="20"/>
              </w:rPr>
              <w:t>Operations and Ownership of Merger Sub</w:t>
            </w:r>
          </w:p>
        </w:tc>
        <w:tc>
          <w:tcPr>
            <w:tcW w:w="245" w:type="dxa"/>
            <w:tcBorders/>
            <w:shd w:fill="auto" w:val="clear"/>
            <w:vAlign w:val="center"/>
          </w:tcPr>
          <w:p>
            <w:pPr>
              <w:pStyle w:val="TableContents"/>
              <w:spacing w:before="0" w:after="283"/>
              <w:jc w:val="right"/>
              <w:rPr>
                <w:sz w:val="20"/>
              </w:rPr>
            </w:pPr>
            <w:r>
              <w:rPr>
                <w:sz w:val="20"/>
              </w:rPr>
              <w:t>11</w:t>
            </w:r>
          </w:p>
        </w:tc>
      </w:tr>
      <w:tr>
        <w:trPr/>
        <w:tc>
          <w:tcPr>
            <w:tcW w:w="995" w:type="dxa"/>
            <w:tcBorders/>
            <w:shd w:fill="auto" w:val="clear"/>
            <w:vAlign w:val="center"/>
          </w:tcPr>
          <w:p>
            <w:pPr>
              <w:pStyle w:val="TableContents"/>
              <w:spacing w:before="0" w:after="283"/>
              <w:rPr>
                <w:sz w:val="20"/>
              </w:rPr>
            </w:pPr>
            <w:r>
              <w:rPr>
                <w:sz w:val="20"/>
              </w:rPr>
              <w:t>Section 4.3.</w:t>
            </w:r>
          </w:p>
        </w:tc>
        <w:tc>
          <w:tcPr>
            <w:tcW w:w="6050" w:type="dxa"/>
            <w:tcBorders/>
            <w:shd w:fill="auto" w:val="clear"/>
            <w:vAlign w:val="center"/>
          </w:tcPr>
          <w:p>
            <w:pPr>
              <w:pStyle w:val="TableContents"/>
              <w:spacing w:before="0" w:after="283"/>
              <w:rPr>
                <w:sz w:val="20"/>
              </w:rPr>
            </w:pPr>
            <w:r>
              <w:rPr>
                <w:sz w:val="20"/>
              </w:rPr>
              <w:t>Authority; Noncontravention</w:t>
            </w:r>
          </w:p>
        </w:tc>
        <w:tc>
          <w:tcPr>
            <w:tcW w:w="245" w:type="dxa"/>
            <w:tcBorders/>
            <w:shd w:fill="auto" w:val="clear"/>
            <w:vAlign w:val="center"/>
          </w:tcPr>
          <w:p>
            <w:pPr>
              <w:pStyle w:val="TableContents"/>
              <w:spacing w:before="0" w:after="283"/>
              <w:jc w:val="right"/>
              <w:rPr>
                <w:sz w:val="20"/>
              </w:rPr>
            </w:pPr>
            <w:r>
              <w:rPr>
                <w:sz w:val="20"/>
              </w:rPr>
              <w:t>11</w:t>
            </w:r>
          </w:p>
        </w:tc>
      </w:tr>
      <w:tr>
        <w:trPr/>
        <w:tc>
          <w:tcPr>
            <w:tcW w:w="995" w:type="dxa"/>
            <w:tcBorders/>
            <w:shd w:fill="auto" w:val="clear"/>
            <w:vAlign w:val="center"/>
          </w:tcPr>
          <w:p>
            <w:pPr>
              <w:pStyle w:val="TableContents"/>
              <w:spacing w:before="0" w:after="283"/>
              <w:rPr>
                <w:sz w:val="20"/>
              </w:rPr>
            </w:pPr>
            <w:r>
              <w:rPr>
                <w:sz w:val="20"/>
              </w:rPr>
              <w:t>Section 4.4.</w:t>
            </w:r>
          </w:p>
        </w:tc>
        <w:tc>
          <w:tcPr>
            <w:tcW w:w="6050" w:type="dxa"/>
            <w:tcBorders/>
            <w:shd w:fill="auto" w:val="clear"/>
            <w:vAlign w:val="center"/>
          </w:tcPr>
          <w:p>
            <w:pPr>
              <w:pStyle w:val="TableContents"/>
              <w:spacing w:before="0" w:after="283"/>
              <w:rPr>
                <w:sz w:val="20"/>
              </w:rPr>
            </w:pPr>
            <w:r>
              <w:rPr>
                <w:sz w:val="20"/>
              </w:rPr>
              <w:t>Governmental Approvals</w:t>
            </w:r>
          </w:p>
        </w:tc>
        <w:tc>
          <w:tcPr>
            <w:tcW w:w="245" w:type="dxa"/>
            <w:tcBorders/>
            <w:shd w:fill="auto" w:val="clear"/>
            <w:vAlign w:val="center"/>
          </w:tcPr>
          <w:p>
            <w:pPr>
              <w:pStyle w:val="TableContents"/>
              <w:spacing w:before="0" w:after="283"/>
              <w:jc w:val="right"/>
              <w:rPr>
                <w:sz w:val="20"/>
              </w:rPr>
            </w:pPr>
            <w:r>
              <w:rPr>
                <w:sz w:val="20"/>
              </w:rPr>
              <w:t>12</w:t>
            </w:r>
          </w:p>
        </w:tc>
      </w:tr>
      <w:tr>
        <w:trPr/>
        <w:tc>
          <w:tcPr>
            <w:tcW w:w="995" w:type="dxa"/>
            <w:tcBorders/>
            <w:shd w:fill="auto" w:val="clear"/>
            <w:vAlign w:val="center"/>
          </w:tcPr>
          <w:p>
            <w:pPr>
              <w:pStyle w:val="TableContents"/>
              <w:spacing w:before="0" w:after="283"/>
              <w:rPr>
                <w:sz w:val="20"/>
              </w:rPr>
            </w:pPr>
            <w:r>
              <w:rPr>
                <w:sz w:val="20"/>
              </w:rPr>
              <w:t>Section 4.5.</w:t>
            </w:r>
          </w:p>
        </w:tc>
        <w:tc>
          <w:tcPr>
            <w:tcW w:w="6050" w:type="dxa"/>
            <w:tcBorders/>
            <w:shd w:fill="auto" w:val="clear"/>
            <w:vAlign w:val="center"/>
          </w:tcPr>
          <w:p>
            <w:pPr>
              <w:pStyle w:val="TableContents"/>
              <w:spacing w:before="0" w:after="283"/>
              <w:rPr>
                <w:sz w:val="20"/>
              </w:rPr>
            </w:pPr>
            <w:r>
              <w:rPr>
                <w:sz w:val="20"/>
              </w:rPr>
              <w:t>Legal Proceedings</w:t>
            </w:r>
          </w:p>
        </w:tc>
        <w:tc>
          <w:tcPr>
            <w:tcW w:w="245" w:type="dxa"/>
            <w:tcBorders/>
            <w:shd w:fill="auto" w:val="clear"/>
            <w:vAlign w:val="center"/>
          </w:tcPr>
          <w:p>
            <w:pPr>
              <w:pStyle w:val="TableContents"/>
              <w:spacing w:before="0" w:after="283"/>
              <w:jc w:val="right"/>
              <w:rPr>
                <w:sz w:val="20"/>
              </w:rPr>
            </w:pPr>
            <w:r>
              <w:rPr>
                <w:sz w:val="20"/>
              </w:rPr>
              <w:t>13</w:t>
            </w:r>
          </w:p>
        </w:tc>
      </w:tr>
      <w:tr>
        <w:trPr/>
        <w:tc>
          <w:tcPr>
            <w:tcW w:w="995" w:type="dxa"/>
            <w:tcBorders/>
            <w:shd w:fill="auto" w:val="clear"/>
            <w:vAlign w:val="center"/>
          </w:tcPr>
          <w:p>
            <w:pPr>
              <w:pStyle w:val="TableContents"/>
              <w:spacing w:before="0" w:after="283"/>
              <w:rPr>
                <w:sz w:val="20"/>
              </w:rPr>
            </w:pPr>
            <w:r>
              <w:rPr>
                <w:sz w:val="20"/>
              </w:rPr>
              <w:t>Section 4.6.</w:t>
            </w:r>
          </w:p>
        </w:tc>
        <w:tc>
          <w:tcPr>
            <w:tcW w:w="6050" w:type="dxa"/>
            <w:tcBorders/>
            <w:shd w:fill="auto" w:val="clear"/>
            <w:vAlign w:val="center"/>
          </w:tcPr>
          <w:p>
            <w:pPr>
              <w:pStyle w:val="TableContents"/>
              <w:spacing w:before="0" w:after="283"/>
              <w:rPr>
                <w:sz w:val="20"/>
              </w:rPr>
            </w:pPr>
            <w:r>
              <w:rPr>
                <w:sz w:val="20"/>
              </w:rPr>
              <w:t>Debt Financing</w:t>
            </w:r>
          </w:p>
        </w:tc>
        <w:tc>
          <w:tcPr>
            <w:tcW w:w="245" w:type="dxa"/>
            <w:tcBorders/>
            <w:shd w:fill="auto" w:val="clear"/>
            <w:vAlign w:val="center"/>
          </w:tcPr>
          <w:p>
            <w:pPr>
              <w:pStyle w:val="TableContents"/>
              <w:spacing w:before="0" w:after="283"/>
              <w:jc w:val="right"/>
              <w:rPr>
                <w:sz w:val="20"/>
              </w:rPr>
            </w:pPr>
            <w:r>
              <w:rPr>
                <w:sz w:val="20"/>
              </w:rPr>
              <w:t>13</w:t>
            </w:r>
          </w:p>
        </w:tc>
      </w:tr>
      <w:tr>
        <w:trPr/>
        <w:tc>
          <w:tcPr>
            <w:tcW w:w="995" w:type="dxa"/>
            <w:tcBorders/>
            <w:shd w:fill="auto" w:val="clear"/>
            <w:vAlign w:val="center"/>
          </w:tcPr>
          <w:p>
            <w:pPr>
              <w:pStyle w:val="TableContents"/>
              <w:spacing w:before="0" w:after="283"/>
              <w:rPr>
                <w:sz w:val="20"/>
              </w:rPr>
            </w:pPr>
            <w:r>
              <w:rPr>
                <w:sz w:val="20"/>
              </w:rPr>
              <w:t>Section 4.7.</w:t>
            </w:r>
          </w:p>
        </w:tc>
        <w:tc>
          <w:tcPr>
            <w:tcW w:w="6050" w:type="dxa"/>
            <w:tcBorders/>
            <w:shd w:fill="auto" w:val="clear"/>
            <w:vAlign w:val="center"/>
          </w:tcPr>
          <w:p>
            <w:pPr>
              <w:pStyle w:val="TableContents"/>
              <w:spacing w:before="0" w:after="283"/>
              <w:rPr>
                <w:sz w:val="20"/>
              </w:rPr>
            </w:pPr>
            <w:r>
              <w:rPr>
                <w:sz w:val="20"/>
              </w:rPr>
              <w:t>Information Supplied</w:t>
            </w:r>
          </w:p>
        </w:tc>
        <w:tc>
          <w:tcPr>
            <w:tcW w:w="245" w:type="dxa"/>
            <w:tcBorders/>
            <w:shd w:fill="auto" w:val="clear"/>
            <w:vAlign w:val="center"/>
          </w:tcPr>
          <w:p>
            <w:pPr>
              <w:pStyle w:val="TableContents"/>
              <w:spacing w:before="0" w:after="283"/>
              <w:jc w:val="right"/>
              <w:rPr>
                <w:sz w:val="20"/>
              </w:rPr>
            </w:pPr>
            <w:r>
              <w:rPr>
                <w:sz w:val="20"/>
              </w:rPr>
              <w:t>14</w:t>
            </w:r>
          </w:p>
        </w:tc>
      </w:tr>
    </w:tbl>
    <w:p>
      <w:pPr>
        <w:pStyle w:val="TextBody"/>
        <w:rPr/>
      </w:pPr>
      <w:r>
        <w:rPr/>
        <w:t> </w:t>
      </w:r>
    </w:p>
    <w:p>
      <w:pPr>
        <w:pStyle w:val="TextBody"/>
        <w:spacing w:before="0" w:after="0"/>
        <w:jc w:val="center"/>
        <w:rPr>
          <w:sz w:val="20"/>
          <w:bdr w:val="single" w:sz="8" w:space="1" w:color="000000"/>
        </w:rPr>
      </w:pPr>
      <w:r>
        <w:rPr>
          <w:sz w:val="20"/>
          <w:bdr w:val="single" w:sz="8" w:space="1" w:color="000000"/>
        </w:rPr>
        <w:t>i</w:t>
      </w:r>
    </w:p>
    <w:p>
      <w:pPr>
        <w:pStyle w:val="TextBody"/>
        <w:spacing w:before="0" w:after="0"/>
        <w:ind w:left="0" w:right="0" w:hanging="0"/>
        <w:rPr/>
      </w:pPr>
      <w:r>
        <w:rPr/>
        <w:t> </w:t>
      </w:r>
    </w:p>
    <w:p>
      <w:pPr>
        <w:pStyle w:val="TextBody"/>
        <w:rPr/>
      </w:pPr>
      <w:r>
        <w:rPr/>
        <w:t> </w:t>
      </w:r>
    </w:p>
    <w:tbl>
      <w:tblPr>
        <w:tblW w:w="7965" w:type="dxa"/>
        <w:jc w:val="left"/>
        <w:tblInd w:w="0" w:type="dxa"/>
        <w:tblCellMar>
          <w:top w:w="0" w:type="dxa"/>
          <w:left w:w="0" w:type="dxa"/>
          <w:bottom w:w="0" w:type="dxa"/>
          <w:right w:w="0" w:type="dxa"/>
        </w:tblCellMar>
      </w:tblPr>
      <w:tblGrid>
        <w:gridCol w:w="1100"/>
        <w:gridCol w:w="6620"/>
        <w:gridCol w:w="245"/>
      </w:tblGrid>
      <w:tr>
        <w:trPr/>
        <w:tc>
          <w:tcPr>
            <w:tcW w:w="1100" w:type="dxa"/>
            <w:tcBorders/>
            <w:shd w:fill="auto" w:val="clear"/>
            <w:vAlign w:val="center"/>
          </w:tcPr>
          <w:p>
            <w:pPr>
              <w:pStyle w:val="TableContents"/>
              <w:spacing w:before="0" w:after="283"/>
              <w:rPr>
                <w:sz w:val="20"/>
              </w:rPr>
            </w:pPr>
            <w:r>
              <w:rPr>
                <w:sz w:val="20"/>
              </w:rPr>
              <w:t>Section 4.8.</w:t>
            </w:r>
          </w:p>
        </w:tc>
        <w:tc>
          <w:tcPr>
            <w:tcW w:w="6620" w:type="dxa"/>
            <w:tcBorders/>
            <w:shd w:fill="auto" w:val="clear"/>
            <w:vAlign w:val="center"/>
          </w:tcPr>
          <w:p>
            <w:pPr>
              <w:pStyle w:val="TableContents"/>
              <w:spacing w:before="0" w:after="283"/>
              <w:rPr>
                <w:sz w:val="20"/>
              </w:rPr>
            </w:pPr>
            <w:r>
              <w:rPr>
                <w:sz w:val="20"/>
              </w:rPr>
              <w:t>Ownership of Partnership Interests</w:t>
            </w:r>
          </w:p>
        </w:tc>
        <w:tc>
          <w:tcPr>
            <w:tcW w:w="245" w:type="dxa"/>
            <w:tcBorders/>
            <w:shd w:fill="auto" w:val="clear"/>
            <w:vAlign w:val="center"/>
          </w:tcPr>
          <w:p>
            <w:pPr>
              <w:pStyle w:val="TableContents"/>
              <w:spacing w:before="0" w:after="283"/>
              <w:jc w:val="right"/>
              <w:rPr>
                <w:sz w:val="20"/>
              </w:rPr>
            </w:pPr>
            <w:r>
              <w:rPr>
                <w:sz w:val="20"/>
              </w:rPr>
              <w:t>14</w:t>
            </w:r>
          </w:p>
        </w:tc>
      </w:tr>
      <w:tr>
        <w:trPr/>
        <w:tc>
          <w:tcPr>
            <w:tcW w:w="1100" w:type="dxa"/>
            <w:tcBorders/>
            <w:shd w:fill="auto" w:val="clear"/>
            <w:vAlign w:val="center"/>
          </w:tcPr>
          <w:p>
            <w:pPr>
              <w:pStyle w:val="TableContents"/>
              <w:spacing w:before="0" w:after="283"/>
              <w:rPr>
                <w:sz w:val="20"/>
              </w:rPr>
            </w:pPr>
            <w:r>
              <w:rPr>
                <w:sz w:val="20"/>
              </w:rPr>
              <w:t>Section 4.9.</w:t>
            </w:r>
          </w:p>
        </w:tc>
        <w:tc>
          <w:tcPr>
            <w:tcW w:w="6620" w:type="dxa"/>
            <w:tcBorders/>
            <w:shd w:fill="auto" w:val="clear"/>
            <w:vAlign w:val="center"/>
          </w:tcPr>
          <w:p>
            <w:pPr>
              <w:pStyle w:val="TableContents"/>
              <w:spacing w:before="0" w:after="283"/>
              <w:rPr>
                <w:sz w:val="20"/>
              </w:rPr>
            </w:pPr>
            <w:r>
              <w:rPr>
                <w:sz w:val="20"/>
              </w:rPr>
              <w:t>No Other Representations or Warranties</w:t>
            </w:r>
          </w:p>
        </w:tc>
        <w:tc>
          <w:tcPr>
            <w:tcW w:w="245" w:type="dxa"/>
            <w:tcBorders/>
            <w:shd w:fill="auto" w:val="clear"/>
            <w:vAlign w:val="center"/>
          </w:tcPr>
          <w:p>
            <w:pPr>
              <w:pStyle w:val="TableContents"/>
              <w:spacing w:before="0" w:after="283"/>
              <w:jc w:val="right"/>
              <w:rPr>
                <w:sz w:val="20"/>
              </w:rPr>
            </w:pPr>
            <w:r>
              <w:rPr>
                <w:sz w:val="20"/>
              </w:rPr>
              <w:t>15</w:t>
            </w:r>
          </w:p>
        </w:tc>
      </w:tr>
      <w:tr>
        <w:trPr/>
        <w:tc>
          <w:tcPr>
            <w:tcW w:w="1100" w:type="dxa"/>
            <w:tcBorders/>
            <w:shd w:fill="auto" w:val="clear"/>
            <w:vAlign w:val="center"/>
          </w:tcPr>
          <w:p>
            <w:pPr>
              <w:pStyle w:val="TableContents"/>
              <w:spacing w:before="0" w:after="283"/>
              <w:rPr/>
            </w:pPr>
            <w:r>
              <w:rPr/>
              <w:t> </w:t>
            </w:r>
          </w:p>
        </w:tc>
        <w:tc>
          <w:tcPr>
            <w:tcW w:w="662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1100" w:type="dxa"/>
            <w:tcBorders/>
            <w:shd w:fill="auto" w:val="clear"/>
            <w:vAlign w:val="center"/>
          </w:tcPr>
          <w:p>
            <w:pPr>
              <w:pStyle w:val="TableContents"/>
              <w:spacing w:before="0" w:after="283"/>
              <w:jc w:val="center"/>
              <w:rPr/>
            </w:pPr>
            <w:r>
              <w:rPr/>
              <w:t> </w:t>
            </w:r>
          </w:p>
        </w:tc>
        <w:tc>
          <w:tcPr>
            <w:tcW w:w="6620" w:type="dxa"/>
            <w:tcBorders/>
            <w:shd w:fill="auto" w:val="clear"/>
            <w:vAlign w:val="center"/>
          </w:tcPr>
          <w:p>
            <w:pPr>
              <w:pStyle w:val="TableContents"/>
              <w:spacing w:before="0" w:after="283"/>
              <w:jc w:val="center"/>
              <w:rPr>
                <w:sz w:val="20"/>
              </w:rPr>
            </w:pPr>
            <w:r>
              <w:rPr>
                <w:sz w:val="20"/>
              </w:rPr>
              <w:t>ARTICLE V</w:t>
            </w:r>
          </w:p>
        </w:tc>
        <w:tc>
          <w:tcPr>
            <w:tcW w:w="245" w:type="dxa"/>
            <w:tcBorders/>
            <w:shd w:fill="auto" w:val="clear"/>
            <w:vAlign w:val="center"/>
          </w:tcPr>
          <w:p>
            <w:pPr>
              <w:pStyle w:val="TableContents"/>
              <w:spacing w:before="0" w:after="283"/>
              <w:jc w:val="right"/>
              <w:rPr/>
            </w:pPr>
            <w:r>
              <w:rPr/>
              <w:t> </w:t>
            </w:r>
          </w:p>
        </w:tc>
      </w:tr>
      <w:tr>
        <w:trPr/>
        <w:tc>
          <w:tcPr>
            <w:tcW w:w="1100" w:type="dxa"/>
            <w:tcBorders/>
            <w:shd w:fill="auto" w:val="clear"/>
            <w:vAlign w:val="center"/>
          </w:tcPr>
          <w:p>
            <w:pPr>
              <w:pStyle w:val="TableContents"/>
              <w:spacing w:before="0" w:after="283"/>
              <w:jc w:val="center"/>
              <w:rPr/>
            </w:pPr>
            <w:r>
              <w:rPr/>
              <w:t> </w:t>
            </w:r>
          </w:p>
        </w:tc>
        <w:tc>
          <w:tcPr>
            <w:tcW w:w="6620" w:type="dxa"/>
            <w:tcBorders/>
            <w:shd w:fill="auto" w:val="clear"/>
            <w:vAlign w:val="center"/>
          </w:tcPr>
          <w:p>
            <w:pPr>
              <w:pStyle w:val="TableContents"/>
              <w:spacing w:before="0" w:after="283"/>
              <w:jc w:val="center"/>
              <w:rPr/>
            </w:pPr>
            <w:r>
              <w:rPr/>
              <w:t> </w:t>
            </w:r>
          </w:p>
        </w:tc>
        <w:tc>
          <w:tcPr>
            <w:tcW w:w="245" w:type="dxa"/>
            <w:tcBorders/>
            <w:shd w:fill="auto" w:val="clear"/>
            <w:vAlign w:val="center"/>
          </w:tcPr>
          <w:p>
            <w:pPr>
              <w:pStyle w:val="TableContents"/>
              <w:spacing w:before="0" w:after="283"/>
              <w:jc w:val="right"/>
              <w:rPr/>
            </w:pPr>
            <w:r>
              <w:rPr/>
              <w:t> </w:t>
            </w:r>
          </w:p>
        </w:tc>
      </w:tr>
      <w:tr>
        <w:trPr/>
        <w:tc>
          <w:tcPr>
            <w:tcW w:w="1100" w:type="dxa"/>
            <w:tcBorders/>
            <w:shd w:fill="auto" w:val="clear"/>
            <w:vAlign w:val="center"/>
          </w:tcPr>
          <w:p>
            <w:pPr>
              <w:pStyle w:val="TableContents"/>
              <w:spacing w:before="0" w:after="283"/>
              <w:jc w:val="center"/>
              <w:rPr/>
            </w:pPr>
            <w:r>
              <w:rPr/>
              <w:t> </w:t>
            </w:r>
          </w:p>
        </w:tc>
        <w:tc>
          <w:tcPr>
            <w:tcW w:w="6620" w:type="dxa"/>
            <w:tcBorders/>
            <w:shd w:fill="auto" w:val="clear"/>
            <w:vAlign w:val="center"/>
          </w:tcPr>
          <w:p>
            <w:pPr>
              <w:pStyle w:val="TableContents"/>
              <w:spacing w:before="0" w:after="283"/>
              <w:jc w:val="center"/>
              <w:rPr>
                <w:sz w:val="20"/>
              </w:rPr>
            </w:pPr>
            <w:r>
              <w:rPr>
                <w:sz w:val="20"/>
              </w:rPr>
              <w:t>ADDITIONAL COVENANTS AND AGREEMENTS</w:t>
            </w:r>
          </w:p>
        </w:tc>
        <w:tc>
          <w:tcPr>
            <w:tcW w:w="245" w:type="dxa"/>
            <w:tcBorders/>
            <w:shd w:fill="auto" w:val="clear"/>
            <w:vAlign w:val="center"/>
          </w:tcPr>
          <w:p>
            <w:pPr>
              <w:pStyle w:val="TableContents"/>
              <w:spacing w:before="0" w:after="283"/>
              <w:jc w:val="right"/>
              <w:rPr/>
            </w:pPr>
            <w:r>
              <w:rPr/>
              <w:t> </w:t>
            </w:r>
          </w:p>
        </w:tc>
      </w:tr>
      <w:tr>
        <w:trPr/>
        <w:tc>
          <w:tcPr>
            <w:tcW w:w="1100" w:type="dxa"/>
            <w:tcBorders/>
            <w:shd w:fill="auto" w:val="clear"/>
            <w:vAlign w:val="center"/>
          </w:tcPr>
          <w:p>
            <w:pPr>
              <w:pStyle w:val="TableContents"/>
              <w:spacing w:before="0" w:after="283"/>
              <w:jc w:val="center"/>
              <w:rPr/>
            </w:pPr>
            <w:r>
              <w:rPr/>
              <w:t> </w:t>
            </w:r>
          </w:p>
        </w:tc>
        <w:tc>
          <w:tcPr>
            <w:tcW w:w="6620" w:type="dxa"/>
            <w:tcBorders/>
            <w:shd w:fill="auto" w:val="clear"/>
            <w:vAlign w:val="center"/>
          </w:tcPr>
          <w:p>
            <w:pPr>
              <w:pStyle w:val="TableContents"/>
              <w:spacing w:before="0" w:after="283"/>
              <w:jc w:val="center"/>
              <w:rPr/>
            </w:pPr>
            <w:r>
              <w:rPr/>
              <w:t> </w:t>
            </w:r>
          </w:p>
        </w:tc>
        <w:tc>
          <w:tcPr>
            <w:tcW w:w="245" w:type="dxa"/>
            <w:tcBorders/>
            <w:shd w:fill="auto" w:val="clear"/>
            <w:vAlign w:val="center"/>
          </w:tcPr>
          <w:p>
            <w:pPr>
              <w:pStyle w:val="TableContents"/>
              <w:spacing w:before="0" w:after="283"/>
              <w:jc w:val="right"/>
              <w:rPr/>
            </w:pPr>
            <w:r>
              <w:rPr/>
              <w:t> </w:t>
            </w:r>
          </w:p>
        </w:tc>
      </w:tr>
      <w:tr>
        <w:trPr/>
        <w:tc>
          <w:tcPr>
            <w:tcW w:w="1100" w:type="dxa"/>
            <w:tcBorders/>
            <w:shd w:fill="auto" w:val="clear"/>
            <w:vAlign w:val="center"/>
          </w:tcPr>
          <w:p>
            <w:pPr>
              <w:pStyle w:val="TableContents"/>
              <w:spacing w:before="0" w:after="283"/>
              <w:rPr>
                <w:sz w:val="20"/>
              </w:rPr>
            </w:pPr>
            <w:r>
              <w:rPr>
                <w:sz w:val="20"/>
              </w:rPr>
              <w:t>Section 5.1.</w:t>
            </w:r>
          </w:p>
        </w:tc>
        <w:tc>
          <w:tcPr>
            <w:tcW w:w="6620" w:type="dxa"/>
            <w:tcBorders/>
            <w:shd w:fill="auto" w:val="clear"/>
            <w:vAlign w:val="center"/>
          </w:tcPr>
          <w:p>
            <w:pPr>
              <w:pStyle w:val="TableContents"/>
              <w:spacing w:before="0" w:after="283"/>
              <w:rPr>
                <w:sz w:val="20"/>
              </w:rPr>
            </w:pPr>
            <w:r>
              <w:rPr>
                <w:sz w:val="20"/>
              </w:rPr>
              <w:t>Preparation of the Proxy Statement and the Schedule 13E-3; Unitholders Meeting</w:t>
            </w:r>
          </w:p>
        </w:tc>
        <w:tc>
          <w:tcPr>
            <w:tcW w:w="245" w:type="dxa"/>
            <w:tcBorders/>
            <w:shd w:fill="auto" w:val="clear"/>
            <w:vAlign w:val="center"/>
          </w:tcPr>
          <w:p>
            <w:pPr>
              <w:pStyle w:val="TableContents"/>
              <w:spacing w:before="0" w:after="283"/>
              <w:jc w:val="right"/>
              <w:rPr>
                <w:sz w:val="20"/>
              </w:rPr>
            </w:pPr>
            <w:r>
              <w:rPr>
                <w:sz w:val="20"/>
              </w:rPr>
              <w:t>15</w:t>
            </w:r>
          </w:p>
        </w:tc>
      </w:tr>
      <w:tr>
        <w:trPr/>
        <w:tc>
          <w:tcPr>
            <w:tcW w:w="1100" w:type="dxa"/>
            <w:tcBorders/>
            <w:shd w:fill="auto" w:val="clear"/>
            <w:vAlign w:val="center"/>
          </w:tcPr>
          <w:p>
            <w:pPr>
              <w:pStyle w:val="TableContents"/>
              <w:spacing w:before="0" w:after="283"/>
              <w:rPr>
                <w:sz w:val="20"/>
              </w:rPr>
            </w:pPr>
            <w:r>
              <w:rPr>
                <w:sz w:val="20"/>
              </w:rPr>
              <w:t>Section 5.2.</w:t>
            </w:r>
          </w:p>
        </w:tc>
        <w:tc>
          <w:tcPr>
            <w:tcW w:w="6620" w:type="dxa"/>
            <w:tcBorders/>
            <w:shd w:fill="auto" w:val="clear"/>
            <w:vAlign w:val="center"/>
          </w:tcPr>
          <w:p>
            <w:pPr>
              <w:pStyle w:val="TableContents"/>
              <w:spacing w:before="0" w:after="283"/>
              <w:rPr>
                <w:sz w:val="20"/>
              </w:rPr>
            </w:pPr>
            <w:r>
              <w:rPr>
                <w:sz w:val="20"/>
              </w:rPr>
              <w:t>Conduct of Business</w:t>
            </w:r>
          </w:p>
        </w:tc>
        <w:tc>
          <w:tcPr>
            <w:tcW w:w="245" w:type="dxa"/>
            <w:tcBorders/>
            <w:shd w:fill="auto" w:val="clear"/>
            <w:vAlign w:val="center"/>
          </w:tcPr>
          <w:p>
            <w:pPr>
              <w:pStyle w:val="TableContents"/>
              <w:spacing w:before="0" w:after="283"/>
              <w:jc w:val="right"/>
              <w:rPr>
                <w:sz w:val="20"/>
              </w:rPr>
            </w:pPr>
            <w:r>
              <w:rPr>
                <w:sz w:val="20"/>
              </w:rPr>
              <w:t>16</w:t>
            </w:r>
          </w:p>
        </w:tc>
      </w:tr>
      <w:tr>
        <w:trPr/>
        <w:tc>
          <w:tcPr>
            <w:tcW w:w="1100" w:type="dxa"/>
            <w:tcBorders/>
            <w:shd w:fill="auto" w:val="clear"/>
            <w:vAlign w:val="center"/>
          </w:tcPr>
          <w:p>
            <w:pPr>
              <w:pStyle w:val="TableContents"/>
              <w:spacing w:before="0" w:after="283"/>
              <w:rPr>
                <w:sz w:val="20"/>
              </w:rPr>
            </w:pPr>
            <w:r>
              <w:rPr>
                <w:sz w:val="20"/>
              </w:rPr>
              <w:t>Section 5.3.</w:t>
            </w:r>
          </w:p>
        </w:tc>
        <w:tc>
          <w:tcPr>
            <w:tcW w:w="6620" w:type="dxa"/>
            <w:tcBorders/>
            <w:shd w:fill="auto" w:val="clear"/>
            <w:vAlign w:val="center"/>
          </w:tcPr>
          <w:p>
            <w:pPr>
              <w:pStyle w:val="TableContents"/>
              <w:spacing w:before="0" w:after="283"/>
              <w:rPr>
                <w:sz w:val="20"/>
              </w:rPr>
            </w:pPr>
            <w:r>
              <w:rPr>
                <w:sz w:val="20"/>
              </w:rPr>
              <w:t>No Solicitation; Adverse Recommendation Change</w:t>
            </w:r>
          </w:p>
        </w:tc>
        <w:tc>
          <w:tcPr>
            <w:tcW w:w="245" w:type="dxa"/>
            <w:tcBorders/>
            <w:shd w:fill="auto" w:val="clear"/>
            <w:vAlign w:val="center"/>
          </w:tcPr>
          <w:p>
            <w:pPr>
              <w:pStyle w:val="TableContents"/>
              <w:spacing w:before="0" w:after="283"/>
              <w:jc w:val="right"/>
              <w:rPr>
                <w:sz w:val="20"/>
              </w:rPr>
            </w:pPr>
            <w:r>
              <w:rPr>
                <w:sz w:val="20"/>
              </w:rPr>
              <w:t>19</w:t>
            </w:r>
          </w:p>
        </w:tc>
      </w:tr>
      <w:tr>
        <w:trPr/>
        <w:tc>
          <w:tcPr>
            <w:tcW w:w="1100" w:type="dxa"/>
            <w:tcBorders/>
            <w:shd w:fill="auto" w:val="clear"/>
            <w:vAlign w:val="center"/>
          </w:tcPr>
          <w:p>
            <w:pPr>
              <w:pStyle w:val="TableContents"/>
              <w:spacing w:before="0" w:after="283"/>
              <w:rPr>
                <w:sz w:val="20"/>
              </w:rPr>
            </w:pPr>
            <w:r>
              <w:rPr>
                <w:sz w:val="20"/>
              </w:rPr>
              <w:t>Section 5.4.</w:t>
            </w:r>
          </w:p>
        </w:tc>
        <w:tc>
          <w:tcPr>
            <w:tcW w:w="6620" w:type="dxa"/>
            <w:tcBorders/>
            <w:shd w:fill="auto" w:val="clear"/>
            <w:vAlign w:val="center"/>
          </w:tcPr>
          <w:p>
            <w:pPr>
              <w:pStyle w:val="TableContents"/>
              <w:spacing w:before="0" w:after="283"/>
              <w:rPr>
                <w:sz w:val="20"/>
              </w:rPr>
            </w:pPr>
            <w:r>
              <w:rPr>
                <w:sz w:val="20"/>
              </w:rPr>
              <w:t>Commercially Reasonable Efforts</w:t>
            </w:r>
          </w:p>
        </w:tc>
        <w:tc>
          <w:tcPr>
            <w:tcW w:w="245" w:type="dxa"/>
            <w:tcBorders/>
            <w:shd w:fill="auto" w:val="clear"/>
            <w:vAlign w:val="center"/>
          </w:tcPr>
          <w:p>
            <w:pPr>
              <w:pStyle w:val="TableContents"/>
              <w:spacing w:before="0" w:after="283"/>
              <w:jc w:val="right"/>
              <w:rPr>
                <w:sz w:val="20"/>
              </w:rPr>
            </w:pPr>
            <w:r>
              <w:rPr>
                <w:sz w:val="20"/>
              </w:rPr>
              <w:t>21</w:t>
            </w:r>
          </w:p>
        </w:tc>
      </w:tr>
      <w:tr>
        <w:trPr/>
        <w:tc>
          <w:tcPr>
            <w:tcW w:w="1100" w:type="dxa"/>
            <w:tcBorders/>
            <w:shd w:fill="auto" w:val="clear"/>
            <w:vAlign w:val="center"/>
          </w:tcPr>
          <w:p>
            <w:pPr>
              <w:pStyle w:val="TableContents"/>
              <w:spacing w:before="0" w:after="283"/>
              <w:rPr>
                <w:sz w:val="20"/>
              </w:rPr>
            </w:pPr>
            <w:r>
              <w:rPr>
                <w:sz w:val="20"/>
              </w:rPr>
              <w:t>Section 5.5.</w:t>
            </w:r>
          </w:p>
        </w:tc>
        <w:tc>
          <w:tcPr>
            <w:tcW w:w="6620" w:type="dxa"/>
            <w:tcBorders/>
            <w:shd w:fill="auto" w:val="clear"/>
            <w:vAlign w:val="center"/>
          </w:tcPr>
          <w:p>
            <w:pPr>
              <w:pStyle w:val="TableContents"/>
              <w:spacing w:before="0" w:after="283"/>
              <w:rPr>
                <w:sz w:val="20"/>
              </w:rPr>
            </w:pPr>
            <w:r>
              <w:rPr>
                <w:sz w:val="20"/>
              </w:rPr>
              <w:t>Public Announcements</w:t>
            </w:r>
          </w:p>
        </w:tc>
        <w:tc>
          <w:tcPr>
            <w:tcW w:w="245" w:type="dxa"/>
            <w:tcBorders/>
            <w:shd w:fill="auto" w:val="clear"/>
            <w:vAlign w:val="center"/>
          </w:tcPr>
          <w:p>
            <w:pPr>
              <w:pStyle w:val="TableContents"/>
              <w:spacing w:before="0" w:after="283"/>
              <w:jc w:val="right"/>
              <w:rPr>
                <w:sz w:val="20"/>
              </w:rPr>
            </w:pPr>
            <w:r>
              <w:rPr>
                <w:sz w:val="20"/>
              </w:rPr>
              <w:t>22</w:t>
            </w:r>
          </w:p>
        </w:tc>
      </w:tr>
      <w:tr>
        <w:trPr/>
        <w:tc>
          <w:tcPr>
            <w:tcW w:w="1100" w:type="dxa"/>
            <w:tcBorders/>
            <w:shd w:fill="auto" w:val="clear"/>
            <w:vAlign w:val="center"/>
          </w:tcPr>
          <w:p>
            <w:pPr>
              <w:pStyle w:val="TableContents"/>
              <w:spacing w:before="0" w:after="283"/>
              <w:rPr>
                <w:sz w:val="20"/>
              </w:rPr>
            </w:pPr>
            <w:r>
              <w:rPr>
                <w:sz w:val="20"/>
              </w:rPr>
              <w:t>Section 5.6.</w:t>
            </w:r>
          </w:p>
        </w:tc>
        <w:tc>
          <w:tcPr>
            <w:tcW w:w="6620" w:type="dxa"/>
            <w:tcBorders/>
            <w:shd w:fill="auto" w:val="clear"/>
            <w:vAlign w:val="center"/>
          </w:tcPr>
          <w:p>
            <w:pPr>
              <w:pStyle w:val="TableContents"/>
              <w:spacing w:before="0" w:after="283"/>
              <w:rPr>
                <w:sz w:val="20"/>
              </w:rPr>
            </w:pPr>
            <w:r>
              <w:rPr>
                <w:sz w:val="20"/>
              </w:rPr>
              <w:t>Access to Information</w:t>
            </w:r>
          </w:p>
        </w:tc>
        <w:tc>
          <w:tcPr>
            <w:tcW w:w="245" w:type="dxa"/>
            <w:tcBorders/>
            <w:shd w:fill="auto" w:val="clear"/>
            <w:vAlign w:val="center"/>
          </w:tcPr>
          <w:p>
            <w:pPr>
              <w:pStyle w:val="TableContents"/>
              <w:spacing w:before="0" w:after="283"/>
              <w:jc w:val="right"/>
              <w:rPr>
                <w:sz w:val="20"/>
              </w:rPr>
            </w:pPr>
            <w:r>
              <w:rPr>
                <w:sz w:val="20"/>
              </w:rPr>
              <w:t>22</w:t>
            </w:r>
          </w:p>
        </w:tc>
      </w:tr>
      <w:tr>
        <w:trPr/>
        <w:tc>
          <w:tcPr>
            <w:tcW w:w="1100" w:type="dxa"/>
            <w:tcBorders/>
            <w:shd w:fill="auto" w:val="clear"/>
            <w:vAlign w:val="center"/>
          </w:tcPr>
          <w:p>
            <w:pPr>
              <w:pStyle w:val="TableContents"/>
              <w:spacing w:before="0" w:after="283"/>
              <w:rPr>
                <w:sz w:val="20"/>
              </w:rPr>
            </w:pPr>
            <w:r>
              <w:rPr>
                <w:sz w:val="20"/>
              </w:rPr>
              <w:t>Section 5.7.</w:t>
            </w:r>
          </w:p>
        </w:tc>
        <w:tc>
          <w:tcPr>
            <w:tcW w:w="6620" w:type="dxa"/>
            <w:tcBorders/>
            <w:shd w:fill="auto" w:val="clear"/>
            <w:vAlign w:val="center"/>
          </w:tcPr>
          <w:p>
            <w:pPr>
              <w:pStyle w:val="TableContents"/>
              <w:spacing w:before="0" w:after="283"/>
              <w:rPr>
                <w:sz w:val="20"/>
              </w:rPr>
            </w:pPr>
            <w:r>
              <w:rPr>
                <w:sz w:val="20"/>
              </w:rPr>
              <w:t>Debt Financing</w:t>
            </w:r>
          </w:p>
        </w:tc>
        <w:tc>
          <w:tcPr>
            <w:tcW w:w="245" w:type="dxa"/>
            <w:tcBorders/>
            <w:shd w:fill="auto" w:val="clear"/>
            <w:vAlign w:val="center"/>
          </w:tcPr>
          <w:p>
            <w:pPr>
              <w:pStyle w:val="TableContents"/>
              <w:spacing w:before="0" w:after="283"/>
              <w:jc w:val="right"/>
              <w:rPr>
                <w:sz w:val="20"/>
              </w:rPr>
            </w:pPr>
            <w:r>
              <w:rPr>
                <w:sz w:val="20"/>
              </w:rPr>
              <w:t>23</w:t>
            </w:r>
          </w:p>
        </w:tc>
      </w:tr>
      <w:tr>
        <w:trPr/>
        <w:tc>
          <w:tcPr>
            <w:tcW w:w="1100" w:type="dxa"/>
            <w:tcBorders/>
            <w:shd w:fill="auto" w:val="clear"/>
            <w:vAlign w:val="center"/>
          </w:tcPr>
          <w:p>
            <w:pPr>
              <w:pStyle w:val="TableContents"/>
              <w:spacing w:before="0" w:after="283"/>
              <w:rPr>
                <w:sz w:val="20"/>
              </w:rPr>
            </w:pPr>
            <w:r>
              <w:rPr>
                <w:sz w:val="20"/>
              </w:rPr>
              <w:t>Section 5.8.</w:t>
            </w:r>
          </w:p>
        </w:tc>
        <w:tc>
          <w:tcPr>
            <w:tcW w:w="6620" w:type="dxa"/>
            <w:tcBorders/>
            <w:shd w:fill="auto" w:val="clear"/>
            <w:vAlign w:val="center"/>
          </w:tcPr>
          <w:p>
            <w:pPr>
              <w:pStyle w:val="TableContents"/>
              <w:spacing w:before="0" w:after="283"/>
              <w:rPr>
                <w:sz w:val="20"/>
              </w:rPr>
            </w:pPr>
            <w:r>
              <w:rPr>
                <w:sz w:val="20"/>
              </w:rPr>
              <w:t>Notification of Certain Matters</w:t>
            </w:r>
          </w:p>
        </w:tc>
        <w:tc>
          <w:tcPr>
            <w:tcW w:w="245" w:type="dxa"/>
            <w:tcBorders/>
            <w:shd w:fill="auto" w:val="clear"/>
            <w:vAlign w:val="center"/>
          </w:tcPr>
          <w:p>
            <w:pPr>
              <w:pStyle w:val="TableContents"/>
              <w:spacing w:before="0" w:after="283"/>
              <w:jc w:val="right"/>
              <w:rPr>
                <w:sz w:val="20"/>
              </w:rPr>
            </w:pPr>
            <w:r>
              <w:rPr>
                <w:sz w:val="20"/>
              </w:rPr>
              <w:t>25</w:t>
            </w:r>
          </w:p>
        </w:tc>
      </w:tr>
      <w:tr>
        <w:trPr/>
        <w:tc>
          <w:tcPr>
            <w:tcW w:w="1100" w:type="dxa"/>
            <w:tcBorders/>
            <w:shd w:fill="auto" w:val="clear"/>
            <w:vAlign w:val="center"/>
          </w:tcPr>
          <w:p>
            <w:pPr>
              <w:pStyle w:val="TableContents"/>
              <w:spacing w:before="0" w:after="283"/>
              <w:rPr>
                <w:sz w:val="20"/>
              </w:rPr>
            </w:pPr>
            <w:r>
              <w:rPr>
                <w:sz w:val="20"/>
              </w:rPr>
              <w:t>Section 5.9.</w:t>
            </w:r>
          </w:p>
        </w:tc>
        <w:tc>
          <w:tcPr>
            <w:tcW w:w="6620" w:type="dxa"/>
            <w:tcBorders/>
            <w:shd w:fill="auto" w:val="clear"/>
            <w:vAlign w:val="center"/>
          </w:tcPr>
          <w:p>
            <w:pPr>
              <w:pStyle w:val="TableContents"/>
              <w:spacing w:before="0" w:after="283"/>
              <w:rPr>
                <w:sz w:val="20"/>
              </w:rPr>
            </w:pPr>
            <w:r>
              <w:rPr>
                <w:sz w:val="20"/>
              </w:rPr>
              <w:t>Indemnification and Insurance</w:t>
            </w:r>
          </w:p>
        </w:tc>
        <w:tc>
          <w:tcPr>
            <w:tcW w:w="245" w:type="dxa"/>
            <w:tcBorders/>
            <w:shd w:fill="auto" w:val="clear"/>
            <w:vAlign w:val="center"/>
          </w:tcPr>
          <w:p>
            <w:pPr>
              <w:pStyle w:val="TableContents"/>
              <w:spacing w:before="0" w:after="283"/>
              <w:jc w:val="right"/>
              <w:rPr>
                <w:sz w:val="20"/>
              </w:rPr>
            </w:pPr>
            <w:r>
              <w:rPr>
                <w:sz w:val="20"/>
              </w:rPr>
              <w:t>26</w:t>
            </w:r>
          </w:p>
        </w:tc>
      </w:tr>
      <w:tr>
        <w:trPr/>
        <w:tc>
          <w:tcPr>
            <w:tcW w:w="1100" w:type="dxa"/>
            <w:tcBorders/>
            <w:shd w:fill="auto" w:val="clear"/>
            <w:vAlign w:val="center"/>
          </w:tcPr>
          <w:p>
            <w:pPr>
              <w:pStyle w:val="TableContents"/>
              <w:spacing w:before="0" w:after="283"/>
              <w:rPr>
                <w:sz w:val="20"/>
              </w:rPr>
            </w:pPr>
            <w:r>
              <w:rPr>
                <w:sz w:val="20"/>
              </w:rPr>
              <w:t>Section 5.10.</w:t>
            </w:r>
          </w:p>
        </w:tc>
        <w:tc>
          <w:tcPr>
            <w:tcW w:w="6620" w:type="dxa"/>
            <w:tcBorders/>
            <w:shd w:fill="auto" w:val="clear"/>
            <w:vAlign w:val="center"/>
          </w:tcPr>
          <w:p>
            <w:pPr>
              <w:pStyle w:val="TableContents"/>
              <w:spacing w:before="0" w:after="283"/>
              <w:rPr>
                <w:sz w:val="20"/>
              </w:rPr>
            </w:pPr>
            <w:r>
              <w:rPr>
                <w:sz w:val="20"/>
              </w:rPr>
              <w:t>Securityholder Litigation</w:t>
            </w:r>
          </w:p>
        </w:tc>
        <w:tc>
          <w:tcPr>
            <w:tcW w:w="245" w:type="dxa"/>
            <w:tcBorders/>
            <w:shd w:fill="auto" w:val="clear"/>
            <w:vAlign w:val="center"/>
          </w:tcPr>
          <w:p>
            <w:pPr>
              <w:pStyle w:val="TableContents"/>
              <w:spacing w:before="0" w:after="283"/>
              <w:jc w:val="right"/>
              <w:rPr>
                <w:sz w:val="20"/>
              </w:rPr>
            </w:pPr>
            <w:r>
              <w:rPr>
                <w:sz w:val="20"/>
              </w:rPr>
              <w:t>27</w:t>
            </w:r>
          </w:p>
        </w:tc>
      </w:tr>
      <w:tr>
        <w:trPr/>
        <w:tc>
          <w:tcPr>
            <w:tcW w:w="1100" w:type="dxa"/>
            <w:tcBorders/>
            <w:shd w:fill="auto" w:val="clear"/>
            <w:vAlign w:val="center"/>
          </w:tcPr>
          <w:p>
            <w:pPr>
              <w:pStyle w:val="TableContents"/>
              <w:spacing w:before="0" w:after="283"/>
              <w:rPr>
                <w:sz w:val="20"/>
              </w:rPr>
            </w:pPr>
            <w:r>
              <w:rPr>
                <w:sz w:val="20"/>
              </w:rPr>
              <w:t>Section 5.11.</w:t>
            </w:r>
          </w:p>
        </w:tc>
        <w:tc>
          <w:tcPr>
            <w:tcW w:w="6620" w:type="dxa"/>
            <w:tcBorders/>
            <w:shd w:fill="auto" w:val="clear"/>
            <w:vAlign w:val="center"/>
          </w:tcPr>
          <w:p>
            <w:pPr>
              <w:pStyle w:val="TableContents"/>
              <w:spacing w:before="0" w:after="283"/>
              <w:rPr>
                <w:sz w:val="20"/>
              </w:rPr>
            </w:pPr>
            <w:r>
              <w:rPr>
                <w:sz w:val="20"/>
              </w:rPr>
              <w:t>Performance by the Partnership</w:t>
            </w:r>
          </w:p>
        </w:tc>
        <w:tc>
          <w:tcPr>
            <w:tcW w:w="245" w:type="dxa"/>
            <w:tcBorders/>
            <w:shd w:fill="auto" w:val="clear"/>
            <w:vAlign w:val="center"/>
          </w:tcPr>
          <w:p>
            <w:pPr>
              <w:pStyle w:val="TableContents"/>
              <w:spacing w:before="0" w:after="283"/>
              <w:jc w:val="right"/>
              <w:rPr>
                <w:sz w:val="20"/>
              </w:rPr>
            </w:pPr>
            <w:r>
              <w:rPr>
                <w:sz w:val="20"/>
              </w:rPr>
              <w:t>27</w:t>
            </w:r>
          </w:p>
        </w:tc>
      </w:tr>
      <w:tr>
        <w:trPr/>
        <w:tc>
          <w:tcPr>
            <w:tcW w:w="1100" w:type="dxa"/>
            <w:tcBorders/>
            <w:shd w:fill="auto" w:val="clear"/>
            <w:vAlign w:val="center"/>
          </w:tcPr>
          <w:p>
            <w:pPr>
              <w:pStyle w:val="TableContents"/>
              <w:spacing w:before="0" w:after="283"/>
              <w:rPr>
                <w:sz w:val="20"/>
              </w:rPr>
            </w:pPr>
            <w:r>
              <w:rPr>
                <w:sz w:val="20"/>
              </w:rPr>
              <w:t>Section 5.12.</w:t>
            </w:r>
          </w:p>
        </w:tc>
        <w:tc>
          <w:tcPr>
            <w:tcW w:w="6620" w:type="dxa"/>
            <w:tcBorders/>
            <w:shd w:fill="auto" w:val="clear"/>
            <w:vAlign w:val="center"/>
          </w:tcPr>
          <w:p>
            <w:pPr>
              <w:pStyle w:val="TableContents"/>
              <w:spacing w:before="0" w:after="283"/>
              <w:rPr>
                <w:sz w:val="20"/>
              </w:rPr>
            </w:pPr>
            <w:r>
              <w:rPr>
                <w:sz w:val="20"/>
              </w:rPr>
              <w:t>Conflicts Committee</w:t>
            </w:r>
          </w:p>
        </w:tc>
        <w:tc>
          <w:tcPr>
            <w:tcW w:w="245" w:type="dxa"/>
            <w:tcBorders/>
            <w:shd w:fill="auto" w:val="clear"/>
            <w:vAlign w:val="center"/>
          </w:tcPr>
          <w:p>
            <w:pPr>
              <w:pStyle w:val="TableContents"/>
              <w:spacing w:before="0" w:after="283"/>
              <w:jc w:val="right"/>
              <w:rPr>
                <w:sz w:val="20"/>
              </w:rPr>
            </w:pPr>
            <w:r>
              <w:rPr>
                <w:sz w:val="20"/>
              </w:rPr>
              <w:t>27</w:t>
            </w:r>
          </w:p>
        </w:tc>
      </w:tr>
      <w:tr>
        <w:trPr/>
        <w:tc>
          <w:tcPr>
            <w:tcW w:w="1100" w:type="dxa"/>
            <w:tcBorders/>
            <w:shd w:fill="auto" w:val="clear"/>
            <w:vAlign w:val="center"/>
          </w:tcPr>
          <w:p>
            <w:pPr>
              <w:pStyle w:val="TableContents"/>
              <w:spacing w:before="0" w:after="283"/>
              <w:rPr>
                <w:sz w:val="20"/>
              </w:rPr>
            </w:pPr>
            <w:r>
              <w:rPr>
                <w:sz w:val="20"/>
              </w:rPr>
              <w:t>Section 5.13.</w:t>
            </w:r>
          </w:p>
        </w:tc>
        <w:tc>
          <w:tcPr>
            <w:tcW w:w="6620" w:type="dxa"/>
            <w:tcBorders/>
            <w:shd w:fill="auto" w:val="clear"/>
            <w:vAlign w:val="center"/>
          </w:tcPr>
          <w:p>
            <w:pPr>
              <w:pStyle w:val="TableContents"/>
              <w:spacing w:before="0" w:after="283"/>
              <w:rPr>
                <w:sz w:val="20"/>
              </w:rPr>
            </w:pPr>
            <w:r>
              <w:rPr>
                <w:sz w:val="20"/>
              </w:rPr>
              <w:t>Special Distribution</w:t>
            </w:r>
          </w:p>
        </w:tc>
        <w:tc>
          <w:tcPr>
            <w:tcW w:w="245" w:type="dxa"/>
            <w:tcBorders/>
            <w:shd w:fill="auto" w:val="clear"/>
            <w:vAlign w:val="center"/>
          </w:tcPr>
          <w:p>
            <w:pPr>
              <w:pStyle w:val="TableContents"/>
              <w:spacing w:before="0" w:after="283"/>
              <w:jc w:val="right"/>
              <w:rPr>
                <w:sz w:val="20"/>
              </w:rPr>
            </w:pPr>
            <w:r>
              <w:rPr>
                <w:sz w:val="20"/>
              </w:rPr>
              <w:t>28</w:t>
            </w:r>
          </w:p>
        </w:tc>
      </w:tr>
      <w:tr>
        <w:trPr/>
        <w:tc>
          <w:tcPr>
            <w:tcW w:w="1100" w:type="dxa"/>
            <w:tcBorders/>
            <w:shd w:fill="auto" w:val="clear"/>
            <w:vAlign w:val="center"/>
          </w:tcPr>
          <w:p>
            <w:pPr>
              <w:pStyle w:val="TableContents"/>
              <w:spacing w:before="0" w:after="283"/>
              <w:rPr/>
            </w:pPr>
            <w:r>
              <w:rPr/>
              <w:t> </w:t>
            </w:r>
          </w:p>
        </w:tc>
        <w:tc>
          <w:tcPr>
            <w:tcW w:w="662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1100" w:type="dxa"/>
            <w:tcBorders/>
            <w:shd w:fill="auto" w:val="clear"/>
            <w:vAlign w:val="center"/>
          </w:tcPr>
          <w:p>
            <w:pPr>
              <w:pStyle w:val="TableContents"/>
              <w:spacing w:before="0" w:after="283"/>
              <w:jc w:val="center"/>
              <w:rPr/>
            </w:pPr>
            <w:r>
              <w:rPr/>
              <w:t> </w:t>
            </w:r>
          </w:p>
        </w:tc>
        <w:tc>
          <w:tcPr>
            <w:tcW w:w="6620" w:type="dxa"/>
            <w:tcBorders/>
            <w:shd w:fill="auto" w:val="clear"/>
            <w:vAlign w:val="center"/>
          </w:tcPr>
          <w:p>
            <w:pPr>
              <w:pStyle w:val="TableContents"/>
              <w:spacing w:before="0" w:after="283"/>
              <w:jc w:val="center"/>
              <w:rPr>
                <w:sz w:val="20"/>
              </w:rPr>
            </w:pPr>
            <w:r>
              <w:rPr>
                <w:sz w:val="20"/>
              </w:rPr>
              <w:t>ARTICLE VI</w:t>
            </w:r>
          </w:p>
        </w:tc>
        <w:tc>
          <w:tcPr>
            <w:tcW w:w="245" w:type="dxa"/>
            <w:tcBorders/>
            <w:shd w:fill="auto" w:val="clear"/>
            <w:vAlign w:val="center"/>
          </w:tcPr>
          <w:p>
            <w:pPr>
              <w:pStyle w:val="TableContents"/>
              <w:spacing w:before="0" w:after="283"/>
              <w:jc w:val="right"/>
              <w:rPr/>
            </w:pPr>
            <w:r>
              <w:rPr/>
              <w:t> </w:t>
            </w:r>
          </w:p>
        </w:tc>
      </w:tr>
      <w:tr>
        <w:trPr/>
        <w:tc>
          <w:tcPr>
            <w:tcW w:w="1100" w:type="dxa"/>
            <w:tcBorders/>
            <w:shd w:fill="auto" w:val="clear"/>
            <w:vAlign w:val="center"/>
          </w:tcPr>
          <w:p>
            <w:pPr>
              <w:pStyle w:val="TableContents"/>
              <w:spacing w:before="0" w:after="283"/>
              <w:jc w:val="center"/>
              <w:rPr/>
            </w:pPr>
            <w:r>
              <w:rPr/>
              <w:t> </w:t>
            </w:r>
          </w:p>
        </w:tc>
        <w:tc>
          <w:tcPr>
            <w:tcW w:w="6620" w:type="dxa"/>
            <w:tcBorders/>
            <w:shd w:fill="auto" w:val="clear"/>
            <w:vAlign w:val="center"/>
          </w:tcPr>
          <w:p>
            <w:pPr>
              <w:pStyle w:val="TableContents"/>
              <w:spacing w:before="0" w:after="283"/>
              <w:jc w:val="center"/>
              <w:rPr/>
            </w:pPr>
            <w:r>
              <w:rPr/>
              <w:t> </w:t>
            </w:r>
          </w:p>
        </w:tc>
        <w:tc>
          <w:tcPr>
            <w:tcW w:w="245" w:type="dxa"/>
            <w:tcBorders/>
            <w:shd w:fill="auto" w:val="clear"/>
            <w:vAlign w:val="center"/>
          </w:tcPr>
          <w:p>
            <w:pPr>
              <w:pStyle w:val="TableContents"/>
              <w:spacing w:before="0" w:after="283"/>
              <w:jc w:val="right"/>
              <w:rPr/>
            </w:pPr>
            <w:r>
              <w:rPr/>
              <w:t> </w:t>
            </w:r>
          </w:p>
        </w:tc>
      </w:tr>
      <w:tr>
        <w:trPr/>
        <w:tc>
          <w:tcPr>
            <w:tcW w:w="1100" w:type="dxa"/>
            <w:tcBorders/>
            <w:shd w:fill="auto" w:val="clear"/>
            <w:vAlign w:val="center"/>
          </w:tcPr>
          <w:p>
            <w:pPr>
              <w:pStyle w:val="TableContents"/>
              <w:spacing w:before="0" w:after="283"/>
              <w:jc w:val="center"/>
              <w:rPr/>
            </w:pPr>
            <w:r>
              <w:rPr/>
              <w:t> </w:t>
            </w:r>
          </w:p>
        </w:tc>
        <w:tc>
          <w:tcPr>
            <w:tcW w:w="6620" w:type="dxa"/>
            <w:tcBorders/>
            <w:shd w:fill="auto" w:val="clear"/>
            <w:vAlign w:val="center"/>
          </w:tcPr>
          <w:p>
            <w:pPr>
              <w:pStyle w:val="TableContents"/>
              <w:spacing w:before="0" w:after="283"/>
              <w:jc w:val="center"/>
              <w:rPr>
                <w:sz w:val="20"/>
              </w:rPr>
            </w:pPr>
            <w:r>
              <w:rPr>
                <w:sz w:val="20"/>
              </w:rPr>
              <w:t>CONDITIONS PRECEDENT</w:t>
            </w:r>
          </w:p>
        </w:tc>
        <w:tc>
          <w:tcPr>
            <w:tcW w:w="245" w:type="dxa"/>
            <w:tcBorders/>
            <w:shd w:fill="auto" w:val="clear"/>
            <w:vAlign w:val="center"/>
          </w:tcPr>
          <w:p>
            <w:pPr>
              <w:pStyle w:val="TableContents"/>
              <w:spacing w:before="0" w:after="283"/>
              <w:jc w:val="right"/>
              <w:rPr/>
            </w:pPr>
            <w:r>
              <w:rPr/>
              <w:t> </w:t>
            </w:r>
          </w:p>
        </w:tc>
      </w:tr>
      <w:tr>
        <w:trPr/>
        <w:tc>
          <w:tcPr>
            <w:tcW w:w="1100" w:type="dxa"/>
            <w:tcBorders/>
            <w:shd w:fill="auto" w:val="clear"/>
            <w:vAlign w:val="center"/>
          </w:tcPr>
          <w:p>
            <w:pPr>
              <w:pStyle w:val="TableContents"/>
              <w:spacing w:before="0" w:after="283"/>
              <w:jc w:val="center"/>
              <w:rPr/>
            </w:pPr>
            <w:r>
              <w:rPr/>
              <w:t> </w:t>
            </w:r>
          </w:p>
        </w:tc>
        <w:tc>
          <w:tcPr>
            <w:tcW w:w="6620" w:type="dxa"/>
            <w:tcBorders/>
            <w:shd w:fill="auto" w:val="clear"/>
            <w:vAlign w:val="center"/>
          </w:tcPr>
          <w:p>
            <w:pPr>
              <w:pStyle w:val="TableContents"/>
              <w:spacing w:before="0" w:after="283"/>
              <w:jc w:val="center"/>
              <w:rPr/>
            </w:pPr>
            <w:r>
              <w:rPr/>
              <w:t> </w:t>
            </w:r>
          </w:p>
        </w:tc>
        <w:tc>
          <w:tcPr>
            <w:tcW w:w="245" w:type="dxa"/>
            <w:tcBorders/>
            <w:shd w:fill="auto" w:val="clear"/>
            <w:vAlign w:val="center"/>
          </w:tcPr>
          <w:p>
            <w:pPr>
              <w:pStyle w:val="TableContents"/>
              <w:spacing w:before="0" w:after="283"/>
              <w:jc w:val="right"/>
              <w:rPr/>
            </w:pPr>
            <w:r>
              <w:rPr/>
              <w:t> </w:t>
            </w:r>
          </w:p>
        </w:tc>
      </w:tr>
      <w:tr>
        <w:trPr/>
        <w:tc>
          <w:tcPr>
            <w:tcW w:w="1100" w:type="dxa"/>
            <w:tcBorders/>
            <w:shd w:fill="auto" w:val="clear"/>
            <w:vAlign w:val="center"/>
          </w:tcPr>
          <w:p>
            <w:pPr>
              <w:pStyle w:val="TableContents"/>
              <w:spacing w:before="0" w:after="283"/>
              <w:rPr>
                <w:sz w:val="20"/>
              </w:rPr>
            </w:pPr>
            <w:r>
              <w:rPr>
                <w:sz w:val="20"/>
              </w:rPr>
              <w:t>Section 6.1.</w:t>
            </w:r>
          </w:p>
        </w:tc>
        <w:tc>
          <w:tcPr>
            <w:tcW w:w="6620" w:type="dxa"/>
            <w:tcBorders/>
            <w:shd w:fill="auto" w:val="clear"/>
            <w:vAlign w:val="center"/>
          </w:tcPr>
          <w:p>
            <w:pPr>
              <w:pStyle w:val="TableContents"/>
              <w:spacing w:before="0" w:after="283"/>
              <w:rPr>
                <w:sz w:val="20"/>
              </w:rPr>
            </w:pPr>
            <w:r>
              <w:rPr>
                <w:sz w:val="20"/>
              </w:rPr>
              <w:t>Conditions to Each Party’s Obligation to Effect the Merger</w:t>
            </w:r>
          </w:p>
        </w:tc>
        <w:tc>
          <w:tcPr>
            <w:tcW w:w="245" w:type="dxa"/>
            <w:tcBorders/>
            <w:shd w:fill="auto" w:val="clear"/>
            <w:vAlign w:val="center"/>
          </w:tcPr>
          <w:p>
            <w:pPr>
              <w:pStyle w:val="TableContents"/>
              <w:spacing w:before="0" w:after="283"/>
              <w:jc w:val="right"/>
              <w:rPr>
                <w:sz w:val="20"/>
              </w:rPr>
            </w:pPr>
            <w:r>
              <w:rPr>
                <w:sz w:val="20"/>
              </w:rPr>
              <w:t>28</w:t>
            </w:r>
          </w:p>
        </w:tc>
      </w:tr>
      <w:tr>
        <w:trPr/>
        <w:tc>
          <w:tcPr>
            <w:tcW w:w="1100" w:type="dxa"/>
            <w:tcBorders/>
            <w:shd w:fill="auto" w:val="clear"/>
            <w:vAlign w:val="center"/>
          </w:tcPr>
          <w:p>
            <w:pPr>
              <w:pStyle w:val="TableContents"/>
              <w:spacing w:before="0" w:after="283"/>
              <w:rPr>
                <w:sz w:val="20"/>
              </w:rPr>
            </w:pPr>
            <w:r>
              <w:rPr>
                <w:sz w:val="20"/>
              </w:rPr>
              <w:t>Section 6.2.</w:t>
            </w:r>
          </w:p>
        </w:tc>
        <w:tc>
          <w:tcPr>
            <w:tcW w:w="6620" w:type="dxa"/>
            <w:tcBorders/>
            <w:shd w:fill="auto" w:val="clear"/>
            <w:vAlign w:val="center"/>
          </w:tcPr>
          <w:p>
            <w:pPr>
              <w:pStyle w:val="TableContents"/>
              <w:spacing w:before="0" w:after="283"/>
              <w:rPr>
                <w:sz w:val="20"/>
              </w:rPr>
            </w:pPr>
            <w:r>
              <w:rPr>
                <w:sz w:val="20"/>
              </w:rPr>
              <w:t>Conditions to Obligations of the Sponsor Entities to Effect the Merger</w:t>
            </w:r>
          </w:p>
        </w:tc>
        <w:tc>
          <w:tcPr>
            <w:tcW w:w="245" w:type="dxa"/>
            <w:tcBorders/>
            <w:shd w:fill="auto" w:val="clear"/>
            <w:vAlign w:val="center"/>
          </w:tcPr>
          <w:p>
            <w:pPr>
              <w:pStyle w:val="TableContents"/>
              <w:spacing w:before="0" w:after="283"/>
              <w:jc w:val="right"/>
              <w:rPr>
                <w:sz w:val="20"/>
              </w:rPr>
            </w:pPr>
            <w:r>
              <w:rPr>
                <w:sz w:val="20"/>
              </w:rPr>
              <w:t>28</w:t>
            </w:r>
          </w:p>
        </w:tc>
      </w:tr>
      <w:tr>
        <w:trPr/>
        <w:tc>
          <w:tcPr>
            <w:tcW w:w="1100" w:type="dxa"/>
            <w:tcBorders/>
            <w:shd w:fill="auto" w:val="clear"/>
            <w:vAlign w:val="center"/>
          </w:tcPr>
          <w:p>
            <w:pPr>
              <w:pStyle w:val="TableContents"/>
              <w:spacing w:before="0" w:after="283"/>
              <w:rPr>
                <w:sz w:val="20"/>
              </w:rPr>
            </w:pPr>
            <w:r>
              <w:rPr>
                <w:sz w:val="20"/>
              </w:rPr>
              <w:t>Section 6.3.</w:t>
            </w:r>
          </w:p>
        </w:tc>
        <w:tc>
          <w:tcPr>
            <w:tcW w:w="6620" w:type="dxa"/>
            <w:tcBorders/>
            <w:shd w:fill="auto" w:val="clear"/>
            <w:vAlign w:val="center"/>
          </w:tcPr>
          <w:p>
            <w:pPr>
              <w:pStyle w:val="TableContents"/>
              <w:spacing w:before="0" w:after="283"/>
              <w:rPr>
                <w:sz w:val="20"/>
              </w:rPr>
            </w:pPr>
            <w:r>
              <w:rPr>
                <w:sz w:val="20"/>
              </w:rPr>
              <w:t>Conditions to Obligations of the Partnership to Effect the Merger</w:t>
            </w:r>
          </w:p>
        </w:tc>
        <w:tc>
          <w:tcPr>
            <w:tcW w:w="245" w:type="dxa"/>
            <w:tcBorders/>
            <w:shd w:fill="auto" w:val="clear"/>
            <w:vAlign w:val="center"/>
          </w:tcPr>
          <w:p>
            <w:pPr>
              <w:pStyle w:val="TableContents"/>
              <w:spacing w:before="0" w:after="283"/>
              <w:jc w:val="right"/>
              <w:rPr>
                <w:sz w:val="20"/>
              </w:rPr>
            </w:pPr>
            <w:r>
              <w:rPr>
                <w:sz w:val="20"/>
              </w:rPr>
              <w:t>29</w:t>
            </w:r>
          </w:p>
        </w:tc>
      </w:tr>
      <w:tr>
        <w:trPr/>
        <w:tc>
          <w:tcPr>
            <w:tcW w:w="1100" w:type="dxa"/>
            <w:tcBorders/>
            <w:shd w:fill="auto" w:val="clear"/>
            <w:vAlign w:val="center"/>
          </w:tcPr>
          <w:p>
            <w:pPr>
              <w:pStyle w:val="TableContents"/>
              <w:spacing w:before="0" w:after="283"/>
              <w:rPr>
                <w:sz w:val="20"/>
              </w:rPr>
            </w:pPr>
            <w:r>
              <w:rPr>
                <w:sz w:val="20"/>
              </w:rPr>
              <w:t>Section 6.4.</w:t>
            </w:r>
          </w:p>
        </w:tc>
        <w:tc>
          <w:tcPr>
            <w:tcW w:w="6620" w:type="dxa"/>
            <w:tcBorders/>
            <w:shd w:fill="auto" w:val="clear"/>
            <w:vAlign w:val="center"/>
          </w:tcPr>
          <w:p>
            <w:pPr>
              <w:pStyle w:val="TableContents"/>
              <w:spacing w:before="0" w:after="283"/>
              <w:rPr>
                <w:sz w:val="20"/>
              </w:rPr>
            </w:pPr>
            <w:r>
              <w:rPr>
                <w:sz w:val="20"/>
              </w:rPr>
              <w:t>Frustration of Closing Conditions</w:t>
            </w:r>
          </w:p>
        </w:tc>
        <w:tc>
          <w:tcPr>
            <w:tcW w:w="245" w:type="dxa"/>
            <w:tcBorders/>
            <w:shd w:fill="auto" w:val="clear"/>
            <w:vAlign w:val="center"/>
          </w:tcPr>
          <w:p>
            <w:pPr>
              <w:pStyle w:val="TableContents"/>
              <w:spacing w:before="0" w:after="283"/>
              <w:jc w:val="right"/>
              <w:rPr>
                <w:sz w:val="20"/>
              </w:rPr>
            </w:pPr>
            <w:r>
              <w:rPr>
                <w:sz w:val="20"/>
              </w:rPr>
              <w:t>30</w:t>
            </w:r>
          </w:p>
        </w:tc>
      </w:tr>
      <w:tr>
        <w:trPr/>
        <w:tc>
          <w:tcPr>
            <w:tcW w:w="1100" w:type="dxa"/>
            <w:tcBorders/>
            <w:shd w:fill="auto" w:val="clear"/>
            <w:vAlign w:val="center"/>
          </w:tcPr>
          <w:p>
            <w:pPr>
              <w:pStyle w:val="TableContents"/>
              <w:spacing w:before="0" w:after="283"/>
              <w:rPr/>
            </w:pPr>
            <w:r>
              <w:rPr/>
              <w:t> </w:t>
            </w:r>
          </w:p>
        </w:tc>
        <w:tc>
          <w:tcPr>
            <w:tcW w:w="662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1100" w:type="dxa"/>
            <w:tcBorders/>
            <w:shd w:fill="auto" w:val="clear"/>
            <w:vAlign w:val="center"/>
          </w:tcPr>
          <w:p>
            <w:pPr>
              <w:pStyle w:val="TableContents"/>
              <w:spacing w:before="0" w:after="283"/>
              <w:jc w:val="center"/>
              <w:rPr/>
            </w:pPr>
            <w:r>
              <w:rPr/>
              <w:t> </w:t>
            </w:r>
          </w:p>
        </w:tc>
        <w:tc>
          <w:tcPr>
            <w:tcW w:w="6620" w:type="dxa"/>
            <w:tcBorders/>
            <w:shd w:fill="auto" w:val="clear"/>
            <w:vAlign w:val="center"/>
          </w:tcPr>
          <w:p>
            <w:pPr>
              <w:pStyle w:val="TableContents"/>
              <w:spacing w:before="0" w:after="283"/>
              <w:jc w:val="center"/>
              <w:rPr>
                <w:sz w:val="20"/>
              </w:rPr>
            </w:pPr>
            <w:r>
              <w:rPr>
                <w:sz w:val="20"/>
              </w:rPr>
              <w:t>ARTICLE VII</w:t>
            </w:r>
          </w:p>
        </w:tc>
        <w:tc>
          <w:tcPr>
            <w:tcW w:w="245" w:type="dxa"/>
            <w:tcBorders/>
            <w:shd w:fill="auto" w:val="clear"/>
            <w:vAlign w:val="center"/>
          </w:tcPr>
          <w:p>
            <w:pPr>
              <w:pStyle w:val="TableContents"/>
              <w:spacing w:before="0" w:after="283"/>
              <w:jc w:val="right"/>
              <w:rPr/>
            </w:pPr>
            <w:r>
              <w:rPr/>
              <w:t> </w:t>
            </w:r>
          </w:p>
        </w:tc>
      </w:tr>
      <w:tr>
        <w:trPr/>
        <w:tc>
          <w:tcPr>
            <w:tcW w:w="1100" w:type="dxa"/>
            <w:tcBorders/>
            <w:shd w:fill="auto" w:val="clear"/>
            <w:vAlign w:val="center"/>
          </w:tcPr>
          <w:p>
            <w:pPr>
              <w:pStyle w:val="TableContents"/>
              <w:spacing w:before="0" w:after="283"/>
              <w:jc w:val="center"/>
              <w:rPr/>
            </w:pPr>
            <w:r>
              <w:rPr/>
              <w:t> </w:t>
            </w:r>
          </w:p>
        </w:tc>
        <w:tc>
          <w:tcPr>
            <w:tcW w:w="6620" w:type="dxa"/>
            <w:tcBorders/>
            <w:shd w:fill="auto" w:val="clear"/>
            <w:vAlign w:val="center"/>
          </w:tcPr>
          <w:p>
            <w:pPr>
              <w:pStyle w:val="TableContents"/>
              <w:spacing w:before="0" w:after="283"/>
              <w:jc w:val="center"/>
              <w:rPr/>
            </w:pPr>
            <w:r>
              <w:rPr/>
              <w:t> </w:t>
            </w:r>
          </w:p>
        </w:tc>
        <w:tc>
          <w:tcPr>
            <w:tcW w:w="245" w:type="dxa"/>
            <w:tcBorders/>
            <w:shd w:fill="auto" w:val="clear"/>
            <w:vAlign w:val="center"/>
          </w:tcPr>
          <w:p>
            <w:pPr>
              <w:pStyle w:val="TableContents"/>
              <w:spacing w:before="0" w:after="283"/>
              <w:jc w:val="right"/>
              <w:rPr/>
            </w:pPr>
            <w:r>
              <w:rPr/>
              <w:t> </w:t>
            </w:r>
          </w:p>
        </w:tc>
      </w:tr>
      <w:tr>
        <w:trPr/>
        <w:tc>
          <w:tcPr>
            <w:tcW w:w="1100" w:type="dxa"/>
            <w:tcBorders/>
            <w:shd w:fill="auto" w:val="clear"/>
            <w:vAlign w:val="center"/>
          </w:tcPr>
          <w:p>
            <w:pPr>
              <w:pStyle w:val="TableContents"/>
              <w:spacing w:before="0" w:after="283"/>
              <w:jc w:val="center"/>
              <w:rPr/>
            </w:pPr>
            <w:r>
              <w:rPr/>
              <w:t> </w:t>
            </w:r>
          </w:p>
        </w:tc>
        <w:tc>
          <w:tcPr>
            <w:tcW w:w="6620" w:type="dxa"/>
            <w:tcBorders/>
            <w:shd w:fill="auto" w:val="clear"/>
            <w:vAlign w:val="center"/>
          </w:tcPr>
          <w:p>
            <w:pPr>
              <w:pStyle w:val="TableContents"/>
              <w:spacing w:before="0" w:after="283"/>
              <w:jc w:val="center"/>
              <w:rPr>
                <w:sz w:val="20"/>
              </w:rPr>
            </w:pPr>
            <w:r>
              <w:rPr>
                <w:sz w:val="20"/>
              </w:rPr>
              <w:t>TERMINATION</w:t>
            </w:r>
          </w:p>
        </w:tc>
        <w:tc>
          <w:tcPr>
            <w:tcW w:w="245" w:type="dxa"/>
            <w:tcBorders/>
            <w:shd w:fill="auto" w:val="clear"/>
            <w:vAlign w:val="center"/>
          </w:tcPr>
          <w:p>
            <w:pPr>
              <w:pStyle w:val="TableContents"/>
              <w:spacing w:before="0" w:after="283"/>
              <w:jc w:val="right"/>
              <w:rPr/>
            </w:pPr>
            <w:r>
              <w:rPr/>
              <w:t> </w:t>
            </w:r>
          </w:p>
        </w:tc>
      </w:tr>
      <w:tr>
        <w:trPr/>
        <w:tc>
          <w:tcPr>
            <w:tcW w:w="1100" w:type="dxa"/>
            <w:tcBorders/>
            <w:shd w:fill="auto" w:val="clear"/>
            <w:vAlign w:val="center"/>
          </w:tcPr>
          <w:p>
            <w:pPr>
              <w:pStyle w:val="TableContents"/>
              <w:spacing w:before="0" w:after="283"/>
              <w:jc w:val="center"/>
              <w:rPr/>
            </w:pPr>
            <w:r>
              <w:rPr/>
              <w:t> </w:t>
            </w:r>
          </w:p>
        </w:tc>
        <w:tc>
          <w:tcPr>
            <w:tcW w:w="6620" w:type="dxa"/>
            <w:tcBorders/>
            <w:shd w:fill="auto" w:val="clear"/>
            <w:vAlign w:val="center"/>
          </w:tcPr>
          <w:p>
            <w:pPr>
              <w:pStyle w:val="TableContents"/>
              <w:spacing w:before="0" w:after="283"/>
              <w:jc w:val="center"/>
              <w:rPr/>
            </w:pPr>
            <w:r>
              <w:rPr/>
              <w:t> </w:t>
            </w:r>
          </w:p>
        </w:tc>
        <w:tc>
          <w:tcPr>
            <w:tcW w:w="245" w:type="dxa"/>
            <w:tcBorders/>
            <w:shd w:fill="auto" w:val="clear"/>
            <w:vAlign w:val="center"/>
          </w:tcPr>
          <w:p>
            <w:pPr>
              <w:pStyle w:val="TableContents"/>
              <w:spacing w:before="0" w:after="283"/>
              <w:jc w:val="right"/>
              <w:rPr/>
            </w:pPr>
            <w:r>
              <w:rPr/>
              <w:t> </w:t>
            </w:r>
          </w:p>
        </w:tc>
      </w:tr>
      <w:tr>
        <w:trPr/>
        <w:tc>
          <w:tcPr>
            <w:tcW w:w="1100" w:type="dxa"/>
            <w:tcBorders/>
            <w:shd w:fill="auto" w:val="clear"/>
            <w:vAlign w:val="center"/>
          </w:tcPr>
          <w:p>
            <w:pPr>
              <w:pStyle w:val="TableContents"/>
              <w:spacing w:before="0" w:after="283"/>
              <w:rPr>
                <w:sz w:val="20"/>
              </w:rPr>
            </w:pPr>
            <w:r>
              <w:rPr>
                <w:sz w:val="20"/>
              </w:rPr>
              <w:t>Section 7.1.</w:t>
            </w:r>
          </w:p>
        </w:tc>
        <w:tc>
          <w:tcPr>
            <w:tcW w:w="6620" w:type="dxa"/>
            <w:tcBorders/>
            <w:shd w:fill="auto" w:val="clear"/>
            <w:vAlign w:val="center"/>
          </w:tcPr>
          <w:p>
            <w:pPr>
              <w:pStyle w:val="TableContents"/>
              <w:spacing w:before="0" w:after="283"/>
              <w:rPr>
                <w:sz w:val="20"/>
              </w:rPr>
            </w:pPr>
            <w:r>
              <w:rPr>
                <w:sz w:val="20"/>
              </w:rPr>
              <w:t>Termination</w:t>
            </w:r>
          </w:p>
        </w:tc>
        <w:tc>
          <w:tcPr>
            <w:tcW w:w="245" w:type="dxa"/>
            <w:tcBorders/>
            <w:shd w:fill="auto" w:val="clear"/>
            <w:vAlign w:val="center"/>
          </w:tcPr>
          <w:p>
            <w:pPr>
              <w:pStyle w:val="TableContents"/>
              <w:spacing w:before="0" w:after="283"/>
              <w:jc w:val="right"/>
              <w:rPr>
                <w:sz w:val="20"/>
              </w:rPr>
            </w:pPr>
            <w:r>
              <w:rPr>
                <w:sz w:val="20"/>
              </w:rPr>
              <w:t>30</w:t>
            </w:r>
          </w:p>
        </w:tc>
      </w:tr>
      <w:tr>
        <w:trPr/>
        <w:tc>
          <w:tcPr>
            <w:tcW w:w="1100" w:type="dxa"/>
            <w:tcBorders/>
            <w:shd w:fill="auto" w:val="clear"/>
            <w:vAlign w:val="center"/>
          </w:tcPr>
          <w:p>
            <w:pPr>
              <w:pStyle w:val="TableContents"/>
              <w:spacing w:before="0" w:after="283"/>
              <w:rPr>
                <w:sz w:val="20"/>
              </w:rPr>
            </w:pPr>
            <w:r>
              <w:rPr>
                <w:sz w:val="20"/>
              </w:rPr>
              <w:t>Section 7.2.</w:t>
            </w:r>
          </w:p>
        </w:tc>
        <w:tc>
          <w:tcPr>
            <w:tcW w:w="6620" w:type="dxa"/>
            <w:tcBorders/>
            <w:shd w:fill="auto" w:val="clear"/>
            <w:vAlign w:val="center"/>
          </w:tcPr>
          <w:p>
            <w:pPr>
              <w:pStyle w:val="TableContents"/>
              <w:spacing w:before="0" w:after="283"/>
              <w:rPr>
                <w:sz w:val="20"/>
              </w:rPr>
            </w:pPr>
            <w:r>
              <w:rPr>
                <w:sz w:val="20"/>
              </w:rPr>
              <w:t>Effect of Termination</w:t>
            </w:r>
          </w:p>
        </w:tc>
        <w:tc>
          <w:tcPr>
            <w:tcW w:w="245" w:type="dxa"/>
            <w:tcBorders/>
            <w:shd w:fill="auto" w:val="clear"/>
            <w:vAlign w:val="center"/>
          </w:tcPr>
          <w:p>
            <w:pPr>
              <w:pStyle w:val="TableContents"/>
              <w:spacing w:before="0" w:after="283"/>
              <w:jc w:val="right"/>
              <w:rPr>
                <w:sz w:val="20"/>
              </w:rPr>
            </w:pPr>
            <w:r>
              <w:rPr>
                <w:sz w:val="20"/>
              </w:rPr>
              <w:t>31</w:t>
            </w:r>
          </w:p>
        </w:tc>
      </w:tr>
      <w:tr>
        <w:trPr/>
        <w:tc>
          <w:tcPr>
            <w:tcW w:w="1100" w:type="dxa"/>
            <w:tcBorders/>
            <w:shd w:fill="auto" w:val="clear"/>
            <w:vAlign w:val="center"/>
          </w:tcPr>
          <w:p>
            <w:pPr>
              <w:pStyle w:val="TableContents"/>
              <w:spacing w:before="0" w:after="283"/>
              <w:rPr/>
            </w:pPr>
            <w:r>
              <w:rPr/>
              <w:t> </w:t>
            </w:r>
          </w:p>
        </w:tc>
        <w:tc>
          <w:tcPr>
            <w:tcW w:w="662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1100" w:type="dxa"/>
            <w:tcBorders/>
            <w:shd w:fill="auto" w:val="clear"/>
            <w:vAlign w:val="center"/>
          </w:tcPr>
          <w:p>
            <w:pPr>
              <w:pStyle w:val="TableContents"/>
              <w:spacing w:before="0" w:after="283"/>
              <w:jc w:val="center"/>
              <w:rPr/>
            </w:pPr>
            <w:r>
              <w:rPr/>
              <w:t> </w:t>
            </w:r>
          </w:p>
        </w:tc>
        <w:tc>
          <w:tcPr>
            <w:tcW w:w="6620" w:type="dxa"/>
            <w:tcBorders/>
            <w:shd w:fill="auto" w:val="clear"/>
            <w:vAlign w:val="center"/>
          </w:tcPr>
          <w:p>
            <w:pPr>
              <w:pStyle w:val="TableContents"/>
              <w:spacing w:before="0" w:after="283"/>
              <w:jc w:val="center"/>
              <w:rPr>
                <w:sz w:val="20"/>
              </w:rPr>
            </w:pPr>
            <w:r>
              <w:rPr>
                <w:sz w:val="20"/>
              </w:rPr>
              <w:t>ARTICLE VIII</w:t>
            </w:r>
          </w:p>
        </w:tc>
        <w:tc>
          <w:tcPr>
            <w:tcW w:w="245" w:type="dxa"/>
            <w:tcBorders/>
            <w:shd w:fill="auto" w:val="clear"/>
            <w:vAlign w:val="center"/>
          </w:tcPr>
          <w:p>
            <w:pPr>
              <w:pStyle w:val="TableContents"/>
              <w:spacing w:before="0" w:after="283"/>
              <w:jc w:val="right"/>
              <w:rPr/>
            </w:pPr>
            <w:r>
              <w:rPr/>
              <w:t> </w:t>
            </w:r>
          </w:p>
        </w:tc>
      </w:tr>
      <w:tr>
        <w:trPr/>
        <w:tc>
          <w:tcPr>
            <w:tcW w:w="1100" w:type="dxa"/>
            <w:tcBorders/>
            <w:shd w:fill="auto" w:val="clear"/>
            <w:vAlign w:val="center"/>
          </w:tcPr>
          <w:p>
            <w:pPr>
              <w:pStyle w:val="TableContents"/>
              <w:spacing w:before="0" w:after="283"/>
              <w:jc w:val="center"/>
              <w:rPr/>
            </w:pPr>
            <w:r>
              <w:rPr/>
              <w:t> </w:t>
            </w:r>
          </w:p>
        </w:tc>
        <w:tc>
          <w:tcPr>
            <w:tcW w:w="6620" w:type="dxa"/>
            <w:tcBorders/>
            <w:shd w:fill="auto" w:val="clear"/>
            <w:vAlign w:val="center"/>
          </w:tcPr>
          <w:p>
            <w:pPr>
              <w:pStyle w:val="TableContents"/>
              <w:spacing w:before="0" w:after="283"/>
              <w:jc w:val="center"/>
              <w:rPr/>
            </w:pPr>
            <w:r>
              <w:rPr/>
              <w:t> </w:t>
            </w:r>
          </w:p>
        </w:tc>
        <w:tc>
          <w:tcPr>
            <w:tcW w:w="245" w:type="dxa"/>
            <w:tcBorders/>
            <w:shd w:fill="auto" w:val="clear"/>
            <w:vAlign w:val="center"/>
          </w:tcPr>
          <w:p>
            <w:pPr>
              <w:pStyle w:val="TableContents"/>
              <w:spacing w:before="0" w:after="283"/>
              <w:jc w:val="right"/>
              <w:rPr/>
            </w:pPr>
            <w:r>
              <w:rPr/>
              <w:t> </w:t>
            </w:r>
          </w:p>
        </w:tc>
      </w:tr>
      <w:tr>
        <w:trPr/>
        <w:tc>
          <w:tcPr>
            <w:tcW w:w="1100" w:type="dxa"/>
            <w:tcBorders/>
            <w:shd w:fill="auto" w:val="clear"/>
            <w:vAlign w:val="center"/>
          </w:tcPr>
          <w:p>
            <w:pPr>
              <w:pStyle w:val="TableContents"/>
              <w:spacing w:before="0" w:after="283"/>
              <w:jc w:val="center"/>
              <w:rPr/>
            </w:pPr>
            <w:r>
              <w:rPr/>
              <w:t> </w:t>
            </w:r>
          </w:p>
        </w:tc>
        <w:tc>
          <w:tcPr>
            <w:tcW w:w="6620" w:type="dxa"/>
            <w:tcBorders/>
            <w:shd w:fill="auto" w:val="clear"/>
            <w:vAlign w:val="center"/>
          </w:tcPr>
          <w:p>
            <w:pPr>
              <w:pStyle w:val="TableContents"/>
              <w:spacing w:before="0" w:after="283"/>
              <w:jc w:val="center"/>
              <w:rPr>
                <w:sz w:val="20"/>
              </w:rPr>
            </w:pPr>
            <w:r>
              <w:rPr>
                <w:sz w:val="20"/>
              </w:rPr>
              <w:t>MISCELLANEOUS</w:t>
            </w:r>
          </w:p>
        </w:tc>
        <w:tc>
          <w:tcPr>
            <w:tcW w:w="245" w:type="dxa"/>
            <w:tcBorders/>
            <w:shd w:fill="auto" w:val="clear"/>
            <w:vAlign w:val="center"/>
          </w:tcPr>
          <w:p>
            <w:pPr>
              <w:pStyle w:val="TableContents"/>
              <w:spacing w:before="0" w:after="283"/>
              <w:jc w:val="right"/>
              <w:rPr/>
            </w:pPr>
            <w:r>
              <w:rPr/>
              <w:t> </w:t>
            </w:r>
          </w:p>
        </w:tc>
      </w:tr>
      <w:tr>
        <w:trPr/>
        <w:tc>
          <w:tcPr>
            <w:tcW w:w="1100" w:type="dxa"/>
            <w:tcBorders/>
            <w:shd w:fill="auto" w:val="clear"/>
            <w:vAlign w:val="center"/>
          </w:tcPr>
          <w:p>
            <w:pPr>
              <w:pStyle w:val="TableContents"/>
              <w:spacing w:before="0" w:after="283"/>
              <w:jc w:val="center"/>
              <w:rPr/>
            </w:pPr>
            <w:r>
              <w:rPr/>
              <w:t> </w:t>
            </w:r>
          </w:p>
        </w:tc>
        <w:tc>
          <w:tcPr>
            <w:tcW w:w="6620" w:type="dxa"/>
            <w:tcBorders/>
            <w:shd w:fill="auto" w:val="clear"/>
            <w:vAlign w:val="center"/>
          </w:tcPr>
          <w:p>
            <w:pPr>
              <w:pStyle w:val="TableContents"/>
              <w:spacing w:before="0" w:after="283"/>
              <w:jc w:val="center"/>
              <w:rPr/>
            </w:pPr>
            <w:r>
              <w:rPr/>
              <w:t> </w:t>
            </w:r>
          </w:p>
        </w:tc>
        <w:tc>
          <w:tcPr>
            <w:tcW w:w="245" w:type="dxa"/>
            <w:tcBorders/>
            <w:shd w:fill="auto" w:val="clear"/>
            <w:vAlign w:val="center"/>
          </w:tcPr>
          <w:p>
            <w:pPr>
              <w:pStyle w:val="TableContents"/>
              <w:spacing w:before="0" w:after="283"/>
              <w:jc w:val="right"/>
              <w:rPr/>
            </w:pPr>
            <w:r>
              <w:rPr/>
              <w:t> </w:t>
            </w:r>
          </w:p>
        </w:tc>
      </w:tr>
      <w:tr>
        <w:trPr/>
        <w:tc>
          <w:tcPr>
            <w:tcW w:w="1100" w:type="dxa"/>
            <w:tcBorders/>
            <w:shd w:fill="auto" w:val="clear"/>
            <w:vAlign w:val="center"/>
          </w:tcPr>
          <w:p>
            <w:pPr>
              <w:pStyle w:val="TableContents"/>
              <w:spacing w:before="0" w:after="283"/>
              <w:rPr>
                <w:sz w:val="20"/>
              </w:rPr>
            </w:pPr>
            <w:r>
              <w:rPr>
                <w:sz w:val="20"/>
              </w:rPr>
              <w:t>Section 8.1.</w:t>
            </w:r>
          </w:p>
        </w:tc>
        <w:tc>
          <w:tcPr>
            <w:tcW w:w="6620" w:type="dxa"/>
            <w:tcBorders/>
            <w:shd w:fill="auto" w:val="clear"/>
            <w:vAlign w:val="center"/>
          </w:tcPr>
          <w:p>
            <w:pPr>
              <w:pStyle w:val="TableContents"/>
              <w:spacing w:before="0" w:after="283"/>
              <w:rPr>
                <w:sz w:val="20"/>
              </w:rPr>
            </w:pPr>
            <w:r>
              <w:rPr>
                <w:sz w:val="20"/>
              </w:rPr>
              <w:t>No Survival of Representations, Warranties and Covenants</w:t>
            </w:r>
          </w:p>
        </w:tc>
        <w:tc>
          <w:tcPr>
            <w:tcW w:w="245" w:type="dxa"/>
            <w:tcBorders/>
            <w:shd w:fill="auto" w:val="clear"/>
            <w:vAlign w:val="center"/>
          </w:tcPr>
          <w:p>
            <w:pPr>
              <w:pStyle w:val="TableContents"/>
              <w:spacing w:before="0" w:after="283"/>
              <w:jc w:val="right"/>
              <w:rPr>
                <w:sz w:val="20"/>
              </w:rPr>
            </w:pPr>
            <w:r>
              <w:rPr>
                <w:sz w:val="20"/>
              </w:rPr>
              <w:t>32</w:t>
            </w:r>
          </w:p>
        </w:tc>
      </w:tr>
      <w:tr>
        <w:trPr/>
        <w:tc>
          <w:tcPr>
            <w:tcW w:w="1100" w:type="dxa"/>
            <w:tcBorders/>
            <w:shd w:fill="auto" w:val="clear"/>
            <w:vAlign w:val="center"/>
          </w:tcPr>
          <w:p>
            <w:pPr>
              <w:pStyle w:val="TableContents"/>
              <w:spacing w:before="0" w:after="283"/>
              <w:rPr>
                <w:sz w:val="20"/>
              </w:rPr>
            </w:pPr>
            <w:r>
              <w:rPr>
                <w:sz w:val="20"/>
              </w:rPr>
              <w:t>Section 8.2.</w:t>
            </w:r>
          </w:p>
        </w:tc>
        <w:tc>
          <w:tcPr>
            <w:tcW w:w="6620" w:type="dxa"/>
            <w:tcBorders/>
            <w:shd w:fill="auto" w:val="clear"/>
            <w:vAlign w:val="center"/>
          </w:tcPr>
          <w:p>
            <w:pPr>
              <w:pStyle w:val="TableContents"/>
              <w:spacing w:before="0" w:after="283"/>
              <w:rPr>
                <w:sz w:val="20"/>
              </w:rPr>
            </w:pPr>
            <w:r>
              <w:rPr>
                <w:sz w:val="20"/>
              </w:rPr>
              <w:t>Amendment or Supplement</w:t>
            </w:r>
          </w:p>
        </w:tc>
        <w:tc>
          <w:tcPr>
            <w:tcW w:w="245" w:type="dxa"/>
            <w:tcBorders/>
            <w:shd w:fill="auto" w:val="clear"/>
            <w:vAlign w:val="center"/>
          </w:tcPr>
          <w:p>
            <w:pPr>
              <w:pStyle w:val="TableContents"/>
              <w:spacing w:before="0" w:after="283"/>
              <w:jc w:val="right"/>
              <w:rPr>
                <w:sz w:val="20"/>
              </w:rPr>
            </w:pPr>
            <w:r>
              <w:rPr>
                <w:sz w:val="20"/>
              </w:rPr>
              <w:t>32</w:t>
            </w:r>
          </w:p>
        </w:tc>
      </w:tr>
      <w:tr>
        <w:trPr/>
        <w:tc>
          <w:tcPr>
            <w:tcW w:w="1100" w:type="dxa"/>
            <w:tcBorders/>
            <w:shd w:fill="auto" w:val="clear"/>
            <w:vAlign w:val="center"/>
          </w:tcPr>
          <w:p>
            <w:pPr>
              <w:pStyle w:val="TableContents"/>
              <w:spacing w:before="0" w:after="283"/>
              <w:rPr>
                <w:sz w:val="20"/>
              </w:rPr>
            </w:pPr>
            <w:r>
              <w:rPr>
                <w:sz w:val="20"/>
              </w:rPr>
              <w:t>Section 8.3.</w:t>
            </w:r>
          </w:p>
        </w:tc>
        <w:tc>
          <w:tcPr>
            <w:tcW w:w="6620" w:type="dxa"/>
            <w:tcBorders/>
            <w:shd w:fill="auto" w:val="clear"/>
            <w:vAlign w:val="center"/>
          </w:tcPr>
          <w:p>
            <w:pPr>
              <w:pStyle w:val="TableContents"/>
              <w:spacing w:before="0" w:after="283"/>
              <w:rPr>
                <w:sz w:val="20"/>
              </w:rPr>
            </w:pPr>
            <w:r>
              <w:rPr>
                <w:sz w:val="20"/>
              </w:rPr>
              <w:t>Extension of Time, Waiver, Etc.</w:t>
            </w:r>
          </w:p>
        </w:tc>
        <w:tc>
          <w:tcPr>
            <w:tcW w:w="245" w:type="dxa"/>
            <w:tcBorders/>
            <w:shd w:fill="auto" w:val="clear"/>
            <w:vAlign w:val="center"/>
          </w:tcPr>
          <w:p>
            <w:pPr>
              <w:pStyle w:val="TableContents"/>
              <w:spacing w:before="0" w:after="283"/>
              <w:jc w:val="right"/>
              <w:rPr>
                <w:sz w:val="20"/>
              </w:rPr>
            </w:pPr>
            <w:r>
              <w:rPr>
                <w:sz w:val="20"/>
              </w:rPr>
              <w:t>32</w:t>
            </w:r>
          </w:p>
        </w:tc>
      </w:tr>
      <w:tr>
        <w:trPr/>
        <w:tc>
          <w:tcPr>
            <w:tcW w:w="1100" w:type="dxa"/>
            <w:tcBorders/>
            <w:shd w:fill="auto" w:val="clear"/>
            <w:vAlign w:val="center"/>
          </w:tcPr>
          <w:p>
            <w:pPr>
              <w:pStyle w:val="TableContents"/>
              <w:spacing w:before="0" w:after="283"/>
              <w:rPr>
                <w:sz w:val="20"/>
              </w:rPr>
            </w:pPr>
            <w:r>
              <w:rPr>
                <w:sz w:val="20"/>
              </w:rPr>
              <w:t>Section 8.4.</w:t>
            </w:r>
          </w:p>
        </w:tc>
        <w:tc>
          <w:tcPr>
            <w:tcW w:w="6620" w:type="dxa"/>
            <w:tcBorders/>
            <w:shd w:fill="auto" w:val="clear"/>
            <w:vAlign w:val="center"/>
          </w:tcPr>
          <w:p>
            <w:pPr>
              <w:pStyle w:val="TableContents"/>
              <w:spacing w:before="0" w:after="283"/>
              <w:rPr>
                <w:sz w:val="20"/>
              </w:rPr>
            </w:pPr>
            <w:r>
              <w:rPr>
                <w:sz w:val="20"/>
              </w:rPr>
              <w:t>Assignment</w:t>
            </w:r>
          </w:p>
        </w:tc>
        <w:tc>
          <w:tcPr>
            <w:tcW w:w="245" w:type="dxa"/>
            <w:tcBorders/>
            <w:shd w:fill="auto" w:val="clear"/>
            <w:vAlign w:val="center"/>
          </w:tcPr>
          <w:p>
            <w:pPr>
              <w:pStyle w:val="TableContents"/>
              <w:spacing w:before="0" w:after="283"/>
              <w:jc w:val="right"/>
              <w:rPr>
                <w:sz w:val="20"/>
              </w:rPr>
            </w:pPr>
            <w:r>
              <w:rPr>
                <w:sz w:val="20"/>
              </w:rPr>
              <w:t>33</w:t>
            </w:r>
          </w:p>
        </w:tc>
      </w:tr>
      <w:tr>
        <w:trPr/>
        <w:tc>
          <w:tcPr>
            <w:tcW w:w="1100" w:type="dxa"/>
            <w:tcBorders/>
            <w:shd w:fill="auto" w:val="clear"/>
            <w:vAlign w:val="center"/>
          </w:tcPr>
          <w:p>
            <w:pPr>
              <w:pStyle w:val="TableContents"/>
              <w:spacing w:before="0" w:after="283"/>
              <w:rPr>
                <w:sz w:val="20"/>
              </w:rPr>
            </w:pPr>
            <w:r>
              <w:rPr>
                <w:sz w:val="20"/>
              </w:rPr>
              <w:t>Section 8.5.</w:t>
            </w:r>
          </w:p>
        </w:tc>
        <w:tc>
          <w:tcPr>
            <w:tcW w:w="6620" w:type="dxa"/>
            <w:tcBorders/>
            <w:shd w:fill="auto" w:val="clear"/>
            <w:vAlign w:val="center"/>
          </w:tcPr>
          <w:p>
            <w:pPr>
              <w:pStyle w:val="TableContents"/>
              <w:spacing w:before="0" w:after="283"/>
              <w:rPr>
                <w:sz w:val="20"/>
              </w:rPr>
            </w:pPr>
            <w:r>
              <w:rPr>
                <w:sz w:val="20"/>
              </w:rPr>
              <w:t>Counterparts</w:t>
            </w:r>
          </w:p>
        </w:tc>
        <w:tc>
          <w:tcPr>
            <w:tcW w:w="245" w:type="dxa"/>
            <w:tcBorders/>
            <w:shd w:fill="auto" w:val="clear"/>
            <w:vAlign w:val="center"/>
          </w:tcPr>
          <w:p>
            <w:pPr>
              <w:pStyle w:val="TableContents"/>
              <w:spacing w:before="0" w:after="283"/>
              <w:jc w:val="right"/>
              <w:rPr>
                <w:sz w:val="20"/>
              </w:rPr>
            </w:pPr>
            <w:r>
              <w:rPr>
                <w:sz w:val="20"/>
              </w:rPr>
              <w:t>33</w:t>
            </w:r>
          </w:p>
        </w:tc>
      </w:tr>
    </w:tbl>
    <w:p>
      <w:pPr>
        <w:pStyle w:val="TextBody"/>
        <w:rPr/>
      </w:pPr>
      <w:r>
        <w:rPr/>
        <w:t> </w:t>
      </w:r>
    </w:p>
    <w:p>
      <w:pPr>
        <w:pStyle w:val="TextBody"/>
        <w:spacing w:before="0" w:after="0"/>
        <w:jc w:val="center"/>
        <w:rPr>
          <w:sz w:val="20"/>
          <w:bdr w:val="single" w:sz="8" w:space="1" w:color="000000"/>
        </w:rPr>
      </w:pPr>
      <w:r>
        <w:rPr>
          <w:sz w:val="20"/>
          <w:bdr w:val="single" w:sz="8" w:space="1" w:color="000000"/>
        </w:rPr>
        <w:t>ii</w:t>
      </w:r>
    </w:p>
    <w:p>
      <w:pPr>
        <w:pStyle w:val="TextBody"/>
        <w:spacing w:before="0" w:after="0"/>
        <w:ind w:left="0" w:right="0" w:hanging="0"/>
        <w:rPr/>
      </w:pPr>
      <w:r>
        <w:rPr/>
        <w:t> </w:t>
      </w:r>
    </w:p>
    <w:p>
      <w:pPr>
        <w:pStyle w:val="TextBody"/>
        <w:rPr/>
      </w:pPr>
      <w:r>
        <w:rPr/>
        <w:t> </w:t>
      </w:r>
    </w:p>
    <w:tbl>
      <w:tblPr>
        <w:tblW w:w="5415" w:type="dxa"/>
        <w:jc w:val="left"/>
        <w:tblInd w:w="0" w:type="dxa"/>
        <w:tblCellMar>
          <w:top w:w="0" w:type="dxa"/>
          <w:left w:w="0" w:type="dxa"/>
          <w:bottom w:w="0" w:type="dxa"/>
          <w:right w:w="0" w:type="dxa"/>
        </w:tblCellMar>
      </w:tblPr>
      <w:tblGrid>
        <w:gridCol w:w="1100"/>
        <w:gridCol w:w="4070"/>
        <w:gridCol w:w="245"/>
      </w:tblGrid>
      <w:tr>
        <w:trPr/>
        <w:tc>
          <w:tcPr>
            <w:tcW w:w="1100" w:type="dxa"/>
            <w:tcBorders/>
            <w:shd w:fill="auto" w:val="clear"/>
            <w:vAlign w:val="center"/>
          </w:tcPr>
          <w:p>
            <w:pPr>
              <w:pStyle w:val="TableContents"/>
              <w:spacing w:before="0" w:after="283"/>
              <w:rPr>
                <w:sz w:val="20"/>
              </w:rPr>
            </w:pPr>
            <w:r>
              <w:rPr>
                <w:sz w:val="20"/>
              </w:rPr>
              <w:t>Section 8.6.</w:t>
            </w:r>
          </w:p>
        </w:tc>
        <w:tc>
          <w:tcPr>
            <w:tcW w:w="4070" w:type="dxa"/>
            <w:tcBorders/>
            <w:shd w:fill="auto" w:val="clear"/>
            <w:vAlign w:val="center"/>
          </w:tcPr>
          <w:p>
            <w:pPr>
              <w:pStyle w:val="TableContents"/>
              <w:spacing w:before="0" w:after="283"/>
              <w:rPr>
                <w:sz w:val="20"/>
              </w:rPr>
            </w:pPr>
            <w:r>
              <w:rPr>
                <w:sz w:val="20"/>
              </w:rPr>
              <w:t>Entire Agreement; No Third-Party Beneficiaries</w:t>
            </w:r>
          </w:p>
        </w:tc>
        <w:tc>
          <w:tcPr>
            <w:tcW w:w="245" w:type="dxa"/>
            <w:tcBorders/>
            <w:shd w:fill="auto" w:val="clear"/>
            <w:vAlign w:val="center"/>
          </w:tcPr>
          <w:p>
            <w:pPr>
              <w:pStyle w:val="TableContents"/>
              <w:spacing w:before="0" w:after="283"/>
              <w:jc w:val="right"/>
              <w:rPr>
                <w:sz w:val="20"/>
              </w:rPr>
            </w:pPr>
            <w:r>
              <w:rPr>
                <w:sz w:val="20"/>
              </w:rPr>
              <w:t>33</w:t>
            </w:r>
          </w:p>
        </w:tc>
      </w:tr>
      <w:tr>
        <w:trPr/>
        <w:tc>
          <w:tcPr>
            <w:tcW w:w="1100" w:type="dxa"/>
            <w:tcBorders/>
            <w:shd w:fill="auto" w:val="clear"/>
            <w:vAlign w:val="center"/>
          </w:tcPr>
          <w:p>
            <w:pPr>
              <w:pStyle w:val="TableContents"/>
              <w:spacing w:before="0" w:after="283"/>
              <w:rPr>
                <w:sz w:val="20"/>
              </w:rPr>
            </w:pPr>
            <w:r>
              <w:rPr>
                <w:sz w:val="20"/>
              </w:rPr>
              <w:t>Section 8.7.</w:t>
            </w:r>
          </w:p>
        </w:tc>
        <w:tc>
          <w:tcPr>
            <w:tcW w:w="4070" w:type="dxa"/>
            <w:tcBorders/>
            <w:shd w:fill="auto" w:val="clear"/>
            <w:vAlign w:val="center"/>
          </w:tcPr>
          <w:p>
            <w:pPr>
              <w:pStyle w:val="TableContents"/>
              <w:spacing w:before="0" w:after="283"/>
              <w:rPr>
                <w:sz w:val="20"/>
              </w:rPr>
            </w:pPr>
            <w:r>
              <w:rPr>
                <w:sz w:val="20"/>
              </w:rPr>
              <w:t>Governing Law; Jurisdiction; Waiver of Jury Trial</w:t>
            </w:r>
          </w:p>
        </w:tc>
        <w:tc>
          <w:tcPr>
            <w:tcW w:w="245" w:type="dxa"/>
            <w:tcBorders/>
            <w:shd w:fill="auto" w:val="clear"/>
            <w:vAlign w:val="center"/>
          </w:tcPr>
          <w:p>
            <w:pPr>
              <w:pStyle w:val="TableContents"/>
              <w:spacing w:before="0" w:after="283"/>
              <w:jc w:val="right"/>
              <w:rPr>
                <w:sz w:val="20"/>
              </w:rPr>
            </w:pPr>
            <w:r>
              <w:rPr>
                <w:sz w:val="20"/>
              </w:rPr>
              <w:t>33</w:t>
            </w:r>
          </w:p>
        </w:tc>
      </w:tr>
      <w:tr>
        <w:trPr/>
        <w:tc>
          <w:tcPr>
            <w:tcW w:w="1100" w:type="dxa"/>
            <w:tcBorders/>
            <w:shd w:fill="auto" w:val="clear"/>
            <w:vAlign w:val="center"/>
          </w:tcPr>
          <w:p>
            <w:pPr>
              <w:pStyle w:val="TableContents"/>
              <w:spacing w:before="0" w:after="283"/>
              <w:rPr>
                <w:sz w:val="20"/>
              </w:rPr>
            </w:pPr>
            <w:r>
              <w:rPr>
                <w:sz w:val="20"/>
              </w:rPr>
              <w:t>Section 8.8.</w:t>
            </w:r>
          </w:p>
        </w:tc>
        <w:tc>
          <w:tcPr>
            <w:tcW w:w="4070" w:type="dxa"/>
            <w:tcBorders/>
            <w:shd w:fill="auto" w:val="clear"/>
            <w:vAlign w:val="center"/>
          </w:tcPr>
          <w:p>
            <w:pPr>
              <w:pStyle w:val="TableContents"/>
              <w:spacing w:before="0" w:after="283"/>
              <w:rPr>
                <w:sz w:val="20"/>
              </w:rPr>
            </w:pPr>
            <w:r>
              <w:rPr>
                <w:sz w:val="20"/>
              </w:rPr>
              <w:t>Specific Enforcement</w:t>
            </w:r>
          </w:p>
        </w:tc>
        <w:tc>
          <w:tcPr>
            <w:tcW w:w="245" w:type="dxa"/>
            <w:tcBorders/>
            <w:shd w:fill="auto" w:val="clear"/>
            <w:vAlign w:val="center"/>
          </w:tcPr>
          <w:p>
            <w:pPr>
              <w:pStyle w:val="TableContents"/>
              <w:spacing w:before="0" w:after="283"/>
              <w:jc w:val="right"/>
              <w:rPr>
                <w:sz w:val="20"/>
              </w:rPr>
            </w:pPr>
            <w:r>
              <w:rPr>
                <w:sz w:val="20"/>
              </w:rPr>
              <w:t>34</w:t>
            </w:r>
          </w:p>
        </w:tc>
      </w:tr>
      <w:tr>
        <w:trPr/>
        <w:tc>
          <w:tcPr>
            <w:tcW w:w="1100" w:type="dxa"/>
            <w:tcBorders/>
            <w:shd w:fill="auto" w:val="clear"/>
            <w:vAlign w:val="center"/>
          </w:tcPr>
          <w:p>
            <w:pPr>
              <w:pStyle w:val="TableContents"/>
              <w:spacing w:before="0" w:after="283"/>
              <w:rPr>
                <w:sz w:val="20"/>
              </w:rPr>
            </w:pPr>
            <w:r>
              <w:rPr>
                <w:sz w:val="20"/>
              </w:rPr>
              <w:t>Section 8.9.</w:t>
            </w:r>
          </w:p>
        </w:tc>
        <w:tc>
          <w:tcPr>
            <w:tcW w:w="4070" w:type="dxa"/>
            <w:tcBorders/>
            <w:shd w:fill="auto" w:val="clear"/>
            <w:vAlign w:val="center"/>
          </w:tcPr>
          <w:p>
            <w:pPr>
              <w:pStyle w:val="TableContents"/>
              <w:spacing w:before="0" w:after="283"/>
              <w:rPr>
                <w:sz w:val="20"/>
              </w:rPr>
            </w:pPr>
            <w:r>
              <w:rPr>
                <w:sz w:val="20"/>
              </w:rPr>
              <w:t>Notices</w:t>
            </w:r>
          </w:p>
        </w:tc>
        <w:tc>
          <w:tcPr>
            <w:tcW w:w="245" w:type="dxa"/>
            <w:tcBorders/>
            <w:shd w:fill="auto" w:val="clear"/>
            <w:vAlign w:val="center"/>
          </w:tcPr>
          <w:p>
            <w:pPr>
              <w:pStyle w:val="TableContents"/>
              <w:spacing w:before="0" w:after="283"/>
              <w:jc w:val="right"/>
              <w:rPr>
                <w:sz w:val="20"/>
              </w:rPr>
            </w:pPr>
            <w:r>
              <w:rPr>
                <w:sz w:val="20"/>
              </w:rPr>
              <w:t>35</w:t>
            </w:r>
          </w:p>
        </w:tc>
      </w:tr>
      <w:tr>
        <w:trPr/>
        <w:tc>
          <w:tcPr>
            <w:tcW w:w="1100" w:type="dxa"/>
            <w:tcBorders/>
            <w:shd w:fill="auto" w:val="clear"/>
            <w:vAlign w:val="center"/>
          </w:tcPr>
          <w:p>
            <w:pPr>
              <w:pStyle w:val="TableContents"/>
              <w:spacing w:before="0" w:after="283"/>
              <w:rPr>
                <w:sz w:val="20"/>
              </w:rPr>
            </w:pPr>
            <w:r>
              <w:rPr>
                <w:sz w:val="20"/>
              </w:rPr>
              <w:t>Section 8.10.</w:t>
            </w:r>
          </w:p>
        </w:tc>
        <w:tc>
          <w:tcPr>
            <w:tcW w:w="4070" w:type="dxa"/>
            <w:tcBorders/>
            <w:shd w:fill="auto" w:val="clear"/>
            <w:vAlign w:val="center"/>
          </w:tcPr>
          <w:p>
            <w:pPr>
              <w:pStyle w:val="TableContents"/>
              <w:spacing w:before="0" w:after="283"/>
              <w:rPr>
                <w:sz w:val="20"/>
              </w:rPr>
            </w:pPr>
            <w:r>
              <w:rPr>
                <w:sz w:val="20"/>
              </w:rPr>
              <w:t>Severability</w:t>
            </w:r>
          </w:p>
        </w:tc>
        <w:tc>
          <w:tcPr>
            <w:tcW w:w="245" w:type="dxa"/>
            <w:tcBorders/>
            <w:shd w:fill="auto" w:val="clear"/>
            <w:vAlign w:val="center"/>
          </w:tcPr>
          <w:p>
            <w:pPr>
              <w:pStyle w:val="TableContents"/>
              <w:spacing w:before="0" w:after="283"/>
              <w:jc w:val="right"/>
              <w:rPr>
                <w:sz w:val="20"/>
              </w:rPr>
            </w:pPr>
            <w:r>
              <w:rPr>
                <w:sz w:val="20"/>
              </w:rPr>
              <w:t>36</w:t>
            </w:r>
          </w:p>
        </w:tc>
      </w:tr>
      <w:tr>
        <w:trPr/>
        <w:tc>
          <w:tcPr>
            <w:tcW w:w="1100" w:type="dxa"/>
            <w:tcBorders/>
            <w:shd w:fill="auto" w:val="clear"/>
            <w:vAlign w:val="center"/>
          </w:tcPr>
          <w:p>
            <w:pPr>
              <w:pStyle w:val="TableContents"/>
              <w:spacing w:before="0" w:after="283"/>
              <w:rPr>
                <w:sz w:val="20"/>
              </w:rPr>
            </w:pPr>
            <w:r>
              <w:rPr>
                <w:sz w:val="20"/>
              </w:rPr>
              <w:t>Section 8.11.</w:t>
            </w:r>
          </w:p>
        </w:tc>
        <w:tc>
          <w:tcPr>
            <w:tcW w:w="4070" w:type="dxa"/>
            <w:tcBorders/>
            <w:shd w:fill="auto" w:val="clear"/>
            <w:vAlign w:val="center"/>
          </w:tcPr>
          <w:p>
            <w:pPr>
              <w:pStyle w:val="TableContents"/>
              <w:spacing w:before="0" w:after="283"/>
              <w:rPr>
                <w:sz w:val="20"/>
              </w:rPr>
            </w:pPr>
            <w:r>
              <w:rPr>
                <w:sz w:val="20"/>
              </w:rPr>
              <w:t>Fees and Expenses</w:t>
            </w:r>
          </w:p>
        </w:tc>
        <w:tc>
          <w:tcPr>
            <w:tcW w:w="245" w:type="dxa"/>
            <w:tcBorders/>
            <w:shd w:fill="auto" w:val="clear"/>
            <w:vAlign w:val="center"/>
          </w:tcPr>
          <w:p>
            <w:pPr>
              <w:pStyle w:val="TableContents"/>
              <w:spacing w:before="0" w:after="283"/>
              <w:jc w:val="right"/>
              <w:rPr>
                <w:sz w:val="20"/>
              </w:rPr>
            </w:pPr>
            <w:r>
              <w:rPr>
                <w:sz w:val="20"/>
              </w:rPr>
              <w:t>36</w:t>
            </w:r>
          </w:p>
        </w:tc>
      </w:tr>
      <w:tr>
        <w:trPr/>
        <w:tc>
          <w:tcPr>
            <w:tcW w:w="1100" w:type="dxa"/>
            <w:tcBorders/>
            <w:shd w:fill="auto" w:val="clear"/>
            <w:vAlign w:val="center"/>
          </w:tcPr>
          <w:p>
            <w:pPr>
              <w:pStyle w:val="TableContents"/>
              <w:spacing w:before="0" w:after="283"/>
              <w:rPr>
                <w:sz w:val="20"/>
              </w:rPr>
            </w:pPr>
            <w:r>
              <w:rPr>
                <w:sz w:val="20"/>
              </w:rPr>
              <w:t>Section 8.12.</w:t>
            </w:r>
          </w:p>
        </w:tc>
        <w:tc>
          <w:tcPr>
            <w:tcW w:w="4070" w:type="dxa"/>
            <w:tcBorders/>
            <w:shd w:fill="auto" w:val="clear"/>
            <w:vAlign w:val="center"/>
          </w:tcPr>
          <w:p>
            <w:pPr>
              <w:pStyle w:val="TableContents"/>
              <w:spacing w:before="0" w:after="283"/>
              <w:rPr>
                <w:sz w:val="20"/>
              </w:rPr>
            </w:pPr>
            <w:r>
              <w:rPr>
                <w:sz w:val="20"/>
              </w:rPr>
              <w:t>Interpretation</w:t>
            </w:r>
          </w:p>
        </w:tc>
        <w:tc>
          <w:tcPr>
            <w:tcW w:w="245" w:type="dxa"/>
            <w:tcBorders/>
            <w:shd w:fill="auto" w:val="clear"/>
            <w:vAlign w:val="center"/>
          </w:tcPr>
          <w:p>
            <w:pPr>
              <w:pStyle w:val="TableContents"/>
              <w:spacing w:before="0" w:after="283"/>
              <w:jc w:val="right"/>
              <w:rPr>
                <w:sz w:val="20"/>
              </w:rPr>
            </w:pPr>
            <w:r>
              <w:rPr>
                <w:sz w:val="20"/>
              </w:rPr>
              <w:t>36</w:t>
            </w:r>
          </w:p>
        </w:tc>
      </w:tr>
      <w:tr>
        <w:trPr/>
        <w:tc>
          <w:tcPr>
            <w:tcW w:w="1100" w:type="dxa"/>
            <w:tcBorders/>
            <w:shd w:fill="auto" w:val="clear"/>
            <w:vAlign w:val="center"/>
          </w:tcPr>
          <w:p>
            <w:pPr>
              <w:pStyle w:val="TableContents"/>
              <w:spacing w:before="0" w:after="283"/>
              <w:rPr>
                <w:sz w:val="20"/>
              </w:rPr>
            </w:pPr>
            <w:r>
              <w:rPr>
                <w:sz w:val="20"/>
              </w:rPr>
              <w:t>Section 8.13.</w:t>
            </w:r>
          </w:p>
        </w:tc>
        <w:tc>
          <w:tcPr>
            <w:tcW w:w="4070" w:type="dxa"/>
            <w:tcBorders/>
            <w:shd w:fill="auto" w:val="clear"/>
            <w:vAlign w:val="center"/>
          </w:tcPr>
          <w:p>
            <w:pPr>
              <w:pStyle w:val="TableContents"/>
              <w:spacing w:before="0" w:after="283"/>
              <w:rPr>
                <w:sz w:val="20"/>
              </w:rPr>
            </w:pPr>
            <w:r>
              <w:rPr>
                <w:sz w:val="20"/>
              </w:rPr>
              <w:t>Non-Recourse</w:t>
            </w:r>
          </w:p>
        </w:tc>
        <w:tc>
          <w:tcPr>
            <w:tcW w:w="245" w:type="dxa"/>
            <w:tcBorders/>
            <w:shd w:fill="auto" w:val="clear"/>
            <w:vAlign w:val="center"/>
          </w:tcPr>
          <w:p>
            <w:pPr>
              <w:pStyle w:val="TableContents"/>
              <w:spacing w:before="0" w:after="283"/>
              <w:jc w:val="right"/>
              <w:rPr>
                <w:sz w:val="20"/>
              </w:rPr>
            </w:pPr>
            <w:r>
              <w:rPr>
                <w:sz w:val="20"/>
              </w:rPr>
              <w:t>37</w:t>
            </w:r>
          </w:p>
        </w:tc>
      </w:tr>
      <w:tr>
        <w:trPr/>
        <w:tc>
          <w:tcPr>
            <w:tcW w:w="1100" w:type="dxa"/>
            <w:tcBorders/>
            <w:shd w:fill="auto" w:val="clear"/>
            <w:vAlign w:val="center"/>
          </w:tcPr>
          <w:p>
            <w:pPr>
              <w:pStyle w:val="TableContents"/>
              <w:spacing w:before="0" w:after="283"/>
              <w:rPr>
                <w:sz w:val="20"/>
              </w:rPr>
            </w:pPr>
            <w:r>
              <w:rPr>
                <w:sz w:val="20"/>
              </w:rPr>
              <w:t>Section 8.14.</w:t>
            </w:r>
          </w:p>
        </w:tc>
        <w:tc>
          <w:tcPr>
            <w:tcW w:w="4070" w:type="dxa"/>
            <w:tcBorders/>
            <w:shd w:fill="auto" w:val="clear"/>
            <w:vAlign w:val="center"/>
          </w:tcPr>
          <w:p>
            <w:pPr>
              <w:pStyle w:val="TableContents"/>
              <w:spacing w:before="0" w:after="283"/>
              <w:rPr>
                <w:sz w:val="20"/>
              </w:rPr>
            </w:pPr>
            <w:r>
              <w:rPr>
                <w:sz w:val="20"/>
              </w:rPr>
              <w:t>Debt Financing Sources</w:t>
            </w:r>
          </w:p>
        </w:tc>
        <w:tc>
          <w:tcPr>
            <w:tcW w:w="245" w:type="dxa"/>
            <w:tcBorders/>
            <w:shd w:fill="auto" w:val="clear"/>
            <w:vAlign w:val="center"/>
          </w:tcPr>
          <w:p>
            <w:pPr>
              <w:pStyle w:val="TableContents"/>
              <w:spacing w:before="0" w:after="283"/>
              <w:jc w:val="right"/>
              <w:rPr>
                <w:sz w:val="20"/>
              </w:rPr>
            </w:pPr>
            <w:r>
              <w:rPr>
                <w:sz w:val="20"/>
              </w:rPr>
              <w:t>37</w:t>
            </w:r>
          </w:p>
        </w:tc>
      </w:tr>
      <w:tr>
        <w:trPr/>
        <w:tc>
          <w:tcPr>
            <w:tcW w:w="1100" w:type="dxa"/>
            <w:tcBorders/>
            <w:shd w:fill="auto" w:val="clear"/>
            <w:vAlign w:val="center"/>
          </w:tcPr>
          <w:p>
            <w:pPr>
              <w:pStyle w:val="TableContents"/>
              <w:spacing w:before="0" w:after="283"/>
              <w:rPr>
                <w:sz w:val="20"/>
              </w:rPr>
            </w:pPr>
            <w:r>
              <w:rPr>
                <w:sz w:val="20"/>
              </w:rPr>
              <w:t>Section 8.15.</w:t>
            </w:r>
          </w:p>
        </w:tc>
        <w:tc>
          <w:tcPr>
            <w:tcW w:w="4070" w:type="dxa"/>
            <w:tcBorders/>
            <w:shd w:fill="auto" w:val="clear"/>
            <w:vAlign w:val="center"/>
          </w:tcPr>
          <w:p>
            <w:pPr>
              <w:pStyle w:val="TableContents"/>
              <w:spacing w:before="0" w:after="283"/>
              <w:rPr>
                <w:sz w:val="20"/>
              </w:rPr>
            </w:pPr>
            <w:r>
              <w:rPr>
                <w:sz w:val="20"/>
              </w:rPr>
              <w:t>Definitions</w:t>
            </w:r>
          </w:p>
        </w:tc>
        <w:tc>
          <w:tcPr>
            <w:tcW w:w="245" w:type="dxa"/>
            <w:tcBorders/>
            <w:shd w:fill="auto" w:val="clear"/>
            <w:vAlign w:val="center"/>
          </w:tcPr>
          <w:p>
            <w:pPr>
              <w:pStyle w:val="TableContents"/>
              <w:spacing w:before="0" w:after="283"/>
              <w:jc w:val="right"/>
              <w:rPr>
                <w:sz w:val="20"/>
              </w:rPr>
            </w:pPr>
            <w:r>
              <w:rPr>
                <w:sz w:val="20"/>
              </w:rPr>
              <w:t>38</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iii</w:t>
      </w:r>
    </w:p>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AGREEMENT AND PLAN OF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PLAN OF MERGER, dated as of April 6, 2023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by and among GasLog Partners LP, a Marshall Islands limited partnership (the “</w:t>
      </w:r>
      <w:r>
        <w:rPr>
          <w:rFonts w:ascii="Times New Roman;Times;Serif" w:hAnsi="Times New Roman;Times;Serif"/>
          <w:b w:val="false"/>
          <w:i w:val="false"/>
          <w:caps w:val="false"/>
          <w:smallCaps w:val="false"/>
          <w:sz w:val="20"/>
          <w:u w:val="single"/>
        </w:rPr>
        <w:t>Partnership</w:t>
      </w:r>
      <w:r>
        <w:rPr>
          <w:rFonts w:ascii="Times New Roman;Times;Serif" w:hAnsi="Times New Roman;Times;Serif"/>
          <w:b w:val="false"/>
          <w:i w:val="false"/>
          <w:caps w:val="false"/>
          <w:smallCaps w:val="false"/>
          <w:sz w:val="20"/>
        </w:rPr>
        <w:t>”), GasLog Partners GP LLC, a Marshall Islands limited liability company and the general partner of the Partnership (the “</w:t>
      </w:r>
      <w:r>
        <w:rPr>
          <w:rFonts w:ascii="Times New Roman;Times;Serif" w:hAnsi="Times New Roman;Times;Serif"/>
          <w:b w:val="false"/>
          <w:i w:val="false"/>
          <w:caps w:val="false"/>
          <w:smallCaps w:val="false"/>
          <w:sz w:val="20"/>
          <w:u w:val="single"/>
        </w:rPr>
        <w:t>General Partner</w:t>
      </w:r>
      <w:r>
        <w:rPr>
          <w:rFonts w:ascii="Times New Roman;Times;Serif" w:hAnsi="Times New Roman;Times;Serif"/>
          <w:b w:val="false"/>
          <w:i w:val="false"/>
          <w:caps w:val="false"/>
          <w:smallCaps w:val="false"/>
          <w:sz w:val="20"/>
        </w:rPr>
        <w:t>”), GasLog Ltd., a Bermuda exempted company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and Saturn Merger Sub LLC, a Marshall Islands limited liability company and a wholly owned subsidiary of Parent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and, together with Parent and the General Partner, the “</w:t>
      </w:r>
      <w:r>
        <w:rPr>
          <w:rFonts w:ascii="Times New Roman;Times;Serif" w:hAnsi="Times New Roman;Times;Serif"/>
          <w:b w:val="false"/>
          <w:i w:val="false"/>
          <w:caps w:val="false"/>
          <w:smallCaps w:val="false"/>
          <w:sz w:val="20"/>
          <w:u w:val="single"/>
        </w:rPr>
        <w:t>Sponsor Entities</w:t>
      </w:r>
      <w:r>
        <w:rPr>
          <w:rFonts w:ascii="Times New Roman;Times;Serif" w:hAnsi="Times New Roman;Times;Serif"/>
          <w:b w:val="false"/>
          <w:i w:val="false"/>
          <w:caps w:val="false"/>
          <w:smallCaps w:val="false"/>
          <w:sz w:val="20"/>
        </w:rPr>
        <w:t>”). Each of the Partnership, the General Partner, Parent and Merger Sub are referred to herein individually as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and collectively as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xml:space="preserve">.” Capitalized terms used but not defined elsewhere in this Agreement shall have the meanings set forth in </w:t>
      </w:r>
      <w:r>
        <w:rPr>
          <w:rFonts w:ascii="Times New Roman;Times;Serif" w:hAnsi="Times New Roman;Times;Serif"/>
          <w:b w:val="false"/>
          <w:i w:val="false"/>
          <w:caps w:val="false"/>
          <w:smallCaps w:val="false"/>
          <w:sz w:val="20"/>
          <w:u w:val="single"/>
        </w:rPr>
        <w:t>Section 8.15</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W I T N E S S E T 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Parties intend that, on the terms and subject to the conditions set forth in this Agreement and in accordance with the Marshall Islands LP Act and the Marshall Islands LLC Act, (a) Merger Sub will merge with and into the Partnership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with the Partnership surviving such Merger, and (b) in connection with the Merger and the other transactions contemplated by this Agreement (collectively, the “</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 each Common Unit (other than the Sponsor Units (as defined below) with respect to the Merger Consideration (as defined below)) will receive overall value of $8.65 per Common Unit in cash (the “</w:t>
      </w:r>
      <w:r>
        <w:rPr>
          <w:rFonts w:ascii="Times New Roman;Times;Serif" w:hAnsi="Times New Roman;Times;Serif"/>
          <w:b w:val="false"/>
          <w:i w:val="false"/>
          <w:caps w:val="false"/>
          <w:smallCaps w:val="false"/>
          <w:sz w:val="20"/>
          <w:u w:val="single"/>
        </w:rPr>
        <w:t>Consideration</w:t>
      </w:r>
      <w:r>
        <w:rPr>
          <w:rFonts w:ascii="Times New Roman;Times;Serif" w:hAnsi="Times New Roman;Times;Serif"/>
          <w:b w:val="false"/>
          <w:i w:val="false"/>
          <w:caps w:val="false"/>
          <w:smallCaps w:val="false"/>
          <w:sz w:val="20"/>
        </w:rPr>
        <w:t>”), consisting of (i) a special distribution of $3.28 per Common Unit (with a corresponding amount distributed in respect of each General Partner Unit) to be paid by the Partnership in accordance with the terms hereof (the “</w:t>
      </w:r>
      <w:r>
        <w:rPr>
          <w:rFonts w:ascii="Times New Roman;Times;Serif" w:hAnsi="Times New Roman;Times;Serif"/>
          <w:b w:val="false"/>
          <w:i w:val="false"/>
          <w:caps w:val="false"/>
          <w:smallCaps w:val="false"/>
          <w:sz w:val="20"/>
          <w:u w:val="single"/>
        </w:rPr>
        <w:t>Special Distribution</w:t>
      </w:r>
      <w:r>
        <w:rPr>
          <w:rFonts w:ascii="Times New Roman;Times;Serif" w:hAnsi="Times New Roman;Times;Serif"/>
          <w:b w:val="false"/>
          <w:i w:val="false"/>
          <w:caps w:val="false"/>
          <w:smallCaps w:val="false"/>
          <w:sz w:val="20"/>
        </w:rPr>
        <w:t>”) and (ii) merger consideration of $5.37 per Common Unit to be paid by Parent at the Closing (the “</w:t>
      </w:r>
      <w:r>
        <w:rPr>
          <w:rFonts w:ascii="Times New Roman;Times;Serif" w:hAnsi="Times New Roman;Times;Serif"/>
          <w:b w:val="false"/>
          <w:i w:val="false"/>
          <w:caps w:val="false"/>
          <w:smallCaps w:val="false"/>
          <w:sz w:val="20"/>
          <w:u w:val="single"/>
        </w:rPr>
        <w:t>Merger Consideration</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Parent, in its capacity as the sole member of the General Partner, has (a) determined that this Agreement and the Transactions are in the best interests of the General Partner and declared it advisable to consent to and enter into this Agreement and (b) consented to and approved this Agreement and the Transactions (the “</w:t>
      </w:r>
      <w:r>
        <w:rPr>
          <w:rFonts w:ascii="Times New Roman;Times;Serif" w:hAnsi="Times New Roman;Times;Serif"/>
          <w:b w:val="false"/>
          <w:i w:val="false"/>
          <w:caps w:val="false"/>
          <w:smallCaps w:val="false"/>
          <w:sz w:val="20"/>
          <w:u w:val="single"/>
        </w:rPr>
        <w:t>General Partner Approval</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Conflicts Committee (the “</w:t>
      </w:r>
      <w:r>
        <w:rPr>
          <w:rFonts w:ascii="Times New Roman;Times;Serif" w:hAnsi="Times New Roman;Times;Serif"/>
          <w:b w:val="false"/>
          <w:i w:val="false"/>
          <w:caps w:val="false"/>
          <w:smallCaps w:val="false"/>
          <w:sz w:val="20"/>
          <w:u w:val="single"/>
        </w:rPr>
        <w:t>Conflicts Committee</w:t>
      </w:r>
      <w:r>
        <w:rPr>
          <w:rFonts w:ascii="Times New Roman;Times;Serif" w:hAnsi="Times New Roman;Times;Serif"/>
          <w:b w:val="false"/>
          <w:i w:val="false"/>
          <w:caps w:val="false"/>
          <w:smallCaps w:val="false"/>
          <w:sz w:val="20"/>
        </w:rPr>
        <w:t>”) of the Board of Directors of the Partnership (the “</w:t>
      </w:r>
      <w:r>
        <w:rPr>
          <w:rFonts w:ascii="Times New Roman;Times;Serif" w:hAnsi="Times New Roman;Times;Serif"/>
          <w:b w:val="false"/>
          <w:i w:val="false"/>
          <w:caps w:val="false"/>
          <w:smallCaps w:val="false"/>
          <w:sz w:val="20"/>
          <w:u w:val="single"/>
        </w:rPr>
        <w:t>Partnership Board</w:t>
      </w:r>
      <w:r>
        <w:rPr>
          <w:rFonts w:ascii="Times New Roman;Times;Serif" w:hAnsi="Times New Roman;Times;Serif"/>
          <w:b w:val="false"/>
          <w:i w:val="false"/>
          <w:caps w:val="false"/>
          <w:smallCaps w:val="false"/>
          <w:sz w:val="20"/>
        </w:rPr>
        <w:t xml:space="preserve">”) has unanimously (a) determined that this Agreement and the Transactions are fair to and in the best interests of the Partnership and the Unaffiliated Unitholders, (b) approved this Agreement and the Transactions (the foregoing constituting Special Approval for all purposes under the Partnership Agreement) and (c) recommended to the Partnership Board that the Partnership Board (i) approve this Agreement and the Transactions and (ii) recommend approval of this Agreement and the Transactions to the Common Unitholders (this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Conflicts Committee Recommendation</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Partnership Board, acting upon the Conflicts Committee Recommendation, has unanimously (a) determined that this Agreement and the Transactions are fair to and in the best interests of the Partnership and the Unaffiliated Unitholders, (b) approved this Agreement and the Transactions, (c) directed that this Agreement and the Transactions be submitted to a vote of the Common Unitholders, and (d) resolved, subject to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to recommend approval of this Agreement and the Transactions to the Common Unitholders (this </w:t>
      </w:r>
      <w:r>
        <w:rPr>
          <w:rFonts w:ascii="Times New Roman;Times;Serif" w:hAnsi="Times New Roman;Times;Serif"/>
          <w:b w:val="false"/>
          <w:i w:val="false"/>
          <w:caps w:val="false"/>
          <w:smallCaps w:val="false"/>
          <w:sz w:val="20"/>
          <w:u w:val="single"/>
        </w:rPr>
        <w:t>clause (d)</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Partnership Board Recommendation</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Board of Directors of Parent (the “</w:t>
      </w:r>
      <w:r>
        <w:rPr>
          <w:rFonts w:ascii="Times New Roman;Times;Serif" w:hAnsi="Times New Roman;Times;Serif"/>
          <w:b w:val="false"/>
          <w:i w:val="false"/>
          <w:caps w:val="false"/>
          <w:smallCaps w:val="false"/>
          <w:sz w:val="20"/>
          <w:u w:val="single"/>
        </w:rPr>
        <w:t>Parent Board</w:t>
      </w:r>
      <w:r>
        <w:rPr>
          <w:rFonts w:ascii="Times New Roman;Times;Serif" w:hAnsi="Times New Roman;Times;Serif"/>
          <w:b w:val="false"/>
          <w:i w:val="false"/>
          <w:caps w:val="false"/>
          <w:smallCaps w:val="false"/>
          <w:sz w:val="20"/>
        </w:rPr>
        <w:t>”) has unanimously (a) determined that this Agreement and the Support Agreement and the transactions contemplated hereby and thereby are in the best interests of Parent and (b) approved this Agreement and the Support Agreement and the transactions contemplated hereby and thereby;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each of GEPIF III Crown Bidco L.P., a Cayman Islands exempted limited partnership (“</w:t>
      </w:r>
      <w:r>
        <w:rPr>
          <w:rFonts w:ascii="Times New Roman;Times;Serif" w:hAnsi="Times New Roman;Times;Serif"/>
          <w:b w:val="false"/>
          <w:i w:val="false"/>
          <w:caps w:val="false"/>
          <w:smallCaps w:val="false"/>
          <w:sz w:val="20"/>
          <w:u w:val="single"/>
        </w:rPr>
        <w:t>GEPIF</w:t>
      </w:r>
      <w:r>
        <w:rPr>
          <w:rFonts w:ascii="Times New Roman;Times;Serif" w:hAnsi="Times New Roman;Times;Serif"/>
          <w:b w:val="false"/>
          <w:i w:val="false"/>
          <w:caps w:val="false"/>
          <w:smallCaps w:val="false"/>
          <w:sz w:val="20"/>
        </w:rPr>
        <w:t>”), and Blenheim Holdings Ltd., a Bermuda exempted company (“</w:t>
      </w:r>
      <w:r>
        <w:rPr>
          <w:rFonts w:ascii="Times New Roman;Times;Serif" w:hAnsi="Times New Roman;Times;Serif"/>
          <w:b w:val="false"/>
          <w:i w:val="false"/>
          <w:caps w:val="false"/>
          <w:smallCaps w:val="false"/>
          <w:sz w:val="20"/>
          <w:u w:val="single"/>
        </w:rPr>
        <w:t>BHL</w:t>
      </w:r>
      <w:r>
        <w:rPr>
          <w:rFonts w:ascii="Times New Roman;Times;Serif" w:hAnsi="Times New Roman;Times;Serif"/>
          <w:b w:val="false"/>
          <w:i w:val="false"/>
          <w:caps w:val="false"/>
          <w:smallCaps w:val="false"/>
          <w:sz w:val="20"/>
        </w:rPr>
        <w:t>”), in its capacity as a common shareholder of Parent, has consented to and approved this Agreement and the Transactions in accordance with the Shareholders’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Parent owns 100% of the issued and outstanding limited liability company interests in Merger Sub;</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Parent, in its capacity as the sole member of Merger Sub, has (a) determined that this Agreement and the Transactions are in the best interests of Merger Sub and declared it advisable to enter into this Agreement and (b) approved the adoption, execution, delivery and performance of this Agreement and the Transactions; 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simultaneously with the Parties’ entry into this Agreement, Parent and the Partnership shall enter into a voting and support agreement, dated as of the date hereof (as may be amended, the “</w:t>
      </w:r>
      <w:r>
        <w:rPr>
          <w:rFonts w:ascii="Times New Roman;Times;Serif" w:hAnsi="Times New Roman;Times;Serif"/>
          <w:b w:val="false"/>
          <w:i w:val="false"/>
          <w:caps w:val="false"/>
          <w:smallCaps w:val="false"/>
          <w:sz w:val="20"/>
          <w:u w:val="single"/>
        </w:rPr>
        <w:t>Support Agreement</w:t>
      </w:r>
      <w:r>
        <w:rPr>
          <w:rFonts w:ascii="Times New Roman;Times;Serif" w:hAnsi="Times New Roman;Times;Serif"/>
          <w:b w:val="false"/>
          <w:i w:val="false"/>
          <w:caps w:val="false"/>
          <w:smallCaps w:val="false"/>
          <w:sz w:val="20"/>
        </w:rPr>
        <w:t>”), pursuant to which, among other things, Parent shall agree, in its capacity as a limited partner of the Partnership, to vote its Common Units in favor of this Agreement and the Transactions.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representations, warranties, covenants and agreements contained in this Agreement, and intending to be legally bound, the Parties agree as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6" w:name="sp1_001"/>
      <w:bookmarkEnd w:id="6"/>
      <w:r>
        <w:rPr>
          <w:rFonts w:ascii="Times New Roman;Times;Serif" w:hAnsi="Times New Roman;Times;Serif"/>
          <w:b/>
          <w:i w:val="false"/>
          <w:caps w:val="false"/>
          <w:smallCaps w:val="false"/>
          <w:sz w:val="20"/>
        </w:rPr>
        <w:t>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w:t>
        <w:tab/>
        <w:t>     </w:t>
      </w:r>
      <w:r>
        <w:rPr>
          <w:rFonts w:ascii="Times New Roman;Times;Serif" w:hAnsi="Times New Roman;Times;Serif"/>
          <w:b w:val="false"/>
          <w:i w:val="false"/>
          <w:caps w:val="false"/>
          <w:smallCaps w:val="false"/>
          <w:sz w:val="20"/>
          <w:u w:val="single"/>
        </w:rPr>
        <w:t>The Merger.</w:t>
      </w:r>
      <w:r>
        <w:rPr>
          <w:rFonts w:ascii="Times New Roman;Times;Serif" w:hAnsi="Times New Roman;Times;Serif"/>
          <w:b w:val="false"/>
          <w:i w:val="false"/>
          <w:caps w:val="false"/>
          <w:smallCaps w:val="false"/>
          <w:sz w:val="20"/>
        </w:rPr>
        <w:t xml:space="preserve"> Upon the terms and subject to the conditions set forth in this Agreement, and in accordance with the Marshall Islands LP Act and the Marshall Islands LLC Act, at the Effective Time, Merger Sub shall be merged with and into the Partnership, the separate limited liability company existence of Merger Sub will cease and the Partnership will continue its existence as a limited partnership under Marshall Islands Law as the surviving entity in the Merger (such surviving entity, the “</w:t>
      </w:r>
      <w:r>
        <w:rPr>
          <w:rFonts w:ascii="Times New Roman;Times;Serif" w:hAnsi="Times New Roman;Times;Serif"/>
          <w:b w:val="false"/>
          <w:i w:val="false"/>
          <w:caps w:val="false"/>
          <w:smallCaps w:val="false"/>
          <w:sz w:val="20"/>
          <w:u w:val="single"/>
        </w:rPr>
        <w:t>Surviving Entity</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w:t>
        <w:tab/>
        <w:t>     </w:t>
      </w:r>
      <w:r>
        <w:rPr>
          <w:rFonts w:ascii="Times New Roman;Times;Serif" w:hAnsi="Times New Roman;Times;Serif"/>
          <w:b w:val="false"/>
          <w:i w:val="false"/>
          <w:caps w:val="false"/>
          <w:smallCaps w:val="false"/>
          <w:sz w:val="20"/>
          <w:u w:val="single"/>
        </w:rPr>
        <w:t xml:space="preserve">Closing. </w:t>
      </w:r>
      <w:r>
        <w:rPr>
          <w:rFonts w:ascii="Times New Roman;Times;Serif" w:hAnsi="Times New Roman;Times;Serif"/>
          <w:b w:val="false"/>
          <w:i w:val="false"/>
          <w:caps w:val="false"/>
          <w:smallCaps w:val="false"/>
          <w:sz w:val="20"/>
        </w:rPr>
        <w:t xml:space="preserve">Subject to the provisions of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the closing of the Merger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shall take place remotely via the electronic exchange of documents and signature pages as promptly as practicable after the satisfaction or waiver of the conditions set forth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(other than conditions that by their nature are to be satisfied at the Closing, but subject to the satisfaction or waiver of those conditions), or at such other place, date and time as the Partnership and Parent shall agree. The date on which the Closing actually occurs is referred to as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w:t>
        <w:tab/>
        <w:t>     </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 xml:space="preserve"> On the terms and subject to the conditions set forth in this Agreement, the Partnership will, on the Closing Date, duly file a certificate of merger effecting the Merger, executed in accordance with, and in such form as is required by, the relevant provisions of the Marshall Islands LP Act and the Marshall Islands LLC Act (the “</w:t>
      </w:r>
      <w:r>
        <w:rPr>
          <w:rFonts w:ascii="Times New Roman;Times;Serif" w:hAnsi="Times New Roman;Times;Serif"/>
          <w:b w:val="false"/>
          <w:i w:val="false"/>
          <w:caps w:val="false"/>
          <w:smallCaps w:val="false"/>
          <w:sz w:val="20"/>
          <w:u w:val="single"/>
        </w:rPr>
        <w:t>Certificate of Merger</w:t>
      </w:r>
      <w:r>
        <w:rPr>
          <w:rFonts w:ascii="Times New Roman;Times;Serif" w:hAnsi="Times New Roman;Times;Serif"/>
          <w:b w:val="false"/>
          <w:i w:val="false"/>
          <w:caps w:val="false"/>
          <w:smallCaps w:val="false"/>
          <w:sz w:val="20"/>
        </w:rPr>
        <w:t>”), with the Registrar of Corporations of the Republic of the Marshall Islands. The Merger will become effective at such time as the Certificate of Merger has been duly filed with the Registrar of Corporations of the Republic of the Marshall Islands or at such later date as may be agreed by the Partnership and Parent in writing and specified in the Certificate of Merger (the effective time of the Merger being hereinafter referred to as the “</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w:t>
        <w:tab/>
        <w:t>     </w:t>
      </w:r>
      <w:r>
        <w:rPr>
          <w:rFonts w:ascii="Times New Roman;Times;Serif" w:hAnsi="Times New Roman;Times;Serif"/>
          <w:b w:val="false"/>
          <w:i w:val="false"/>
          <w:caps w:val="false"/>
          <w:smallCaps w:val="false"/>
          <w:sz w:val="20"/>
          <w:u w:val="single"/>
        </w:rPr>
        <w:t>Effects of the Merger.</w:t>
      </w:r>
      <w:r>
        <w:rPr>
          <w:rFonts w:ascii="Times New Roman;Times;Serif" w:hAnsi="Times New Roman;Times;Serif"/>
          <w:b w:val="false"/>
          <w:i w:val="false"/>
          <w:caps w:val="false"/>
          <w:smallCaps w:val="false"/>
          <w:sz w:val="20"/>
        </w:rPr>
        <w:t xml:space="preserve"> From and after the Effective Time, the Merger shall have the effects set forth herein, in the Partnership Agreement and in the applicable provisions of the Marshall Islands LP Act and the Marshall Islands LLC Act.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w:t>
        <w:tab/>
        <w:t>     </w:t>
      </w:r>
      <w:r>
        <w:rPr>
          <w:rFonts w:ascii="Times New Roman;Times;Serif" w:hAnsi="Times New Roman;Times;Serif"/>
          <w:b w:val="false"/>
          <w:i w:val="false"/>
          <w:caps w:val="false"/>
          <w:smallCaps w:val="false"/>
          <w:sz w:val="20"/>
          <w:u w:val="single"/>
        </w:rPr>
        <w:t>Organizational Documents of the Surviving Entity.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the Effective Time, the certificate of limited partnership of the Partnership as in effect immediately prior to the Effective Time shall remain unchanged and shall be the certificate of limited partnership of the Surviving Entity from and after the Effective Time, until duly amended in accordance with the terms of the Partnership Agreement and applicable Law.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At the Effective Time, the Partnership Agreement as in effect immediately prior to the Effective Time shall remain unchanged and shall be the agreement of limited partnership of the Surviving Entity from and after the Effective Time, until duly amended in accordance with the terms of the Partnership Agreement and applicable Law, subject to </w:t>
      </w:r>
      <w:r>
        <w:rPr>
          <w:rFonts w:ascii="Times New Roman;Times;Serif" w:hAnsi="Times New Roman;Times;Serif"/>
          <w:b w:val="false"/>
          <w:i w:val="false"/>
          <w:caps w:val="false"/>
          <w:smallCaps w:val="false"/>
          <w:sz w:val="20"/>
          <w:u w:val="single"/>
        </w:rPr>
        <w:t>Section 5.9</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ON INTERESTS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w:t>
        <w:tab/>
        <w:t>     </w:t>
      </w:r>
      <w:r>
        <w:rPr>
          <w:rFonts w:ascii="Times New Roman;Times;Serif" w:hAnsi="Times New Roman;Times;Serif"/>
          <w:b w:val="false"/>
          <w:i w:val="false"/>
          <w:caps w:val="false"/>
          <w:smallCaps w:val="false"/>
          <w:sz w:val="20"/>
          <w:u w:val="single"/>
        </w:rPr>
        <w:t>Effect of Merger.</w:t>
      </w:r>
      <w:r>
        <w:rPr>
          <w:rFonts w:ascii="Times New Roman;Times;Serif" w:hAnsi="Times New Roman;Times;Serif"/>
          <w:b w:val="false"/>
          <w:i w:val="false"/>
          <w:caps w:val="false"/>
          <w:smallCaps w:val="false"/>
          <w:sz w:val="20"/>
        </w:rPr>
        <w:t xml:space="preserve"> At the Effective Time, by virtue of the occurrence of the Merger, and without any action on the part of the Partnership, the General Partner, Parent, Merger Sub or any holder of any securities of the Partnership or Merger Sub:</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Conversion of Membership Interests in Merger Sub</w:t>
      </w:r>
      <w:r>
        <w:rPr>
          <w:rFonts w:ascii="Times New Roman;Times;Serif" w:hAnsi="Times New Roman;Times;Serif"/>
          <w:b w:val="false"/>
          <w:i w:val="false"/>
          <w:caps w:val="false"/>
          <w:smallCaps w:val="false"/>
          <w:sz w:val="20"/>
        </w:rPr>
        <w:t xml:space="preserve">. The limited liability company interests in Merger Sub issued and outstanding immediately prior to the Effective Time shall automatically be converted into and become a number of common units representing limited partner interests in the Surviving Entity equal to the number of Common Units converted into the right to receive the Merger Consideration pursuant to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 At the Effective Time, the books and records of the Partnership (as the Surviving Entity) shall be revised to reflect that Parent is the only Common Unitholder of the Surviving Entity and the simultaneous withdrawal of all other Common Unitholders from the Partnership.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Conversion of Certain Common Units</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Sections 2.1(c)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2.4</w:t>
      </w:r>
      <w:r>
        <w:rPr>
          <w:rFonts w:ascii="Times New Roman;Times;Serif" w:hAnsi="Times New Roman;Times;Serif"/>
          <w:b w:val="false"/>
          <w:i w:val="false"/>
          <w:caps w:val="false"/>
          <w:smallCaps w:val="false"/>
          <w:sz w:val="20"/>
        </w:rPr>
        <w:t xml:space="preserve">, each Common Unit issued and outstanding immediately prior to the Effective Time, other than the Sponsor Units, shall automatically be canceled and converted into and shall thereafter represent the right to receive an amount in cash equal to the Merger Consideration, without interest. As of the Effective Time, all such Common Units shall no longer be issued and outstanding and shall automatically be canceled and shall cease to exist, and each holder of any such Common Unit shall cease to have any rights with respect thereto, except the right to receive the Merger Consideration (less any applicable withholding Taxes) pertaining to such Common Units to be paid in consideration therefor, in accordance with </w:t>
      </w:r>
      <w:r>
        <w:rPr>
          <w:rFonts w:ascii="Times New Roman;Times;Serif" w:hAnsi="Times New Roman;Times;Serif"/>
          <w:b w:val="false"/>
          <w:i w:val="false"/>
          <w:caps w:val="false"/>
          <w:smallCaps w:val="false"/>
          <w:sz w:val="20"/>
          <w:u w:val="single"/>
        </w:rPr>
        <w:t>Section 2.2(b)</w:t>
      </w:r>
      <w:r>
        <w:rPr>
          <w:rFonts w:ascii="Times New Roman;Times;Serif" w:hAnsi="Times New Roman;Times;Serif"/>
          <w:b w:val="false"/>
          <w:i w:val="false"/>
          <w:caps w:val="false"/>
          <w:smallCaps w:val="false"/>
          <w:sz w:val="20"/>
        </w:rPr>
        <w:t xml:space="preserve">, and the right to receive any distribution in accordance with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(including, for the avoidance of doubt, the Special Distribution pursuant to </w:t>
      </w:r>
      <w:r>
        <w:rPr>
          <w:rFonts w:ascii="Times New Roman;Times;Serif" w:hAnsi="Times New Roman;Times;Serif"/>
          <w:b w:val="false"/>
          <w:i w:val="false"/>
          <w:caps w:val="false"/>
          <w:smallCaps w:val="false"/>
          <w:sz w:val="20"/>
          <w:u w:val="single"/>
        </w:rPr>
        <w:t>Section 5.13</w:t>
      </w:r>
      <w:r>
        <w:rPr>
          <w:rFonts w:ascii="Times New Roman;Times;Serif" w:hAnsi="Times New Roman;Times;Serif"/>
          <w:b w:val="false"/>
          <w:i w:val="false"/>
          <w:caps w:val="false"/>
          <w:smallCaps w:val="false"/>
          <w:sz w:val="20"/>
        </w:rPr>
        <w:t>), in each case without interest.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Treatment of Parent-Owned Common Units</w:t>
      </w:r>
      <w:r>
        <w:rPr>
          <w:rFonts w:ascii="Times New Roman;Times;Serif" w:hAnsi="Times New Roman;Times;Serif"/>
          <w:b w:val="false"/>
          <w:i w:val="false"/>
          <w:caps w:val="false"/>
          <w:smallCaps w:val="false"/>
          <w:sz w:val="20"/>
        </w:rPr>
        <w:t>. Each Common Unit issued and outstanding immediately prior to the Effective Time and owned (beneficially or of record) by Parent and its Affiliates (“</w:t>
      </w:r>
      <w:r>
        <w:rPr>
          <w:rFonts w:ascii="Times New Roman;Times;Serif" w:hAnsi="Times New Roman;Times;Serif"/>
          <w:b w:val="false"/>
          <w:i w:val="false"/>
          <w:caps w:val="false"/>
          <w:smallCaps w:val="false"/>
          <w:sz w:val="20"/>
          <w:u w:val="single"/>
        </w:rPr>
        <w:t>Sponsor Units</w:t>
      </w:r>
      <w:r>
        <w:rPr>
          <w:rFonts w:ascii="Times New Roman;Times;Serif" w:hAnsi="Times New Roman;Times;Serif"/>
          <w:b w:val="false"/>
          <w:i w:val="false"/>
          <w:caps w:val="false"/>
          <w:smallCaps w:val="false"/>
          <w:sz w:val="20"/>
        </w:rPr>
        <w:t xml:space="preserve">”) shall not be canceled, shall not be converted into the right to receive the Merger Consideration and shall remain issued and outstanding as common units representing limited partner interests in the Surviving Entity. Parent shall have continued rights with respect to the Sponsor Units to receive, without interest, any distribution in accordance with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(including, for the avoidance of doubt, the Special Distribution pursuant to </w:t>
      </w:r>
      <w:r>
        <w:rPr>
          <w:rFonts w:ascii="Times New Roman;Times;Serif" w:hAnsi="Times New Roman;Times;Serif"/>
          <w:b w:val="false"/>
          <w:i w:val="false"/>
          <w:caps w:val="false"/>
          <w:smallCaps w:val="false"/>
          <w:sz w:val="20"/>
          <w:u w:val="single"/>
        </w:rPr>
        <w:t>Section 5.13</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Cancelation of Class B Units</w:t>
      </w:r>
      <w:r>
        <w:rPr>
          <w:rFonts w:ascii="Times New Roman;Times;Serif" w:hAnsi="Times New Roman;Times;Serif"/>
          <w:b w:val="false"/>
          <w:i w:val="false"/>
          <w:caps w:val="false"/>
          <w:smallCaps w:val="false"/>
          <w:sz w:val="20"/>
        </w:rPr>
        <w:t>. Each Class B Unit issued and outstanding immediately prior to the Effective Time shall be canceled and shall cease to exist, and no consideration shall be delivered in respect thereof in accordance with the Partnership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Treatment of Preference Units</w:t>
      </w:r>
      <w:r>
        <w:rPr>
          <w:rFonts w:ascii="Times New Roman;Times;Serif" w:hAnsi="Times New Roman;Times;Serif"/>
          <w:b w:val="false"/>
          <w:i w:val="false"/>
          <w:caps w:val="false"/>
          <w:smallCaps w:val="false"/>
          <w:sz w:val="20"/>
        </w:rPr>
        <w:t>. Each Preference Unit that is issued and outstanding as of immediately prior to the Effective Time will be unaffected by the Merger and shall be unchanged and remain issued and outstanding in the Surviving Entity, and no consideration shall be delivered in respect thereof in accordance with the Partnership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Treatment of General Partner Interest</w:t>
      </w:r>
      <w:r>
        <w:rPr>
          <w:rFonts w:ascii="Times New Roman;Times;Serif" w:hAnsi="Times New Roman;Times;Serif"/>
          <w:b w:val="false"/>
          <w:i w:val="false"/>
          <w:caps w:val="false"/>
          <w:smallCaps w:val="false"/>
          <w:sz w:val="20"/>
        </w:rPr>
        <w:t>. The General Partner Interest that is issued and outstanding immediately prior to the Effective Time shall remain issued and outstanding in the Surviving Entity and the General Partner shall continue as the sole general partner of the Surviving Entity and the sole record owner (and Parent shall continue as the sole beneficial owner) of the general partner interest in the Surviving Entity.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w:t>
        <w:tab/>
        <w:t>     </w:t>
      </w:r>
      <w:r>
        <w:rPr>
          <w:rFonts w:ascii="Times New Roman;Times;Serif" w:hAnsi="Times New Roman;Times;Serif"/>
          <w:b w:val="false"/>
          <w:i w:val="false"/>
          <w:caps w:val="false"/>
          <w:smallCaps w:val="false"/>
          <w:sz w:val="20"/>
          <w:u w:val="single"/>
        </w:rPr>
        <w:t>Payment of Merger Consideration.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Paying Agent; Deposit</w:t>
      </w:r>
      <w:r>
        <w:rPr>
          <w:rFonts w:ascii="Times New Roman;Times;Serif" w:hAnsi="Times New Roman;Times;Serif"/>
          <w:b w:val="false"/>
          <w:i w:val="false"/>
          <w:caps w:val="false"/>
          <w:smallCaps w:val="false"/>
          <w:sz w:val="20"/>
        </w:rPr>
        <w:t>. Prior to the Closing Date, Parent shall designate a bank or trust company reasonably acceptable to the Partnership to act as agent (the “</w:t>
      </w:r>
      <w:r>
        <w:rPr>
          <w:rFonts w:ascii="Times New Roman;Times;Serif" w:hAnsi="Times New Roman;Times;Serif"/>
          <w:b w:val="false"/>
          <w:i w:val="false"/>
          <w:caps w:val="false"/>
          <w:smallCaps w:val="false"/>
          <w:sz w:val="20"/>
          <w:u w:val="single"/>
        </w:rPr>
        <w:t>Paying Agent</w:t>
      </w:r>
      <w:r>
        <w:rPr>
          <w:rFonts w:ascii="Times New Roman;Times;Serif" w:hAnsi="Times New Roman;Times;Serif"/>
          <w:b w:val="false"/>
          <w:i w:val="false"/>
          <w:caps w:val="false"/>
          <w:smallCaps w:val="false"/>
          <w:sz w:val="20"/>
        </w:rPr>
        <w:t xml:space="preserve">”) for the payment and delivery of the aggregate Merger Consideration in accordance with this </w:t>
      </w:r>
      <w:r>
        <w:rPr>
          <w:rFonts w:ascii="Times New Roman;Times;Serif" w:hAnsi="Times New Roman;Times;Serif"/>
          <w:b w:val="false"/>
          <w:i w:val="false"/>
          <w:caps w:val="false"/>
          <w:smallCaps w:val="false"/>
          <w:sz w:val="20"/>
          <w:u w:val="single"/>
        </w:rPr>
        <w:t xml:space="preserve">Article II </w:t>
      </w:r>
      <w:r>
        <w:rPr>
          <w:rFonts w:ascii="Times New Roman;Times;Serif" w:hAnsi="Times New Roman;Times;Serif"/>
          <w:b w:val="false"/>
          <w:i w:val="false"/>
          <w:caps w:val="false"/>
          <w:smallCaps w:val="false"/>
          <w:sz w:val="20"/>
        </w:rPr>
        <w:t>and, in connection therewith, Parent shall enter into an agreement with the Paying Agent prior to the Closing Date in a form reasonably acceptable to the Partnership. At or prior to the Effective Time, Parent shall deposit or cause to be deposited with the Paying Agent an amount in cash sufficient to pay the aggregate Merger Consideration (such cash, and any amounts earned via the investment thereof pursuant to the immediately following sentence, being hereinafter referred to as “</w:t>
      </w:r>
      <w:r>
        <w:rPr>
          <w:rFonts w:ascii="Times New Roman;Times;Serif" w:hAnsi="Times New Roman;Times;Serif"/>
          <w:b w:val="false"/>
          <w:i w:val="false"/>
          <w:caps w:val="false"/>
          <w:smallCaps w:val="false"/>
          <w:sz w:val="20"/>
          <w:u w:val="single"/>
        </w:rPr>
        <w:t>Exchange Fund</w:t>
      </w:r>
      <w:r>
        <w:rPr>
          <w:rFonts w:ascii="Times New Roman;Times;Serif" w:hAnsi="Times New Roman;Times;Serif"/>
          <w:b w:val="false"/>
          <w:i w:val="false"/>
          <w:caps w:val="false"/>
          <w:smallCaps w:val="false"/>
          <w:sz w:val="20"/>
        </w:rPr>
        <w:t xml:space="preserve">”). Pending its disbursement in accordance with this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the Exchange Fund shall be invested by the Paying Agent as directed by Parent in (i) short-term direct obligations of the United States of America, (ii) short-term obligations for which the full faith and credit of the United States of America is pledged to provide for the payment of principal and interest, (iii) short-term commercial paper rated the highest quality by either Moody’s Investors Services, Inc. or Standard and Poor’s Ratings Services or (iv) certificates of deposit, bank repurchase agreements or banker’s acceptances of commercial banks with capital exceeding $5 billion. Any and all interest earned on the funds in the Exchange Fund shall be paid by the Paying Agent to Parent. No investment losses resulting from investment of the funds deposited with the Paying Agent shall diminish the rights of any former Common Unitholders to receive the Merger Consideration in accordance with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The Exchange Fund shall not be used for any purpose other than the payment to Common Unitholders of the Merger Consideration or payment to the Surviving Entity as contemplated in this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Exchange of Common Units</w:t>
      </w:r>
      <w:r>
        <w:rPr>
          <w:rFonts w:ascii="Times New Roman;Times;Serif" w:hAnsi="Times New Roman;Times;Serif"/>
          <w:b w:val="false"/>
          <w:i w:val="false"/>
          <w:caps w:val="false"/>
          <w:smallCaps w:val="false"/>
          <w:sz w:val="20"/>
        </w:rPr>
        <w:t xml:space="preserve">. As soon as reasonably practicable after the Effective Time (but in no event later than three business days after the Effective Time), and without any action by any holder of record of Common Units (other than Sponsor Units), the Paying Agent shall deliver to such holder, (i) a notice of the effectiveness of the Merger and (ii) cash in an amount equal to, subject to </w:t>
      </w:r>
      <w:r>
        <w:rPr>
          <w:rFonts w:ascii="Times New Roman;Times;Serif" w:hAnsi="Times New Roman;Times;Serif"/>
          <w:b w:val="false"/>
          <w:i w:val="false"/>
          <w:caps w:val="false"/>
          <w:smallCaps w:val="false"/>
          <w:sz w:val="20"/>
          <w:u w:val="single"/>
        </w:rPr>
        <w:t>Section 2.2(f)</w:t>
      </w:r>
      <w:r>
        <w:rPr>
          <w:rFonts w:ascii="Times New Roman;Times;Serif" w:hAnsi="Times New Roman;Times;Serif"/>
          <w:b w:val="false"/>
          <w:i w:val="false"/>
          <w:caps w:val="false"/>
          <w:smallCaps w:val="false"/>
          <w:sz w:val="20"/>
        </w:rPr>
        <w:t xml:space="preserve">, (A) the number of Common Units held by such holder of record immediately prior to the Effective Time </w:t>
      </w:r>
      <w:r>
        <w:rPr>
          <w:rFonts w:ascii="Times New Roman;Times;Serif" w:hAnsi="Times New Roman;Times;Serif"/>
          <w:b w:val="false"/>
          <w:i w:val="false"/>
          <w:caps w:val="false"/>
          <w:smallCaps w:val="false"/>
          <w:sz w:val="20"/>
          <w:u w:val="single"/>
        </w:rPr>
        <w:t>multiplied by</w:t>
      </w:r>
      <w:r>
        <w:rPr>
          <w:rFonts w:ascii="Times New Roman;Times;Serif" w:hAnsi="Times New Roman;Times;Serif"/>
          <w:b w:val="false"/>
          <w:i w:val="false"/>
          <w:caps w:val="false"/>
          <w:smallCaps w:val="false"/>
          <w:sz w:val="20"/>
        </w:rPr>
        <w:t xml:space="preserve"> (B) the Merger Consideration to which such holder is entitled under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and such Common Units shall forthwith be canceled. Until satisfaction of the applicable procedures contemplated by this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each Common Unit (other than Sponsor Units) shall be deemed at any time after the Effective Time to represent only the right to receive the Merger Consideration and any distributions pertaining to Common Units formerly represented by such Common Unit as contemplated by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No interest shall be paid or shall accrue on the Merger Consideration payable with respect to Common Units pursuant to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Termination of Exchange Fund</w:t>
      </w:r>
      <w:r>
        <w:rPr>
          <w:rFonts w:ascii="Times New Roman;Times;Serif" w:hAnsi="Times New Roman;Times;Serif"/>
          <w:b w:val="false"/>
          <w:i w:val="false"/>
          <w:caps w:val="false"/>
          <w:smallCaps w:val="false"/>
          <w:sz w:val="20"/>
        </w:rPr>
        <w:t xml:space="preserve">. Any portion of the Exchange Fund that remains unclaimed by the holders of Common Units six months after the Effective Time shall be returned to Parent, upon demand, and thereafter such former Common Unitholders shall be entitled to look only to Parent for, and Parent shall remain liable for, payment of their claims of the Merger Consideration and any distribution pertaining to their former Common Units that such former Common Unitholders have the right to receive pursuant to the provisions of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Any Merger Consideration remaining unclaimed by such Common Unitholders immediately prior to such time at which such amounts would otherwise escheat to or become property of any Governmental Authority shall become, to the extent permitted by applicable Law, the property of Parent or its designee, free and clear of all claims or interest of any Person previously entitled thereto.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 Liability</w:t>
      </w:r>
      <w:r>
        <w:rPr>
          <w:rFonts w:ascii="Times New Roman;Times;Serif" w:hAnsi="Times New Roman;Times;Serif"/>
          <w:b w:val="false"/>
          <w:i w:val="false"/>
          <w:caps w:val="false"/>
          <w:smallCaps w:val="false"/>
          <w:sz w:val="20"/>
        </w:rPr>
        <w:t>. Notwithstanding any provision of this Agreement to the contrary, none of the Parties, the Surviving Entity or the Paying Agent shall be liable to any Person for any Merger Consideration delivered to a public official pursuant to any applicable state, federal or other abandoned property, escheat or similar Law.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Transfer Books; No Further Ownership Rights in Common Units</w:t>
      </w:r>
      <w:r>
        <w:rPr>
          <w:rFonts w:ascii="Times New Roman;Times;Serif" w:hAnsi="Times New Roman;Times;Serif"/>
          <w:b w:val="false"/>
          <w:i w:val="false"/>
          <w:caps w:val="false"/>
          <w:smallCaps w:val="false"/>
          <w:sz w:val="20"/>
        </w:rPr>
        <w:t xml:space="preserve">. The Merger Consideration paid in respect of each Common Unit (other than Sponsor Units) in accordance with the terms of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shall be deemed to have been paid in full satisfaction of all rights pertaining to such Common Units, subject, however, to the Surviving Entity’s obligation to pay any distribution in respect of such Common Units with a record date occurring prior to the Effective Time that may have been declared by the Partnership Board not in violation of the terms of this Agreement or prior to the date of this Agreement and which remains unpaid at the Effective Time, including, for the avoidance of doubt, the Special Distribution pursuant to </w:t>
      </w:r>
      <w:r>
        <w:rPr>
          <w:rFonts w:ascii="Times New Roman;Times;Serif" w:hAnsi="Times New Roman;Times;Serif"/>
          <w:b w:val="false"/>
          <w:i w:val="false"/>
          <w:caps w:val="false"/>
          <w:smallCaps w:val="false"/>
          <w:sz w:val="20"/>
          <w:u w:val="single"/>
        </w:rPr>
        <w:t>Section 5.13</w:t>
      </w:r>
      <w:r>
        <w:rPr>
          <w:rFonts w:ascii="Times New Roman;Times;Serif" w:hAnsi="Times New Roman;Times;Serif"/>
          <w:b w:val="false"/>
          <w:i w:val="false"/>
          <w:caps w:val="false"/>
          <w:smallCaps w:val="false"/>
          <w:sz w:val="20"/>
        </w:rPr>
        <w:t xml:space="preserve">. At the Effective Time, the unit transfer books of the Partnership shall be closed and thereafter there shall be no further registration of transfers on the unit transfer books of the Surviving Entity of Common Units that were issued and outstanding immediately prior to the Effective Time (other than with respect to any Common Units that remain outstanding pursuant to </w:t>
      </w:r>
      <w:r>
        <w:rPr>
          <w:rFonts w:ascii="Times New Roman;Times;Serif" w:hAnsi="Times New Roman;Times;Serif"/>
          <w:b w:val="false"/>
          <w:i w:val="false"/>
          <w:caps w:val="false"/>
          <w:smallCaps w:val="false"/>
          <w:sz w:val="20"/>
          <w:u w:val="single"/>
        </w:rPr>
        <w:t>Section 2.1(c)</w:t>
      </w:r>
      <w:r>
        <w:rPr>
          <w:rFonts w:ascii="Times New Roman;Times;Serif" w:hAnsi="Times New Roman;Times;Serif"/>
          <w:b w:val="false"/>
          <w:i w:val="false"/>
          <w:caps w:val="false"/>
          <w:smallCaps w:val="false"/>
          <w:sz w:val="20"/>
        </w:rPr>
        <w:t xml:space="preserve">). From and after the Effective Time, holders of Common Units (other than Sponsor Units) immediately prior to the Effective Time shall cease to have any rights with respect to such underlying Common Units, except as otherwise provided for herein or by applicable Law. If, at any time after the Effective Time, Common Units (other than Sponsor Units) are presented to the Paying Agent or Parent, they shall be canceled and exchanged as provided for in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5</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Withholding Taxes</w:t>
      </w:r>
      <w:r>
        <w:rPr>
          <w:rFonts w:ascii="Times New Roman;Times;Serif" w:hAnsi="Times New Roman;Times;Serif"/>
          <w:b w:val="false"/>
          <w:i w:val="false"/>
          <w:caps w:val="false"/>
          <w:smallCaps w:val="false"/>
          <w:sz w:val="20"/>
        </w:rPr>
        <w:t>. Parent, the Surviving Entity and the Paying Agent (without duplication) shall be entitled to deduct and withhold from the consideration otherwise payable pursuant to this Agreement such amounts as are required to be deducted and withheld with respect to the making of such payment under the U.S. Internal Revenue Code of 1986 (the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or under any provision of other applicable Tax Law. To the extent amounts are so withheld and paid over to the appropriate Governmental Authority, the withheld amounts shall be treated for all purposes of this Agreement as having been paid to the Person in respect of which such deduction and withholding was made.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2.3.</w:t>
        <w:tab/>
        <w:t>     </w:t>
      </w:r>
      <w:r>
        <w:rPr>
          <w:rFonts w:ascii="Times New Roman;Times;Serif" w:hAnsi="Times New Roman;Times;Serif"/>
          <w:b w:val="false"/>
          <w:i w:val="false"/>
          <w:caps w:val="false"/>
          <w:smallCaps w:val="false"/>
          <w:sz w:val="20"/>
          <w:u w:val="single"/>
        </w:rPr>
        <w:t>Partnership Awards.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the Effective Time, by virtue of the occurrence of the Merger, and without any action on the part of the Partnership, the General Partner, Parent, Merger Sub or any holder of securities in the Partnership, each Partnership RCU Award, whether vested or unvested, that is outstanding immediately prior to the Effective Time shall automatically be canceled and converted into the right to receive an amount in cash equal to the sum of (i) the product of (A) the number of Common Units subject to such Partnership RCU Award as of immediately prior to the Effective Time and (B) the Merger Consideration and (ii) the amount of accrued but unpaid distributions, including for the avoidance of doubt, the Special Distribution, with respect to such Partnership RCU Award as of immediately prior to the Effective Time (collectively, the “</w:t>
      </w:r>
      <w:r>
        <w:rPr>
          <w:rFonts w:ascii="Times New Roman;Times;Serif" w:hAnsi="Times New Roman;Times;Serif"/>
          <w:b w:val="false"/>
          <w:i w:val="false"/>
          <w:caps w:val="false"/>
          <w:smallCaps w:val="false"/>
          <w:sz w:val="20"/>
          <w:u w:val="single"/>
        </w:rPr>
        <w:t>RCU Consideration</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Effective Time, by virtue of the occurrence of the Merger, and without any action on the part of the Partnership, the General Partner, Parent, Merger Sub or any holder of securities in the Partnership, each Partnership PCU Award, whether vested or unvested, that is outstanding immediately prior to the Effective Time shall automatically be canceled and converted into the right to receive an amount in cash equal to the sum of (i) the product of (A) the number of Common Units subject to such Partnership PCU Award as of immediately prior to the Effective Time, determined based on actual achievement of any outstanding performance goals as of immediately prior to the Effective Time, and (B) the Merger Consideration and (ii) the amount of accrued but unpaid distributions, including for the avoidance of doubt, the Special Distribution, with respect to such Partnership PCU Award as of immediately prior to the Effective Time, determined based on actual achievement of any outstanding performance goals as of immediately prior to the Effective Time (collectively, the “</w:t>
      </w:r>
      <w:r>
        <w:rPr>
          <w:rFonts w:ascii="Times New Roman;Times;Serif" w:hAnsi="Times New Roman;Times;Serif"/>
          <w:b w:val="false"/>
          <w:i w:val="false"/>
          <w:caps w:val="false"/>
          <w:smallCaps w:val="false"/>
          <w:sz w:val="20"/>
          <w:u w:val="single"/>
        </w:rPr>
        <w:t>PCU Consideration</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6</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Prior to the Effective Time, the Partnership or Partnership Board (or, if appropriate, designated committee thereof administering the Partnership Long-Term Incentive Plan) shall take all actions necessary, including adopting any necessary resolutions, to provide that (i) the Partnership Awards shall be treated in accordance with this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(ii) the Partnership Awards shall not be adjusted in respect of, or to reflect, the Special Distribution and (iii) the Surviving Entity shall not be required to deliver Common Units or any equity of the Partnership to any Person pursuant to, upon exercise of, or in settlement of Partnership RCU Awards or Partnership PCU Awards, as applicable, after the Effective Time.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As soon as reasonably practicable after the Effective Time (but in no event later than 15 business days after the Effective Time), Parent shall, or shall cause the Surviving Entity or one of its Subsidiaries to, pay through the payroll of Parent or the Surviving Entity or one of its Subsidiaries, as applicable, the aggregate RCU Consideration and the aggregate PCU Consideration, with such amounts paid without interest and net of any withholding Taxes required to be deducted and withheld by applicable Laws.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2.4.</w:t>
        <w:tab/>
        <w:t>     </w:t>
      </w:r>
      <w:r>
        <w:rPr>
          <w:rFonts w:ascii="Times New Roman;Times;Serif" w:hAnsi="Times New Roman;Times;Serif"/>
          <w:b w:val="false"/>
          <w:i w:val="false"/>
          <w:caps w:val="false"/>
          <w:smallCaps w:val="false"/>
          <w:sz w:val="20"/>
          <w:u w:val="single"/>
        </w:rPr>
        <w:t xml:space="preserve">Adjustments. </w:t>
      </w:r>
      <w:r>
        <w:rPr>
          <w:rFonts w:ascii="Times New Roman;Times;Serif" w:hAnsi="Times New Roman;Times;Serif"/>
          <w:b w:val="false"/>
          <w:i w:val="false"/>
          <w:caps w:val="false"/>
          <w:smallCaps w:val="false"/>
          <w:sz w:val="20"/>
        </w:rPr>
        <w:t xml:space="preserve">Notwithstanding any provision of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to the contrary, if between the date of this Agreement and the Effective Time the number of outstanding Common Units shall have been changed into a different number of Common Units or a different class by reason of the occurrence or record date of any unit distribution, subdivision, reclassification, recapitalization, split, combination, exchange of units or similar transaction, the Merger Consideration shall be appropriately adjusted to reflect such unit distribution, subdivision, reclassification, recapitalization, split, combination, exchange of units or similar transaction.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2.5.</w:t>
        <w:tab/>
        <w:t>     </w:t>
      </w:r>
      <w:r>
        <w:rPr>
          <w:rFonts w:ascii="Times New Roman;Times;Serif" w:hAnsi="Times New Roman;Times;Serif"/>
          <w:b w:val="false"/>
          <w:i w:val="false"/>
          <w:caps w:val="false"/>
          <w:smallCaps w:val="false"/>
          <w:sz w:val="20"/>
          <w:u w:val="single"/>
        </w:rPr>
        <w:t>No Dissenters’ Rights.</w:t>
      </w:r>
      <w:r>
        <w:rPr>
          <w:rFonts w:ascii="Times New Roman;Times;Serif" w:hAnsi="Times New Roman;Times;Serif"/>
          <w:b w:val="false"/>
          <w:i w:val="false"/>
          <w:caps w:val="false"/>
          <w:smallCaps w:val="false"/>
          <w:sz w:val="20"/>
        </w:rPr>
        <w:t xml:space="preserve"> No dissenters’ or appraisal rights shall be available with respect to the Merger or the other Transactions.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REPRESENTATIONS AND WARRANTIES OF THE PARTNERSHIP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disclosed in the Partnership SEC Documents (but excluding any disclosure contained in any such Partnership SEC Documents under the headings “Risk Factors” or “Forward-Looking Statements” or similar headings (it being understood that this </w:t>
      </w:r>
      <w:r>
        <w:rPr>
          <w:rFonts w:ascii="Times New Roman;Times;Serif" w:hAnsi="Times New Roman;Times;Serif"/>
          <w:b w:val="false"/>
          <w:i w:val="false"/>
          <w:caps w:val="false"/>
          <w:smallCaps w:val="false"/>
          <w:sz w:val="20"/>
          <w:u w:val="single"/>
        </w:rPr>
        <w:t>provision</w:t>
      </w:r>
      <w:r>
        <w:rPr>
          <w:rFonts w:ascii="Times New Roman;Times;Serif" w:hAnsi="Times New Roman;Times;Serif"/>
          <w:b w:val="false"/>
          <w:i w:val="false"/>
          <w:caps w:val="false"/>
          <w:smallCaps w:val="false"/>
          <w:sz w:val="20"/>
        </w:rPr>
        <w:t xml:space="preserve"> shall not be applicable to the representations and warranties set forth in </w:t>
      </w:r>
      <w:r>
        <w:rPr>
          <w:rFonts w:ascii="Times New Roman;Times;Serif" w:hAnsi="Times New Roman;Times;Serif"/>
          <w:b w:val="false"/>
          <w:i w:val="false"/>
          <w:caps w:val="false"/>
          <w:smallCaps w:val="false"/>
          <w:sz w:val="20"/>
          <w:u w:val="single"/>
        </w:rPr>
        <w:t>Sections 3.2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3.3</w:t>
      </w:r>
      <w:r>
        <w:rPr>
          <w:rFonts w:ascii="Times New Roman;Times;Serif" w:hAnsi="Times New Roman;Times;Serif"/>
          <w:b w:val="false"/>
          <w:i w:val="false"/>
          <w:caps w:val="false"/>
          <w:smallCaps w:val="false"/>
          <w:sz w:val="20"/>
        </w:rPr>
        <w:t>)), the Partnership hereby represents and warrants to Parent and Merger Sub as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w:t>
        <w:tab/>
        <w:t>     </w:t>
      </w:r>
      <w:r>
        <w:rPr>
          <w:rFonts w:ascii="Times New Roman;Times;Serif" w:hAnsi="Times New Roman;Times;Serif"/>
          <w:b w:val="false"/>
          <w:i w:val="false"/>
          <w:caps w:val="false"/>
          <w:smallCaps w:val="false"/>
          <w:sz w:val="20"/>
          <w:u w:val="single"/>
        </w:rPr>
        <w:t>Organization, Standing and Power.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Partnership and its Subsidiaries has been duly formed and is validly existing and in good standing under the Laws of its respective jurisdiction of organization, with requisite corporate, partnership or limited liability company power and authority necessary to own or lease all of its properties and assets and to carry on its business as it is now being conducted, except, with respect to such Subsidiaries, where the failure to have such power and authority would not reasonably be expected to have, individually or in the aggregate, a Partnership Material Adverse Effect. Each of the Partnership and its Subsidiaries is in good standing under the Laws of each other jurisdiction which requires such qualification and is duly licensed or qualified to transact business in each jurisdiction in which the nature of the business conducted by it or the character or location of the properties and assets owned or leased by it makes such licensing or qualification necessary, except where the failure to be in good standing or so licensed or qualified would not reasonably be expected to have, individually or in the aggregate, a Partnership Material Adverse Effect.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7</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true and complete copy of each of the Partnership Charter Documents is included in the Partnership SEC Documents. A true and complete copy of each of the Charter Documents of each of the Partnership’s Subsidiaries has been made available to Parent prior to the date hereof. The Partnership is not in violation of any of its Charter Documents, and none of its Subsidiaries are in violation of any of their respective Charter Documents in any material respect.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w:t>
        <w:tab/>
        <w:t>     </w:t>
      </w:r>
      <w:r>
        <w:rPr>
          <w:rFonts w:ascii="Times New Roman;Times;Serif" w:hAnsi="Times New Roman;Times;Serif"/>
          <w:b w:val="false"/>
          <w:i w:val="false"/>
          <w:caps w:val="false"/>
          <w:smallCaps w:val="false"/>
          <w:sz w:val="20"/>
          <w:u w:val="single"/>
        </w:rPr>
        <w:t>Capitalization.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of the close of business on March 31, 2023 (the “</w:t>
      </w:r>
      <w:r>
        <w:rPr>
          <w:rFonts w:ascii="Times New Roman;Times;Serif" w:hAnsi="Times New Roman;Times;Serif"/>
          <w:b w:val="false"/>
          <w:i w:val="false"/>
          <w:caps w:val="false"/>
          <w:smallCaps w:val="false"/>
          <w:sz w:val="20"/>
          <w:u w:val="single"/>
        </w:rPr>
        <w:t>Capitalization Date</w:t>
      </w:r>
      <w:r>
        <w:rPr>
          <w:rFonts w:ascii="Times New Roman;Times;Serif" w:hAnsi="Times New Roman;Times;Serif"/>
          <w:b w:val="false"/>
          <w:i w:val="false"/>
          <w:caps w:val="false"/>
          <w:smallCaps w:val="false"/>
          <w:sz w:val="20"/>
        </w:rPr>
        <w:t xml:space="preserve">”), the Partnership has (x) no partnership interests or other equity interests issued and outstanding and no Common Units held in treasury, other than (i) 51,687,865 Common Units, (ii) 1,245,000 Class B Units (comprised of (A) 415,000 Class B-4 Units, (B) 415,000 Class B-5 Units and (C) 415,000 Class B-6 Units), (iii) 13,616,022 Preference Units (comprised of (A) 5,084,984 Series A Preference Units, (B) 3,496,382 Series B Preference Units and (C) 3,061,045 Series C Preference Units) and (iv) the General Partner Interest and (y) 311,136 Common Units reserved for issuance under the Partnership Long-Term Incentive Plan as Partnership RCU Awards. All of the outstanding Partnership Interests have been duly authorized and validly issued in accordance with the Partnership Agreement, and are fully paid (to the extent required under the Partnership Agreement) and nonassessable (except (i) for the General Partner Interest, and (ii) as set forth in the Partnership Agreement or as such non-assessability may be affected by Sections 30, 41, 51 and 60 of the Marshall Islands LP Act) and, except as set forth in the Partnership Agreement, free of preemptive rights. Except (A) as set forth above in this </w:t>
      </w:r>
      <w:r>
        <w:rPr>
          <w:rFonts w:ascii="Times New Roman;Times;Serif" w:hAnsi="Times New Roman;Times;Serif"/>
          <w:b w:val="false"/>
          <w:i w:val="false"/>
          <w:caps w:val="false"/>
          <w:smallCaps w:val="false"/>
          <w:sz w:val="20"/>
          <w:u w:val="single"/>
        </w:rPr>
        <w:t>Section 3.2(a)</w:t>
      </w:r>
      <w:r>
        <w:rPr>
          <w:rFonts w:ascii="Times New Roman;Times;Serif" w:hAnsi="Times New Roman;Times;Serif"/>
          <w:b w:val="false"/>
          <w:i w:val="false"/>
          <w:caps w:val="false"/>
          <w:smallCaps w:val="false"/>
          <w:sz w:val="20"/>
        </w:rPr>
        <w:t xml:space="preserve"> or (B) as otherwise expressly permitted by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as of the date of this Agreement there are not, and, as of the Effective Time there will not be, any partnership interests, voting securities or other equity interests of the Partnership issued and outstanding or any subscriptions, options, warrants, calls, convertible or exchangeable securities, rights, commitments or agreements of any character providing for the issuance of any partnership interests, voting securities or other equity interests of the Partnership, including any representing the right to purchase or otherwise receive any of the foregoing.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set forth in the Partnership Agreement, as in effect as of the date of this Agreement, there are no outstanding obligations of the Partnership to repurchase, redeem or otherwise acquire any Partnership Interests or other equity interests or any options, warrants or other rights to acquire any partnership interests, shares of capital stock, voting securities or equity interests of the Partnership.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8</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3.3.</w:t>
        <w:tab/>
        <w:t>     </w:t>
      </w:r>
      <w:r>
        <w:rPr>
          <w:rFonts w:ascii="Times New Roman;Times;Serif" w:hAnsi="Times New Roman;Times;Serif"/>
          <w:b w:val="false"/>
          <w:i w:val="false"/>
          <w:caps w:val="false"/>
          <w:smallCaps w:val="false"/>
          <w:sz w:val="20"/>
          <w:u w:val="single"/>
        </w:rPr>
        <w:t>Authority; Noncontravention; Voting Requirements.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Partnership has all necessary partnership power and authority to execute and deliver this Agreement, to perform its obligations hereunder and, subject to obtaining the Unitholder Approval, to consummate the Transactions. The execution, delivery and performance by the Partnership of this Agreement and the consummation by the Partnership of the Transactions have been duly authorized by the Partnership Board and approved by each of the Conflicts Committee and the Partnership Board, and the Partnership Board, acting upon the Conflicts Committee Recommendation, has unanimously (i) determined that this Agreement and the Transactions are fair to and in the best interests of the Partnership and the Unaffiliated Unitholders, (ii) approved this Agreement and the Transactions, (iii) directed that this Agreement and the Transactions be submitted to a vote of the Common Unitholders, and (iv) resolved, subject to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to make the Partnership Board Recommendation. As of the date of this Agreement, neither the Conflicts Committee Recommendation nor the Partnership Board Recommendation has been subsequently rescinded, modified or withdrawn in any way. Except for obtaining the Unitholder Approval, no other entity action on the part of the Partnership is necessary to authorize the execution, delivery and performance by the Partnership of this Agreement and the consummation by the Partnership of the Transactions. This Agreement has been duly and validly executed and delivered by the Partnership and, assuming due authorization, execution and delivery of this Agreement by the Sponsor Entities, constitutes the legal, valid and binding obligation of the Partnership, enforceable against the Partnership in accordance with its terms, except as such enforceability (A) may be limited by bankruptcy, insolvency, reorganization, moratorium, fraudulent conveyance, rehabilitation, conservatorship, liquidation, receivership and other similar Laws, now or hereafter in effect, of general application affecting or relating to the enforcement of creditors’ rights generally and (B) is subject to general principles of equity, whether applied in a Proceeding or at law or in equity (collectively, the “</w:t>
      </w:r>
      <w:r>
        <w:rPr>
          <w:rFonts w:ascii="Times New Roman;Times;Serif" w:hAnsi="Times New Roman;Times;Serif"/>
          <w:b w:val="false"/>
          <w:i w:val="false"/>
          <w:caps w:val="false"/>
          <w:smallCaps w:val="false"/>
          <w:sz w:val="20"/>
          <w:u w:val="single"/>
        </w:rPr>
        <w:t>Bankruptcy and Equity Exception</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Neither the execution and delivery of this Agreement by the Partnership, nor the consummation by the Partnership of the Transactions, nor performance or compliance by the Partnership with any of the terms or provisions of this Agreement will (i) subject to the receipt of the Unitholder Approval and the General Partner Approval, conflict with or violate any provision of (A) the Partnership Charter Documents or (B) any Charter Documents of the Partnership’s Subsidiaries or (ii) assuming that the Consents, filings, declarations or registrations referred to in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and the Unitholder Approval and the General Partner Approval are obtained and made, as applicable, (A) violate any Law or Judgment applicable to the Partnership or its Subsidiaries, (B) violate or constitute a default under (with or without notice or lapse of time or both) any terms, conditions or provisions of any Contract to which the Partnership or any of its Subsidiaries is bound or give rise to any right to terminate, cancel, amend, modify or accelerate the Partnership’s or any of its Subsidiaries’ applicable rights or obligations under any such Contract, (C) give rise to any right of first refusal, preemptive right, tag-along right, transfer right or other similar right of any other party to a Contract to which the Partnership or any of its Subsidiaries is bound or (D) result in the creation of a Lien (other than Permitted Liens) on any properties or assets of the Partnership or any of its Subsidiaries, except in the case of </w:t>
      </w:r>
      <w:r>
        <w:rPr>
          <w:rFonts w:ascii="Times New Roman;Times;Serif" w:hAnsi="Times New Roman;Times;Serif"/>
          <w:b w:val="false"/>
          <w:i w:val="false"/>
          <w:caps w:val="false"/>
          <w:smallCaps w:val="false"/>
          <w:sz w:val="20"/>
          <w:u w:val="single"/>
        </w:rPr>
        <w:t>clauses (i)(B)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above, as would not reasonably be expected to have, individually or in the aggregate, a Partnership Material Adverse Effect.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9</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for the General Partner Approval, the affirmative vote (in person or by proxy) of the holders of at least a majority of the outstanding Common Units entitled to vote thereon, voting as a single class, at a Unitholders Meeting (the “</w:t>
      </w:r>
      <w:r>
        <w:rPr>
          <w:rFonts w:ascii="Times New Roman;Times;Serif" w:hAnsi="Times New Roman;Times;Serif"/>
          <w:b w:val="false"/>
          <w:i w:val="false"/>
          <w:caps w:val="false"/>
          <w:smallCaps w:val="false"/>
          <w:sz w:val="20"/>
          <w:u w:val="single"/>
        </w:rPr>
        <w:t>Unitholder Approval</w:t>
      </w:r>
      <w:r>
        <w:rPr>
          <w:rFonts w:ascii="Times New Roman;Times;Serif" w:hAnsi="Times New Roman;Times;Serif"/>
          <w:b w:val="false"/>
          <w:i w:val="false"/>
          <w:caps w:val="false"/>
          <w:smallCaps w:val="false"/>
          <w:sz w:val="20"/>
        </w:rPr>
        <w:t>”) in favor of the approval of this Agreement is the only vote or approval of the holders of any class or series of partnership interests, equity interests or capital stock of the Partnership or any of its Subsidiaries that is necessary to approve this Agreement and to consummate the Transactions.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3.4.</w:t>
        <w:tab/>
        <w:t>     </w:t>
      </w:r>
      <w:r>
        <w:rPr>
          <w:rFonts w:ascii="Times New Roman;Times;Serif" w:hAnsi="Times New Roman;Times;Serif"/>
          <w:b w:val="false"/>
          <w:i w:val="false"/>
          <w:caps w:val="false"/>
          <w:smallCaps w:val="false"/>
          <w:sz w:val="20"/>
          <w:u w:val="single"/>
        </w:rPr>
        <w:t>Governmental Approvals.</w:t>
      </w:r>
      <w:r>
        <w:rPr>
          <w:rFonts w:ascii="Times New Roman;Times;Serif" w:hAnsi="Times New Roman;Times;Serif"/>
          <w:b w:val="false"/>
          <w:i w:val="false"/>
          <w:caps w:val="false"/>
          <w:smallCaps w:val="false"/>
          <w:sz w:val="20"/>
        </w:rPr>
        <w:t xml:space="preserve"> Except for (a) compliance with the applicable requirements of the Exchange Act, including the filing with the SEC of the Schedule 13E-3 (including the filing of a proxy statement with the SEC in connection with the Merger (the “</w:t>
      </w:r>
      <w:r>
        <w:rPr>
          <w:rFonts w:ascii="Times New Roman;Times;Serif" w:hAnsi="Times New Roman;Times;Serif"/>
          <w:b w:val="false"/>
          <w:i w:val="false"/>
          <w:caps w:val="false"/>
          <w:smallCaps w:val="false"/>
          <w:sz w:val="20"/>
          <w:u w:val="single"/>
        </w:rPr>
        <w:t>Proxy Statement</w:t>
      </w:r>
      <w:r>
        <w:rPr>
          <w:rFonts w:ascii="Times New Roman;Times;Serif" w:hAnsi="Times New Roman;Times;Serif"/>
          <w:b w:val="false"/>
          <w:i w:val="false"/>
          <w:caps w:val="false"/>
          <w:smallCaps w:val="false"/>
          <w:sz w:val="20"/>
        </w:rPr>
        <w:t>”)), (b) the filing of the Certificate of Merger with the Registrar of Corporations of the Republic of the Marshall Islands, (c) compliance with the rules and regulations of the New York Stock Exchange, (d) Consents, filings, declarations or registrations as are required to be made or obtained under any applicable Antitrust Laws and (e) compliance with any applicable state securities or blue sky laws (collectively, the “</w:t>
      </w:r>
      <w:r>
        <w:rPr>
          <w:rFonts w:ascii="Times New Roman;Times;Serif" w:hAnsi="Times New Roman;Times;Serif"/>
          <w:b w:val="false"/>
          <w:i w:val="false"/>
          <w:caps w:val="false"/>
          <w:smallCaps w:val="false"/>
          <w:sz w:val="20"/>
          <w:u w:val="single"/>
        </w:rPr>
        <w:t>Governmental Approvals</w:t>
      </w:r>
      <w:r>
        <w:rPr>
          <w:rFonts w:ascii="Times New Roman;Times;Serif" w:hAnsi="Times New Roman;Times;Serif"/>
          <w:b w:val="false"/>
          <w:i w:val="false"/>
          <w:caps w:val="false"/>
          <w:smallCaps w:val="false"/>
          <w:sz w:val="20"/>
        </w:rPr>
        <w:t>”), no Consent of, or filing, declaration or registration with, any Governmental Authority is necessary for the execution and delivery of this Agreement by the Partnership, the performance by the Partnership of its obligations hereunder and the consummation by the Partnership of the Transactions, other than such other Consents, filings, declarations or registrations that, if not obtained, made or given, would not reasonably be expected to have, individually or in the aggregate, a Partnership Material Adverse Effect.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3.5.</w:t>
        <w:tab/>
        <w:t>     </w:t>
      </w:r>
      <w:r>
        <w:rPr>
          <w:rFonts w:ascii="Times New Roman;Times;Serif" w:hAnsi="Times New Roman;Times;Serif"/>
          <w:b w:val="false"/>
          <w:i w:val="false"/>
          <w:caps w:val="false"/>
          <w:smallCaps w:val="false"/>
          <w:sz w:val="20"/>
          <w:u w:val="single"/>
        </w:rPr>
        <w:t>Legal Proceedings.</w:t>
      </w:r>
      <w:r>
        <w:rPr>
          <w:rFonts w:ascii="Times New Roman;Times;Serif" w:hAnsi="Times New Roman;Times;Serif"/>
          <w:b w:val="false"/>
          <w:i w:val="false"/>
          <w:caps w:val="false"/>
          <w:smallCaps w:val="false"/>
          <w:sz w:val="20"/>
        </w:rPr>
        <w:t xml:space="preserve"> Except as would not, individually or in the aggregate, reasonably be expected to have a Partnership Material Adverse Effect, there is no (a) pending or, to the Knowledge of the Partnership, threatened in writing, Proceeding or, to the Knowledge of the Partnership, investigation against the Partnership or any of its Subsidiaries or (b) outstanding injunction, order, judgment, ruling, decree or writ of any Governmental Authority (a “</w:t>
      </w:r>
      <w:r>
        <w:rPr>
          <w:rFonts w:ascii="Times New Roman;Times;Serif" w:hAnsi="Times New Roman;Times;Serif"/>
          <w:b w:val="false"/>
          <w:i w:val="false"/>
          <w:caps w:val="false"/>
          <w:smallCaps w:val="false"/>
          <w:sz w:val="20"/>
          <w:u w:val="single"/>
        </w:rPr>
        <w:t>Judgment</w:t>
      </w:r>
      <w:r>
        <w:rPr>
          <w:rFonts w:ascii="Times New Roman;Times;Serif" w:hAnsi="Times New Roman;Times;Serif"/>
          <w:b w:val="false"/>
          <w:i w:val="false"/>
          <w:caps w:val="false"/>
          <w:smallCaps w:val="false"/>
          <w:sz w:val="20"/>
        </w:rPr>
        <w:t>”) imposed upon the Partnership or any of its Subsidiaries or any of their respective directors or officers (in their capacities as such) or, to the Knowledge of the Partnership, any other Person for whom the Partnership or any of its Subsidiaries may be liable as an indemnifying party or otherwise, in each case, by or before any Governmental Authority.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3.6.</w:t>
        <w:tab/>
        <w:t>     </w:t>
      </w:r>
      <w:r>
        <w:rPr>
          <w:rFonts w:ascii="Times New Roman;Times;Serif" w:hAnsi="Times New Roman;Times;Serif"/>
          <w:b w:val="false"/>
          <w:i w:val="false"/>
          <w:caps w:val="false"/>
          <w:smallCaps w:val="false"/>
          <w:sz w:val="20"/>
          <w:u w:val="single"/>
        </w:rPr>
        <w:t>Information Supplied.</w:t>
      </w:r>
      <w:r>
        <w:rPr>
          <w:rFonts w:ascii="Times New Roman;Times;Serif" w:hAnsi="Times New Roman;Times;Serif"/>
          <w:b w:val="false"/>
          <w:i w:val="false"/>
          <w:caps w:val="false"/>
          <w:smallCaps w:val="false"/>
          <w:sz w:val="20"/>
        </w:rPr>
        <w:t xml:space="preserve"> None of the information supplied (or to be supplied) in writing by or on behalf of the Partnership specifically for inclusion in the Schedule 13E-3 (including any amendment or supplement thereto, the Proxy Statement included therein and any document incorporated by reference therein) shall, on the date the Schedule 13E-3 is filed with the SEC, the date the Proxy Statement (including any amendment or supplement thereto) is first mailed to Common Unitholders or at the time of the Unitholders Meeting, contain any untrue statement of a material fact or omit to state any material fact required to be stated therein or necessary in order to make the statements therein, in light of the circumstances under which they are made, not misleading. The Proxy Statement will comply as to form in all material respects with the applicable requirements of the Exchange Act. Notwithstanding the foregoing, the Partnership makes no representation or warranty with respect to information supplied by or on behalf of Parent or its Affiliates for inclusion or incorporation by reference in the Schedule 13E-3.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10</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3.7.</w:t>
        <w:tab/>
        <w:t>     </w:t>
      </w:r>
      <w:r>
        <w:rPr>
          <w:rFonts w:ascii="Times New Roman;Times;Serif" w:hAnsi="Times New Roman;Times;Serif"/>
          <w:b w:val="false"/>
          <w:i w:val="false"/>
          <w:caps w:val="false"/>
          <w:smallCaps w:val="false"/>
          <w:sz w:val="20"/>
          <w:u w:val="single"/>
        </w:rPr>
        <w:t>Opinion of Financial Advisor.</w:t>
      </w:r>
      <w:r>
        <w:rPr>
          <w:rFonts w:ascii="Times New Roman;Times;Serif" w:hAnsi="Times New Roman;Times;Serif"/>
          <w:b w:val="false"/>
          <w:i w:val="false"/>
          <w:caps w:val="false"/>
          <w:smallCaps w:val="false"/>
          <w:sz w:val="20"/>
        </w:rPr>
        <w:t xml:space="preserve"> The Conflicts Committee has received the opinion of Evercore Group L.L.C. (the “</w:t>
      </w:r>
      <w:r>
        <w:rPr>
          <w:rFonts w:ascii="Times New Roman;Times;Serif" w:hAnsi="Times New Roman;Times;Serif"/>
          <w:b w:val="false"/>
          <w:i w:val="false"/>
          <w:caps w:val="false"/>
          <w:smallCaps w:val="false"/>
          <w:sz w:val="20"/>
          <w:u w:val="single"/>
        </w:rPr>
        <w:t>Financial Advisor</w:t>
      </w:r>
      <w:r>
        <w:rPr>
          <w:rFonts w:ascii="Times New Roman;Times;Serif" w:hAnsi="Times New Roman;Times;Serif"/>
          <w:b w:val="false"/>
          <w:i w:val="false"/>
          <w:caps w:val="false"/>
          <w:smallCaps w:val="false"/>
          <w:sz w:val="20"/>
        </w:rPr>
        <w:t>”), dated the date of this Agreement, to the effect that, as of such date, and subject to the assumptions and qualifications set forth therein, the Consideration to be received by the Unaffiliated Unitholders is fair, from a financial point of view, to the Partnership and the Unaffiliated Unitholders.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3.8.</w:t>
        <w:tab/>
        <w:t>     </w:t>
      </w:r>
      <w:r>
        <w:rPr>
          <w:rFonts w:ascii="Times New Roman;Times;Serif" w:hAnsi="Times New Roman;Times;Serif"/>
          <w:b w:val="false"/>
          <w:i w:val="false"/>
          <w:caps w:val="false"/>
          <w:smallCaps w:val="false"/>
          <w:sz w:val="20"/>
          <w:u w:val="single"/>
        </w:rPr>
        <w:t>Brokers and Other Advisors.</w:t>
      </w:r>
      <w:r>
        <w:rPr>
          <w:rFonts w:ascii="Times New Roman;Times;Serif" w:hAnsi="Times New Roman;Times;Serif"/>
          <w:b w:val="false"/>
          <w:i w:val="false"/>
          <w:caps w:val="false"/>
          <w:smallCaps w:val="false"/>
          <w:sz w:val="20"/>
        </w:rPr>
        <w:t xml:space="preserve"> Except for the Financial Advisor, the fees and expenses of which will be paid by the Partnership on behalf of the Conflicts Committee, no broker, investment banker or financial advisor is entitled to any broker’s, finder’s or financial advisor’s or other similar fee or commission, or the reimbursement of expenses, in connection with the Transactions based on arrangements made by or on behalf of the Conflicts Committee.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3.9.</w:t>
        <w:tab/>
        <w:t>     </w:t>
      </w:r>
      <w:r>
        <w:rPr>
          <w:rFonts w:ascii="Times New Roman;Times;Serif" w:hAnsi="Times New Roman;Times;Serif"/>
          <w:b w:val="false"/>
          <w:i w:val="false"/>
          <w:caps w:val="false"/>
          <w:smallCaps w:val="false"/>
          <w:sz w:val="20"/>
          <w:u w:val="single"/>
        </w:rPr>
        <w:t>No Other Representations or Warranties.</w:t>
      </w:r>
      <w:r>
        <w:rPr>
          <w:rFonts w:ascii="Times New Roman;Times;Serif" w:hAnsi="Times New Roman;Times;Serif"/>
          <w:b w:val="false"/>
          <w:i w:val="false"/>
          <w:caps w:val="false"/>
          <w:smallCaps w:val="false"/>
          <w:sz w:val="20"/>
        </w:rPr>
        <w:t xml:space="preserve"> Except for the representations and warranties set forth in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neither the Partnership nor its Subsidiaries nor any other Person has made or is making any express or implied representation or warranty with respect to the Partnership or its Subsidiaries or with respect to any other information provided to Parent in connection with the Transactions. Without limiting the generality of the foregoing, neither the Partnership nor its Subsidiaries nor any other Person will have or be subject to any liability or other obligation to Parent or any other Person resulting from the distribution to Parent (including its Representatives), or Parent’s (or such Representatives’) use of any such information, including any information, documents, projections, forecasts or other materials made available to Parent in certain “data rooms” or management presentations in expectation of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REPRESENTATIONS AND WARRANTIES OF THE SPONSOR ENTITIES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Sponsor Entity hereby represents and warrants, jointly and severally, to the Partnership as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w:t>
        <w:tab/>
        <w:t>     </w:t>
      </w:r>
      <w:r>
        <w:rPr>
          <w:rFonts w:ascii="Times New Roman;Times;Serif" w:hAnsi="Times New Roman;Times;Serif"/>
          <w:b w:val="false"/>
          <w:i w:val="false"/>
          <w:caps w:val="false"/>
          <w:smallCaps w:val="false"/>
          <w:sz w:val="20"/>
          <w:u w:val="single"/>
        </w:rPr>
        <w:t>Organization, Standing and Power.</w:t>
      </w:r>
      <w:r>
        <w:rPr>
          <w:rFonts w:ascii="Times New Roman;Times;Serif" w:hAnsi="Times New Roman;Times;Serif"/>
          <w:b w:val="false"/>
          <w:i w:val="false"/>
          <w:caps w:val="false"/>
          <w:smallCaps w:val="false"/>
          <w:sz w:val="20"/>
        </w:rPr>
        <w:t xml:space="preserve"> Parent has been duly organized and is validly existing as an exempted company under Bermuda law. Merger Sub has been duly organized and is validly existing as a limited liability company under Marshall Islands law. The General Partner has been duly organized and is validly existing and in good standing as a limited liability company under Marshall Islands law.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w:t>
        <w:tab/>
        <w:t>     </w:t>
      </w:r>
      <w:r>
        <w:rPr>
          <w:rFonts w:ascii="Times New Roman;Times;Serif" w:hAnsi="Times New Roman;Times;Serif"/>
          <w:b w:val="false"/>
          <w:i w:val="false"/>
          <w:caps w:val="false"/>
          <w:smallCaps w:val="false"/>
          <w:sz w:val="20"/>
          <w:u w:val="single"/>
        </w:rPr>
        <w:t>Operations and Ownership of Merger Sub.</w:t>
      </w:r>
      <w:r>
        <w:rPr>
          <w:rFonts w:ascii="Times New Roman;Times;Serif" w:hAnsi="Times New Roman;Times;Serif"/>
          <w:b w:val="false"/>
          <w:i w:val="false"/>
          <w:caps w:val="false"/>
          <w:smallCaps w:val="false"/>
          <w:sz w:val="20"/>
        </w:rPr>
        <w:t xml:space="preserve"> Parent beneficially owns all of the issued and outstanding limited liability company interests in Merger Sub. Merger Sub was formed solely for the purpose of engaging in the Merger and other Transactions and has not conducted any business other than incident to its formation and pursuant to this Agreement, the Merger and the other Transactions and the financing of such Transactions.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4.3.</w:t>
        <w:tab/>
        <w:t>     </w:t>
      </w:r>
      <w:r>
        <w:rPr>
          <w:rFonts w:ascii="Times New Roman;Times;Serif" w:hAnsi="Times New Roman;Times;Serif"/>
          <w:b w:val="false"/>
          <w:i w:val="false"/>
          <w:caps w:val="false"/>
          <w:smallCaps w:val="false"/>
          <w:sz w:val="20"/>
          <w:u w:val="single"/>
        </w:rPr>
        <w:t>Authority; Noncontravention.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Sponsor Entities has all necessary power and authority to execute and deliver this Agreement and the Support Agreement, as applicable, to perform its obligations hereunder and thereunder and to consummate the transactions contemplated hereby and thereby. The execution, delivery and performance by the Sponsor Entities of this Agreement, and the consummation of the Transactions have been unanimously authorized and approved by the Parent Board, the sole member of the General Partner and the sole member of Merger Sub.</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11</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Parent Board has unanimously (i) determined that this Agreement and the Support Agreement and the transactions contemplated hereby and thereby are in the best interests of Parent and (ii) approved this Agreement and the Support Agreement and the transactions contemplated hereby and thereby. Each of GEPIF and BHL, in its capacity as a common shareholder of Parent, has consented to and approved this Agreement and the Transactions in accordance with the Shareholders’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Parent, in its capacity as the sole member of Merger Sub, has (i) determined that this Agreement and the Transactions are in the best interests of Merger Sub and declared it advisable to enter into this Agreement and (ii) approved the adoption, execution, delivery and performance of this Agreement and the Transactions.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Parent, in its capacity as the sole member of the General Partner, has (i) determined that this Agreement and the Transactions are in the best interests of the General Partner and declared it advisable to consent to and enter into this Agreement and (ii) consented to and approved this Agreement and the Transactions.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Neither the execution and delivery of this Agreement or the Support Agreement by a Sponsor Entity, nor the consummation by the Sponsor Entities of the transactions contemplated hereby or thereby, nor the performance or compliance by the Sponsor Entities with any of the terms or provisions of this Agreement or the Support Agreement, will (i) conflict with or violate any provision of the Charter Documents of the Sponsor Entities or (ii) assuming that the Consents, filings, declarations or registrations referred to in </w:t>
      </w:r>
      <w:r>
        <w:rPr>
          <w:rFonts w:ascii="Times New Roman;Times;Serif" w:hAnsi="Times New Roman;Times;Serif"/>
          <w:b w:val="false"/>
          <w:i w:val="false"/>
          <w:caps w:val="false"/>
          <w:smallCaps w:val="false"/>
          <w:sz w:val="20"/>
          <w:u w:val="single"/>
        </w:rPr>
        <w:t xml:space="preserve">Section 4.4 </w:t>
      </w:r>
      <w:r>
        <w:rPr>
          <w:rFonts w:ascii="Times New Roman;Times;Serif" w:hAnsi="Times New Roman;Times;Serif"/>
          <w:b w:val="false"/>
          <w:i w:val="false"/>
          <w:caps w:val="false"/>
          <w:smallCaps w:val="false"/>
          <w:sz w:val="20"/>
        </w:rPr>
        <w:t xml:space="preserve">are made and obtained, as applicable, (A) violate any Law applicable to the Sponsor Entities, (B) violate or constitute a default under (with or without notice of lapse of time or both) any of the terms, conditions or provisions of any Contract to which the Sponsor Entities, as applicable, are bound or give rise to any right to terminate, cancel, amend, modify or accelerate the Sponsor Entities’ rights or obligations under any such Contract, (C) give rise to any right of first refusal, preemptive right, tag-along right, transfer right or other similar right of any other party to a Contract to which the Sponsor Entities are bound or (D) result in the creation of any Lien on any properties or assets of the Sponsor Entities (other than any Permitted Liens or Liens related to the Debt Financing), except, in the case of </w:t>
      </w:r>
      <w:r>
        <w:rPr>
          <w:rFonts w:ascii="Times New Roman;Times;Serif" w:hAnsi="Times New Roman;Times;Serif"/>
          <w:b w:val="false"/>
          <w:i w:val="false"/>
          <w:caps w:val="false"/>
          <w:smallCaps w:val="false"/>
          <w:sz w:val="20"/>
          <w:u w:val="single"/>
        </w:rPr>
        <w:t>clauses (i)(B)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above, as would not, individually or in the aggregate, reasonably be expected to prevent or materially delay, interfere with, hinder or impair the consummation by the Sponsor Entities of any of the Transactions in accordance with the terms of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Simultaneously with the execution of this Agreement, Parent has executed and delivered the Support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4.4.</w:t>
        <w:tab/>
        <w:t>     </w:t>
      </w:r>
      <w:r>
        <w:rPr>
          <w:rFonts w:ascii="Times New Roman;Times;Serif" w:hAnsi="Times New Roman;Times;Serif"/>
          <w:b w:val="false"/>
          <w:i w:val="false"/>
          <w:caps w:val="false"/>
          <w:smallCaps w:val="false"/>
          <w:sz w:val="20"/>
          <w:u w:val="single"/>
        </w:rPr>
        <w:t>Governmental Approvals.</w:t>
      </w:r>
      <w:r>
        <w:rPr>
          <w:rFonts w:ascii="Times New Roman;Times;Serif" w:hAnsi="Times New Roman;Times;Serif"/>
          <w:b w:val="false"/>
          <w:i w:val="false"/>
          <w:caps w:val="false"/>
          <w:smallCaps w:val="false"/>
          <w:sz w:val="20"/>
        </w:rPr>
        <w:t xml:space="preserve"> Except for (a) compliance with the applicable requirements of the Exchange Act, including the filing with the SEC of the Schedule 13E-3 (including the Proxy Statement therein), (b) the filing of the Certificate of Merger with the Registrar of Corporations of the Republic of the Marshall Islands, (c) compliance with the rules and regulations of the New York Stock Exchange, (d) Consents, filings, declarations or registrations as are required to be made or obtained under applicable Antitrust Laws and (e) compliance with any applicable state securities or blue sky laws, no Consent of, or filing, declaration or registration with, any Governmental Authority is necessary for the execution and delivery of this Agreement or the Support Agreement by the Sponsor Entities, the performance by the Sponsor Entities of their obligations hereunder and thereunder and the consummation by the Sponsor Entities of the transactions contemplated hereby and thereby, other than such Consents, filings, declarations or registrations that, if not obtained, made or given, would not, individually or in the aggregate, reasonably be expected to materially impede or delay the ability of the Sponsor Entities to consummate the Merger or comply with their respective obligations under this Agreement or the Support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4.5.</w:t>
        <w:tab/>
        <w:t>     </w:t>
      </w:r>
      <w:r>
        <w:rPr>
          <w:rFonts w:ascii="Times New Roman;Times;Serif" w:hAnsi="Times New Roman;Times;Serif"/>
          <w:b w:val="false"/>
          <w:i w:val="false"/>
          <w:caps w:val="false"/>
          <w:smallCaps w:val="false"/>
          <w:sz w:val="20"/>
          <w:u w:val="single"/>
        </w:rPr>
        <w:t>Legal Proceedings.</w:t>
      </w:r>
      <w:r>
        <w:rPr>
          <w:rFonts w:ascii="Times New Roman;Times;Serif" w:hAnsi="Times New Roman;Times;Serif"/>
          <w:b w:val="false"/>
          <w:i w:val="false"/>
          <w:caps w:val="false"/>
          <w:smallCaps w:val="false"/>
          <w:sz w:val="20"/>
        </w:rPr>
        <w:t xml:space="preserve"> Except as would not, individually or in the aggregate, reasonably be expected to prevent or materially delay, interfere with, hinder or impair the consummation by the Sponsor Entities of any of the Transactions in accordance with the terms of this Agreement, there is no (a) pending or, to the Knowledge of Parent, threatened in writing, Proceeding or, to the Knowledge of Parent, investigation against Parent, Merger Sub or the General Partner or (b) outstanding Judgment imposed upon Parent, Merger Sub or the General Partner or any director or officer thereof (in their capacities as such) or, to the Knowledge of Parent, any other Person for whom Parent, Merger Sub or the General Partner may be liable as an indemnifying party or otherwise, in each case, by or before any Governmental Authority.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4.6.</w:t>
        <w:tab/>
        <w:t>     </w:t>
      </w:r>
      <w:r>
        <w:rPr>
          <w:rFonts w:ascii="Times New Roman;Times;Serif" w:hAnsi="Times New Roman;Times;Serif"/>
          <w:b w:val="false"/>
          <w:i w:val="false"/>
          <w:caps w:val="false"/>
          <w:smallCaps w:val="false"/>
          <w:sz w:val="20"/>
          <w:u w:val="single"/>
        </w:rPr>
        <w:t>Debt Financing.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has delivered to the Partnership a true and complete copy of a fully executed debt commitment letter dated as of the date hereof, together with all schedules, exhibits, annexes and term sheets attached thereto, pursuant to which the Debt Financing Sources party thereto have committed to provide to Merger Sub, subject to the terms and conditions therein, debt financing in the aggregate amount set forth therein (the “</w:t>
      </w:r>
      <w:r>
        <w:rPr>
          <w:rFonts w:ascii="Times New Roman;Times;Serif" w:hAnsi="Times New Roman;Times;Serif"/>
          <w:b w:val="false"/>
          <w:i w:val="false"/>
          <w:caps w:val="false"/>
          <w:smallCaps w:val="false"/>
          <w:sz w:val="20"/>
          <w:u w:val="single"/>
        </w:rPr>
        <w:t>Debt Financing</w:t>
      </w:r>
      <w:r>
        <w:rPr>
          <w:rFonts w:ascii="Times New Roman;Times;Serif" w:hAnsi="Times New Roman;Times;Serif"/>
          <w:b w:val="false"/>
          <w:i w:val="false"/>
          <w:caps w:val="false"/>
          <w:smallCaps w:val="false"/>
          <w:sz w:val="20"/>
        </w:rPr>
        <w:t>”) with only fee amounts and other customary commercially sensitive terms redacted, none of which redacted provisions could affect the conditionality, enforceability, availability or aggregate principal amount of the Debt Financing (the “</w:t>
      </w:r>
      <w:r>
        <w:rPr>
          <w:rFonts w:ascii="Times New Roman;Times;Serif" w:hAnsi="Times New Roman;Times;Serif"/>
          <w:b w:val="false"/>
          <w:i w:val="false"/>
          <w:caps w:val="false"/>
          <w:smallCaps w:val="false"/>
          <w:sz w:val="20"/>
          <w:u w:val="single"/>
        </w:rPr>
        <w:t>Debt Commitment Letter</w:t>
      </w:r>
      <w:r>
        <w:rPr>
          <w:rFonts w:ascii="Times New Roman;Times;Serif" w:hAnsi="Times New Roman;Times;Serif"/>
          <w:b w:val="false"/>
          <w:i w:val="false"/>
          <w:caps w:val="false"/>
          <w:smallCaps w:val="false"/>
          <w:sz w:val="20"/>
        </w:rPr>
        <w:t xml:space="preserve">”). As of the date of this Agreement, the Debt Commitment Letter in the form delivered to the Partnership has not been amended or modified, no such amendment or modification is contemplated and none of the obligations and commitments contained in such Debt Commitment Letter have been withdrawn, terminated or rescinded in any respect and no such withdrawal, termination or rescission is contemplated. Neither Parent, Merger Sub nor any of their Affiliates has entered into any agreement, side letter or other arrangement relating to the Debt Financing other than as set forth in the Debt Commitment Letter provided to the Partnership pursuant to this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Assuming the accuracy of the representations and warranties set forth in </w:t>
      </w:r>
      <w:r>
        <w:rPr>
          <w:rFonts w:ascii="Times New Roman;Times;Serif" w:hAnsi="Times New Roman;Times;Serif"/>
          <w:b w:val="false"/>
          <w:i w:val="false"/>
          <w:caps w:val="false"/>
          <w:smallCaps w:val="false"/>
          <w:sz w:val="20"/>
          <w:u w:val="single"/>
        </w:rPr>
        <w:t>Section 3.2(a)</w:t>
      </w:r>
      <w:r>
        <w:rPr>
          <w:rFonts w:ascii="Times New Roman;Times;Serif" w:hAnsi="Times New Roman;Times;Serif"/>
          <w:b w:val="false"/>
          <w:i w:val="false"/>
          <w:caps w:val="false"/>
          <w:smallCaps w:val="false"/>
          <w:sz w:val="20"/>
        </w:rPr>
        <w:t xml:space="preserve"> and compliance by the Partnership with </w:t>
      </w:r>
      <w:r>
        <w:rPr>
          <w:rFonts w:ascii="Times New Roman;Times;Serif" w:hAnsi="Times New Roman;Times;Serif"/>
          <w:b w:val="false"/>
          <w:i w:val="false"/>
          <w:caps w:val="false"/>
          <w:smallCaps w:val="false"/>
          <w:sz w:val="20"/>
          <w:u w:val="single"/>
        </w:rPr>
        <w:t>Sections 5.2(b)(i)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5.13</w:t>
      </w:r>
      <w:r>
        <w:rPr>
          <w:rFonts w:ascii="Times New Roman;Times;Serif" w:hAnsi="Times New Roman;Times;Serif"/>
          <w:b w:val="false"/>
          <w:i w:val="false"/>
          <w:caps w:val="false"/>
          <w:smallCaps w:val="false"/>
          <w:sz w:val="20"/>
        </w:rPr>
        <w:t>, the Debt Financing, when funded in accordance with the Debt Commitment Letter, together with cash on hand of Parent and its Subsidiaries, will provide Parent and Merger Sub with sources of immediately available funds in the aggregate sufficient for Parent and Merger Sub to pay the aggregate Merger Consideration and any other amount required to be paid by Parent or Merger Sub in connection with the consummation of the Transactions.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Debt Commitment Letter is in full force and effect and is the legal, valid, binding and enforceable obligation of Parent and, to the Knowledge of Parent, each of the other parties thereto, except as enforcement may be limited by and subject to the Bankruptcy and Equity Exception. As of the date of this Agreement, no event has occurred which, with or without notice, lapse of time or both, would or would reasonably be expected to constitute a default or breach by Parent or any of its Subsidiaries or, to the Knowledge of Parent, any other party thereto, of any term of the Debt Commitment Letter. As of the date of this Agreement, assuming the satisfaction of the conditions set forth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and the performance by the Partnership of its obligations under this Agreement, Parent does not have any reason to believe that any party to the Debt Commitment Letter will be unable to satisfy on a timely basis any term or condition of the Debt Commitment Letter required to be satisfied by it, that the conditions to the Debt Financing in the Debt Commitment Letter will not otherwise be satisfied or that the full amount of the Debt Financing will not be available on the Closing Date. The only conditions precedent or other contingencies related to the obligations of the Debt Financing Sources party to the Debt Commitment Letter to fund the full amount of the Debt Financing are those expressly set forth in the Debt Commitment Letter. As of the date of this Agreement, there are no side letters or other Contracts, arrangements or understandings (whether oral or written and whether or not legally binding) or commitments to enter into side letters or other Contracts, arrangements or understandings (whether oral or written and whether or not legally binding) to which Parent, Merger Sub or any of their Affiliates is a party related to the Debt Financing other than as expressly contained in the Debt Commitment Letter and delivered to the Partnership prior to the date of this Agreement. For the avoidance of doubt, in no event shall the receipt or availability of any funds or financing by or to Parent, Merger Sub or any Affiliate of Parent or Merger Sub be a condition to any obligations of the Sponsor Entities hereunder.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4.7.</w:t>
        <w:tab/>
        <w:t>     </w:t>
      </w:r>
      <w:r>
        <w:rPr>
          <w:rFonts w:ascii="Times New Roman;Times;Serif" w:hAnsi="Times New Roman;Times;Serif"/>
          <w:b w:val="false"/>
          <w:i w:val="false"/>
          <w:caps w:val="false"/>
          <w:smallCaps w:val="false"/>
          <w:sz w:val="20"/>
          <w:u w:val="single"/>
        </w:rPr>
        <w:t>Information Supplied.</w:t>
      </w:r>
      <w:r>
        <w:rPr>
          <w:rFonts w:ascii="Times New Roman;Times;Serif" w:hAnsi="Times New Roman;Times;Serif"/>
          <w:b w:val="false"/>
          <w:i w:val="false"/>
          <w:caps w:val="false"/>
          <w:smallCaps w:val="false"/>
          <w:sz w:val="20"/>
        </w:rPr>
        <w:t xml:space="preserve"> None of the information supplied (or to be supplied) in writing by or on behalf of the Sponsor Entities specifically for inclusion in the Schedule 13E-3 (including any amendment or supplement thereto, the Proxy Statement included therein and any document incorporated by reference therein) shall, on the date the Schedule 13E-3 is filed with the SEC, the date the Proxy Statement (including any amendment or supplement thereto) is first mailed to Common Unitholders or at the time of the Unitholders Meeting, contain any untrue statement of a material fact or omit to state any material fact required to be stated therein or necessary in order to make the statements therein, in light of the circumstances under which they are made, not misleading. Notwithstanding the foregoing, the Sponsor Entities make no representation or warranty with respect to information supplied by or on behalf of the Partnership for inclusion or incorporation by reference in the Schedule 13E-3.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4.8.</w:t>
        <w:tab/>
        <w:t>     </w:t>
      </w:r>
      <w:r>
        <w:rPr>
          <w:rFonts w:ascii="Times New Roman;Times;Serif" w:hAnsi="Times New Roman;Times;Serif"/>
          <w:b w:val="false"/>
          <w:i w:val="false"/>
          <w:caps w:val="false"/>
          <w:smallCaps w:val="false"/>
          <w:sz w:val="20"/>
          <w:u w:val="single"/>
        </w:rPr>
        <w:t>Ownership of Partnership Interests.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of the date of this Agreement, Parent is the beneficial owner of (i) 15,621,602 Common Units and (ii) 1,245,000 Class B Units (comprised of (A) 415,000 Class B-4 Units, (B) 415,000 Class B-5 Units and (C) 415,000 Class B-6 Units), which represent all of the Common Units and Class B Units held beneficially by Parent or any of its Subsidiaries. Such Common Units and Class B Units have been duly authorized and validly issued in accordance with the Partnership Agreement; and Parent beneficially owns such Common Units and Class B Units, free and clear of all Liens (other than Permitted Liens), except for restrictions on transferability contained in the Partnership Agreement or as may be affected by Sections 30, 41, 51 and 60 of the Marshall Islands LP Act.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General Partner is the sole general partner of the Partnership and owner of the General Partner Interest; such General Partner Interest has been duly authorized and validly issued in accordance with the Partnership Agreement; and the General Partner owns such General Partner Interest free and clear of all Liens, except for restrictions on transferability contained in the Partnership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4.9.</w:t>
        <w:tab/>
        <w:t>     </w:t>
      </w:r>
      <w:r>
        <w:rPr>
          <w:rFonts w:ascii="Times New Roman;Times;Serif" w:hAnsi="Times New Roman;Times;Serif"/>
          <w:b w:val="false"/>
          <w:i w:val="false"/>
          <w:caps w:val="false"/>
          <w:smallCaps w:val="false"/>
          <w:sz w:val="20"/>
          <w:u w:val="single"/>
        </w:rPr>
        <w:t>No Other Representations or Warranties.</w:t>
      </w:r>
      <w:r>
        <w:rPr>
          <w:rFonts w:ascii="Times New Roman;Times;Serif" w:hAnsi="Times New Roman;Times;Serif"/>
          <w:b w:val="false"/>
          <w:i w:val="false"/>
          <w:caps w:val="false"/>
          <w:smallCaps w:val="false"/>
          <w:sz w:val="20"/>
        </w:rPr>
        <w:t xml:space="preserve"> Except for the representations and warranties set forth in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none of the Sponsor Entities, nor any other Person has made or is making any express or implied representation or warranty with respect to the Sponsor Entities or with respect to any other information provided to the Partnership and in connection with the Transactions. Without limiting the generality of the foregoing, none of the Sponsor Entities, nor any other Person will have or be subject to any liability or other obligation to the Partnership or any other Person resulting from the distribution to the Partnership or its Representatives, or the Partnership’s (or its Representatives’) use of any such information, including any information, documents, projections, forecasts or other materials made available to the Partnership in any “data rooms” or management presentations in expectation of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COVENANTS AND AGREEMENTS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w:t>
        <w:tab/>
        <w:t>     </w:t>
      </w:r>
      <w:r>
        <w:rPr>
          <w:rFonts w:ascii="Times New Roman;Times;Serif" w:hAnsi="Times New Roman;Times;Serif"/>
          <w:b w:val="false"/>
          <w:i w:val="false"/>
          <w:caps w:val="false"/>
          <w:smallCaps w:val="false"/>
          <w:sz w:val="20"/>
          <w:u w:val="single"/>
        </w:rPr>
        <w:t>Preparation of the Proxy Statement and the Schedule 13E-3; Unitholders Meeting.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soon as practicable following the date of this Agreement, the Partnership and Parent shall prepare and file with the SEC the Proxy Statement and the Rule 13E-3 transaction statement on Schedule 13E-3 (as amended or supplemented, the “</w:t>
      </w:r>
      <w:r>
        <w:rPr>
          <w:rFonts w:ascii="Times New Roman;Times;Serif" w:hAnsi="Times New Roman;Times;Serif"/>
          <w:b w:val="false"/>
          <w:i w:val="false"/>
          <w:caps w:val="false"/>
          <w:smallCaps w:val="false"/>
          <w:sz w:val="20"/>
          <w:u w:val="single"/>
        </w:rPr>
        <w:t>Schedule 13E-3</w:t>
      </w:r>
      <w:r>
        <w:rPr>
          <w:rFonts w:ascii="Times New Roman;Times;Serif" w:hAnsi="Times New Roman;Times;Serif"/>
          <w:b w:val="false"/>
          <w:i w:val="false"/>
          <w:caps w:val="false"/>
          <w:smallCaps w:val="false"/>
          <w:sz w:val="20"/>
        </w:rPr>
        <w:t>”). The Partnership shall use its commercially reasonable efforts to cause the Proxy Statement to be mailed to the Common Unitholders as promptly as practicable following the date of this Agreement. No filing of, or amendment or supplement to, including by incorporation by reference, the Proxy Statement or the Schedule 13E-3 will be made by any Party without providing the other Parties a reasonable opportunity to review and comment thereon. If at any time prior to the Effective Time any information relating to the Partnership or Parent, or any of their respective Affiliates, directors or officers, is discovered by the Partnership or Parent that should be set forth in an amendment or supplement to either the Proxy Statement or the Schedule 13E-3, so that any such document would not include any misstatement of a material fact or omit to state any material fact necessary to make the statements therein, in the light of the circumstances under which they were made, not misleading, the Party that discovers such information shall promptly notify the other Parties and an appropriate amendment or supplement describing such information shall be jointly prepared and promptly filed with the SEC and, to the extent required by Law, disseminated to the Common Unitholders. The Parties shall notify each other promptly of the receipt of any comments from the SEC or the staff of the SEC and of any request by the SEC or the staff of the SEC for amendments or supplements to either of the Proxy Statement or the Schedule 13E-3 or for additional information and shall supply each other with copies of all correspondence between it or any of its Representatives, on the one hand, and the SEC or the staff of the SEC, on the other hand, with respect to the Proxy Statement and the Schedule 13E-3 or the transactions contemplated by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15</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Partnership shall, as soon as practicable following the date of this Agreement, establish a record date for, duly call, give notice of, convene and hold a special meeting of the Common Unitholders (the “</w:t>
      </w:r>
      <w:r>
        <w:rPr>
          <w:rFonts w:ascii="Times New Roman;Times;Serif" w:hAnsi="Times New Roman;Times;Serif"/>
          <w:b w:val="false"/>
          <w:i w:val="false"/>
          <w:caps w:val="false"/>
          <w:smallCaps w:val="false"/>
          <w:sz w:val="20"/>
          <w:u w:val="single"/>
        </w:rPr>
        <w:t>Unitholders Meeting</w:t>
      </w:r>
      <w:r>
        <w:rPr>
          <w:rFonts w:ascii="Times New Roman;Times;Serif" w:hAnsi="Times New Roman;Times;Serif"/>
          <w:b w:val="false"/>
          <w:i w:val="false"/>
          <w:caps w:val="false"/>
          <w:smallCaps w:val="false"/>
          <w:sz w:val="20"/>
        </w:rPr>
        <w:t xml:space="preserve">”) for the purpose of obtaining the Unitholder Approval. Subject to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the Partnership Board shall, acting upon the Conflicts Committee Recommendation, make the Partnership Board Recommendation, and the Partnership shall use its commercially reasonable efforts to solicit from the Common Unitholders proxies in favor of the Merger and to take all other action necessary or advisable to secure the Unitholder Approval. The Proxy Statement shall include, subject to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the Partnership Board Recommendation. Once the Unitholders Meeting has been called and noticed, the Partnership shall not postpone or adjourn the Unitholders Meeting without the consent of Parent (other than (i) in order to obtain a quorum of the Common Unitholders or (ii) as reasonably determined by the Partnership to comply with applicable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the Unitholders Meeting be adjourned or postponed for longer than 10 days without the prior written consent of Parent. In no event shall any matter be submitted to the Common Unitholders at the Unitholders Meeting other than the matters specifically contemplated by this Agreement without the prior written consent of Parent.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Unless this Agreement is validly terminated in accordance with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the Partnership shall submit this Agreement to the Common Unitholders for approval at the Unitholders Meeting even if the Conflicts Committee shall have effected an Adverse Recommendation Change.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w:t>
        <w:tab/>
        <w:t>     </w:t>
      </w:r>
      <w:r>
        <w:rPr>
          <w:rFonts w:ascii="Times New Roman;Times;Serif" w:hAnsi="Times New Roman;Times;Serif"/>
          <w:b w:val="false"/>
          <w:i w:val="false"/>
          <w:caps w:val="false"/>
          <w:smallCaps w:val="false"/>
          <w:sz w:val="20"/>
          <w:u w:val="single"/>
        </w:rPr>
        <w:t>Conduct of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required by applicable Law or Judgment or as expressly required by this Agreement, during the period from the date of this Agreement until the Effective Time (or such earlier date on which this Agreement is validly terminated pursuant to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unless Parent otherwise expressly consents in writing (such consent not to be unreasonably withheld, conditioned or delayed), the Partnership shall, and shall cause each of its Subsidiaries to, (i) conduct its business in the ordinary course of business consistent with past practice and (ii) to the extent consistent with the foregoing, use commercially reasonable efforts to maintain and preserve intact its business organization, existing relations with key customers, suppliers and other Persons with whom the Partnership or its Subsidiaries have significant business relationships and the goodwill and reputation of the Partnership’s and its Subsidiaries’ respective businesses.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16</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required by applicable Law or Judgment or as expressly required by this Agreement, during the period from the date of this Agreement until the Effective Time (or such earlier date on which this Agreement is validly terminated pursuant to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unless Parent otherwise expressly consents in writing (such consent not to be unreasonably withheld, conditioned or delayed), the Partnership shall not, and shall cause each of its Subsidiaries not to:</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issue, sell, transfer, pledge, dispose of, grant or authorize the issuance, sale, transfer, pledge, disposition or grant of, any Common Units or other equity or voting interests in the Partnership or its Subsidiaries, as applicable, or any securities or rights convertible into, exchangeable or exercisable for, or evidencing the right to subscribe for, any Common Units or other equity or voting interests, or any rights, warrants or options to purchase any shares of its Common Units or other equity or voting interests in the Partnership or its Subsidiaries, as applicable;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Partnership may issue Common Units or other securities as required pursuant to (A) the issuance of Common Units upon conversion of Class B Units in accordance with the Partnership Agreement and (B) the vesting or settlement of Partnership Awards outstanding on the date of this Agreement in accordance with the terms of the applicable Partnership Award in effect on the date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the Subsidiaries of the Partnership may make any such sales, issuances, transfers, pledges, dispositions or grants to the Partnership or a direct or indirect wholly owned Subsidiary of the Partnership;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for the avoidance of doubt, the Partnership may cancel Preference Units following the redemption or repurchase of such Preference Units;</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redeem, purchase or otherwise acquire, directly or indirectly, any outstanding Common Units or other equity or voting interests of the Partnership or its Subsidiaries or any rights, warrants or options to acquire any Common Units or other equity or voting interests of the Partnership or its Subsidiaries, except (A) pursuant to the Partnership Awards outstanding on the date of this Agreement in accordance with the terms of the applicable Partnership Award, (B) in connection with the satisfaction of Tax withholding obligations with respect to Partnership Awards or (C) that the Partnership may purchase or redeem Preference Units;</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establish a record date for, declare, set aside for payment or pay any dividend on, or make any other distribution in respect of, any Common Units or other equity or voting interests of, or other securities or obligations convertible (whether currently convertible or convertible only after the passage of time or the occurrence of specific events) into or exchangeable for any equity interests of the Partnership or any of its Subsidiaries, in each case, other than (A) regular quarterly cash distributions not to exceed $0.01 per Common Unit in each case consistent with customary declaration, record and payment dates consistent with past practice and, with respect to Preference Units, in accordance with their terms or (B) dividends or distributions from wholly owned Subsidiaries of the Partnership to other wholly owned Subsidiaries of the Partnership or to the Partnership;</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split, combine, subdivide or reclassify any Common Units or other equity or voting interests of the Partnership or any non-wholly owned Subsidiaries of the Partnership;</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 amend the Partnership Charter Documents or (B) amend in any material respect the comparable Charter Documents of any of the Subsidiaries of the Partnership in a manner that would reasonably be expected to prevent or to impede, interfere with, hinder or delay in any material respect the consummation of the Transactions;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17</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adopt a plan or agreement of complete or partial liquidation or dissolution, merger, amalgamation, consolidation, restructuring, recapitalization or other reorganization of the Partnership or any of its Subsidiaries (other than dormant Subsidiaries or, with respect to any merger, amalgamation or consolidation, other than among the Partnership and any wholly owned Subsidiary of the Partnership or among wholly owned Subsidiaries of the Partnership);</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 sell, lease or dispose of any portion of its assets, business or properties other than in the ordinary course of business consistent with past practice (including distributions permitted under </w:t>
      </w:r>
      <w:r>
        <w:rPr>
          <w:rFonts w:ascii="Times New Roman;Times;Serif" w:hAnsi="Times New Roman;Times;Serif"/>
          <w:b w:val="false"/>
          <w:i w:val="false"/>
          <w:caps w:val="false"/>
          <w:smallCaps w:val="false"/>
          <w:sz w:val="20"/>
          <w:u w:val="single"/>
        </w:rPr>
        <w:t>Section 5.2(b)(iii)</w:t>
      </w:r>
      <w:r>
        <w:rPr>
          <w:rFonts w:ascii="Times New Roman;Times;Serif" w:hAnsi="Times New Roman;Times;Serif"/>
          <w:b w:val="false"/>
          <w:i w:val="false"/>
          <w:caps w:val="false"/>
          <w:smallCaps w:val="false"/>
          <w:sz w:val="20"/>
        </w:rPr>
        <w:t>) or (B) acquire, by merger or otherwise, or lease any assets or all or any portion of the business or property of any other entity other than in the ordinary course of business consistent with past practice;</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convert from a limited partnership or limited liability company (as applicable), as the case may be, to any other business entity;</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other than in the ordinary course of business consistent with past practice, enter into, adopt, agree to, amend, modify or terminate any collective bargaining agreement or other Contract with any labor union, works council or other labor organization;</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other than as required under the terms of any compensation or benefit plan, Contract or agreement as in effect as of the date hereof and provided to Parent (A) enter into, adopt, agree to, amend, modify or terminate any compensation or benefit plan, policy, program, Contract, agreement or arrangement, (B) grant, announce or increase, or commit to grant, announce or increase, any cash or equity or equity-based incentive, bonus, retention, severance or similar compensation or (C) accelerate or commit to accelerate the funding, payment or vesting of the benefits or compensation payable to any current or former employee, officer, director or individual independent contractor of the Partnership or any of its Subsidiaries;</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modify, amend, terminate or assign, or waive or assign any rights under, any Material Contract in a manner that is materially adverse to Parent and its Subsidiaries, taken as a whole, or which would have a Partnership Material Adverse Effect;</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waive, release, assign, settle or compromise any Proceeding, including any state or federal regulatory Proceeding, seeking damages or injunction or other equitable relief, which is (A) material to the Partnership and its Subsidiaries, taken as a whole, or (B) a Proceeding relating to the Transactions;</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other than in the ordinary course of business consistent with past practice, (A) incur, assume, guarantee or otherwise become liable for any indebtedness (directly, contingently or otherwise), other than any borrowings under the Partnership’s credit facilities in existence as of the date of this Agreement, (B) create any Lien on its property or the property of its Subsidiaries to secure indebtedness or (C) enter into any Contract having the economic effect of any of the foregoing;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18</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(A) change in any material respect any of its express or deemed elections relating to Taxes, including elections for any and all joint ventures, partnerships, limited liability companies or other investments where it has the capacity to make such binding election, (B) settle or compromise any material Proceeding relating to Taxes or (C) change in any material respect any of its methods of reporting income or deductions for federal income Tax purposes from those employed in the preparation of its federal income Tax Return for the most recent taxable year for which a return has been filed, except as may be required by applicable Law;</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knowingly take any action that is intended or is reasonably likely to result in (A) any of its representations and warranties set forth in this Agreement being or becoming untrue in any material respect at the Closing Date, (B) any of the conditions to the Closing set forth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not being satisfied, (C) any material delay or prevention of the consummation of the Merger or (D) a material violation of any provision of this Agreement; or</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authorize any of, or commit or agree, in writing or otherwise, to take any of, the foregoing actions.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anything to the contrary herein, the Partnership may, and may permit or cause any Subsidiary of the Partnership to, take actions as may be reasonably necessary with respect to (i) any operational or maritime emergencies (including any piracy, marine disasters, accidents involving a Vessel, hurricanes, strong winds, ice event, fire, tornado, tsunami, flood, earthquake or other natural or manmade disaster or severe weather-related event, circumstance or development), equipment failures or an immediate and material threat to the health or safety of natural Persons, property, Vessels or the environment and (ii) the actual or anticipated effects of COVID-19 or any COVID-19 Measure;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each case, the Partnership shall promptly notify Parent of any such emergency situation or COVID-19 Measure to the extent it involves any immediate and material threat to the health or safety of natural Persons, property, Vessels or the environment and any actions taken in response thereto.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Notwithstanding anything to the contrary herein, during the period from the date of this Agreement until the Effective Time, if permitted by applicable Law, the Partnership shall declare and pay regular quarterly cash distributions to the holders of each of the Common Units, the Series A Preference Units, the Series B Preference Units and the Series C Preference Units, respectively, consistent with past practice;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the regular quarterly cash distributions declared or paid by Partnership to the holders of Common Units be less than $0.01 per Common Unit.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5.3.</w:t>
        <w:tab/>
        <w:t>     </w:t>
      </w:r>
      <w:r>
        <w:rPr>
          <w:rFonts w:ascii="Times New Roman;Times;Serif" w:hAnsi="Times New Roman;Times;Serif"/>
          <w:b w:val="false"/>
          <w:i w:val="false"/>
          <w:caps w:val="false"/>
          <w:smallCaps w:val="false"/>
          <w:sz w:val="20"/>
          <w:u w:val="single"/>
        </w:rPr>
        <w:t>No Solicitation; Adverse Recommendation Change.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Partnership shall not, and the Partnership shall cause its Subsidiaries and use its commercially reasonable efforts to cause its Representatives not to, directly or indirectly solicit, initiate, knowingly facilitate, knowingly encourage (including by way of furnishing nonpublic information) or knowingly induce or take any other action intended to lead to any inquiries or any proposals that constitute or could reasonably be expected to lead to any inquiry, proposal or offer from any Person or “group” (as defined in Section 13(d) of the Exchange Act), other than Parent, its Subsidiaries, and their Affiliates, relating to any (A) direct or indirect acquisition (whether in a single transaction or a series of related transactions and whether through merger, tender offer, exchange offer, business combination, consolidation or otherwise) of assets of the Partnership and its Subsidiaries equal to 20% or more of the Partnership’s consolidated assets (based on their fair market value thereof) or to which 20% or more of the Partnership’s revenues or earnings on a consolidated basis are attributable, (B) direct or indirect acquisition (whether in a single transaction or a series of related transactions) of beneficial ownership (within the meaning of Section 13 under the Exchange Act) of any class of equity securities of the Partnership or (C) tender offer or exchange offer that if consummated would result in any Person or “group” (as defined in Section 13(d) of the Exchange Act) beneficially owning any class of equity securities of the Partnership (each, an “</w:t>
      </w:r>
      <w:r>
        <w:rPr>
          <w:rFonts w:ascii="Times New Roman;Times;Serif" w:hAnsi="Times New Roman;Times;Serif"/>
          <w:b w:val="false"/>
          <w:i w:val="false"/>
          <w:caps w:val="false"/>
          <w:smallCaps w:val="false"/>
          <w:sz w:val="20"/>
          <w:u w:val="single"/>
        </w:rPr>
        <w:t>Acquisition Proposal</w:t>
      </w:r>
      <w:r>
        <w:rPr>
          <w:rFonts w:ascii="Times New Roman;Times;Serif" w:hAnsi="Times New Roman;Times;Serif"/>
          <w:b w:val="false"/>
          <w:i w:val="false"/>
          <w:caps w:val="false"/>
          <w:smallCaps w:val="false"/>
          <w:sz w:val="20"/>
        </w:rPr>
        <w:t>”), other than the transactions contemplated hereby and other than in the ordinary course of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19</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permitted by </w:t>
      </w:r>
      <w:r>
        <w:rPr>
          <w:rFonts w:ascii="Times New Roman;Times;Serif" w:hAnsi="Times New Roman;Times;Serif"/>
          <w:b w:val="false"/>
          <w:i w:val="false"/>
          <w:caps w:val="false"/>
          <w:smallCaps w:val="false"/>
          <w:sz w:val="20"/>
          <w:u w:val="single"/>
        </w:rPr>
        <w:t>Section 5.3(c)</w:t>
      </w:r>
      <w:r>
        <w:rPr>
          <w:rFonts w:ascii="Times New Roman;Times;Serif" w:hAnsi="Times New Roman;Times;Serif"/>
          <w:b w:val="false"/>
          <w:i w:val="false"/>
          <w:caps w:val="false"/>
          <w:smallCaps w:val="false"/>
          <w:sz w:val="20"/>
        </w:rPr>
        <w:t xml:space="preserve">, the Partnership shall not, and shall cause its Subsidiaries and use its commercially reasonable efforts to cause its Representatives not to, directly or indirectly (i) withdraw, modify or qualify, or propose publicly to withdraw, modify or qualify, in a manner adverse to Parent, the Partnership Board Recommendation or (ii) fail to include the Partnership Board Recommendation in the Proxy Statement (the taking of any action described in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being referred to as an “</w:t>
      </w:r>
      <w:r>
        <w:rPr>
          <w:rFonts w:ascii="Times New Roman;Times;Serif" w:hAnsi="Times New Roman;Times;Serif"/>
          <w:b w:val="false"/>
          <w:i w:val="false"/>
          <w:caps w:val="false"/>
          <w:smallCaps w:val="false"/>
          <w:sz w:val="20"/>
          <w:u w:val="single"/>
        </w:rPr>
        <w:t>Adverse Recommendation Change</w:t>
      </w:r>
      <w:r>
        <w:rPr>
          <w:rFonts w:ascii="Times New Roman;Times;Serif" w:hAnsi="Times New Roman;Times;Serif"/>
          <w:b w:val="false"/>
          <w:i w:val="false"/>
          <w:caps w:val="false"/>
          <w:smallCaps w:val="false"/>
          <w:sz w:val="20"/>
        </w:rPr>
        <w:t xml:space="preserve">”). Without limiting the foregoing, it is understood that any violation of the foregoing restrictions by the Partnership’s Subsidiaries, or the Partnership’s Representatives, other than any violation caused by or at the direction of Parent or by any of its Affiliates or Representatives acting on Parent’s behalf, shall be deemed to be a breach of this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by the Partnership.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anything to the contrary in this Agreement, at any time prior to obtaining the Unitholder Approval, and subject to compliance in all material respects with this </w:t>
      </w:r>
      <w:r>
        <w:rPr>
          <w:rFonts w:ascii="Times New Roman;Times;Serif" w:hAnsi="Times New Roman;Times;Serif"/>
          <w:b w:val="false"/>
          <w:i w:val="false"/>
          <w:caps w:val="false"/>
          <w:smallCaps w:val="false"/>
          <w:sz w:val="20"/>
          <w:u w:val="single"/>
        </w:rPr>
        <w:t>Section 5.3(c)</w:t>
      </w:r>
      <w:r>
        <w:rPr>
          <w:rFonts w:ascii="Times New Roman;Times;Serif" w:hAnsi="Times New Roman;Times;Serif"/>
          <w:b w:val="false"/>
          <w:i w:val="false"/>
          <w:caps w:val="false"/>
          <w:smallCaps w:val="false"/>
          <w:sz w:val="20"/>
        </w:rPr>
        <w:t xml:space="preserve">, the Conflicts Committee may make an Adverse Recommendation Change on behalf of the Partnership Board;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Conflicts Committee may not effect an Adverse Recommendation Change unless:</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Conflicts Committee determines in good faith, after consultation with its outside legal counsel, that failure to effect an Adverse Recommendation Change would be adverse to the interests of the Unaffiliated Unitholders or would otherwise be a breach of its duties under the Partnership Agreement and applicable Law;</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Conflicts Committee has provided prior written notice to Parent at least five days in advance of its intention to take such action, unless at the time such notice is otherwise required to be given there are less than five days prior to the Unitholders Meeting, in which case the Conflicts Committee shall provide as much notice as is practicable (the period inclusive of all such days, the “</w:t>
      </w:r>
      <w:r>
        <w:rPr>
          <w:rFonts w:ascii="Times New Roman;Times;Serif" w:hAnsi="Times New Roman;Times;Serif"/>
          <w:b w:val="false"/>
          <w:i w:val="false"/>
          <w:caps w:val="false"/>
          <w:smallCaps w:val="false"/>
          <w:sz w:val="20"/>
          <w:u w:val="single"/>
        </w:rPr>
        <w:t>Partnership Notice Period</w:t>
      </w:r>
      <w:r>
        <w:rPr>
          <w:rFonts w:ascii="Times New Roman;Times;Serif" w:hAnsi="Times New Roman;Times;Serif"/>
          <w:b w:val="false"/>
          <w:i w:val="false"/>
          <w:caps w:val="false"/>
          <w:smallCaps w:val="false"/>
          <w:sz w:val="20"/>
        </w:rPr>
        <w:t>”); and</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during the Partnership Notice Period, the Conflicts Committee has negotiated, and has directed its financial advisors and outside legal counsel to negotiate, with Parent in good faith (to the extent Parent desires to negotiate) to make such adjustments in the terms and conditions of this Agreement so that the failure to effect such Adverse Recommendation Change would not be adverse to the interests of the Unaffiliated Unitholders or would not otherwise be a breach of its duties under the Partnership Agreement and applicable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Conflicts Committee shall take into account all changes to the terms of this Agreement proposed by Parent in determining whether to make an Adverse Recommendation Change.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20</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 addition to the other obligations of the Partnership set forth in this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the Partnership shall promptly advise Parent, orally and in writing, and in no event later than forty-eight hours after receipt, if any proposal, offer, inquiry or other contact is received by, any information is requested from, or any discussions or negotiations are sought to be initiated or continued with, the Partnership in respect of any Acquisition Proposal, and shall, in any such notice to Parent, indicate the identity of the Person making such proposal, offer, inquiry or other contact and the terms and conditions of any proposals or offers or the nature of any inquiries or contacts (and shall include with such notice copies of any written materials received from or on behalf of such Person relating to such proposal, offer, inquiry or request), and thereafter shall keep Parent promptly (and in no event later than forty-eight (48) hours) informed of all material developments affecting the status and terms of any such proposals, offers, inquiries or requests (and the Partnership shall promptly (and in no event later than forty-eight (48) hours) provide Parent with copies of any additional written materials received by the Partnership or that the Partnership has delivered to any third party making an Acquisition Proposal that relate to such proposals, offers, inquiries or requests) and of the status of any such discussions or negotiations.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5.4.</w:t>
        <w:tab/>
        <w:t>     </w:t>
      </w:r>
      <w:r>
        <w:rPr>
          <w:rFonts w:ascii="Times New Roman;Times;Serif" w:hAnsi="Times New Roman;Times;Serif"/>
          <w:b w:val="false"/>
          <w:i w:val="false"/>
          <w:caps w:val="false"/>
          <w:smallCaps w:val="false"/>
          <w:sz w:val="20"/>
          <w:u w:val="single"/>
        </w:rPr>
        <w:t>Commercially Reasonable Efforts.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and upon the terms and conditions of this Agreement, each of the Parties shall cooperate with the other Parties and use (and shall cause their respective Subsidiaries to use) their respective commercially reasonable efforts (unless, with respect to any action, another standard of performance is expressly provided for herein) to promptly (i) take, or cause to be taken, all actions, and do, or cause to be done, and assist and cooperate with the other parties hereto in doing, all things necessary, proper or advisable to cause the conditions to Closing set forth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applicable to such Party to be satisfied as promptly as reasonably practicable (and in any event no later than the Outside Date) and to consummate and make effective, in the most expeditious manner reasonably practicable, the Transactions, including (A) preparing and filing promptly and fully all documentation to effect all necessary filings, notifications, notices, petitions, statements, registrations, submissions of information, applications and other documents and (B) executing and delivering any additional instruments necessary to consummate the Transactions, (ii) obtain all Consents from any Governmental Authority or third party necessary, proper or advisable to consummate the Transactions, including any such Consents required under applicable Antitrust Laws, (iii) take all steps that are necessary, proper or advisable to avoid any Proceeding by any Governmental Authorities with respect to this Agreement or the Transactions and (iv) defend or contest in good faith any Proceeding by any third party, whether judicial or administrative, challenging this Agreement or that could otherwise prevent or impede, interfere with, hinder or delay in any material respect the consummation of the Transactions.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and upon the terms and conditions of this Agreement, the Partnership and Parent shall each use its commercially reasonable efforts to (i) take all action necessary to ensure that no “fair price”, “moratorium”, “control share acquisition” or other similar anti-takeover statute or similar statute or regulation (each, a “</w:t>
      </w:r>
      <w:r>
        <w:rPr>
          <w:rFonts w:ascii="Times New Roman;Times;Serif" w:hAnsi="Times New Roman;Times;Serif"/>
          <w:b w:val="false"/>
          <w:i w:val="false"/>
          <w:caps w:val="false"/>
          <w:smallCaps w:val="false"/>
          <w:sz w:val="20"/>
          <w:u w:val="single"/>
        </w:rPr>
        <w:t>Takeover Law</w:t>
      </w:r>
      <w:r>
        <w:rPr>
          <w:rFonts w:ascii="Times New Roman;Times;Serif" w:hAnsi="Times New Roman;Times;Serif"/>
          <w:b w:val="false"/>
          <w:i w:val="false"/>
          <w:caps w:val="false"/>
          <w:smallCaps w:val="false"/>
          <w:sz w:val="20"/>
        </w:rPr>
        <w:t>”) is or becomes applicable to any of the Transactions or this Agreement and refrain from taking any actions that would cause the applicability of such Laws and (ii) if the restrictions of any Takeover Law become applicable to any of such Transactions, take all action necessary to ensure that such Transactions may be consummated as promptly as practicable on the terms contemplated by this Agreement and otherwise lawfully minimize the effect of such Takeover Law on such Transactions.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21</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5.5.</w:t>
        <w:tab/>
        <w:t>     </w:t>
      </w:r>
      <w:r>
        <w:rPr>
          <w:rFonts w:ascii="Times New Roman;Times;Serif" w:hAnsi="Times New Roman;Times;Serif"/>
          <w:b w:val="false"/>
          <w:i w:val="false"/>
          <w:caps w:val="false"/>
          <w:smallCaps w:val="false"/>
          <w:sz w:val="20"/>
          <w:u w:val="single"/>
        </w:rPr>
        <w:t>Public Announcements.</w:t>
      </w:r>
      <w:r>
        <w:rPr>
          <w:rFonts w:ascii="Times New Roman;Times;Serif" w:hAnsi="Times New Roman;Times;Serif"/>
          <w:b w:val="false"/>
          <w:i w:val="false"/>
          <w:caps w:val="false"/>
          <w:smallCaps w:val="false"/>
          <w:sz w:val="20"/>
        </w:rPr>
        <w:t xml:space="preserve"> The Sponsor Entities and the Partnership shall consult with each other before issuing, and give each other the reasonable opportunity to review and comment upon, any press release or other public statements with respect to the Transactions, and shall not (and shall not cause or permit their respective Subsidiaries or Representatives to) issue any such press release or make any such public statement prior to such consultation, except as may be required by applicable Law, Judgment, court process or the rules and regulations of any national securities exchange or national securities quotation system and except for any matters referred to in </w:t>
      </w:r>
      <w:r>
        <w:rPr>
          <w:rFonts w:ascii="Times New Roman;Times;Serif" w:hAnsi="Times New Roman;Times;Serif"/>
          <w:b w:val="false"/>
          <w:i w:val="false"/>
          <w:caps w:val="false"/>
          <w:smallCaps w:val="false"/>
          <w:sz w:val="20"/>
          <w:u w:val="single"/>
        </w:rPr>
        <w:t xml:space="preserve">Section 5.3 </w:t>
      </w:r>
      <w:r>
        <w:rPr>
          <w:rFonts w:ascii="Times New Roman;Times;Serif" w:hAnsi="Times New Roman;Times;Serif"/>
          <w:b w:val="false"/>
          <w:i w:val="false"/>
          <w:caps w:val="false"/>
          <w:smallCaps w:val="false"/>
          <w:sz w:val="20"/>
        </w:rPr>
        <w:t>or to the extent related to any actual or contemplated litigation between or among the Parties. The Parties agree that the initial press release to be issued with respect to the Transactions following execution of this Agreement shall be in a form reasonably agreed to by the Parties. Notwithstanding the foregoing, the Sponsor Entities and the Partnership may make any oral or written public announcements, releases or statements without complying with the foregoing requirements if the substance of such announcements, releases or statements, was publicly disclosed and previously subject to the foregoing requirements.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5.6.</w:t>
        <w:tab/>
        <w:t>     </w:t>
      </w:r>
      <w:r>
        <w:rPr>
          <w:rFonts w:ascii="Times New Roman;Times;Serif" w:hAnsi="Times New Roman;Times;Serif"/>
          <w:b w:val="false"/>
          <w:i w:val="false"/>
          <w:caps w:val="false"/>
          <w:smallCaps w:val="false"/>
          <w:sz w:val="20"/>
          <w:u w:val="single"/>
        </w:rPr>
        <w:t>Access to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reasonable notice and subject to applicable Laws relating to the exchange of information, the Partnership shall, and shall cause each of its Subsidiaries to, afford to Parent and its Representatives reasonable access during normal business hours (and, with respect to books and records, the right to copy) to all of its and its Subsidiaries’ properties, commitments, books, Contracts, records and correspondence (in each case, whether in physical or electronic form), officers, employees, accountants, counsel, financial advisors and other Representatives. Each Party shall furnish promptly to each other Party a copy of each report, schedule and other document filed or submitted by it pursuant to the requirements of federal or state securities Laws and a copy of any communication (including “comment letters”) received by such Party from the SEC concerning compliance with securities Laws.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This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xml:space="preserve"> shall not require either Party to permit any access, or to disclose any information, that in the reasonable, good-faith judgment (after consultation with counsel) of such Party would reasonably be expected to result in (i) any violation of any contract or Law to which such Party or its Subsidiaries is a party or is subject or cause any privilege (including attorney-client privilege) that such Party or any of its Subsidiaries would be entitled to assert to be undermined with respect to such information and such undermining of such privilege could in such Party’s good-faith judgment (after consultation with counsel) adversely affect in any material respect such Party’s position in any pending or, what such Party believes in good faith (after consultation with counsel) could be, future litigation, or (ii) if such Party or any of its Subsidiaries, on the one hand, and each other Party or any of their Subsidiaries, on the other hand, are adverse parties in a litigation, such information being reasonably pertinent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the Parties shall cooperate in seeking to find a way to allow disclosure of such information (including by entering into a joint-defense or similar agreement) to the extent doing so (A) would not (in the good-faith belief of the Party being requested to disclose the information (after consultation with counsel)) reasonably be likely to result in the violation of any such contract or Law or reasonably be likely to cause such privilege to be undermined with respect to such information or (B) could reasonably (in the good-faith belief of the Party being requested to disclose the information (after consultation with counsel)) be managed through the use of customary “clean-room” arrangements pursuant to which appropriately designated Representatives of each other Party shall be provided access to such information;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the Party being requested to disclose the information shall (1) notify each other Party that such disclosures are reasonably likely to violate its or its Subsidiaries’ obligations under any such contract or Law or are reasonably likely to cause such privilege to be undermined, (2) communicate to each other Party in reasonable detail the facts giving rise to such notification and the subject matter of such information (to the extent it is able to do so in accordance with the first proviso in this </w:t>
      </w:r>
      <w:r>
        <w:rPr>
          <w:rFonts w:ascii="Times New Roman;Times;Serif" w:hAnsi="Times New Roman;Times;Serif"/>
          <w:b w:val="false"/>
          <w:i w:val="false"/>
          <w:caps w:val="false"/>
          <w:smallCaps w:val="false"/>
          <w:sz w:val="20"/>
          <w:u w:val="single"/>
        </w:rPr>
        <w:t>Section 5.6(b)</w:t>
      </w:r>
      <w:r>
        <w:rPr>
          <w:rFonts w:ascii="Times New Roman;Times;Serif" w:hAnsi="Times New Roman;Times;Serif"/>
          <w:b w:val="false"/>
          <w:i w:val="false"/>
          <w:caps w:val="false"/>
          <w:smallCaps w:val="false"/>
          <w:sz w:val="20"/>
        </w:rPr>
        <w:t>), and (3) in the case where such disclosures are reasonably likely to violate its or its Subsidiaries’ obligations under any Contract, use commercially reasonable efforts to seek consent from the applicable third party to any such contract with respect to the disclosures prohibited thereby (to the extent not otherwise expressly prohibited by the terms of such Contract).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 investigation, or information received, pursuant to this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xml:space="preserve"> will modify any of the representations and warranties of the Parties.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5.7.</w:t>
        <w:tab/>
        <w:t>     </w:t>
      </w:r>
      <w:r>
        <w:rPr>
          <w:rFonts w:ascii="Times New Roman;Times;Serif" w:hAnsi="Times New Roman;Times;Serif"/>
          <w:b w:val="false"/>
          <w:i w:val="false"/>
          <w:caps w:val="false"/>
          <w:smallCaps w:val="false"/>
          <w:sz w:val="20"/>
          <w:u w:val="single"/>
        </w:rPr>
        <w:t>Debt Financing.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the terms and conditions of this Agreement, each of Parent and Merger Sub will not, without the prior written consent of the Partnership (such consent not to be unreasonably withheld, delayed or conditioned), effect or permit any amendment or modification to be made to, or any waiver of any provision or remedy pursuant to, the Debt Commitment Letter if such amendment, modification or waiver would (i) reduce the aggregate amount of the Debt Financing to an amount that is less than the amount that would be required, when taken together with cash on hand of Parent and its Subsidiaries and other sources of funds available to Parent and Merger Sub on the Closing Date (including any amounts to be received pursuant to </w:t>
      </w:r>
      <w:r>
        <w:rPr>
          <w:rFonts w:ascii="Times New Roman;Times;Serif" w:hAnsi="Times New Roman;Times;Serif"/>
          <w:b w:val="false"/>
          <w:i w:val="false"/>
          <w:caps w:val="false"/>
          <w:smallCaps w:val="false"/>
          <w:sz w:val="20"/>
          <w:u w:val="single"/>
        </w:rPr>
        <w:t>Section 5.13</w:t>
      </w:r>
      <w:r>
        <w:rPr>
          <w:rFonts w:ascii="Times New Roman;Times;Serif" w:hAnsi="Times New Roman;Times;Serif"/>
          <w:b w:val="false"/>
          <w:i w:val="false"/>
          <w:caps w:val="false"/>
          <w:smallCaps w:val="false"/>
          <w:sz w:val="20"/>
        </w:rPr>
        <w:t>), to pay the aggregate Merger Consideration and any other amount required to be paid by Parent or Merger Sub in connection with the consummation of the Transactions, (ii) impose additional conditions or otherwise expand, amend or modify any of the conditions to the receipt of the Debt Financing or any other terms to the Debt Financing in a manner that would reasonably be expected to prevent or materially delay the Closing Date or (iii) adversely impact the ability of Parent to enforce its rights against the Debt Financing Sources under the Debt Commitment Letter.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the terms and conditions set forth herein, prior to the Effective Time, Parent shall use, or cause Merger Sub to use, its commercially reasonable efforts to take, or cause to be taken, all actions and to do, or cause to be done, all things necessary, proper and advisable to consummate and obtain the Debt Financing on the terms and conditions described in the Debt Commitment Letter, including using its commercially reasonable efforts to (i) maintain in effect the Debt Commitment Letter, (ii) satisfy on a timely basis all conditions to funding that are applicable to Parent and Merger Sub in the Debt Commitment Letter that are within its control, (iii) consummate the Debt Financing at or prior to the Closing, (iv) comply with its obligations pursuant to the Debt Commitment Letter and (v) enforce its rights pursuant to the Debt Commitment Letter.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event that any portion of the Debt Financing becomes unavailable, Parent shall (i) promptly notify the Partnership in writing of such unavailability and the reason therefor and (ii) use its commercially reasonable efforts to (A) obtain as promptly as practicable debt financing from alternative sources (the “</w:t>
      </w:r>
      <w:r>
        <w:rPr>
          <w:rFonts w:ascii="Times New Roman;Times;Serif" w:hAnsi="Times New Roman;Times;Serif"/>
          <w:b w:val="false"/>
          <w:i w:val="false"/>
          <w:caps w:val="false"/>
          <w:smallCaps w:val="false"/>
          <w:sz w:val="20"/>
          <w:u w:val="single"/>
        </w:rPr>
        <w:t>Alternative Debt Financing</w:t>
      </w:r>
      <w:r>
        <w:rPr>
          <w:rFonts w:ascii="Times New Roman;Times;Serif" w:hAnsi="Times New Roman;Times;Serif"/>
          <w:b w:val="false"/>
          <w:i w:val="false"/>
          <w:caps w:val="false"/>
          <w:smallCaps w:val="false"/>
          <w:sz w:val="20"/>
        </w:rPr>
        <w:t xml:space="preserve">”) in an amount sufficient, when taken together with cash on hand of Parent and its Subsidiaries and other sources of funds available to Parent and Merger Sub on the Closing Date (including any amounts to be received pursuant to </w:t>
      </w:r>
      <w:r>
        <w:rPr>
          <w:rFonts w:ascii="Times New Roman;Times;Serif" w:hAnsi="Times New Roman;Times;Serif"/>
          <w:b w:val="false"/>
          <w:i w:val="false"/>
          <w:caps w:val="false"/>
          <w:smallCaps w:val="false"/>
          <w:sz w:val="20"/>
          <w:u w:val="single"/>
        </w:rPr>
        <w:t>Section 5.13</w:t>
      </w:r>
      <w:r>
        <w:rPr>
          <w:rFonts w:ascii="Times New Roman;Times;Serif" w:hAnsi="Times New Roman;Times;Serif"/>
          <w:b w:val="false"/>
          <w:i w:val="false"/>
          <w:caps w:val="false"/>
          <w:smallCaps w:val="false"/>
          <w:sz w:val="20"/>
        </w:rPr>
        <w:t>), to pay the aggregate Merger Consideration and any other amount required to be paid by Parent or Merger Sub in connection with the consummation of the Transactions and that do not include any conditions to the consummation of such alternative debt financing that are more onerous than the conditions set forth in the Debt Commitment Letter and (B) obtain, and, when obtained, provide the Partnership with a copy of, a new financing commitment that provides for such Alternative Debt Financing (the “</w:t>
      </w:r>
      <w:r>
        <w:rPr>
          <w:rFonts w:ascii="Times New Roman;Times;Serif" w:hAnsi="Times New Roman;Times;Serif"/>
          <w:b w:val="false"/>
          <w:i w:val="false"/>
          <w:caps w:val="false"/>
          <w:smallCaps w:val="false"/>
          <w:sz w:val="20"/>
          <w:u w:val="single"/>
        </w:rPr>
        <w:t>Alternative Debt Commitment Letter</w:t>
      </w:r>
      <w:r>
        <w:rPr>
          <w:rFonts w:ascii="Times New Roman;Times;Serif" w:hAnsi="Times New Roman;Times;Serif"/>
          <w:b w:val="false"/>
          <w:i w:val="false"/>
          <w:caps w:val="false"/>
          <w:smallCaps w:val="false"/>
          <w:sz w:val="20"/>
        </w:rPr>
        <w:t>”). If applicable, any reference in this Agreement to the term “Debt Commitment Letter” shall be deemed to include any such Alternative Debt Commitment Letter and any fee letter referred to in such Alternative Debt Commitment Letter and any reference in this Agreement to the term “Debt Financing” shall be deemed to include any such Alternative Debt Financing.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Partnership shall, and shall cause its Subsidiaries to, and shall use its commercially reasonable efforts to cause its and its Subsidiaries’ respective Representatives to, cooperate with Parent as necessary in connection with the arrangement, syndication and consummation of the Debt Financing as may be reasonably requested by Parent, including: (i) participation by members of management and other Representatives of the Partnership in a reasonable number of meetings, conference calls, presentations and due diligence sessions in connection with the Debt Financing; (ii) assisting Parent and the Debt Financing Sources in the preparation of customary bank information memoranda (including, to the extent reasonably requested, an additional bank information memorandum that does not include material non-public information), lender presentations or other marketing and syndication documents and materials customarily used to arrange financings of the type contemplated by the Debt Commitment Letter and otherwise reasonably cooperating with the marketing efforts of Parent and the Debt Financing Sources for any portion of the Debt Financing; (iii) delivering customary representation and authorization letters with respect to information in respect of the Partnership and its Subsidiaries contained in the bank information memoranda and other similar documents; (iv) using commercially reasonable efforts to ensure that the Debt Financing Sources benefit materially from the existing lending relationships of the Partnership and its Subsidiaries; (v) furnishing Parent as promptly as practicable with any financial and other information regarding the Partnership and its Subsidiaries as is reasonably requested by Parent or the Debt Financing Sources in connection with the Debt Financing; (vi) assisting in the preparation of, and executing and delivering, certificates and other documents as may be necessary in connection with the definitive agreements for the Debt Financing; (vii) furnishing Parent and the Debt Financing Sources with all documentation and information regarding the Partnership and its Subsidiaries that any Debt Financing Source reasonably determines is required under applicable “know your customer” and anti-money laundering rules and regulations; (viii) facilitating the pledging of collateral, as contemplated by the Debt Commitment Letter, substantially concurrently with the Closing and (ix) cooperating with the Debt Financing Sources’ requests for due diligence to the extent customary and reasonable;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nothing in this this </w:t>
      </w:r>
      <w:r>
        <w:rPr>
          <w:rFonts w:ascii="Times New Roman;Times;Serif" w:hAnsi="Times New Roman;Times;Serif"/>
          <w:b w:val="false"/>
          <w:i w:val="false"/>
          <w:caps w:val="false"/>
          <w:smallCaps w:val="false"/>
          <w:sz w:val="20"/>
          <w:u w:val="single"/>
        </w:rPr>
        <w:t>Section 5.7(d)</w:t>
      </w:r>
      <w:r>
        <w:rPr>
          <w:rFonts w:ascii="Times New Roman;Times;Serif" w:hAnsi="Times New Roman;Times;Serif"/>
          <w:b w:val="false"/>
          <w:i w:val="false"/>
          <w:caps w:val="false"/>
          <w:smallCaps w:val="false"/>
          <w:sz w:val="20"/>
        </w:rPr>
        <w:t xml:space="preserve"> will require any such cooperation to the extent that it would (A) require the Partnership to pay any fees or reimburse any expenses with respect to or in connection with the Debt Financing prior to the Closing for which it has not received prior reimbursement, (B) require the Partnership to approve or enter into any certificate, agreement, arrangement, document or instrument with respect to or in connection with the Debt Financing that would be effective prior to the Closing (except the representation and authorization letters referred to in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xml:space="preserve"> above), (C) unreasonably interfere with the ongoing business operations of the Partnership and its Subsidiaries, (D) cause any Representative of the Partnership or any of its Subsidiaries to incur any personal liability, (E) provide access to or disclose information if the Partnership reasonably determines that providing such access to or disclosing such information would result in a loss of the ability of the Partnership to successfully assert a claim of privilege (including, without limitation, the attorney-client and work product privileges);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under any circumstance described in this </w:t>
      </w:r>
      <w:r>
        <w:rPr>
          <w:rFonts w:ascii="Times New Roman;Times;Serif" w:hAnsi="Times New Roman;Times;Serif"/>
          <w:b w:val="false"/>
          <w:i w:val="false"/>
          <w:caps w:val="false"/>
          <w:smallCaps w:val="false"/>
          <w:sz w:val="20"/>
          <w:u w:val="single"/>
        </w:rPr>
        <w:t>clause (E)</w:t>
      </w:r>
      <w:r>
        <w:rPr>
          <w:rFonts w:ascii="Times New Roman;Times;Serif" w:hAnsi="Times New Roman;Times;Serif"/>
          <w:b w:val="false"/>
          <w:i w:val="false"/>
          <w:caps w:val="false"/>
          <w:smallCaps w:val="false"/>
          <w:sz w:val="20"/>
        </w:rPr>
        <w:t xml:space="preserve">, the Partnership shall cooperate with Parent to implement a solution to permit the access to the applicable information generally contemplated by this </w:t>
      </w:r>
      <w:r>
        <w:rPr>
          <w:rFonts w:ascii="Times New Roman;Times;Serif" w:hAnsi="Times New Roman;Times;Serif"/>
          <w:b w:val="false"/>
          <w:i w:val="false"/>
          <w:caps w:val="false"/>
          <w:smallCaps w:val="false"/>
          <w:sz w:val="20"/>
          <w:u w:val="single"/>
        </w:rPr>
        <w:t>Section 5.7(d)</w:t>
      </w:r>
      <w:r>
        <w:rPr>
          <w:rFonts w:ascii="Times New Roman;Times;Serif" w:hAnsi="Times New Roman;Times;Serif"/>
          <w:b w:val="false"/>
          <w:i w:val="false"/>
          <w:caps w:val="false"/>
          <w:smallCaps w:val="false"/>
          <w:sz w:val="20"/>
        </w:rPr>
        <w:t xml:space="preserve">, (F) include any actions that the Partnership reasonably believes would (1) result in a violation of any organizational document of the Partnership or any of its Subsidiaries, any Material Contract or any Law or (2) cause any representation, warranty, covenant or other obligation in this Agreement to be breached or any condition set forth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to fail to be satisfied or (G) require the Partnership to prepare any financial statement or information that is not available to it and is not prepared in the ordinary course of its financial reporting practice. The Partnership hereby consents to the use of the Partnership’s logos in connection with the Debt Financing;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that the logos are used solely in a manner that is not intended, or reasonably likely, to harm or disparage the Partnership or any of its Subsidiaries or the reputation or the goodwill of the Partnership or any of its Subsidiaries.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5.8.</w:t>
        <w:tab/>
        <w:t>     </w:t>
      </w:r>
      <w:r>
        <w:rPr>
          <w:rFonts w:ascii="Times New Roman;Times;Serif" w:hAnsi="Times New Roman;Times;Serif"/>
          <w:b w:val="false"/>
          <w:i w:val="false"/>
          <w:caps w:val="false"/>
          <w:smallCaps w:val="false"/>
          <w:sz w:val="20"/>
          <w:u w:val="single"/>
        </w:rPr>
        <w:t>Notification of Certain Matters.</w:t>
      </w:r>
      <w:r>
        <w:rPr>
          <w:rFonts w:ascii="Times New Roman;Times;Serif" w:hAnsi="Times New Roman;Times;Serif"/>
          <w:b w:val="false"/>
          <w:i w:val="false"/>
          <w:caps w:val="false"/>
          <w:smallCaps w:val="false"/>
          <w:sz w:val="20"/>
        </w:rPr>
        <w:t xml:space="preserve"> The Partnership shall give prompt notice to Parent, and Parent shall give prompt notice to the Partnership, of (a) any notice or other communication received by such Party from any Governmental Authority in connection with the Transactions or from any Person alleging that the consent of such Person is or may be required in connection with the transactions contemplated hereby, if the subject matter of such communication or the failure of such Party to obtain such consent is reasonably likely to be material to the Partnership or Parent, (b) any Proceedings commenced or, to such Party’s Knowledge, threatened against, relating to or involving or otherwise affecting such Party or any of its Subsidiaries and that relate to the Transactions, (c) the discovery of any fact or circumstance that, or the occurrence or non-occurrence of any event the occurrence or nonoccurrence of which, would result in the failure to be satisfied of any of the conditions to the Closing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and (d) any material failure of such Party to comply with or satisfy any covenant or agreement to be complied with or satisfied by it hereby which would result in the failure to be satisfied of any of the conditions to the Closing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w:t>
      </w:r>
      <w:r>
        <w:rPr>
          <w:rFonts w:ascii="Times New Roman;Times;Serif" w:hAnsi="Times New Roman;Times;Serif"/>
          <w:b w:val="false"/>
          <w:i w:val="false"/>
          <w:caps w:val="false"/>
          <w:smallCaps w:val="false"/>
          <w:sz w:val="20"/>
          <w:u w:val="single"/>
        </w:rPr>
        <w:t>clauses (c)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the failure to comply with this </w:t>
      </w:r>
      <w:r>
        <w:rPr>
          <w:rFonts w:ascii="Times New Roman;Times;Serif" w:hAnsi="Times New Roman;Times;Serif"/>
          <w:b w:val="false"/>
          <w:i w:val="false"/>
          <w:caps w:val="false"/>
          <w:smallCaps w:val="false"/>
          <w:sz w:val="20"/>
          <w:u w:val="single"/>
        </w:rPr>
        <w:t>Section 5.8</w:t>
      </w:r>
      <w:r>
        <w:rPr>
          <w:rFonts w:ascii="Times New Roman;Times;Serif" w:hAnsi="Times New Roman;Times;Serif"/>
          <w:b w:val="false"/>
          <w:i w:val="false"/>
          <w:caps w:val="false"/>
          <w:smallCaps w:val="false"/>
          <w:sz w:val="20"/>
        </w:rPr>
        <w:t xml:space="preserve"> shall not result in the failure to be satisfied of any of the conditions to the Closing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or give rise to any right to terminate this Agreement under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if the underlying fact, circumstance, event or failure would not in and of itself give rise to such failure or right.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25</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5.9.</w:t>
        <w:tab/>
        <w:t>     </w:t>
      </w:r>
      <w:r>
        <w:rPr>
          <w:rFonts w:ascii="Times New Roman;Times;Serif" w:hAnsi="Times New Roman;Times;Serif"/>
          <w:b w:val="false"/>
          <w:i w:val="false"/>
          <w:caps w:val="false"/>
          <w:smallCaps w:val="false"/>
          <w:sz w:val="20"/>
          <w:u w:val="single"/>
        </w:rPr>
        <w:t>Indemnification and Insurance.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For purposes of this </w:t>
      </w:r>
      <w:r>
        <w:rPr>
          <w:rFonts w:ascii="Times New Roman;Times;Serif" w:hAnsi="Times New Roman;Times;Serif"/>
          <w:b w:val="false"/>
          <w:i w:val="false"/>
          <w:caps w:val="false"/>
          <w:smallCaps w:val="false"/>
          <w:sz w:val="20"/>
          <w:u w:val="single"/>
        </w:rPr>
        <w:t>Section 5.9</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Indemnified Person</w:t>
      </w:r>
      <w:r>
        <w:rPr>
          <w:rFonts w:ascii="Times New Roman;Times;Serif" w:hAnsi="Times New Roman;Times;Serif"/>
          <w:b w:val="false"/>
          <w:i w:val="false"/>
          <w:caps w:val="false"/>
          <w:smallCaps w:val="false"/>
          <w:sz w:val="20"/>
        </w:rPr>
        <w:t>” means any Person who is now, or has been or becomes at any time prior to the Effective Time, an officer or director of the Partnership or any of its Subsidiaries, and also with respect to any such Indemnified Person, in his or her capacity as a director, officer, employee, member, trustee or fiduciary of another corporation, foundation, partnership, joint venture, trust, pension or other employee benefit plan or enterprise (whether or not such other entity or enterprise is affiliated with the Partnership) serving at the request of or on behalf of the Partnership or any of its Subsidiaries, together with such Indemnified Person’s heirs, executors or administrators.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From and after the Effective Time, to the fullest extent that the Partnership (as the Surviving Entity) or any applicable Subsidiary thereof would be permitted to indemnify an Indemnified Person, Parent shall, or shall cause the Surviving Entity to, (i) indemnify and hold harmless against any cost or expenses (including attorneys’ fees), judgments, fines, losses, claims, damages or liabilities and amounts paid in settlement (including all interest, assessments and other charges paid or payable in connection with or in respect of any thereof) in connection with any Proceeding based on or arising out of (i) the fact that an Indemnified Person is or was a director or officer of the Partnership or any of its Subsidiaries or (ii) acts or omissions by an Indemnified Person in the Indemnified Person’s capacity as a director or officer of the Partnership or any of its Subsidiaries or taken at the request of the Partnership or nay of its Subsidiaries, in each case under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at or any time prior to the Effective Time, and provide advancement promptly, and in any event within 10 days after any written request, of expenses with respect to each of the foregoing to, all Indemnified Persons to the fullest extent permitted under applicable Law and (ii) honor the provisions regarding elimination of liability of directors, indemnification of officers and directors and advancement of expenses contained in the Partnership Agreement and the Charter Documents of any applicable Subsidiary thereof immediately prior to the Effective Time and ensure that the organizational documents of the Surviving Entity and its Subsidiaries shall, for a period of six years following the Effective Time, contain provisions no less favorable with respect to indemnification, advancement of expenses and exculpation of present and former directors and officers of the Partnership, and its Subsidiaries than are presently set forth in the Partnership Agreement and such other Charter Documents. Any right of indemnification of an Indemnified Person pursuant to this </w:t>
      </w:r>
      <w:r>
        <w:rPr>
          <w:rFonts w:ascii="Times New Roman;Times;Serif" w:hAnsi="Times New Roman;Times;Serif"/>
          <w:b w:val="false"/>
          <w:i w:val="false"/>
          <w:caps w:val="false"/>
          <w:smallCaps w:val="false"/>
          <w:sz w:val="20"/>
          <w:u w:val="single"/>
        </w:rPr>
        <w:t>Section 5.9(b)</w:t>
      </w:r>
      <w:r>
        <w:rPr>
          <w:rFonts w:ascii="Times New Roman;Times;Serif" w:hAnsi="Times New Roman;Times;Serif"/>
          <w:b w:val="false"/>
          <w:i w:val="false"/>
          <w:caps w:val="false"/>
          <w:smallCaps w:val="false"/>
          <w:sz w:val="20"/>
        </w:rPr>
        <w:t> shall not be amended, repealed or otherwise modified at any time in a manner that would adversely affect the rights of such Indemnified Person as provided herein.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Surviving Entity shall maintain in effect for three years from the Effective Time (the “</w:t>
      </w:r>
      <w:r>
        <w:rPr>
          <w:rFonts w:ascii="Times New Roman;Times;Serif" w:hAnsi="Times New Roman;Times;Serif"/>
          <w:b w:val="false"/>
          <w:i w:val="false"/>
          <w:caps w:val="false"/>
          <w:smallCaps w:val="false"/>
          <w:sz w:val="20"/>
          <w:u w:val="single"/>
        </w:rPr>
        <w:t>Initial Coverage Period</w:t>
      </w:r>
      <w:r>
        <w:rPr>
          <w:rFonts w:ascii="Times New Roman;Times;Serif" w:hAnsi="Times New Roman;Times;Serif"/>
          <w:b w:val="false"/>
          <w:i w:val="false"/>
          <w:caps w:val="false"/>
          <w:smallCaps w:val="false"/>
          <w:sz w:val="20"/>
        </w:rPr>
        <w:t>”) the Partnership’s current directors’ and officers’ liability insurance policies covering acts or omissions occurring at or prior to the Effective Time with respect to Indemnified Persons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the written consent of Parent obtained prior to the Effective Time, the Surviving Entity may substitute therefor policies with reputable carriers of at least the same coverage containing terms and conditions that are no less favorable to the Indemnified Persons);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in no event shall the Surviving Entity be required to expend pursuant to the first sentence of this </w:t>
      </w:r>
      <w:r>
        <w:rPr>
          <w:rFonts w:ascii="Times New Roman;Times;Serif" w:hAnsi="Times New Roman;Times;Serif"/>
          <w:b w:val="false"/>
          <w:i w:val="false"/>
          <w:caps w:val="false"/>
          <w:smallCaps w:val="false"/>
          <w:sz w:val="20"/>
          <w:u w:val="single"/>
        </w:rPr>
        <w:t>Section 5.9(c)</w:t>
      </w:r>
      <w:r>
        <w:rPr>
          <w:rFonts w:ascii="Times New Roman;Times;Serif" w:hAnsi="Times New Roman;Times;Serif"/>
          <w:b w:val="false"/>
          <w:i w:val="false"/>
          <w:caps w:val="false"/>
          <w:smallCaps w:val="false"/>
          <w:sz w:val="20"/>
        </w:rPr>
        <w:t> more than an amount per year equal to 200% of current annual premiums paid by the Partnership for such insurance (the “</w:t>
      </w:r>
      <w:r>
        <w:rPr>
          <w:rFonts w:ascii="Times New Roman;Times;Serif" w:hAnsi="Times New Roman;Times;Serif"/>
          <w:b w:val="false"/>
          <w:i w:val="false"/>
          <w:caps w:val="false"/>
          <w:smallCaps w:val="false"/>
          <w:sz w:val="20"/>
          <w:u w:val="single"/>
        </w:rPr>
        <w:t>Maximum Amount</w:t>
      </w:r>
      <w:r>
        <w:rPr>
          <w:rFonts w:ascii="Times New Roman;Times;Serif" w:hAnsi="Times New Roman;Times;Serif"/>
          <w:b w:val="false"/>
          <w:i w:val="false"/>
          <w:caps w:val="false"/>
          <w:smallCaps w:val="false"/>
          <w:sz w:val="20"/>
        </w:rPr>
        <w:t xml:space="preserve">”). In the event that, but for the proviso to the immediately preceding sentence, the Surviving Entity would be required to expend more than the Maximum Amount, the Surviving Entity shall obtain the maximum amount of such insurance as is available for the Maximum Amount. If the Partnership elects, then, in lieu of the obligations of the Surviving Entity under the first sentence of this Section 5.9(c), the Partnership may, prior to the Effective Time, purchase a “tail policy” with respect to acts or omissions occurring or alleged to have occurred prior to the Effective Time that were committed or alleged to have been committed by such Indemnified Persons in their capacity as such;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cost of the “tail policy” shall be borne by the Surviving Entity and in no event shall the cost of such policy exceed the Maximum Amount. In addition, the Surviving Entity shall maintain in effect for three years following the Initial Coverage Period directors’ and officers’ liability insurance policies, covering acts or omissions occurring at or prior to the Effective Time with respect to Indemnified Persons, with reputable carriers and with coverage containing terms and conditions that are no less favorable to the Indemnified Persons than the directors’ and officers’ liability insurance policies then-maintained for the directors and officers of Parent (and in any event providing for not less than $40,000,000 of coverage).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26</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rights of any Indemnified Person under this </w:t>
      </w:r>
      <w:r>
        <w:rPr>
          <w:rFonts w:ascii="Times New Roman;Times;Serif" w:hAnsi="Times New Roman;Times;Serif"/>
          <w:b w:val="false"/>
          <w:i w:val="false"/>
          <w:caps w:val="false"/>
          <w:smallCaps w:val="false"/>
          <w:sz w:val="20"/>
          <w:u w:val="single"/>
        </w:rPr>
        <w:t>Section 5.9</w:t>
      </w:r>
      <w:r>
        <w:rPr>
          <w:rFonts w:ascii="Times New Roman;Times;Serif" w:hAnsi="Times New Roman;Times;Serif"/>
          <w:b w:val="false"/>
          <w:i w:val="false"/>
          <w:caps w:val="false"/>
          <w:smallCaps w:val="false"/>
          <w:sz w:val="20"/>
        </w:rPr>
        <w:t xml:space="preserve"> shall be in addition to any other rights such Indemnified Person may have under the Partnership Agreement, the Charter Documents of any Subsidiary of the Partnership, the Marshall Islands LP Act or the Marshall Islands LLC Act. The provisions of this </w:t>
      </w:r>
      <w:r>
        <w:rPr>
          <w:rFonts w:ascii="Times New Roman;Times;Serif" w:hAnsi="Times New Roman;Times;Serif"/>
          <w:b w:val="false"/>
          <w:i w:val="false"/>
          <w:caps w:val="false"/>
          <w:smallCaps w:val="false"/>
          <w:sz w:val="20"/>
          <w:u w:val="single"/>
        </w:rPr>
        <w:t>Section 5.9</w:t>
      </w:r>
      <w:r>
        <w:rPr>
          <w:rFonts w:ascii="Times New Roman;Times;Serif" w:hAnsi="Times New Roman;Times;Serif"/>
          <w:b w:val="false"/>
          <w:i w:val="false"/>
          <w:caps w:val="false"/>
          <w:smallCaps w:val="false"/>
          <w:sz w:val="20"/>
        </w:rPr>
        <w:t xml:space="preserve"> shall survive the consummation of the Transactions for a period of six years and are expressly intended to benefit each of the Indemnified Persons and their respective heirs and representatives;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in the event that any claim or claims for indemnification or advancement set forth in this </w:t>
      </w:r>
      <w:r>
        <w:rPr>
          <w:rFonts w:ascii="Times New Roman;Times;Serif" w:hAnsi="Times New Roman;Times;Serif"/>
          <w:b w:val="false"/>
          <w:i w:val="false"/>
          <w:caps w:val="false"/>
          <w:smallCaps w:val="false"/>
          <w:sz w:val="20"/>
          <w:u w:val="single"/>
        </w:rPr>
        <w:t xml:space="preserve">Section 5.9 </w:t>
      </w:r>
      <w:r>
        <w:rPr>
          <w:rFonts w:ascii="Times New Roman;Times;Serif" w:hAnsi="Times New Roman;Times;Serif"/>
          <w:b w:val="false"/>
          <w:i w:val="false"/>
          <w:caps w:val="false"/>
          <w:smallCaps w:val="false"/>
          <w:sz w:val="20"/>
        </w:rPr>
        <w:t xml:space="preserve">are asserted or made within such six-year period, all rights to indemnification and advancement in respect of any such claim or claims shall continue until disposition of all such claims. If the Surviving Entity (i) consolidates with or merges into any other Person or (ii) transfers or conveys all or substantially all of its businesses or assets to any other Person, then, in each such case, to the extent necessary, a proper provision shall be made so that the successors and assigns of the Surviving Entity shall assume the obligations of the Surviving Entity set forth in this </w:t>
      </w:r>
      <w:r>
        <w:rPr>
          <w:rFonts w:ascii="Times New Roman;Times;Serif" w:hAnsi="Times New Roman;Times;Serif"/>
          <w:b w:val="false"/>
          <w:i w:val="false"/>
          <w:caps w:val="false"/>
          <w:smallCaps w:val="false"/>
          <w:sz w:val="20"/>
          <w:u w:val="single"/>
        </w:rPr>
        <w:t>Section 5.9</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5.10.</w:t>
        <w:tab/>
        <w:t>     </w:t>
      </w:r>
      <w:r>
        <w:rPr>
          <w:rFonts w:ascii="Times New Roman;Times;Serif" w:hAnsi="Times New Roman;Times;Serif"/>
          <w:b w:val="false"/>
          <w:i w:val="false"/>
          <w:caps w:val="false"/>
          <w:smallCaps w:val="false"/>
          <w:sz w:val="20"/>
          <w:u w:val="single"/>
        </w:rPr>
        <w:t>Securityholder Litigation.</w:t>
      </w:r>
      <w:r>
        <w:rPr>
          <w:rFonts w:ascii="Times New Roman;Times;Serif" w:hAnsi="Times New Roman;Times;Serif"/>
          <w:b w:val="false"/>
          <w:i w:val="false"/>
          <w:caps w:val="false"/>
          <w:smallCaps w:val="false"/>
          <w:sz w:val="20"/>
        </w:rPr>
        <w:t xml:space="preserve"> The Partnership shall give Parent prompt notice and the opportunity to lead the joint defense or settlement of any securityholder litigation against the Partnership, the General Partner or their respective officers and/or directors relating to the Merger and the other Transactions, and no such settlement shall be agreed to without the prior written consent of Parent, which consent shall not be unreasonably withheld, conditioned or delayed.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5.11.</w:t>
        <w:tab/>
        <w:t>     </w:t>
      </w:r>
      <w:r>
        <w:rPr>
          <w:rFonts w:ascii="Times New Roman;Times;Serif" w:hAnsi="Times New Roman;Times;Serif"/>
          <w:b w:val="false"/>
          <w:i w:val="false"/>
          <w:caps w:val="false"/>
          <w:smallCaps w:val="false"/>
          <w:sz w:val="20"/>
          <w:u w:val="single"/>
        </w:rPr>
        <w:t>Performance by the Partnership.</w:t>
      </w:r>
      <w:r>
        <w:rPr>
          <w:rFonts w:ascii="Times New Roman;Times;Serif" w:hAnsi="Times New Roman;Times;Serif"/>
          <w:b w:val="false"/>
          <w:i w:val="false"/>
          <w:caps w:val="false"/>
          <w:smallCaps w:val="false"/>
          <w:sz w:val="20"/>
        </w:rPr>
        <w:t xml:space="preserve"> Parent shall cause the Partnership and its Subsidiaries to comply with the provisions of this Agreement. Notwithstanding the foregoing, it is understood and agreed that actions or inactions by the Partnership and its Subsidiaries shall not be deemed to be breaches or violations or failures to perform by the Partnership and its Subsidiaries of any of the provisions of this Agreement if such action or inaction was or was not taken, as applicable, at the direction of Parent or its duly authorized Representatives.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5.12.</w:t>
        <w:tab/>
        <w:t>     </w:t>
      </w:r>
      <w:r>
        <w:rPr>
          <w:rFonts w:ascii="Times New Roman;Times;Serif" w:hAnsi="Times New Roman;Times;Serif"/>
          <w:b w:val="false"/>
          <w:i w:val="false"/>
          <w:caps w:val="false"/>
          <w:smallCaps w:val="false"/>
          <w:sz w:val="20"/>
          <w:u w:val="single"/>
        </w:rPr>
        <w:t>Conflicts Committee.</w:t>
      </w:r>
      <w:r>
        <w:rPr>
          <w:rFonts w:ascii="Times New Roman;Times;Serif" w:hAnsi="Times New Roman;Times;Serif"/>
          <w:b w:val="false"/>
          <w:i w:val="false"/>
          <w:caps w:val="false"/>
          <w:smallCaps w:val="false"/>
          <w:sz w:val="20"/>
        </w:rPr>
        <w:t xml:space="preserve"> Prior to the Effective Time, neither the General Partner nor Parent nor their Representatives shall, without the consent of the Conflicts Committee, cause or take any action that would cause the elimination of the Conflicts Committee, or revoke or diminish the authority of the Conflicts Committee or remove or cause the removal of any director of the Partnership Board that is a member of the Conflicts Committee either as a member of the Partnership Board or the Conflicts Committee, without the affirmative vote of the Conflicts Committee. For the avoidance of doubt, this </w:t>
      </w:r>
      <w:r>
        <w:rPr>
          <w:rFonts w:ascii="Times New Roman;Times;Serif" w:hAnsi="Times New Roman;Times;Serif"/>
          <w:b w:val="false"/>
          <w:i w:val="false"/>
          <w:caps w:val="false"/>
          <w:smallCaps w:val="false"/>
          <w:sz w:val="20"/>
          <w:u w:val="single"/>
        </w:rPr>
        <w:t>Section 5.12</w:t>
      </w:r>
      <w:r>
        <w:rPr>
          <w:rFonts w:ascii="Times New Roman;Times;Serif" w:hAnsi="Times New Roman;Times;Serif"/>
          <w:b w:val="false"/>
          <w:i w:val="false"/>
          <w:caps w:val="false"/>
          <w:smallCaps w:val="false"/>
          <w:sz w:val="20"/>
        </w:rPr>
        <w:t xml:space="preserve"> shall not apply to the filling of any vacancies caused by the death, incapacity or resignation of any director in accordance with the provisions of the Partnership Agreement.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sz w:val="20"/>
          <w:bdr w:val="single" w:sz="8" w:space="1" w:color="000000"/>
        </w:rPr>
      </w:pPr>
      <w:r>
        <w:rPr>
          <w:sz w:val="20"/>
          <w:bdr w:val="single" w:sz="8" w:space="1" w:color="000000"/>
        </w:rPr>
        <w:t>27</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5.13.       </w:t>
      </w:r>
      <w:r>
        <w:rPr>
          <w:rFonts w:ascii="Times New Roman;Times;Serif" w:hAnsi="Times New Roman;Times;Serif"/>
          <w:b w:val="false"/>
          <w:i w:val="false"/>
          <w:caps w:val="false"/>
          <w:smallCaps w:val="false"/>
          <w:sz w:val="20"/>
          <w:u w:val="single"/>
        </w:rPr>
        <w:t>Special Distribution.</w:t>
      </w:r>
      <w:r>
        <w:rPr>
          <w:rFonts w:ascii="Times New Roman;Times;Serif" w:hAnsi="Times New Roman;Times;Serif"/>
          <w:b w:val="false"/>
          <w:i w:val="false"/>
          <w:caps w:val="false"/>
          <w:smallCaps w:val="false"/>
          <w:sz w:val="20"/>
        </w:rPr>
        <w:t xml:space="preserve"> As soon as reasonably practicable after receipt of the Unitholder Approval, and in any event no less than two business days prior to the Closing Date, the Partnership Board shall (and Parent shall cause its Representatives on the Partnership Board to) declare the Special Distribution with a record date on a business day prior to the Closing Date and a payment date occurring on or prior to the Closing Date, in each case in accordance with, and subject to the requirements of, the Partnership Agreement and applicable Law, and which dates shall be reasonably agreed among the Parties. The Special Distribution shall be allocated as contemplated by Section 6.3 of the Partnership Agreement and paid to Common Unitholders and the General Partner prior to the Effective Time.</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ARTICLE VI</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CONDITIONS PRECEDENT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         </w:t>
      </w:r>
      <w:r>
        <w:rPr>
          <w:rFonts w:ascii="Times New Roman;Times;Serif" w:hAnsi="Times New Roman;Times;Serif"/>
          <w:b w:val="false"/>
          <w:i w:val="false"/>
          <w:caps w:val="false"/>
          <w:smallCaps w:val="false"/>
          <w:sz w:val="20"/>
          <w:u w:val="single"/>
        </w:rPr>
        <w:t>Conditions to Each Party’s Obligation to Effect the Merger.</w:t>
      </w:r>
      <w:r>
        <w:rPr>
          <w:rFonts w:ascii="Times New Roman;Times;Serif" w:hAnsi="Times New Roman;Times;Serif"/>
          <w:b w:val="false"/>
          <w:i w:val="false"/>
          <w:caps w:val="false"/>
          <w:smallCaps w:val="false"/>
          <w:sz w:val="20"/>
        </w:rPr>
        <w:t xml:space="preserve"> The respective obligations of each Party to effect the Merger shall be subject to the satisfaction (or waiver, if permissible under applicable Law) on or prior to the Closing Date of the following conditions: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Unitholder Approval</w:t>
      </w:r>
      <w:r>
        <w:rPr>
          <w:rFonts w:ascii="Times New Roman;Times;Serif" w:hAnsi="Times New Roman;Times;Serif"/>
          <w:b w:val="false"/>
          <w:i w:val="false"/>
          <w:caps w:val="false"/>
          <w:smallCaps w:val="false"/>
          <w:sz w:val="20"/>
        </w:rPr>
        <w:t>. The Unitholder Approval shall have been obtained in accordance with applicable Law and the Partnership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 Injunctions or Restraints</w:t>
      </w:r>
      <w:r>
        <w:rPr>
          <w:rFonts w:ascii="Times New Roman;Times;Serif" w:hAnsi="Times New Roman;Times;Serif"/>
          <w:b w:val="false"/>
          <w:i w:val="false"/>
          <w:caps w:val="false"/>
          <w:smallCaps w:val="false"/>
          <w:sz w:val="20"/>
        </w:rPr>
        <w:t>. No Judgment enacted, promulgated, issued, entered, amended or enforced by any Governmental Authority of competent jurisdiction (collectively, “</w:t>
      </w:r>
      <w:r>
        <w:rPr>
          <w:rFonts w:ascii="Times New Roman;Times;Serif" w:hAnsi="Times New Roman;Times;Serif"/>
          <w:b w:val="false"/>
          <w:i w:val="false"/>
          <w:caps w:val="false"/>
          <w:smallCaps w:val="false"/>
          <w:sz w:val="20"/>
          <w:u w:val="single"/>
        </w:rPr>
        <w:t>Restraints</w:t>
      </w:r>
      <w:r>
        <w:rPr>
          <w:rFonts w:ascii="Times New Roman;Times;Serif" w:hAnsi="Times New Roman;Times;Serif"/>
          <w:b w:val="false"/>
          <w:i w:val="false"/>
          <w:caps w:val="false"/>
          <w:smallCaps w:val="false"/>
          <w:sz w:val="20"/>
        </w:rPr>
        <w:t>”) shall be in effect enjoining, restraining, or otherwise making illegal, preventing or prohibiting the consummation of the Merger.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Special Distribution</w:t>
      </w:r>
      <w:r>
        <w:rPr>
          <w:rFonts w:ascii="Times New Roman;Times;Serif" w:hAnsi="Times New Roman;Times;Serif"/>
          <w:b w:val="false"/>
          <w:i w:val="false"/>
          <w:caps w:val="false"/>
          <w:smallCaps w:val="false"/>
          <w:sz w:val="20"/>
        </w:rPr>
        <w:t xml:space="preserve">. The Special Distribution shall have been declared and paid in accordance with </w:t>
      </w:r>
      <w:r>
        <w:rPr>
          <w:rFonts w:ascii="Times New Roman;Times;Serif" w:hAnsi="Times New Roman;Times;Serif"/>
          <w:b w:val="false"/>
          <w:i w:val="false"/>
          <w:caps w:val="false"/>
          <w:smallCaps w:val="false"/>
          <w:sz w:val="20"/>
          <w:u w:val="single"/>
        </w:rPr>
        <w:t>Section 5.13</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6.2.        </w:t>
      </w:r>
      <w:r>
        <w:rPr>
          <w:rFonts w:ascii="Times New Roman;Times;Serif" w:hAnsi="Times New Roman;Times;Serif"/>
          <w:b w:val="false"/>
          <w:i w:val="false"/>
          <w:caps w:val="false"/>
          <w:smallCaps w:val="false"/>
          <w:sz w:val="20"/>
          <w:u w:val="single"/>
        </w:rPr>
        <w:t>Conditions to Obligations of the Sponsor Entities to Effect the Merger.</w:t>
      </w:r>
      <w:r>
        <w:rPr>
          <w:rFonts w:ascii="Times New Roman;Times;Serif" w:hAnsi="Times New Roman;Times;Serif"/>
          <w:b w:val="false"/>
          <w:i w:val="false"/>
          <w:caps w:val="false"/>
          <w:smallCaps w:val="false"/>
          <w:sz w:val="20"/>
        </w:rPr>
        <w:t xml:space="preserve"> The obligations of the Sponsor Entities to effect the Merger are further subject to the satisfaction (or waiver, if permissible under applicable Law) on or prior to the Closing Date of the following conditions: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xml:space="preserve">.  The representations and warranties of the Partnership (i) set forth in </w:t>
      </w:r>
      <w:r>
        <w:rPr>
          <w:rFonts w:ascii="Times New Roman;Times;Serif" w:hAnsi="Times New Roman;Times;Serif"/>
          <w:b w:val="false"/>
          <w:i w:val="false"/>
          <w:caps w:val="false"/>
          <w:smallCaps w:val="false"/>
          <w:sz w:val="20"/>
          <w:u w:val="single"/>
        </w:rPr>
        <w:t>Sections 3.3(a)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3.3(c)</w:t>
      </w:r>
      <w:r>
        <w:rPr>
          <w:rFonts w:ascii="Times New Roman;Times;Serif" w:hAnsi="Times New Roman;Times;Serif"/>
          <w:b w:val="false"/>
          <w:i w:val="false"/>
          <w:caps w:val="false"/>
          <w:smallCaps w:val="false"/>
          <w:sz w:val="20"/>
        </w:rPr>
        <w:t xml:space="preserve"> shall be true and correct in all respects, in each case both when made and at and as of the Closing Date with the same effect as though made on and as of such date (except to the extent expressly made as of an earlier date, in which case as of such earlier date), (ii) set forth in </w:t>
      </w:r>
      <w:r>
        <w:rPr>
          <w:rFonts w:ascii="Times New Roman;Times;Serif" w:hAnsi="Times New Roman;Times;Serif"/>
          <w:b w:val="false"/>
          <w:i w:val="false"/>
          <w:caps w:val="false"/>
          <w:smallCaps w:val="false"/>
          <w:sz w:val="20"/>
          <w:u w:val="single"/>
        </w:rPr>
        <w:t>Section 3.2(a)</w:t>
      </w:r>
      <w:r>
        <w:rPr>
          <w:rFonts w:ascii="Times New Roman;Times;Serif" w:hAnsi="Times New Roman;Times;Serif"/>
          <w:b w:val="false"/>
          <w:i w:val="false"/>
          <w:caps w:val="false"/>
          <w:smallCaps w:val="false"/>
          <w:sz w:val="20"/>
        </w:rPr>
        <w:t xml:space="preserve"> shall be true and correct in all but </w:t>
      </w:r>
      <w:r>
        <w:rPr>
          <w:rFonts w:ascii="Times New Roman;Times;Serif" w:hAnsi="Times New Roman;Times;Serif"/>
          <w:b w:val="false"/>
          <w:i/>
          <w:caps w:val="false"/>
          <w:smallCaps w:val="false"/>
          <w:sz w:val="20"/>
        </w:rPr>
        <w:t xml:space="preserve">de minimis </w:t>
      </w:r>
      <w:r>
        <w:rPr>
          <w:rFonts w:ascii="Times New Roman;Times;Serif" w:hAnsi="Times New Roman;Times;Serif"/>
          <w:b w:val="false"/>
          <w:i w:val="false"/>
          <w:caps w:val="false"/>
          <w:smallCaps w:val="false"/>
          <w:sz w:val="20"/>
        </w:rPr>
        <w:t xml:space="preserve">respects, in each case both when made and at and as of the Closing Date with the same effect as though made on and as of such date (except to the extent expressly made as of an earlier date, in which case as of such earlier date) (iii) set forth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(other than </w:t>
      </w:r>
      <w:r>
        <w:rPr>
          <w:rFonts w:ascii="Times New Roman;Times;Serif" w:hAnsi="Times New Roman;Times;Serif"/>
          <w:b w:val="false"/>
          <w:i w:val="false"/>
          <w:caps w:val="false"/>
          <w:smallCaps w:val="false"/>
          <w:sz w:val="20"/>
          <w:u w:val="single"/>
        </w:rPr>
        <w:t>Sections 3.2(a)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3.3(a)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3.3(c)</w:t>
      </w:r>
      <w:r>
        <w:rPr>
          <w:rFonts w:ascii="Times New Roman;Times;Serif" w:hAnsi="Times New Roman;Times;Serif"/>
          <w:b w:val="false"/>
          <w:i w:val="false"/>
          <w:caps w:val="false"/>
          <w:smallCaps w:val="false"/>
          <w:sz w:val="20"/>
        </w:rPr>
        <w:t xml:space="preserve">) shall be true and correct, in each case both when made and at and as of the Closing Date with the same effect as though made on and as of such date (except to the extent expressly made as of an earlier date, in which case as of such earlier date), except, in the case of this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where the failure of such representations and warranties to be so true and correct (without giving effect to any qualification or limitation as to “materiality”, “Partnership Material Adverse Effect” or words of similar import set forth therein) does not have, and would not reasonably be expected to have, individually or in the aggregate, a Partnership Material Adverse Effect.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28 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Performance of Obligations of the Partnership</w:t>
      </w:r>
      <w:r>
        <w:rPr>
          <w:rFonts w:ascii="Times New Roman;Times;Serif" w:hAnsi="Times New Roman;Times;Serif"/>
          <w:b w:val="false"/>
          <w:i w:val="false"/>
          <w:caps w:val="false"/>
          <w:smallCaps w:val="false"/>
          <w:sz w:val="20"/>
        </w:rPr>
        <w:t>. The Partnership shall have performed in all material respects all obligations required to be performed by it under this Agreement at or prior to the Closing Date.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 Partnership Material Adverse Effect</w:t>
      </w:r>
      <w:r>
        <w:rPr>
          <w:rFonts w:ascii="Times New Roman;Times;Serif" w:hAnsi="Times New Roman;Times;Serif"/>
          <w:b w:val="false"/>
          <w:i w:val="false"/>
          <w:caps w:val="false"/>
          <w:smallCaps w:val="false"/>
          <w:sz w:val="20"/>
        </w:rPr>
        <w:t>. Since the date of this Agreement there shall not have been any Partnership Material Adverse Effect.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Certificates</w:t>
      </w:r>
      <w:r>
        <w:rPr>
          <w:rFonts w:ascii="Times New Roman;Times;Serif" w:hAnsi="Times New Roman;Times;Serif"/>
          <w:b w:val="false"/>
          <w:i w:val="false"/>
          <w:caps w:val="false"/>
          <w:smallCaps w:val="false"/>
          <w:sz w:val="20"/>
        </w:rPr>
        <w:t xml:space="preserve">. The Partnership shall have delivered to Parent a certificate of an authorized officer of the Partnership, dated as of the Closing Date, in form and substance reasonably acceptable to Parent, to the effect that the conditions specified in </w:t>
      </w:r>
      <w:r>
        <w:rPr>
          <w:rFonts w:ascii="Times New Roman;Times;Serif" w:hAnsi="Times New Roman;Times;Serif"/>
          <w:b w:val="false"/>
          <w:i w:val="false"/>
          <w:caps w:val="false"/>
          <w:smallCaps w:val="false"/>
          <w:sz w:val="20"/>
          <w:u w:val="single"/>
        </w:rPr>
        <w:t>Sections 6.2(a)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6.2(b)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6.2(c)</w:t>
      </w:r>
      <w:r>
        <w:rPr>
          <w:rFonts w:ascii="Times New Roman;Times;Serif" w:hAnsi="Times New Roman;Times;Serif"/>
          <w:b w:val="false"/>
          <w:i w:val="false"/>
          <w:caps w:val="false"/>
          <w:smallCaps w:val="false"/>
          <w:sz w:val="20"/>
        </w:rPr>
        <w:t> have been satisfied.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6.3.         </w:t>
      </w:r>
      <w:r>
        <w:rPr>
          <w:rFonts w:ascii="Times New Roman;Times;Serif" w:hAnsi="Times New Roman;Times;Serif"/>
          <w:b w:val="false"/>
          <w:i w:val="false"/>
          <w:caps w:val="false"/>
          <w:smallCaps w:val="false"/>
          <w:sz w:val="20"/>
          <w:u w:val="single"/>
        </w:rPr>
        <w:t>Conditions to Obligations of the Partnership to Effect the Merger.</w:t>
      </w:r>
      <w:r>
        <w:rPr>
          <w:rFonts w:ascii="Times New Roman;Times;Serif" w:hAnsi="Times New Roman;Times;Serif"/>
          <w:b w:val="false"/>
          <w:i w:val="false"/>
          <w:caps w:val="false"/>
          <w:smallCaps w:val="false"/>
          <w:sz w:val="20"/>
        </w:rPr>
        <w:t xml:space="preserve"> The obligations of the Partnership to effect the Merger are further subject to the satisfaction (or waiver, if permissible under applicable Law) on or prior to the Closing Date of the following conditions: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xml:space="preserve">. The representations and warranties of the Sponsor Entities (i) set forth in </w:t>
      </w:r>
      <w:r>
        <w:rPr>
          <w:rFonts w:ascii="Times New Roman;Times;Serif" w:hAnsi="Times New Roman;Times;Serif"/>
          <w:b w:val="false"/>
          <w:i w:val="false"/>
          <w:caps w:val="false"/>
          <w:smallCaps w:val="false"/>
          <w:sz w:val="20"/>
          <w:u w:val="single"/>
        </w:rPr>
        <w:t>Section 4.3(a)</w:t>
      </w:r>
      <w:r>
        <w:rPr>
          <w:rFonts w:ascii="Times New Roman;Times;Serif" w:hAnsi="Times New Roman;Times;Serif"/>
          <w:b w:val="false"/>
          <w:i w:val="false"/>
          <w:caps w:val="false"/>
          <w:smallCaps w:val="false"/>
          <w:sz w:val="20"/>
        </w:rPr>
        <w:t xml:space="preserve"> shall be true and correct in all respects, in each case both when made and at and as of the Closing Date with the same effect as though made on and as of such date (except to the extent expressly made as of an earlier date, in which case as of such earlier date), and (ii) set forth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(other than </w:t>
      </w:r>
      <w:r>
        <w:rPr>
          <w:rFonts w:ascii="Times New Roman;Times;Serif" w:hAnsi="Times New Roman;Times;Serif"/>
          <w:b w:val="false"/>
          <w:i w:val="false"/>
          <w:caps w:val="false"/>
          <w:smallCaps w:val="false"/>
          <w:sz w:val="20"/>
          <w:u w:val="single"/>
        </w:rPr>
        <w:t>Section 4.3(a)</w:t>
      </w:r>
      <w:r>
        <w:rPr>
          <w:rFonts w:ascii="Times New Roman;Times;Serif" w:hAnsi="Times New Roman;Times;Serif"/>
          <w:b w:val="false"/>
          <w:i w:val="false"/>
          <w:caps w:val="false"/>
          <w:smallCaps w:val="false"/>
          <w:sz w:val="20"/>
        </w:rPr>
        <w:t xml:space="preserve">) shall be true and correct, in each case both when made and at and as of the Closing Date with the same effect as though made on and as of such date (except to the extent expressly made as of an earlier date, in which case as of such earlier date), except, in the case of this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where the failure of such representations and warranties to be so true and correct (without giving effect to any qualification or limitation as to “materiality” or words of similar import set forth therein) does not, and would not reasonably be expected to, individually or in the aggregate, prevent or materially impede, interfere with or hinder the consummation of the Transactions.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Performance of Obligations of the Sponsor Entities</w:t>
      </w:r>
      <w:r>
        <w:rPr>
          <w:rFonts w:ascii="Times New Roman;Times;Serif" w:hAnsi="Times New Roman;Times;Serif"/>
          <w:b w:val="false"/>
          <w:i w:val="false"/>
          <w:caps w:val="false"/>
          <w:smallCaps w:val="false"/>
          <w:sz w:val="20"/>
        </w:rPr>
        <w:t>. The Sponsor Entities shall have performed in all material respects all obligations required to be performed by them under this Agreement at or prior to the Closing Date.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Certificates</w:t>
      </w:r>
      <w:r>
        <w:rPr>
          <w:rFonts w:ascii="Times New Roman;Times;Serif" w:hAnsi="Times New Roman;Times;Serif"/>
          <w:b w:val="false"/>
          <w:i w:val="false"/>
          <w:caps w:val="false"/>
          <w:smallCaps w:val="false"/>
          <w:sz w:val="20"/>
        </w:rPr>
        <w:t xml:space="preserve">. Parent shall have delivered to the Partnership a certificate of an authorized officer of Parent, dated as of the Closing Date, in form and substance reasonably acceptable to the Partnership, to the effect that the conditions specified in </w:t>
      </w:r>
      <w:r>
        <w:rPr>
          <w:rFonts w:ascii="Times New Roman;Times;Serif" w:hAnsi="Times New Roman;Times;Serif"/>
          <w:b w:val="false"/>
          <w:i w:val="false"/>
          <w:caps w:val="false"/>
          <w:smallCaps w:val="false"/>
          <w:sz w:val="20"/>
          <w:u w:val="single"/>
        </w:rPr>
        <w:t>Sections 6.3(a)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6.3(b)</w:t>
      </w:r>
      <w:r>
        <w:rPr>
          <w:rFonts w:ascii="Times New Roman;Times;Serif" w:hAnsi="Times New Roman;Times;Serif"/>
          <w:b w:val="false"/>
          <w:i w:val="false"/>
          <w:caps w:val="false"/>
          <w:smallCaps w:val="false"/>
          <w:sz w:val="20"/>
        </w:rPr>
        <w:t> have been satisfied.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29 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6.4.        </w:t>
      </w:r>
      <w:r>
        <w:rPr>
          <w:rFonts w:ascii="Times New Roman;Times;Serif" w:hAnsi="Times New Roman;Times;Serif"/>
          <w:b w:val="false"/>
          <w:i w:val="false"/>
          <w:caps w:val="false"/>
          <w:smallCaps w:val="false"/>
          <w:sz w:val="20"/>
          <w:u w:val="single"/>
        </w:rPr>
        <w:t>Frustration of Closing Conditions.</w:t>
      </w:r>
      <w:r>
        <w:rPr>
          <w:rFonts w:ascii="Times New Roman;Times;Serif" w:hAnsi="Times New Roman;Times;Serif"/>
          <w:b w:val="false"/>
          <w:i w:val="false"/>
          <w:caps w:val="false"/>
          <w:smallCaps w:val="false"/>
          <w:sz w:val="20"/>
        </w:rPr>
        <w:t xml:space="preserve"> The Partnership may not rely on the failure of any condition set forth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 xml:space="preserve">6.3 </w:t>
      </w:r>
      <w:r>
        <w:rPr>
          <w:rFonts w:ascii="Times New Roman;Times;Serif" w:hAnsi="Times New Roman;Times;Serif"/>
          <w:b w:val="false"/>
          <w:i w:val="false"/>
          <w:caps w:val="false"/>
          <w:smallCaps w:val="false"/>
          <w:sz w:val="20"/>
        </w:rPr>
        <w:t xml:space="preserve">to be satisfied if the failure of the Partnership to perform in all material respects any of its obligations under this Agreement, including to use its commercially reasonable efforts to consummate the Transactions, as required by and subject to the terms of this Agreement, was the primary cause of or primarily resulted in the failure of such condition to be satisfied. The Sponsor Entities may not rely on the failure of any condition set forth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6.2</w:t>
      </w:r>
      <w:r>
        <w:rPr>
          <w:rFonts w:ascii="Times New Roman;Times;Serif" w:hAnsi="Times New Roman;Times;Serif"/>
          <w:b w:val="false"/>
          <w:i w:val="false"/>
          <w:caps w:val="false"/>
          <w:smallCaps w:val="false"/>
          <w:sz w:val="20"/>
        </w:rPr>
        <w:t xml:space="preserve"> to be satisfied if the failure of a Sponsor Entity to perform in all material respects any of its obligations under this Agreement, including to use its commercially reasonable efforts to consummate the Transactions, as required by and subject to the terms and conditions of this Agreement, was the primary cause of or primarily resulted in the failure of such condition to be satisfied.</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ARTICLE VII</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        </w:t>
      </w:r>
      <w:r>
        <w:rPr>
          <w:rFonts w:ascii="Times New Roman;Times;Serif" w:hAnsi="Times New Roman;Times;Serif"/>
          <w:b w:val="false"/>
          <w:i w:val="false"/>
          <w:caps w:val="false"/>
          <w:smallCaps w:val="false"/>
          <w:sz w:val="20"/>
          <w:u w:val="single"/>
        </w:rPr>
        <w:t xml:space="preserve">Termination. </w:t>
      </w:r>
      <w:r>
        <w:rPr>
          <w:rFonts w:ascii="Times New Roman;Times;Serif" w:hAnsi="Times New Roman;Times;Serif"/>
          <w:b w:val="false"/>
          <w:i w:val="false"/>
          <w:caps w:val="false"/>
          <w:smallCaps w:val="false"/>
          <w:sz w:val="20"/>
        </w:rPr>
        <w:t>This Agreement may be terminated and the Transactions abandoned at any time prior to the Effective Time: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the mutual written consent of the Partnership and Parent duly authorized by each of the Conflicts Committee and the Parent Board, respectively;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either of Parent or, following authorization by the Conflicts Committee, the Partnership:</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Closing shall not have been consummated on or before October 6, 2023 (the “</w:t>
      </w:r>
      <w:r>
        <w:rPr>
          <w:rFonts w:ascii="Times New Roman;Times;Serif" w:hAnsi="Times New Roman;Times;Serif"/>
          <w:b w:val="false"/>
          <w:i w:val="false"/>
          <w:caps w:val="false"/>
          <w:smallCaps w:val="false"/>
          <w:sz w:val="20"/>
          <w:u w:val="single"/>
        </w:rPr>
        <w:t>Outside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 xml:space="preserve">that the right to terminate this Agreement under this </w:t>
      </w:r>
      <w:r>
        <w:rPr>
          <w:rFonts w:ascii="Times New Roman;Times;Serif" w:hAnsi="Times New Roman;Times;Serif"/>
          <w:b w:val="false"/>
          <w:i w:val="false"/>
          <w:caps w:val="false"/>
          <w:smallCaps w:val="false"/>
          <w:sz w:val="20"/>
          <w:u w:val="single"/>
        </w:rPr>
        <w:t>Section 7.1(b)(i)</w:t>
      </w:r>
      <w:r>
        <w:rPr>
          <w:rFonts w:ascii="Times New Roman;Times;Serif" w:hAnsi="Times New Roman;Times;Serif"/>
          <w:b w:val="false"/>
          <w:i w:val="false"/>
          <w:caps w:val="false"/>
          <w:smallCaps w:val="false"/>
          <w:sz w:val="20"/>
        </w:rPr>
        <w:t xml:space="preserve"> shall not be available to a Party (A) if the breach by such Party of its representations and warranties set forth in this Agreement or the failure of such Party to perform any of its obligations under this Agreement, its failure to act in good faith or its failure to use its commercially reasonable efforts to consummate the Transactions, including to the extent required by and subject to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has been a principal cause of or resulted in the failure of the Merger to be consummated on or prior to such date (it being understood that Parent, Merger Sub and the General Partner shall be deemed a single party for purposes of the foregoing proviso) or (B) if any other Party has filed (and is then pursuing) an action seeking specific performance as permitted by </w:t>
      </w:r>
      <w:r>
        <w:rPr>
          <w:rFonts w:ascii="Times New Roman;Times;Serif" w:hAnsi="Times New Roman;Times;Serif"/>
          <w:b w:val="false"/>
          <w:i w:val="false"/>
          <w:caps w:val="false"/>
          <w:smallCaps w:val="false"/>
          <w:sz w:val="20"/>
          <w:u w:val="single"/>
        </w:rPr>
        <w:t>Section 8.8</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any Restraint having the effect set forth in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xml:space="preserve"> shall be in effect and shall have become final and nonappealable;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Party seeking to terminate this Agreement under this </w:t>
      </w:r>
      <w:r>
        <w:rPr>
          <w:rFonts w:ascii="Times New Roman;Times;Serif" w:hAnsi="Times New Roman;Times;Serif"/>
          <w:b w:val="false"/>
          <w:i w:val="false"/>
          <w:caps w:val="false"/>
          <w:smallCaps w:val="false"/>
          <w:sz w:val="20"/>
          <w:u w:val="single"/>
        </w:rPr>
        <w:t>Section 7.1(b)(ii)</w:t>
      </w:r>
      <w:r>
        <w:rPr>
          <w:rFonts w:ascii="Times New Roman;Times;Serif" w:hAnsi="Times New Roman;Times;Serif"/>
          <w:b w:val="false"/>
          <w:i w:val="false"/>
          <w:caps w:val="false"/>
          <w:smallCaps w:val="false"/>
          <w:sz w:val="20"/>
        </w:rPr>
        <w:t> shall have performed in all material respects its obligations under this Agreement, acted in good faith and used commercially reasonable efforts to prevent the entry of and to remove such Restraint in accordance with its obligations under this Agreement; or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if the Unitholders Meeting at which the vote was taken shall have concluded and the Unitholder Approval shall not have been obtained;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Party seeking to terminate this Agreement under this </w:t>
      </w:r>
      <w:r>
        <w:rPr>
          <w:rFonts w:ascii="Times New Roman;Times;Serif" w:hAnsi="Times New Roman;Times;Serif"/>
          <w:b w:val="false"/>
          <w:i w:val="false"/>
          <w:caps w:val="false"/>
          <w:smallCaps w:val="false"/>
          <w:sz w:val="20"/>
          <w:u w:val="single"/>
        </w:rPr>
        <w:t>Section 7.1(b)(iii)</w:t>
      </w:r>
      <w:r>
        <w:rPr>
          <w:rFonts w:ascii="Times New Roman;Times;Serif" w:hAnsi="Times New Roman;Times;Serif"/>
          <w:b w:val="false"/>
          <w:i w:val="false"/>
          <w:caps w:val="false"/>
          <w:smallCaps w:val="false"/>
          <w:sz w:val="20"/>
        </w:rPr>
        <w:t> shall have performed in all material respects its obligations under this Agreement with respect thereto;</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30 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Parent: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an Adverse Recommendation Change shall have occurred; or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the Partnership shall have breached any of its representations or warranties or failed to perform any of its obligations or agreements set forth in this Agreement, which breach or failure to perform (A) would give rise to the failure of a condition set forth in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6.2(b)</w:t>
      </w:r>
      <w:r>
        <w:rPr>
          <w:rFonts w:ascii="Times New Roman;Times;Serif" w:hAnsi="Times New Roman;Times;Serif"/>
          <w:b w:val="false"/>
          <w:i w:val="false"/>
          <w:caps w:val="false"/>
          <w:smallCaps w:val="false"/>
          <w:sz w:val="20"/>
        </w:rPr>
        <w:t xml:space="preserve"> and (B) is not reasonably capable of being cured prior to the Outside Date or has not been cured by the Partnership within 30 days following receipt of written notice from Parent of such breach or failure to perform stating Parent’s intention to terminate this Agreement pursuant to this </w:t>
      </w:r>
      <w:r>
        <w:rPr>
          <w:rFonts w:ascii="Times New Roman;Times;Serif" w:hAnsi="Times New Roman;Times;Serif"/>
          <w:b w:val="false"/>
          <w:i w:val="false"/>
          <w:caps w:val="false"/>
          <w:smallCaps w:val="false"/>
          <w:sz w:val="20"/>
          <w:u w:val="single"/>
        </w:rPr>
        <w:t>Section 7.1(c)(ii)</w:t>
      </w:r>
      <w:r>
        <w:rPr>
          <w:rFonts w:ascii="Times New Roman;Times;Serif" w:hAnsi="Times New Roman;Times;Serif"/>
          <w:b w:val="false"/>
          <w:i w:val="false"/>
          <w:caps w:val="false"/>
          <w:smallCaps w:val="false"/>
          <w:sz w:val="20"/>
        </w:rPr>
        <w:t xml:space="preserve"> (or in any event, has not been cured by the Outside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Parent shall not have the right to terminate this Agreement pursuant to this </w:t>
      </w:r>
      <w:r>
        <w:rPr>
          <w:rFonts w:ascii="Times New Roman;Times;Serif" w:hAnsi="Times New Roman;Times;Serif"/>
          <w:b w:val="false"/>
          <w:i w:val="false"/>
          <w:caps w:val="false"/>
          <w:smallCaps w:val="false"/>
          <w:sz w:val="20"/>
          <w:u w:val="single"/>
        </w:rPr>
        <w:t>Section 7.1(c)(ii)</w:t>
      </w:r>
      <w:r>
        <w:rPr>
          <w:rFonts w:ascii="Times New Roman;Times;Serif" w:hAnsi="Times New Roman;Times;Serif"/>
          <w:b w:val="false"/>
          <w:i w:val="false"/>
          <w:caps w:val="false"/>
          <w:smallCaps w:val="false"/>
          <w:sz w:val="20"/>
        </w:rPr>
        <w:t> if any of the Sponsor Entities is then in material breach of any of its representations, warranties, obligations or agreements hereunder;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by the Partnership if a Sponsor Entity shall have breached any of its representations or warranties or failed to perform any of its obligations or agreements set forth in this Agreement, which breach or failure to perform (A) would give rise to the failure of a condition set forth in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6.3(b)</w:t>
      </w:r>
      <w:r>
        <w:rPr>
          <w:rFonts w:ascii="Times New Roman;Times;Serif" w:hAnsi="Times New Roman;Times;Serif"/>
          <w:b w:val="false"/>
          <w:i w:val="false"/>
          <w:caps w:val="false"/>
          <w:smallCaps w:val="false"/>
          <w:sz w:val="20"/>
        </w:rPr>
        <w:t xml:space="preserve"> and (B) is not reasonably capable of being cured prior to the Outside Date or has not been cured by the applicable Sponsor Entity within 30 days following receipt of written notice from the Partnership of such breach or failure to perform stating the Partnership’s intention to terminate this Agreement pursuant this </w:t>
      </w:r>
      <w:r>
        <w:rPr>
          <w:rFonts w:ascii="Times New Roman;Times;Serif" w:hAnsi="Times New Roman;Times;Serif"/>
          <w:b w:val="false"/>
          <w:i w:val="false"/>
          <w:caps w:val="false"/>
          <w:smallCaps w:val="false"/>
          <w:sz w:val="20"/>
          <w:u w:val="single"/>
        </w:rPr>
        <w:t>Section 7.1(d)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Partnership shall not have the right to terminate this Agreement pursuant to this </w:t>
      </w:r>
      <w:r>
        <w:rPr>
          <w:rFonts w:ascii="Times New Roman;Times;Serif" w:hAnsi="Times New Roman;Times;Serif"/>
          <w:b w:val="false"/>
          <w:i w:val="false"/>
          <w:caps w:val="false"/>
          <w:smallCaps w:val="false"/>
          <w:sz w:val="20"/>
          <w:u w:val="single"/>
        </w:rPr>
        <w:t>Section 7.1(d)</w:t>
      </w:r>
      <w:r>
        <w:rPr>
          <w:rFonts w:ascii="Times New Roman;Times;Serif" w:hAnsi="Times New Roman;Times;Serif"/>
          <w:b w:val="false"/>
          <w:i w:val="false"/>
          <w:caps w:val="false"/>
          <w:smallCaps w:val="false"/>
          <w:sz w:val="20"/>
        </w:rPr>
        <w:t> (1) if the Partnership is then in material breach of any of its representations, warranties, obligations or agreements hereunder and (2) without such termination first being authorized by the Conflicts Committee.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7.2.        </w:t>
      </w:r>
      <w:r>
        <w:rPr>
          <w:rFonts w:ascii="Times New Roman;Times;Serif" w:hAnsi="Times New Roman;Times;Serif"/>
          <w:b w:val="false"/>
          <w:i w:val="false"/>
          <w:caps w:val="false"/>
          <w:smallCaps w:val="false"/>
          <w:sz w:val="20"/>
          <w:u w:val="single"/>
        </w:rPr>
        <w:t>Effect of Termination.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 the event of the termination of this Agreement as provided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written notice thereof shall be given to the other Party or Parties, specifying the provision of this Agreement pursuant to which such termination is made, and this Agreement shall forthwith become null and void (other than the provisions in this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all of which shall survive termination of this Agreement), and there shall be no liability on the part of Parent, Merger Sub, the General Partner, the Partnership, any Debt Financing Source or their respective directors, officers and Affiliates, except (i) as liability may exist pursuant to the provisions specified in the immediately preceding parenthetical that survive such termination and (ii) that no such termination shall relieve any Party from liability for fraud or any Willful Breach.</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xml:space="preserve"> or anything else to the contrary in this Agreement, in the event this Agreement is terminated (i)(A) by either of Parent or, following authorization by the Conflicts Committee, the Partnership pursuant to </w:t>
      </w:r>
      <w:r>
        <w:rPr>
          <w:rFonts w:ascii="Times New Roman;Times;Serif" w:hAnsi="Times New Roman;Times;Serif"/>
          <w:b w:val="false"/>
          <w:i w:val="false"/>
          <w:caps w:val="false"/>
          <w:smallCaps w:val="false"/>
          <w:sz w:val="20"/>
          <w:u w:val="single"/>
        </w:rPr>
        <w:t>Section 7.1(b)(i)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7.1(b)(iii)</w:t>
      </w:r>
      <w:r>
        <w:rPr>
          <w:rFonts w:ascii="Times New Roman;Times;Serif" w:hAnsi="Times New Roman;Times;Serif"/>
          <w:b w:val="false"/>
          <w:i w:val="false"/>
          <w:caps w:val="false"/>
          <w:smallCaps w:val="false"/>
          <w:sz w:val="20"/>
        </w:rPr>
        <w:t xml:space="preserve"> at a time when this Agreement was terminable by Parent pursuant to </w:t>
      </w:r>
      <w:r>
        <w:rPr>
          <w:rFonts w:ascii="Times New Roman;Times;Serif" w:hAnsi="Times New Roman;Times;Serif"/>
          <w:b w:val="false"/>
          <w:i w:val="false"/>
          <w:caps w:val="false"/>
          <w:smallCaps w:val="false"/>
          <w:sz w:val="20"/>
          <w:u w:val="single"/>
        </w:rPr>
        <w:t>Section 7.1(c)(i)</w:t>
      </w:r>
      <w:r>
        <w:rPr>
          <w:rFonts w:ascii="Times New Roman;Times;Serif" w:hAnsi="Times New Roman;Times;Serif"/>
          <w:b w:val="false"/>
          <w:i w:val="false"/>
          <w:caps w:val="false"/>
          <w:smallCaps w:val="false"/>
          <w:sz w:val="20"/>
        </w:rPr>
        <w:t xml:space="preserve"> or (B) by Parent pursuant to </w:t>
      </w:r>
      <w:r>
        <w:rPr>
          <w:rFonts w:ascii="Times New Roman;Times;Serif" w:hAnsi="Times New Roman;Times;Serif"/>
          <w:b w:val="false"/>
          <w:i w:val="false"/>
          <w:caps w:val="false"/>
          <w:smallCaps w:val="false"/>
          <w:sz w:val="20"/>
          <w:u w:val="single"/>
        </w:rPr>
        <w:t>Section 7.1(c)(i)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7.1(c)(ii)</w:t>
      </w:r>
      <w:r>
        <w:rPr>
          <w:rFonts w:ascii="Times New Roman;Times;Serif" w:hAnsi="Times New Roman;Times;Serif"/>
          <w:b w:val="false"/>
          <w:i w:val="false"/>
          <w:caps w:val="false"/>
          <w:smallCaps w:val="false"/>
          <w:sz w:val="20"/>
        </w:rPr>
        <w:t xml:space="preserve">, the Partnership shall pay Parent the reasonable and documented out-of-pocket costs and expenses of the Sponsor Entities (including outside attorney’s fees and disbursements) incurred in connection with this Agreement, the Support Agreement and the Debt Commitment Letter and the transactions contemplated hereby and thereby or (ii) by the Partnership pursuant to </w:t>
      </w:r>
      <w:r>
        <w:rPr>
          <w:rFonts w:ascii="Times New Roman;Times;Serif" w:hAnsi="Times New Roman;Times;Serif"/>
          <w:b w:val="false"/>
          <w:i w:val="false"/>
          <w:caps w:val="false"/>
          <w:smallCaps w:val="false"/>
          <w:sz w:val="20"/>
          <w:u w:val="single"/>
        </w:rPr>
        <w:t>Section 7.1(d)</w:t>
      </w:r>
      <w:r>
        <w:rPr>
          <w:rFonts w:ascii="Times New Roman;Times;Serif" w:hAnsi="Times New Roman;Times;Serif"/>
          <w:b w:val="false"/>
          <w:i w:val="false"/>
          <w:caps w:val="false"/>
          <w:smallCaps w:val="false"/>
          <w:sz w:val="20"/>
        </w:rPr>
        <w:t xml:space="preserve">, Parent shall pay the Partnership its reasonable and documented out-of-pocket costs and expenses (including outside attorney’s fees and disbursements) incurred in connection with this Agreement, the Support Agreement and the Debt Commitment Letter and the transactions contemplated hereby and thereby;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the Partnership or Parent, as applicable, be required to provide reimbursement pursuant to this </w:t>
      </w:r>
      <w:r>
        <w:rPr>
          <w:rFonts w:ascii="Times New Roman;Times;Serif" w:hAnsi="Times New Roman;Times;Serif"/>
          <w:b w:val="false"/>
          <w:i w:val="false"/>
          <w:caps w:val="false"/>
          <w:smallCaps w:val="false"/>
          <w:sz w:val="20"/>
          <w:u w:val="single"/>
        </w:rPr>
        <w:t>Section 7.2(b)</w:t>
      </w:r>
      <w:r>
        <w:rPr>
          <w:rFonts w:ascii="Times New Roman;Times;Serif" w:hAnsi="Times New Roman;Times;Serif"/>
          <w:b w:val="false"/>
          <w:i w:val="false"/>
          <w:caps w:val="false"/>
          <w:smallCaps w:val="false"/>
          <w:sz w:val="20"/>
        </w:rPr>
        <w:t> in an aggregate amount in excess of $5,000,000.</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31 </w:t>
      </w:r>
    </w:p>
    <w:p>
      <w:pPr>
        <w:pStyle w:val="TextBody"/>
        <w:spacing w:before="0" w:after="0"/>
        <w:ind w:left="0" w:right="0" w:hanging="0"/>
        <w:rPr/>
      </w:pPr>
      <w:r>
        <w:rPr/>
        <w:t> </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ARTICLE VIII</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w:t>
        <w:tab/>
        <w:t>     </w:t>
      </w:r>
      <w:r>
        <w:rPr>
          <w:rFonts w:ascii="Times New Roman;Times;Serif" w:hAnsi="Times New Roman;Times;Serif"/>
          <w:b w:val="false"/>
          <w:i w:val="false"/>
          <w:caps w:val="false"/>
          <w:smallCaps w:val="false"/>
          <w:sz w:val="20"/>
          <w:u w:val="single"/>
        </w:rPr>
        <w:t>No Survival of Representations, Warranties and Covenants.</w:t>
      </w:r>
      <w:r>
        <w:rPr>
          <w:rFonts w:ascii="Times New Roman;Times;Serif" w:hAnsi="Times New Roman;Times;Serif"/>
          <w:b w:val="false"/>
          <w:i w:val="false"/>
          <w:caps w:val="false"/>
          <w:smallCaps w:val="false"/>
          <w:sz w:val="20"/>
        </w:rPr>
        <w:t xml:space="preserve"> None of the representations, warranties, covenants and agreements in this Agreement or in any document or instrument delivered pursuant to or in connection with this Agreement shall survive the Effective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shall not limit any covenant or agreement contained in this Agreement or in any document or instrument delivered pursuant to or in connection with this Agreement that by its terms applies in whole or in part after the Effective Time.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8.2.</w:t>
        <w:tab/>
        <w:t>     </w:t>
      </w:r>
      <w:r>
        <w:rPr>
          <w:rFonts w:ascii="Times New Roman;Times;Serif" w:hAnsi="Times New Roman;Times;Serif"/>
          <w:b w:val="false"/>
          <w:i w:val="false"/>
          <w:caps w:val="false"/>
          <w:smallCaps w:val="false"/>
          <w:sz w:val="20"/>
          <w:u w:val="single"/>
        </w:rPr>
        <w:t>Amendment or Supplement.</w:t>
      </w:r>
      <w:r>
        <w:rPr>
          <w:rFonts w:ascii="Times New Roman;Times;Serif" w:hAnsi="Times New Roman;Times;Serif"/>
          <w:b w:val="false"/>
          <w:i w:val="false"/>
          <w:caps w:val="false"/>
          <w:smallCaps w:val="false"/>
          <w:sz w:val="20"/>
        </w:rPr>
        <w:t xml:space="preserve"> Subject to compliance with applicable Law, at any time prior to the Effective Time, this Agreement may be amended, modified or supplemented in any and all respects, whether before or after receipt of the Unitholder Approval, only by written agreement of the Parties;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 following receipt of the Unitholder Approval, there shall be no amendment or change to the provisions of this Agreement which by applicable Law would require further approval by the Common Unitholders without such approval having first been obtained and (b) the Partnership may not, without the prior written approval of the Conflicts Committee, agree to any amendment or modification of this Agreement. Unless otherwise expressly set forth in this Agreement, whenever a determination, decision, approval or consent of the Partnership is required pursuant to this Agreement, such determination, decision, approval or consent must be authorized by the Conflicts Committee.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8.3.</w:t>
        <w:tab/>
        <w:t>     </w:t>
      </w:r>
      <w:r>
        <w:rPr>
          <w:rFonts w:ascii="Times New Roman;Times;Serif" w:hAnsi="Times New Roman;Times;Serif"/>
          <w:b w:val="false"/>
          <w:i w:val="false"/>
          <w:caps w:val="false"/>
          <w:smallCaps w:val="false"/>
          <w:sz w:val="20"/>
          <w:u w:val="single"/>
        </w:rPr>
        <w:t xml:space="preserve">Extension of Time, Waiver, Etc. </w:t>
      </w:r>
      <w:r>
        <w:rPr>
          <w:rFonts w:ascii="Times New Roman;Times;Serif" w:hAnsi="Times New Roman;Times;Serif"/>
          <w:b w:val="false"/>
          <w:i w:val="false"/>
          <w:caps w:val="false"/>
          <w:smallCaps w:val="false"/>
          <w:sz w:val="20"/>
        </w:rPr>
        <w:t xml:space="preserve">At any time prior to the Effective Time, any Party may, subject to applicable Law, (a) waive any inaccuracies in the representations and warranties of any other Party, (b) extend the time for the performance of any of the obligations or acts of any other Party or (c) subject to the requirements of applicable Law, waive compliance by any other Party with any of the agreements contained herein or, except as otherwise provided herein, waive any of such Party’s conditions (it being understood that the Sponsor Entities shall be deemed a single party for purposes of the foregoing);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 the Partnership may not make or authorize any such waiver or extension without the prior approval of the Conflicts Committee and (ii) following receipt of the Unitholder Approval, there shall be no waiver or extension which by applicable Law would require further approval by the Common Unitholders without such approval having first been obtained. Notwithstanding the foregoing, no failure or delay by any Party in exercising any right hereunder shall operate as a waiver thereof nor shall any single or partial exercise thereof preclude any other or further exercise thereof or the exercise of any other right hereunder. Any agreement on the part of a Party to any such extension or waiver shall be valid only if set forth in an instrument in writing signed on behalf of such Party.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32 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8.4.</w:t>
        <w:tab/>
        <w:t>     </w:t>
      </w:r>
      <w:r>
        <w:rPr>
          <w:rFonts w:ascii="Times New Roman;Times;Serif" w:hAnsi="Times New Roman;Times;Serif"/>
          <w:b w:val="false"/>
          <w:i w:val="false"/>
          <w:caps w:val="false"/>
          <w:smallCaps w:val="false"/>
          <w:sz w:val="20"/>
          <w:u w:val="single"/>
        </w:rPr>
        <w:t xml:space="preserve">Assignment. </w:t>
      </w:r>
      <w:r>
        <w:rPr>
          <w:rFonts w:ascii="Times New Roman;Times;Serif" w:hAnsi="Times New Roman;Times;Serif"/>
          <w:b w:val="false"/>
          <w:i w:val="false"/>
          <w:caps w:val="false"/>
          <w:smallCaps w:val="false"/>
          <w:sz w:val="20"/>
        </w:rPr>
        <w:t xml:space="preserve">Neither this Agreement nor any of the rights, interests or obligations hereunder shall be assigned, in whole or in part, by operation of Law or otherwise, by any of the Parties without the prior written consent of the other Parties. No assignment by any Party shall relieve such Party of any of its obligations hereunder. Subject to the immediately preceding two sentences, this Agreement shall be binding upon, inure to the benefit of, and be enforceable by, the Parties and their respective successors and permitted assigns. Any purported assignment not permitted under this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xml:space="preserve"> shall be null and void.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8.5.</w:t>
        <w:tab/>
        <w:t>     </w:t>
      </w:r>
      <w:r>
        <w:rPr>
          <w:rFonts w:ascii="Times New Roman;Times;Serif" w:hAnsi="Times New Roman;Times;Serif"/>
          <w:b w:val="false"/>
          <w:i w:val="false"/>
          <w:caps w:val="false"/>
          <w:smallCaps w:val="false"/>
          <w:sz w:val="20"/>
          <w:u w:val="single"/>
        </w:rPr>
        <w:t xml:space="preserve">Counterparts. </w:t>
      </w:r>
      <w:r>
        <w:rPr>
          <w:rFonts w:ascii="Times New Roman;Times;Serif" w:hAnsi="Times New Roman;Times;Serif"/>
          <w:b w:val="false"/>
          <w:i w:val="false"/>
          <w:caps w:val="false"/>
          <w:smallCaps w:val="false"/>
          <w:sz w:val="20"/>
        </w:rPr>
        <w:t>This Agreement may be executed in one or more counterparts (including by facsimile, PDF, electronic mail or electronic signature), each of which shall be deemed to be an original but all of which taken together shall constitute one and the same agreement, and shall become effective when one or more counterparts have been signed by each of the Parties and delivered to the other Parties.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8.6.</w:t>
        <w:tab/>
        <w:t>     </w:t>
      </w:r>
      <w:r>
        <w:rPr>
          <w:rFonts w:ascii="Times New Roman;Times;Serif" w:hAnsi="Times New Roman;Times;Serif"/>
          <w:b w:val="false"/>
          <w:i w:val="false"/>
          <w:caps w:val="false"/>
          <w:smallCaps w:val="false"/>
          <w:sz w:val="20"/>
          <w:u w:val="single"/>
        </w:rPr>
        <w:t>Entire Agreement; No Third-Party Beneficiaries.</w:t>
      </w:r>
      <w:r>
        <w:rPr>
          <w:rFonts w:ascii="Times New Roman;Times;Serif" w:hAnsi="Times New Roman;Times;Serif"/>
          <w:b w:val="false"/>
          <w:i w:val="false"/>
          <w:caps w:val="false"/>
          <w:smallCaps w:val="false"/>
          <w:sz w:val="20"/>
        </w:rPr>
        <w:t xml:space="preserve"> This Agreement, together with the Exhibits attached hereto, the Support Agreement and the Debt Commitment Letter, constitutes the entire agreement, and supersedes all other prior agreements and understandings, both written and oral, among the Parties and their Affiliates, or any of them, with respect to the subject matter hereof and thereof. This Agreement is not intended to and shall not confer upon any Person other than the Parties any rights or remedies hereunder, except for (i) if the Effective Time occurs, the right of the Common Unitholders to receive the Merger Consideration and any distribution (including the Special Distribution) payable in accordance with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(ii) the rights of the Indemnified Persons set forth in </w:t>
      </w:r>
      <w:r>
        <w:rPr>
          <w:rFonts w:ascii="Times New Roman;Times;Serif" w:hAnsi="Times New Roman;Times;Serif"/>
          <w:b w:val="false"/>
          <w:i w:val="false"/>
          <w:caps w:val="false"/>
          <w:smallCaps w:val="false"/>
          <w:sz w:val="20"/>
          <w:u w:val="single"/>
        </w:rPr>
        <w:t>Section 5.9</w:t>
      </w:r>
      <w:r>
        <w:rPr>
          <w:rFonts w:ascii="Times New Roman;Times;Serif" w:hAnsi="Times New Roman;Times;Serif"/>
          <w:b w:val="false"/>
          <w:i w:val="false"/>
          <w:caps w:val="false"/>
          <w:smallCaps w:val="false"/>
          <w:sz w:val="20"/>
        </w:rPr>
        <w:t xml:space="preserve"> and (iii) the rights of the Related Parties set forth in </w:t>
      </w:r>
      <w:r>
        <w:rPr>
          <w:rFonts w:ascii="Times New Roman;Times;Serif" w:hAnsi="Times New Roman;Times;Serif"/>
          <w:b w:val="false"/>
          <w:i w:val="false"/>
          <w:caps w:val="false"/>
          <w:smallCaps w:val="false"/>
          <w:sz w:val="20"/>
          <w:u w:val="single"/>
        </w:rPr>
        <w:t>Section 8.13</w:t>
      </w:r>
      <w:r>
        <w:rPr>
          <w:rFonts w:ascii="Times New Roman;Times;Serif" w:hAnsi="Times New Roman;Times;Serif"/>
          <w:b w:val="false"/>
          <w:i w:val="false"/>
          <w:caps w:val="false"/>
          <w:smallCaps w:val="false"/>
          <w:sz w:val="20"/>
        </w:rPr>
        <w:t xml:space="preserve">, which in each case are intended for the benefit of, and shall be enforceable by, such Persons referred to respectively in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above.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8.7.</w:t>
        <w:tab/>
        <w:t>     </w:t>
      </w:r>
      <w:r>
        <w:rPr>
          <w:rFonts w:ascii="Times New Roman;Times;Serif" w:hAnsi="Times New Roman;Times;Serif"/>
          <w:b w:val="false"/>
          <w:i w:val="false"/>
          <w:caps w:val="false"/>
          <w:smallCaps w:val="false"/>
          <w:sz w:val="20"/>
          <w:u w:val="single"/>
        </w:rPr>
        <w:t>Governing Law; Jurisdiction; Waiver of Jury Trial.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shall be governed by, and construed in accordance with, the Laws of the State of Delaware applicable to contracts executed in and to be performed entirely within that state, regardless of the laws that might otherwise govern under any applicable conflict of laws principles, except to the extent the provisions of the Laws of the Marshall Islands are mandatorily applicable to the Merger.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33 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of the Parties irrevocably agrees that any Proceeding with respect to this Agreement and the rights and obligations arising hereunder, or for recognition and enforcement of any judgment in respect of this Agreement and the rights and obligations arising hereunder brought by the other Parties or their successors or assigns, shall be brought and determined exclusively in the Delaware Court of Chancery and any state appellate court therefrom within the State of Delaware (or, if the Delaware Court of Chancery declines to accept jurisdiction over a particular matter, any state or federal court within the State of Delaware). Each of the Parties hereby irrevocably submits with regard to any such Proceeding for itself and in respect of its property, generally and unconditionally, to the personal jurisdiction of the aforesaid courts and agrees that it will not bring any Proceeding relating to this Agreement or any of the Transactions in any court other than the aforesaid courts. Each of the Parties hereby irrevocably waives, and agrees not to assert as a defense, counterclaim or otherwise, in any Proceeding with respect to this Agreement, (i) any claim that it is not personally subject to the jurisdiction of the above named courts for any reason other than the failure to serve in accordance with this </w:t>
      </w:r>
      <w:r>
        <w:rPr>
          <w:rFonts w:ascii="Times New Roman;Times;Serif" w:hAnsi="Times New Roman;Times;Serif"/>
          <w:b w:val="false"/>
          <w:i w:val="false"/>
          <w:caps w:val="false"/>
          <w:smallCaps w:val="false"/>
          <w:sz w:val="20"/>
          <w:u w:val="single"/>
        </w:rPr>
        <w:t>Section 8.7</w:t>
      </w:r>
      <w:r>
        <w:rPr>
          <w:rFonts w:ascii="Times New Roman;Times;Serif" w:hAnsi="Times New Roman;Times;Serif"/>
          <w:b w:val="false"/>
          <w:i w:val="false"/>
          <w:caps w:val="false"/>
          <w:smallCaps w:val="false"/>
          <w:sz w:val="20"/>
        </w:rPr>
        <w:t xml:space="preserve">, (ii) any claim that it or its property is exempt or immune from the jurisdiction of any such court or from any legal process commenced in such courts (whether through service of notice, attachment prior to judgment, attachment in aid of execution of judgment, execution of judgment or otherwise), and (iii) to the fullest extent permitted by applicable Law, any claim that (A) the Proceeding in such court is brought in an inconvenient forum, (B) the venue of such Proceeding is improper or (C) this Agreement, or the subject matter hereof, may not be enforced in or by such courts. The Parties hereby consent to and grant any such court jurisdiction over the person of such Parties solely for such purpose and over the subject matter of such dispute and, to the fullest extent permitted by Law, agree that mailing of process or other papers in connection with any such Proceeding in the manner provided in </w:t>
      </w:r>
      <w:r>
        <w:rPr>
          <w:rFonts w:ascii="Times New Roman;Times;Serif" w:hAnsi="Times New Roman;Times;Serif"/>
          <w:b w:val="false"/>
          <w:i w:val="false"/>
          <w:caps w:val="false"/>
          <w:smallCaps w:val="false"/>
          <w:sz w:val="20"/>
          <w:u w:val="single"/>
        </w:rPr>
        <w:t>Section 8.9</w:t>
      </w:r>
      <w:r>
        <w:rPr>
          <w:rFonts w:ascii="Times New Roman;Times;Serif" w:hAnsi="Times New Roman;Times;Serif"/>
          <w:b w:val="false"/>
          <w:i w:val="false"/>
          <w:caps w:val="false"/>
          <w:smallCaps w:val="false"/>
          <w:sz w:val="20"/>
        </w:rPr>
        <w:t xml:space="preserve"> or in such other manner as may be permitted by applicable Laws shall be valid and sufficient service thereof.</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PARTY HEREBY IRREVOCABLY WAIVES ALL RIGHT TO TRIAL BY JURY IN ANY PROCEEDING OR COUNTERCLAIM (WHETHER BASED ON CONTRACT, TORT OR OTHERWISE) ARISING OUT OF OR RELATING TO THIS AGREEMENT OR THE TRANSACTIONS OR THE ACTIONS OF ANY PARTY IN THE NEGOTIATION, ADMINISTRATION, PERFORMANCE AND ENFORCEMENT OF THIS AGREEMENT AND THE TRANSACTIONS.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8.8.</w:t>
        <w:tab/>
        <w:t>     </w:t>
      </w:r>
      <w:r>
        <w:rPr>
          <w:rFonts w:ascii="Times New Roman;Times;Serif" w:hAnsi="Times New Roman;Times;Serif"/>
          <w:b w:val="false"/>
          <w:i w:val="false"/>
          <w:caps w:val="false"/>
          <w:smallCaps w:val="false"/>
          <w:sz w:val="20"/>
          <w:u w:val="single"/>
        </w:rPr>
        <w:t>Specific Enforcement.</w:t>
      </w:r>
      <w:r>
        <w:rPr>
          <w:rFonts w:ascii="Times New Roman;Times;Serif" w:hAnsi="Times New Roman;Times;Serif"/>
          <w:b w:val="false"/>
          <w:i w:val="false"/>
          <w:caps w:val="false"/>
          <w:smallCaps w:val="false"/>
          <w:sz w:val="20"/>
        </w:rPr>
        <w:t xml:space="preserve"> The Parties agree that irreparable damage for which monetary relief, even if available, would not be an adequate remedy, would occur in the event that any provision of this Agreement is not performed in accordance with its specific terms or is otherwise breached, including if the Parties fail to take any action required of them hereunder to consummate this Agreement and the Transactions, subject to the terms and conditions of this Agreement. The Parties acknowledge and agree that (a) the Parties shall be entitled to an injunction or injunctions, specific performance or other equitable relief to prevent breaches of this Agreement and to enforce specifically the terms and provisions hereof in the courts described in </w:t>
      </w:r>
      <w:r>
        <w:rPr>
          <w:rFonts w:ascii="Times New Roman;Times;Serif" w:hAnsi="Times New Roman;Times;Serif"/>
          <w:b w:val="false"/>
          <w:i w:val="false"/>
          <w:caps w:val="false"/>
          <w:smallCaps w:val="false"/>
          <w:sz w:val="20"/>
          <w:u w:val="single"/>
        </w:rPr>
        <w:t>Section 8.7(b)</w:t>
      </w:r>
      <w:r>
        <w:rPr>
          <w:rFonts w:ascii="Times New Roman;Times;Serif" w:hAnsi="Times New Roman;Times;Serif"/>
          <w:b w:val="false"/>
          <w:i w:val="false"/>
          <w:caps w:val="false"/>
          <w:smallCaps w:val="false"/>
          <w:sz w:val="20"/>
        </w:rPr>
        <w:t xml:space="preserve"> without proof of damages or otherwise, this being in addition to any other remedy to which they are entitled under this Agreement and (b) the right of specific enforcement is an integral part of the Transactions and without that right, none of the Parties would have entered into this Agreement. Each Party agrees that, prior to the valid termination of this Agreement in accordance with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it will not assert that a remedy of specific enforcement is unenforceable, invalid, contrary to Law or inequitable for any reason, and not assert that a remedy of monetary damages would provide an adequate remedy or that such Party otherwise has an adequate remedy at law. The Parties acknowledge and agree that any Party seeking an injunction or injunctions to prevent breaches of this Agreement and to enforce specifically the terms and provisions of this Agreement in accordance with this </w:t>
      </w:r>
      <w:r>
        <w:rPr>
          <w:rFonts w:ascii="Times New Roman;Times;Serif" w:hAnsi="Times New Roman;Times;Serif"/>
          <w:b w:val="false"/>
          <w:i w:val="false"/>
          <w:caps w:val="false"/>
          <w:smallCaps w:val="false"/>
          <w:sz w:val="20"/>
          <w:u w:val="single"/>
        </w:rPr>
        <w:t>Section 8.8</w:t>
      </w:r>
      <w:r>
        <w:rPr>
          <w:rFonts w:ascii="Times New Roman;Times;Serif" w:hAnsi="Times New Roman;Times;Serif"/>
          <w:b w:val="false"/>
          <w:i w:val="false"/>
          <w:caps w:val="false"/>
          <w:smallCaps w:val="false"/>
          <w:sz w:val="20"/>
        </w:rPr>
        <w:t xml:space="preserve"> shall not be required to provide any bond or other security in connection with any such order or injunction.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34 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8.9.        </w:t>
      </w:r>
      <w:r>
        <w:rPr>
          <w:rFonts w:ascii="Times New Roman;Times;Serif" w:hAnsi="Times New Roman;Times;Serif"/>
          <w:b w:val="false"/>
          <w:i w:val="false"/>
          <w:caps w:val="false"/>
          <w:smallCaps w:val="false"/>
          <w:sz w:val="20"/>
          <w:u w:val="single"/>
        </w:rPr>
        <w:t xml:space="preserve">Notices. </w:t>
      </w:r>
      <w:r>
        <w:rPr>
          <w:rFonts w:ascii="Times New Roman;Times;Serif" w:hAnsi="Times New Roman;Times;Serif"/>
          <w:b w:val="false"/>
          <w:i w:val="false"/>
          <w:caps w:val="false"/>
          <w:smallCaps w:val="false"/>
          <w:sz w:val="20"/>
        </w:rPr>
        <w:t>All notices, requests and other communications to any Party hereunder shall be in writing and shall be deemed given if delivered personally, emailed (to the extent that no “bounce back” or similar message indicating non-delivery is received with respect thereto) or sent by overnight courier (providing proof of delivery) to the Parties at the following addresses: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Parent, Merger Sub or the General Partner, to:</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GasLog Ltd.</w:t>
        <w:br/>
        <w:t>c/o GasLog LNG Services Ltd.</w:t>
        <w:br/>
        <w:t>69 Akti Miaouli</w:t>
        <w:br/>
        <w:t>18537 Piraeus</w:t>
        <w:br/>
        <w:t>Greece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Alexandros Laios, General Counsel</w:t>
        <w:br/>
        <w:t>Email:           alaios@gaslogltd.com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Cravath, Swaine &amp; Moore LLP</w:t>
        <w:br/>
        <w:t>Worldwide Plaza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825 Eighth Avenue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p>
      <w:pPr>
        <w:pStyle w:val="TextBody"/>
        <w:spacing w:before="0" w:after="0"/>
        <w:ind w:left="1440"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D. Scott Bennett </w:t>
      </w:r>
    </w:p>
    <w:p>
      <w:pPr>
        <w:pStyle w:val="TextBody"/>
        <w:spacing w:before="0" w:after="0"/>
        <w:ind w:left="144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C. Elken</w:t>
      </w:r>
    </w:p>
    <w:p>
      <w:pPr>
        <w:pStyle w:val="TextBody"/>
        <w:spacing w:before="0" w:after="0"/>
        <w:ind w:left="144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Jin-Kyu Baek</w:t>
        <w:br/>
        <w:t>Email:           sbennett@cravath.com</w:t>
      </w:r>
    </w:p>
    <w:p>
      <w:pPr>
        <w:pStyle w:val="TextBody"/>
        <w:spacing w:before="0" w:after="0"/>
        <w:ind w:left="144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aelken@cravath.com </w:t>
      </w:r>
    </w:p>
    <w:p>
      <w:pPr>
        <w:pStyle w:val="TextBody"/>
        <w:spacing w:before="0" w:after="0"/>
        <w:ind w:left="144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jbaek@cravath.com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Partnership, to:</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GasLog Partners LP</w:t>
        <w:br/>
        <w:t>c/o GasLog LNG Services Ltd.</w:t>
        <w:br/>
        <w:t>69 Akti Miaouli</w:t>
        <w:br/>
        <w:t>18537 Piraeus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Greece</w:t>
      </w:r>
    </w:p>
    <w:p>
      <w:pPr>
        <w:pStyle w:val="TextBody"/>
        <w:spacing w:before="0" w:after="0"/>
        <w:ind w:left="1440"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Alexandros Laios, General Counsel</w:t>
        <w:br/>
        <w:t>Email:           alaios@gaslogltd.com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each of (which shall not constitute notice) to:</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Richards, Layton &amp; Finger, P.A.</w:t>
        <w:br/>
        <w:t>One Rodney Square, 920 North King Street</w:t>
        <w:br/>
        <w:t>Wilmington, Delaware 19801</w:t>
      </w:r>
    </w:p>
    <w:p>
      <w:pPr>
        <w:pStyle w:val="TextBody"/>
        <w:spacing w:before="0" w:after="0"/>
        <w:ind w:left="1440"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Srinivas M. Raju </w:t>
      </w:r>
    </w:p>
    <w:p>
      <w:pPr>
        <w:pStyle w:val="TextBody"/>
        <w:spacing w:before="0" w:after="0"/>
        <w:ind w:left="144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Kenneth Jackman</w:t>
        <w:br/>
        <w:t>Email:           raju@rlf.com </w:t>
      </w:r>
    </w:p>
    <w:p>
      <w:pPr>
        <w:pStyle w:val="TextBody"/>
        <w:spacing w:before="0" w:after="0"/>
        <w:ind w:left="144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jackman@rlf.com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such other address or email address as such Party may hereafter specify by like notice to the other Parties. All such notices, requests and other communications shall be deemed received on the date of receipt by the recipient thereof if received prior to 5:00 p.m. local time in the place of receipt and such day is a business day in the place of receipt. Otherwise, any such notice, request or communication shall be deemed not to have been received until the succeeding business day in the place of receipt.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35 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8.10.</w:t>
        <w:tab/>
        <w:t>     </w:t>
      </w:r>
      <w:r>
        <w:rPr>
          <w:rFonts w:ascii="Times New Roman;Times;Serif" w:hAnsi="Times New Roman;Times;Serif"/>
          <w:b w:val="false"/>
          <w:i w:val="false"/>
          <w:caps w:val="false"/>
          <w:smallCaps w:val="false"/>
          <w:sz w:val="20"/>
          <w:u w:val="single"/>
        </w:rPr>
        <w:t xml:space="preserve">Severability. </w:t>
      </w:r>
      <w:r>
        <w:rPr>
          <w:rFonts w:ascii="Times New Roman;Times;Serif" w:hAnsi="Times New Roman;Times;Serif"/>
          <w:b w:val="false"/>
          <w:i w:val="false"/>
          <w:caps w:val="false"/>
          <w:smallCaps w:val="false"/>
          <w:sz w:val="20"/>
        </w:rPr>
        <w:t xml:space="preserve">If any term, condition or other provision of this Agreement is finally determined by a court of competent jurisdiction to be invalid, illegal or incapable of being enforced by any applicable Law or public policy, all other terms, provisions and conditions of this Agreement shall nevertheless remain in full force and effect so long as the economic or legal substance of the Transactions is not affected in any manner materially adverse to any Party or such Party waives its rights under this </w:t>
      </w:r>
      <w:r>
        <w:rPr>
          <w:rFonts w:ascii="Times New Roman;Times;Serif" w:hAnsi="Times New Roman;Times;Serif"/>
          <w:b w:val="false"/>
          <w:i w:val="false"/>
          <w:caps w:val="false"/>
          <w:smallCaps w:val="false"/>
          <w:sz w:val="20"/>
          <w:u w:val="single"/>
        </w:rPr>
        <w:t>Section 8.10</w:t>
      </w:r>
      <w:r>
        <w:rPr>
          <w:rFonts w:ascii="Times New Roman;Times;Serif" w:hAnsi="Times New Roman;Times;Serif"/>
          <w:b w:val="false"/>
          <w:i w:val="false"/>
          <w:caps w:val="false"/>
          <w:smallCaps w:val="false"/>
          <w:sz w:val="20"/>
        </w:rPr>
        <w:t xml:space="preserve"> with respect thereto. Upon such determination that any term, condition or other provision is invalid, illegal or incapable of being enforced, the Parties shall negotiate in good faith to modify this Agreement so as to effect the original intent of the Parties as closely as possible to the fullest extent permitted by applicable Law in an acceptable manner to the end that the Transactions are fulfilled to the extent possible.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8.11.</w:t>
        <w:tab/>
        <w:t>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xml:space="preserve"> Except as otherwise set forth in this Agreement, whether or not the Transactions are consummated, all fees and expenses incurred in connection with this Agreement, the Merger and the other Transactions shall be paid by the Party incurring or required to incur such fees or expenses,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expenses relating to the preparation, printing, filing and mailing of the Proxy Statement and the solicitation of the Unitholder Approval shall be paid 50% by Parent and 50% by the Partnership.</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8.12.</w:t>
        <w:tab/>
        <w:t>     </w:t>
      </w:r>
      <w:r>
        <w:rPr>
          <w:rFonts w:ascii="Times New Roman;Times;Serif" w:hAnsi="Times New Roman;Times;Serif"/>
          <w:b w:val="false"/>
          <w:i w:val="false"/>
          <w:caps w:val="false"/>
          <w:smallCaps w:val="false"/>
          <w:sz w:val="20"/>
          <w:u w:val="single"/>
        </w:rPr>
        <w:t>Interpretation.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When a reference is made in this Agreement to an Article, a Section or Exhibit, such reference shall be to an Article of, a Section of, or an Exhibit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“hereto” and “hereunder” and words of similar import when used in this Agreement shall refer to this Agreement as a whole and not to any particular provision of this Agreement. The words “date hereof” when used in this Agreement shall refer to the date of this Agreement. The terms “or”, “any” and “either” are not exclusive. The word “extent” in the phrase “to the extent” shall mean the degree to which a subject or other thing extends, and such phrase shall not mean simply “if”. The word “will” shall be construed to have the same meaning and effect as the word “shall”. The words “made available to Parent”, “delivered to Parent” and words of similar import refer to documents delivered in person or electronically to Parent, Merger Sub or their respective Representatives prior to the entry into this Agreement. All accounting terms used and not defined herein shall have the respective meanings given to them under IFRS. All terms defined in this Agreement shall have the defined meanings when used in any document made or delivered pursuant hereto unless otherwise defined therein.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Unless otherwise specifically indicated, all references to “</w:t>
      </w:r>
      <w:r>
        <w:rPr>
          <w:rFonts w:ascii="Times New Roman;Times;Serif" w:hAnsi="Times New Roman;Times;Serif"/>
          <w:b w:val="false"/>
          <w:i w:val="false"/>
          <w:caps w:val="false"/>
          <w:smallCaps w:val="false"/>
          <w:sz w:val="20"/>
          <w:u w:val="single"/>
        </w:rPr>
        <w:t>dollars</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shall refer to the lawful money of the United States. References to a Person are also to its permitted assigns and successors.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36 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Parties have participated jointly in the negotiation and drafting of this Agreement with the assistance of counsel and, in the event an ambiguity or question of intent or interpretation arises, this Agreement shall be construed as jointly drafted by the Parties and no presumption or burden of proof shall arise favoring or disfavoring any Party by virtue of the authorship of any provision of this Agreement or interim drafts of this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8.13.</w:t>
        <w:tab/>
        <w:t>     </w:t>
      </w:r>
      <w:r>
        <w:rPr>
          <w:rFonts w:ascii="Times New Roman;Times;Serif" w:hAnsi="Times New Roman;Times;Serif"/>
          <w:b w:val="false"/>
          <w:i w:val="false"/>
          <w:caps w:val="false"/>
          <w:smallCaps w:val="false"/>
          <w:sz w:val="20"/>
          <w:u w:val="single"/>
        </w:rPr>
        <w:t xml:space="preserve">Non-Recourse. </w:t>
      </w:r>
      <w:r>
        <w:rPr>
          <w:rFonts w:ascii="Times New Roman;Times;Serif" w:hAnsi="Times New Roman;Times;Serif"/>
          <w:b w:val="false"/>
          <w:i w:val="false"/>
          <w:caps w:val="false"/>
          <w:smallCaps w:val="false"/>
          <w:sz w:val="20"/>
        </w:rPr>
        <w:t>No past, present or future director, officer, employee, incorporator, member, partner, stockholder, agent, attorney, representative or Affiliate of any Party or any of their respective successors or assigns or past, present or future directors, officers, employees, incorporators, members, partners, stockholders, agents, attorneys, representatives or Affiliates of the Parties (in each case, other than any Affiliate that is expressly a Party) (collectively, the “</w:t>
      </w:r>
      <w:r>
        <w:rPr>
          <w:rFonts w:ascii="Times New Roman;Times;Serif" w:hAnsi="Times New Roman;Times;Serif"/>
          <w:b w:val="false"/>
          <w:i w:val="false"/>
          <w:caps w:val="false"/>
          <w:smallCaps w:val="false"/>
          <w:sz w:val="20"/>
          <w:u w:val="single"/>
        </w:rPr>
        <w:t>Related Parties</w:t>
      </w:r>
      <w:r>
        <w:rPr>
          <w:rFonts w:ascii="Times New Roman;Times;Serif" w:hAnsi="Times New Roman;Times;Serif"/>
          <w:b w:val="false"/>
          <w:i w:val="false"/>
          <w:caps w:val="false"/>
          <w:smallCaps w:val="false"/>
          <w:sz w:val="20"/>
        </w:rPr>
        <w:t xml:space="preserve">”) shall have any liability (whether at law, in equity, in contract, in tort or otherwise) for any obligations or liabilities of the Parties arising under, in connection with or related to this Agreement or for any claim based on, in respect of, or by reason of, the Transactions or in respect of any oral representations made or alleged to be made in connection herewith;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nothing in this </w:t>
      </w:r>
      <w:r>
        <w:rPr>
          <w:rFonts w:ascii="Times New Roman;Times;Serif" w:hAnsi="Times New Roman;Times;Serif"/>
          <w:b w:val="false"/>
          <w:i w:val="false"/>
          <w:caps w:val="false"/>
          <w:smallCaps w:val="false"/>
          <w:sz w:val="20"/>
          <w:u w:val="single"/>
        </w:rPr>
        <w:t xml:space="preserve">Section 8.13 </w:t>
      </w:r>
      <w:r>
        <w:rPr>
          <w:rFonts w:ascii="Times New Roman;Times;Serif" w:hAnsi="Times New Roman;Times;Serif"/>
          <w:b w:val="false"/>
          <w:i w:val="false"/>
          <w:caps w:val="false"/>
          <w:smallCaps w:val="false"/>
          <w:sz w:val="20"/>
        </w:rPr>
        <w:t>shall limit any liability of the Parties or the parties to the Support Agreement for breaches of the terms and conditions of this Agreement and the Support Agreement, as applicable.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8.14.</w:t>
        <w:tab/>
        <w:t>     </w:t>
      </w:r>
      <w:r>
        <w:rPr>
          <w:rFonts w:ascii="Times New Roman;Times;Serif" w:hAnsi="Times New Roman;Times;Serif"/>
          <w:b w:val="false"/>
          <w:i w:val="false"/>
          <w:caps w:val="false"/>
          <w:smallCaps w:val="false"/>
          <w:sz w:val="20"/>
          <w:u w:val="single"/>
        </w:rPr>
        <w:t>Debt Financing Sources.</w:t>
      </w:r>
      <w:r>
        <w:rPr>
          <w:rFonts w:ascii="Times New Roman;Times;Serif" w:hAnsi="Times New Roman;Times;Serif"/>
          <w:b w:val="false"/>
          <w:i w:val="false"/>
          <w:caps w:val="false"/>
          <w:smallCaps w:val="false"/>
          <w:sz w:val="20"/>
        </w:rPr>
        <w:t xml:space="preserve"> Notwithstanding anything in this Agreement to the contrary (but subject to the proviso at the end of this paragraph), each Party, on behalf of itself, its Subsidiaries, its controlled Affiliates and the Representatives of each of the foregoing, hereby: (a) agrees that any Proceeding involving a Debt Financing Source arising out of or relating to this Agreement, the Debt Financing, the Debt Commitment Letter or any of the agreements entered into in connection with the Debt Financing or the Debt Commitment Letter or any of the transactions contemplated hereby or thereby or the performance of any services thereunder shall be subject to the exclusive jurisdiction of any federal or state court in the Borough of Manhattan, New York, New York, so long as such forum is and remains available, and any appellate court thereof and each Party irrevocably submits itself and its property with respect to any such Proceeding to the exclusive jurisdiction of such court, (b) agrees that any such Proceeding (except to the extent relating to the interpretation of any provisions in this Agreement (including any provision in any documentation related to the Debt Financing that expressly specifies that the interpretation of such provisions shall be governed by and construed in accordance with the Laws of the State of Delaware)) shall be governed by the Laws of the State of New York (without giving effect to any conflicts of law principles that would result in the application of the laws of another jurisdiction), (c) agrees not to bring or support any Proceeding of any kind or description, whether in law or in equity, whether in contract or in tort or otherwise, against any Debt Financing Source in any way arising out of or relating to this Agreement, the Debt Financing, the Debt Commitment Letter or any of the agreements entered into in connection with the Debt Financing or the Debt Commitment Letter or any of the transactions contemplated hereby or thereby or the performance of any services thereunder in any forum other than any federal or state court in the Borough of Manhattan, New York, New York, (d) irrevocably waives, to the fullest extent that it may effectively do so, the defense of an inconvenient forum to the maintenance of any such Proceeding in any such court, (e) knowingly, intentionally and voluntarily waives to the fullest extent permitted by applicable Law all rights of trial by jury in any Proceeding brought against any Debt Financing Source in any way arising out of or relating to this Agreement, the Debt Financing, the Debt Commitment Letter or any of the agreements entered into in connection with the Debt Financing or the Debt Commitment Letter or any of the transactions contemplated hereby or thereby or the performance of any services thereunder, (f) agrees that no Debt Financing Source shall be subject to any special, consequential, punitive or indirect damages or damages of a tortious nature in connection with this Agreement, the Debt Financing, the Debt Commitment Letter or any of the agreements entered into in connection with the Debt Financing or the Debt Commitment Letter or any of the transactions contemplated hereby or thereby or the performance of any services thereunder, (g) agrees that this Agreement may not be enforced against any Debt Financing Source and agrees that no Debt Financing Source will have any liability to the Partnership, any of its Subsidiaries or any of their respective Representatives, and hereby knowingly, intentionally and voluntarily waives to the fullest extent permitted by applicable Law any rights or claims against any Debt Financing Source, in connection with this Agreement, the Debt Financing, the Debt Commitment Letter or any of the agreements entered into in connection with the Debt Financing or the Debt Commitment Letter or any of the transactions contemplated hereby or thereby or the performance of any services thereunder, whether in law or in equity, whether in contract or in tort or otherwise, (h) agrees that the Debt Financing Sources are express third party beneficiaries of, and may enforce, and shall be entitled to rely on, this </w:t>
      </w:r>
      <w:r>
        <w:rPr>
          <w:rFonts w:ascii="Times New Roman;Times;Serif" w:hAnsi="Times New Roman;Times;Serif"/>
          <w:b w:val="false"/>
          <w:i w:val="false"/>
          <w:caps w:val="false"/>
          <w:smallCaps w:val="false"/>
          <w:sz w:val="20"/>
          <w:u w:val="single"/>
        </w:rPr>
        <w:t xml:space="preserve">Section 8.14 </w:t>
      </w:r>
      <w:r>
        <w:rPr>
          <w:rFonts w:ascii="Times New Roman;Times;Serif" w:hAnsi="Times New Roman;Times;Serif"/>
          <w:b w:val="false"/>
          <w:i w:val="false"/>
          <w:caps w:val="false"/>
          <w:smallCaps w:val="false"/>
          <w:sz w:val="20"/>
        </w:rPr>
        <w:t xml:space="preserve">and (i) agrees that </w:t>
      </w:r>
      <w:r>
        <w:rPr>
          <w:rFonts w:ascii="Times New Roman;Times;Serif" w:hAnsi="Times New Roman;Times;Serif"/>
          <w:b w:val="false"/>
          <w:i w:val="false"/>
          <w:caps w:val="false"/>
          <w:smallCaps w:val="false"/>
          <w:sz w:val="20"/>
          <w:u w:val="single"/>
        </w:rPr>
        <w:t>Sections 7.2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8.4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8.15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8.13</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8.14</w:t>
      </w:r>
      <w:r>
        <w:rPr>
          <w:rFonts w:ascii="Times New Roman;Times;Serif" w:hAnsi="Times New Roman;Times;Serif"/>
          <w:b w:val="false"/>
          <w:i w:val="false"/>
          <w:caps w:val="false"/>
          <w:smallCaps w:val="false"/>
          <w:sz w:val="20"/>
        </w:rPr>
        <w:t xml:space="preserve"> and the definition of “Debt Financing Sources” (and any other provision or definition in this Agreement to the extent an amendment, modification, waiver or termination of such provision or definition would modify the substance of any of the foregoing provisions or definitions) may not be amended, modified, waived or terminated in any way adverse to the Debt Financing Sources without the prior written consent of the Debt Financing Sources party to the Debt Commitment Letter;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the foregoing, nothing in this </w:t>
      </w:r>
      <w:r>
        <w:rPr>
          <w:rFonts w:ascii="Times New Roman;Times;Serif" w:hAnsi="Times New Roman;Times;Serif"/>
          <w:b w:val="false"/>
          <w:i w:val="false"/>
          <w:caps w:val="false"/>
          <w:smallCaps w:val="false"/>
          <w:sz w:val="20"/>
          <w:u w:val="single"/>
        </w:rPr>
        <w:t>Section 8.14</w:t>
      </w:r>
      <w:r>
        <w:rPr>
          <w:rFonts w:ascii="Times New Roman;Times;Serif" w:hAnsi="Times New Roman;Times;Serif"/>
          <w:b w:val="false"/>
          <w:i w:val="false"/>
          <w:caps w:val="false"/>
          <w:smallCaps w:val="false"/>
          <w:sz w:val="20"/>
        </w:rPr>
        <w:t xml:space="preserve"> shall in any way limit or modify the obligations of any Debt Financing Source to the Parent or any of its Subsidiaries, or the rights of the Parent or any its Subsidiaries against any Debt Financing Source, in each case under the Debt Commitment Letter or the definitive agreements executed in connection with the Debt Financing.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37 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8.15.</w:t>
        <w:tab/>
        <w:t>     </w:t>
      </w:r>
      <w:r>
        <w:rPr>
          <w:rFonts w:ascii="Times New Roman;Times;Serif" w:hAnsi="Times New Roman;Times;Serif"/>
          <w:b w:val="false"/>
          <w:i w:val="false"/>
          <w:caps w:val="false"/>
          <w:smallCaps w:val="false"/>
          <w:sz w:val="20"/>
          <w:u w:val="single"/>
        </w:rPr>
        <w:t xml:space="preserve">Definitions. </w:t>
      </w:r>
      <w:r>
        <w:rPr>
          <w:rFonts w:ascii="Times New Roman;Times;Serif" w:hAnsi="Times New Roman;Times;Serif"/>
          <w:b w:val="false"/>
          <w:i w:val="false"/>
          <w:caps w:val="false"/>
          <w:smallCaps w:val="false"/>
          <w:sz w:val="20"/>
        </w:rPr>
        <w:t>As used in this Agreement, the following terms have the meanings ascribed thereto below:</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Acquisition Proposal</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5.3(a)</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Adverse Recommendation Change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5.3(b)</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as to any Person, any other Person that, directly or indirectly, controls, or is controlled by, or is under common control with such Person. For this purpose, “</w:t>
      </w:r>
      <w:r>
        <w:rPr>
          <w:rFonts w:ascii="Times New Roman;Times;Serif" w:hAnsi="Times New Roman;Times;Serif"/>
          <w:b w:val="false"/>
          <w:i w:val="false"/>
          <w:caps w:val="false"/>
          <w:smallCaps w:val="false"/>
          <w:sz w:val="20"/>
          <w:u w:val="single"/>
        </w:rPr>
        <w:t>control</w:t>
      </w:r>
      <w:r>
        <w:rPr>
          <w:rFonts w:ascii="Times New Roman;Times;Serif" w:hAnsi="Times New Roman;Times;Serif"/>
          <w:b w:val="false"/>
          <w:i w:val="false"/>
          <w:caps w:val="false"/>
          <w:smallCaps w:val="false"/>
          <w:sz w:val="20"/>
        </w:rPr>
        <w:t>” (including, with its correlative meanings, “</w:t>
      </w:r>
      <w:r>
        <w:rPr>
          <w:rFonts w:ascii="Times New Roman;Times;Serif" w:hAnsi="Times New Roman;Times;Serif"/>
          <w:b w:val="false"/>
          <w:i w:val="false"/>
          <w:caps w:val="false"/>
          <w:smallCaps w:val="false"/>
          <w:sz w:val="20"/>
          <w:u w:val="single"/>
        </w:rPr>
        <w:t>controlled by</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under common control with</w:t>
      </w:r>
      <w:r>
        <w:rPr>
          <w:rFonts w:ascii="Times New Roman;Times;Serif" w:hAnsi="Times New Roman;Times;Serif"/>
          <w:b w:val="false"/>
          <w:i w:val="false"/>
          <w:caps w:val="false"/>
          <w:smallCaps w:val="false"/>
          <w:sz w:val="20"/>
        </w:rPr>
        <w:t xml:space="preserve">”) means the possession, directly or indirectly, of the power to direct or cause the direction of management or policies of a Person, whether through the ownership of securities or partnership or other ownership interests, by contract or otherwise;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for purposes of this Agreement, unless expressly provided otherwise, the Partnership and its Subsidiaries shall not be considered Affiliates of Parent or any of Parent’s other Affiliates, nor shall Parent or any of Parent’s Affiliates be considered Affiliates of the Partnership or its Subsidiaries.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has the meaning set forth in the Preamble.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Alternative Debt Commitment Letter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5.7(c)</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Alternative Debt Financing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5.7(c)</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Antitrust Laws</w:t>
      </w:r>
      <w:r>
        <w:rPr>
          <w:rFonts w:ascii="Times New Roman;Times;Serif" w:hAnsi="Times New Roman;Times;Serif"/>
          <w:b w:val="false"/>
          <w:i w:val="false"/>
          <w:caps w:val="false"/>
          <w:smallCaps w:val="false"/>
          <w:sz w:val="20"/>
        </w:rPr>
        <w:t>” means all applicable antitrust and competition Laws and all other applicable Laws issued by a Governmental Authority that are designed or intended to prohibit, restrict or regulate actions having the purpose or effect of monopolization or restraint of trade or lessening of competition through merger or acquisition.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 and Equity Exception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3.3(a)</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BHL</w:t>
      </w:r>
      <w:r>
        <w:rPr>
          <w:rFonts w:ascii="Times New Roman;Times;Serif" w:hAnsi="Times New Roman;Times;Serif"/>
          <w:b w:val="false"/>
          <w:i w:val="false"/>
          <w:caps w:val="false"/>
          <w:smallCaps w:val="false"/>
          <w:sz w:val="20"/>
        </w:rPr>
        <w:t>” has the meaning set forth in the Recitals.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xml:space="preserve">” means a day except a Saturday, a Sunday or other day on which the SEC or banks in the City of New York, Bermuda or the Marshall Islands are authorized or required by Law to be closed;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day that the Registrar or Deputy Registrar of Corporations of the Republic of the Marshall Islands is not accepting filings shall not be a “business day” for purposes of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Capitalization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3.2(a)</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Certificate of Merger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Charter Documents</w:t>
      </w:r>
      <w:r>
        <w:rPr>
          <w:rFonts w:ascii="Times New Roman;Times;Serif" w:hAnsi="Times New Roman;Times;Serif"/>
          <w:b w:val="false"/>
          <w:i w:val="false"/>
          <w:caps w:val="false"/>
          <w:smallCaps w:val="false"/>
          <w:sz w:val="20"/>
        </w:rPr>
        <w:t>” means, with respect to any entity at any time, in each case as amended, modified and supplemented at that time, (a) the articles and, where relevant, the memorandum of association or certificate of formation, incorporation, partnership or organization (or the equivalent organizational documents) of that entity, (b) the bylaws, partnership agreement or limited liability company agreement or regulations (or the equivalent governing documents) of that entity, and (c) each document setting forth the designation, amount and relative rights, limitations and preferences of any class or series of that entity’s equity interests or of any rights in respect of that entity’s equity interests.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B Units</w:t>
      </w:r>
      <w:r>
        <w:rPr>
          <w:rFonts w:ascii="Times New Roman;Times;Serif" w:hAnsi="Times New Roman;Times;Serif"/>
          <w:b w:val="false"/>
          <w:i w:val="false"/>
          <w:caps w:val="false"/>
          <w:smallCaps w:val="false"/>
          <w:sz w:val="20"/>
        </w:rPr>
        <w:t>” means Class B Units as defined in the Partnership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38 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B-4 Units</w:t>
      </w:r>
      <w:r>
        <w:rPr>
          <w:rFonts w:ascii="Times New Roman;Times;Serif" w:hAnsi="Times New Roman;Times;Serif"/>
          <w:b w:val="false"/>
          <w:i w:val="false"/>
          <w:caps w:val="false"/>
          <w:smallCaps w:val="false"/>
          <w:sz w:val="20"/>
        </w:rPr>
        <w:t>” means Class B-4 Units as defined in the Partnership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B-5 Units</w:t>
      </w:r>
      <w:r>
        <w:rPr>
          <w:rFonts w:ascii="Times New Roman;Times;Serif" w:hAnsi="Times New Roman;Times;Serif"/>
          <w:b w:val="false"/>
          <w:i w:val="false"/>
          <w:caps w:val="false"/>
          <w:smallCaps w:val="false"/>
          <w:sz w:val="20"/>
        </w:rPr>
        <w:t>” means Class B-5 Units as defined in the Partnership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B-6 Units</w:t>
      </w:r>
      <w:r>
        <w:rPr>
          <w:rFonts w:ascii="Times New Roman;Times;Serif" w:hAnsi="Times New Roman;Times;Serif"/>
          <w:b w:val="false"/>
          <w:i w:val="false"/>
          <w:caps w:val="false"/>
          <w:smallCaps w:val="false"/>
          <w:sz w:val="20"/>
        </w:rPr>
        <w:t>” means Class B-6 Units as defined in the Partnership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2.2(f)</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Unit</w:t>
      </w:r>
      <w:r>
        <w:rPr>
          <w:rFonts w:ascii="Times New Roman;Times;Serif" w:hAnsi="Times New Roman;Times;Serif"/>
          <w:b w:val="false"/>
          <w:i w:val="false"/>
          <w:caps w:val="false"/>
          <w:smallCaps w:val="false"/>
          <w:sz w:val="20"/>
        </w:rPr>
        <w:t>” means a Common Unit as defined in the Partnership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Unitholders</w:t>
      </w:r>
      <w:r>
        <w:rPr>
          <w:rFonts w:ascii="Times New Roman;Times;Serif" w:hAnsi="Times New Roman;Times;Serif"/>
          <w:b w:val="false"/>
          <w:i w:val="false"/>
          <w:caps w:val="false"/>
          <w:smallCaps w:val="false"/>
          <w:sz w:val="20"/>
        </w:rPr>
        <w:t>” mean the holders of the Common Units.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Conflicts Committee</w:t>
      </w:r>
      <w:r>
        <w:rPr>
          <w:rFonts w:ascii="Times New Roman;Times;Serif" w:hAnsi="Times New Roman;Times;Serif"/>
          <w:b w:val="false"/>
          <w:i w:val="false"/>
          <w:caps w:val="false"/>
          <w:smallCaps w:val="false"/>
          <w:sz w:val="20"/>
        </w:rPr>
        <w:t>” has the meaning set forth in the Recitals.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Conflicts Committee Recommendation</w:t>
      </w:r>
      <w:r>
        <w:rPr>
          <w:rFonts w:ascii="Times New Roman;Times;Serif" w:hAnsi="Times New Roman;Times;Serif"/>
          <w:b w:val="false"/>
          <w:i w:val="false"/>
          <w:caps w:val="false"/>
          <w:smallCaps w:val="false"/>
          <w:sz w:val="20"/>
        </w:rPr>
        <w:t>” has the meaning set forth in the Recitals.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Consent</w:t>
      </w:r>
      <w:r>
        <w:rPr>
          <w:rFonts w:ascii="Times New Roman;Times;Serif" w:hAnsi="Times New Roman;Times;Serif"/>
          <w:b w:val="false"/>
          <w:i w:val="false"/>
          <w:caps w:val="false"/>
          <w:smallCaps w:val="false"/>
          <w:sz w:val="20"/>
        </w:rPr>
        <w:t>” means any consent, waiver, approval, clearance, order, license, Permit, order, non-objection, non-action, expiration of waiting periods or authorization.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Consideration</w:t>
      </w:r>
      <w:r>
        <w:rPr>
          <w:rFonts w:ascii="Times New Roman;Times;Serif" w:hAnsi="Times New Roman;Times;Serif"/>
          <w:b w:val="false"/>
          <w:i w:val="false"/>
          <w:caps w:val="false"/>
          <w:smallCaps w:val="false"/>
          <w:sz w:val="20"/>
        </w:rPr>
        <w:t>” has the meaning set forth in the Preamble.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w:t>
      </w:r>
      <w:r>
        <w:rPr>
          <w:rFonts w:ascii="Times New Roman;Times;Serif" w:hAnsi="Times New Roman;Times;Serif"/>
          <w:b w:val="false"/>
          <w:i w:val="false"/>
          <w:caps w:val="false"/>
          <w:smallCaps w:val="false"/>
          <w:sz w:val="20"/>
        </w:rPr>
        <w:t>” means any binding loan or credit agreement, debenture, note, bond, mortgage, indenture, deed of trust, lease, capital lease, sale-leaseback, sublease, license, contract or other agreement, instrument, obligation or arrangement.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COVID-19</w:t>
      </w:r>
      <w:r>
        <w:rPr>
          <w:rFonts w:ascii="Times New Roman;Times;Serif" w:hAnsi="Times New Roman;Times;Serif"/>
          <w:b w:val="false"/>
          <w:i w:val="false"/>
          <w:caps w:val="false"/>
          <w:smallCaps w:val="false"/>
          <w:sz w:val="20"/>
        </w:rPr>
        <w:t>” means SARS-CoV-2 or COVID-19, and any variants, evolutions, mutations or additional waves thereof or related or associated epidemics, pandemics or disease outbreaks.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COVID-19 Measure</w:t>
      </w:r>
      <w:r>
        <w:rPr>
          <w:rFonts w:ascii="Times New Roman;Times;Serif" w:hAnsi="Times New Roman;Times;Serif"/>
          <w:b w:val="false"/>
          <w:i w:val="false"/>
          <w:caps w:val="false"/>
          <w:smallCaps w:val="false"/>
          <w:sz w:val="20"/>
        </w:rPr>
        <w:t>” means any quarantine, “shelter in place”, “stay at home”, workforce reduction, social distancing, shut down, closure, sequester, safety or similar Law, Judgment, guideline or recommendation promulgated by any relevant industry group or any Governmental Authority, including the Centers for Disease Control and Prevention and the World Health Organization, in each case, in connection with or in response to COVID-19, including the Coronavirus Aid, Relief and Economic Security (CARES) Act and the Families First Coronavirus Response Act.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 Commitment Letter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4.6(a)</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 Financing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4.6(a)</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 Financing Sources</w:t>
      </w:r>
      <w:r>
        <w:rPr>
          <w:rFonts w:ascii="Times New Roman;Times;Serif" w:hAnsi="Times New Roman;Times;Serif"/>
          <w:b w:val="false"/>
          <w:i w:val="false"/>
          <w:caps w:val="false"/>
          <w:smallCaps w:val="false"/>
          <w:sz w:val="20"/>
        </w:rPr>
        <w:t>” means the Persons that have committed or commit prior to the Closing Date to provide or arrange the Debt Financing in connection with the Transactions, including the parties to any commitment letters, engagement letters, joinder agreements or credit agreements entered pursuant thereto or relating thereto, together with their respective former, current and future direct or indirect Affiliates, and the respective equityholders, members, general or limited partners, managers, investment vehicles, officers, directors, employees, attorneys, advisors, agents and Representatives of the foregoing and their respective permitted successors and assigns.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39 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(together with the rules and regulations promulgated thereunder).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Fund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2.2(a)</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Financial Advisor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3.7</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General Partner</w:t>
      </w:r>
      <w:r>
        <w:rPr>
          <w:rFonts w:ascii="Times New Roman;Times;Serif" w:hAnsi="Times New Roman;Times;Serif"/>
          <w:b w:val="false"/>
          <w:i w:val="false"/>
          <w:caps w:val="false"/>
          <w:smallCaps w:val="false"/>
          <w:sz w:val="20"/>
        </w:rPr>
        <w:t>” has the meaning set forth in the Preamble.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General Partner Approval</w:t>
      </w:r>
      <w:r>
        <w:rPr>
          <w:rFonts w:ascii="Times New Roman;Times;Serif" w:hAnsi="Times New Roman;Times;Serif"/>
          <w:b w:val="false"/>
          <w:i w:val="false"/>
          <w:caps w:val="false"/>
          <w:smallCaps w:val="false"/>
          <w:sz w:val="20"/>
        </w:rPr>
        <w:t>” has the meaning set forth in the Recitals.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General Partner Interest</w:t>
      </w:r>
      <w:r>
        <w:rPr>
          <w:rFonts w:ascii="Times New Roman;Times;Serif" w:hAnsi="Times New Roman;Times;Serif"/>
          <w:b w:val="false"/>
          <w:i w:val="false"/>
          <w:caps w:val="false"/>
          <w:smallCaps w:val="false"/>
          <w:sz w:val="20"/>
        </w:rPr>
        <w:t>” has the meaning set forth in the Partnership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General Partner Unit</w:t>
      </w:r>
      <w:r>
        <w:rPr>
          <w:rFonts w:ascii="Times New Roman;Times;Serif" w:hAnsi="Times New Roman;Times;Serif"/>
          <w:b w:val="false"/>
          <w:i w:val="false"/>
          <w:caps w:val="false"/>
          <w:smallCaps w:val="false"/>
          <w:sz w:val="20"/>
        </w:rPr>
        <w:t>” has the meaning set forth in the Partnership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GEPIF</w:t>
      </w:r>
      <w:r>
        <w:rPr>
          <w:rFonts w:ascii="Times New Roman;Times;Serif" w:hAnsi="Times New Roman;Times;Serif"/>
          <w:b w:val="false"/>
          <w:i w:val="false"/>
          <w:caps w:val="false"/>
          <w:smallCaps w:val="false"/>
          <w:sz w:val="20"/>
        </w:rPr>
        <w:t>” has the meaning set forth in the Recitals.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Approvals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means any government, court, regulatory or administrative agency, arbitral body or self-regulated entity, tribunal, commission or authority or other legislative, executive or judicial governmental entity or any agency, department, division, commission or political subdivision thereof, whether federal, state or local, domestic, tribal, foreign, national, provincial or multinational.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IFRS</w:t>
      </w:r>
      <w:r>
        <w:rPr>
          <w:rFonts w:ascii="Times New Roman;Times;Serif" w:hAnsi="Times New Roman;Times;Serif"/>
          <w:b w:val="false"/>
          <w:i w:val="false"/>
          <w:caps w:val="false"/>
          <w:smallCaps w:val="false"/>
          <w:sz w:val="20"/>
        </w:rPr>
        <w:t>” means the International Financial Reporting Standards, as issued by the International Accounting Standards Board.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Person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5.9(a)</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Initial Coverage Period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5.9(c)</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Judgment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Knowledge</w:t>
      </w:r>
      <w:r>
        <w:rPr>
          <w:rFonts w:ascii="Times New Roman;Times;Serif" w:hAnsi="Times New Roman;Times;Serif"/>
          <w:b w:val="false"/>
          <w:i w:val="false"/>
          <w:caps w:val="false"/>
          <w:smallCaps w:val="false"/>
          <w:sz w:val="20"/>
        </w:rPr>
        <w:t>” means, (a) with respect to the Partnership, the actual knowledge of the Partnership's Chief Executive Officer, Chief Financial Officer and General Counsel, after due inquiry of their direct reports and (b) with respect to Parent, the actual knowledge of Parent’s Chief Executive Officer, Chief Financial Officer and General Counsel, after due inquiry of their direct reports.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40 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Law</w:t>
      </w:r>
      <w:r>
        <w:rPr>
          <w:rFonts w:ascii="Times New Roman;Times;Serif" w:hAnsi="Times New Roman;Times;Serif"/>
          <w:b w:val="false"/>
          <w:i w:val="false"/>
          <w:caps w:val="false"/>
          <w:smallCaps w:val="false"/>
          <w:sz w:val="20"/>
        </w:rPr>
        <w:t>” means any federal, state, local or foreign, national, provincial or multinational law, statute, tariff, ordinance, rule, regulation, judgment, order, injunction, writ, stipulation, determination, award or decree or agency requirement of or undertaking to any Governmental Authority, including common law.</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means any pledges, liens, charges, mortgages, encumbrances, deeds of trust, conditions, covenants, restrictions, options, rights of first refusal or offer, conditional sales or other title retention agreements, adverse claims of ownership or use, easements, encroachments, third-party rights, leases, licenses, hypothecations or security interests of any kind or nature.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Marshall Islands LLC Act</w:t>
      </w:r>
      <w:r>
        <w:rPr>
          <w:rFonts w:ascii="Times New Roman;Times;Serif" w:hAnsi="Times New Roman;Times;Serif"/>
          <w:b w:val="false"/>
          <w:i w:val="false"/>
          <w:caps w:val="false"/>
          <w:smallCaps w:val="false"/>
          <w:sz w:val="20"/>
        </w:rPr>
        <w:t>” means the Marshall Islands Limited Liability Company Act of 1996, as amended.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Marshall Islands LP Act</w:t>
      </w:r>
      <w:r>
        <w:rPr>
          <w:rFonts w:ascii="Times New Roman;Times;Serif" w:hAnsi="Times New Roman;Times;Serif"/>
          <w:b w:val="false"/>
          <w:i w:val="false"/>
          <w:caps w:val="false"/>
          <w:smallCaps w:val="false"/>
          <w:sz w:val="20"/>
        </w:rPr>
        <w:t>” means the Marshall Islands Limited Partnership Act, as amended.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Contract</w:t>
      </w:r>
      <w:r>
        <w:rPr>
          <w:rFonts w:ascii="Times New Roman;Times;Serif" w:hAnsi="Times New Roman;Times;Serif"/>
          <w:b w:val="false"/>
          <w:i w:val="false"/>
          <w:caps w:val="false"/>
          <w:smallCaps w:val="false"/>
          <w:sz w:val="20"/>
        </w:rPr>
        <w:t>” means any Contract that would be required to be filed by the Partnership as a “material contract” pursuant to Item 601(b)(10) of Regulation S-K under the Securities Act.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has the meaning set forth in the Recitals.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 Consideration</w:t>
      </w:r>
      <w:r>
        <w:rPr>
          <w:rFonts w:ascii="Times New Roman;Times;Serif" w:hAnsi="Times New Roman;Times;Serif"/>
          <w:b w:val="false"/>
          <w:i w:val="false"/>
          <w:caps w:val="false"/>
          <w:smallCaps w:val="false"/>
          <w:sz w:val="20"/>
        </w:rPr>
        <w:t>” has the meaning set forth in the Recitals.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has the meaning set forth in the Preamble.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Outside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7.1(b)(i)</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Board</w:t>
      </w:r>
      <w:r>
        <w:rPr>
          <w:rFonts w:ascii="Times New Roman;Times;Serif" w:hAnsi="Times New Roman;Times;Serif"/>
          <w:b w:val="false"/>
          <w:i w:val="false"/>
          <w:caps w:val="false"/>
          <w:smallCaps w:val="false"/>
          <w:sz w:val="20"/>
        </w:rPr>
        <w:t>” has the meaning set forth in the Recitals.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Partnership</w:t>
      </w:r>
      <w:r>
        <w:rPr>
          <w:rFonts w:ascii="Times New Roman;Times;Serif" w:hAnsi="Times New Roman;Times;Serif"/>
          <w:b w:val="false"/>
          <w:i w:val="false"/>
          <w:caps w:val="false"/>
          <w:smallCaps w:val="false"/>
          <w:sz w:val="20"/>
        </w:rPr>
        <w:t>” has the meaning set forth in the Preamble.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Partnership Agreement</w:t>
      </w:r>
      <w:r>
        <w:rPr>
          <w:rFonts w:ascii="Times New Roman;Times;Serif" w:hAnsi="Times New Roman;Times;Serif"/>
          <w:b w:val="false"/>
          <w:i w:val="false"/>
          <w:caps w:val="false"/>
          <w:smallCaps w:val="false"/>
          <w:sz w:val="20"/>
        </w:rPr>
        <w:t>” means the Seventh Amended and Restated Agreement of Limited Partnership of GasLog Partners LP, as amended or supplemented from time to time.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Partnership Award</w:t>
      </w:r>
      <w:r>
        <w:rPr>
          <w:rFonts w:ascii="Times New Roman;Times;Serif" w:hAnsi="Times New Roman;Times;Serif"/>
          <w:b w:val="false"/>
          <w:i w:val="false"/>
          <w:caps w:val="false"/>
          <w:smallCaps w:val="false"/>
          <w:sz w:val="20"/>
        </w:rPr>
        <w:t>” means a Partnership PCU Award or Partnership RCU Award, as applicable.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Partnership Board</w:t>
      </w:r>
      <w:r>
        <w:rPr>
          <w:rFonts w:ascii="Times New Roman;Times;Serif" w:hAnsi="Times New Roman;Times;Serif"/>
          <w:b w:val="false"/>
          <w:i w:val="false"/>
          <w:caps w:val="false"/>
          <w:smallCaps w:val="false"/>
          <w:sz w:val="20"/>
        </w:rPr>
        <w:t>” has the meaning set forth in the Recitals.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Partnership Board Recommendation</w:t>
      </w:r>
      <w:r>
        <w:rPr>
          <w:rFonts w:ascii="Times New Roman;Times;Serif" w:hAnsi="Times New Roman;Times;Serif"/>
          <w:b w:val="false"/>
          <w:i w:val="false"/>
          <w:caps w:val="false"/>
          <w:smallCaps w:val="false"/>
          <w:sz w:val="20"/>
        </w:rPr>
        <w:t>” has the meaning set forth in the Recitals.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Partnership Charter Documents</w:t>
      </w:r>
      <w:r>
        <w:rPr>
          <w:rFonts w:ascii="Times New Roman;Times;Serif" w:hAnsi="Times New Roman;Times;Serif"/>
          <w:b w:val="false"/>
          <w:i w:val="false"/>
          <w:caps w:val="false"/>
          <w:smallCaps w:val="false"/>
          <w:sz w:val="20"/>
        </w:rPr>
        <w:t>” means (a) the Certificate of Limited Partnership of the Partnership, dated as of January 23, 2014, and (b) the Partnership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Partnership Financial Statements</w:t>
      </w:r>
      <w:r>
        <w:rPr>
          <w:rFonts w:ascii="Times New Roman;Times;Serif" w:hAnsi="Times New Roman;Times;Serif"/>
          <w:b w:val="false"/>
          <w:i w:val="false"/>
          <w:caps w:val="false"/>
          <w:smallCaps w:val="false"/>
          <w:sz w:val="20"/>
        </w:rPr>
        <w:t>” means, collectively, (a) the Partnership’s audited consolidated (i) statements of financial position as of December 31, 2020 and 2021, (ii) statements of profit or loss for the years ended December 31, 2019, 2020 and 2021, (iii) statements of changes in equity for the years ended December 31, 2019, 2020 and 2021 and (iv) statements of cash flows for the years ended December 31, 2019, 2020 and 2021, in each case, contained in the Partnership’s Form 20-F filed by the Partnership with the SEC on March 1, 2022 and (b) the Partnership’s unaudited condensed consolidated (i) statements of financial position as of December 31, 2021 and 2022, (ii) statements of profits or loss for the three months and years ended December 31, 2021 and 2022 (iii) statements of cash flows for the years ended December 31, 2021 and 2022, in each case, contained in the Report of Foreign Private Issuer on Form 6-K filed by the Partnership with the SEC on January 26, 2023.</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41 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Partnership Interest</w:t>
      </w:r>
      <w:r>
        <w:rPr>
          <w:rFonts w:ascii="Times New Roman;Times;Serif" w:hAnsi="Times New Roman;Times;Serif"/>
          <w:b w:val="false"/>
          <w:i w:val="false"/>
          <w:caps w:val="false"/>
          <w:smallCaps w:val="false"/>
          <w:sz w:val="20"/>
        </w:rPr>
        <w:t>” has the meaning set forth in the Partnership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Partnership Long-Term Incentive Plan</w:t>
      </w:r>
      <w:r>
        <w:rPr>
          <w:rFonts w:ascii="Times New Roman;Times;Serif" w:hAnsi="Times New Roman;Times;Serif"/>
          <w:b w:val="false"/>
          <w:i w:val="false"/>
          <w:caps w:val="false"/>
          <w:smallCaps w:val="false"/>
          <w:sz w:val="20"/>
        </w:rPr>
        <w:t>” means the GasLog Partners LP 2015 Long-Term Incentive Plan, as amended from time to time and including any successor or replacement plan or plans.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Partnership Material Adverse Effect</w:t>
      </w:r>
      <w:r>
        <w:rPr>
          <w:rFonts w:ascii="Times New Roman;Times;Serif" w:hAnsi="Times New Roman;Times;Serif"/>
          <w:b w:val="false"/>
          <w:i w:val="false"/>
          <w:caps w:val="false"/>
          <w:smallCaps w:val="false"/>
          <w:sz w:val="20"/>
        </w:rPr>
        <w:t xml:space="preserve">” means any fact, circumstance, effect, change, event or development that, individually or in the aggregate, with all other facts, circumstances, effects, changes, events or developments, (a) would prevent or materially delay, interfere with, hinder or impair the consummation by the Partnership of any of the Transactions in accordance with the terms of this Agreement or (b) has had or would reasonably be expected to have a material adverse effect on the business, properties, assets, liabilities, condition (financial or otherwise) or results of operations of the Partnership and its Subsidiaries, taken as a whole;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no fact, circumstance, effect, change, event or development resulting from or arising out of any of the following, individually or in the aggregate, shall constitute or be taken into account in determining whether a Partnership Material Adverse Effect has occurred, is continuing or would reasonably be expected to occur: (i) any change or condition affecting any industry in which the Partnership or any of its Subsidiaries operates; (ii) any economic, legislative or political condition or any securities, credit, financial or other capital markets condition, in each case in the United States, in any foreign jurisdiction or in any specific geographical area, including changes in interest or exchange rates, monetary policy or inflation; (iii) any failure in and of itself by the Partnership or any of its Subsidiaries to meet any internal or public projection, budget, forecast, estimate or prediction in respect of revenues, earnings or other financial or operating metrics for any period (it being understood that the underlying facts or occurrences giving rise to or contributing to such failure may be deemed to constitute, or be taken into account in determining whether there has or will be, a Partnership Material Adverse Effect); (iv) the announcement or the pendency of the Merger (other than for purposes of the representations and warranties contained in </w:t>
      </w:r>
      <w:r>
        <w:rPr>
          <w:rFonts w:ascii="Times New Roman;Times;Serif" w:hAnsi="Times New Roman;Times;Serif"/>
          <w:b w:val="false"/>
          <w:i w:val="false"/>
          <w:caps w:val="false"/>
          <w:smallCaps w:val="false"/>
          <w:sz w:val="20"/>
          <w:u w:val="single"/>
        </w:rPr>
        <w:t>Section 3.3(b)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 xml:space="preserve"> to the extent related to such representations and warranties), including any unitholder litigation arising out of or related to this Agreement; (v) any change in and of itself in the market price, credit rating or trading volume of Common Units on the New York Stock Exchange or any change affecting the ratings or the ratings outlook for the Partnership or any of its Subsidiaries (it being understood that the underlying facts or occurrences giving rise to or contributing to such failure may be deemed to constitute, or be taken into account in determining whether there has or will be, a Partnership Material Adverse Effect); (vi) any change in applicable Law, regulation or IFRS (or authoritative interpretation thereof); (vii) social unrest, riots, protests, geopolitical conditions, the outbreak or escalation of hostilities, any act of war, cyberattack, sabotage or terrorism, or any escalation or worsening of any such act of war, cyberattack, sabotage or terrorism threatened or underway as of the date of this Agreement (except that any damage or  destruction of any Vessels of the Partnership and its Subsidiaries may be deemed to constitute, or be taken into account in determining whether there has or will be, a Partnership Material Adverse Effect to the extent that losses resulting therefrom are not covered by insurance); (viii) the occurrence or worsening of any pandemic, epidemic, public health emergency or disease outbreak (including COVID-19) or (ix) any hurricane, strong winds, ice event, fire, tornado, tsunami, flood, earthquake or other natural or manmade disaster or severe weather-related event, circumstance or development (except that any damage or destruction of  any Vessels of the Partnership and its Subsidiaries may be deemed to constitute, or be taken into account in determining whether there has or will be, a Partnership Material Adverse Effect to the extent that losses resulting therefrom are not covered by insurance);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any fact, circumstance, effect, change, event or development set forth in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(vi)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(vii)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(viii)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(ix)</w:t>
      </w:r>
      <w:r>
        <w:rPr>
          <w:rFonts w:ascii="Times New Roman;Times;Serif" w:hAnsi="Times New Roman;Times;Serif"/>
          <w:b w:val="false"/>
          <w:i w:val="false"/>
          <w:caps w:val="false"/>
          <w:smallCaps w:val="false"/>
          <w:sz w:val="20"/>
        </w:rPr>
        <w:t> above may be taken into account in determining whether a Partnership Material Adverse Effect has occurred to the extent such fact, circumstance, effect, change, event or development has a disproportionate adverse effect on the Partnership and its Subsidiaries, taken as a whole, as compared to other companies operating in the industries in which the Partnership and its Subsidiaries operate.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42 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Partnership Notice Period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5.3(c)</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Partnership PCU Award</w:t>
      </w:r>
      <w:r>
        <w:rPr>
          <w:rFonts w:ascii="Times New Roman;Times;Serif" w:hAnsi="Times New Roman;Times;Serif"/>
          <w:b w:val="false"/>
          <w:i w:val="false"/>
          <w:caps w:val="false"/>
          <w:smallCaps w:val="false"/>
          <w:sz w:val="20"/>
        </w:rPr>
        <w:t>” means a restricted common unit award with respect to a Common Unit that remains subject to performance-based vesting conditions.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Partnership RCU Award</w:t>
      </w:r>
      <w:r>
        <w:rPr>
          <w:rFonts w:ascii="Times New Roman;Times;Serif" w:hAnsi="Times New Roman;Times;Serif"/>
          <w:b w:val="false"/>
          <w:i w:val="false"/>
          <w:caps w:val="false"/>
          <w:smallCaps w:val="false"/>
          <w:sz w:val="20"/>
        </w:rPr>
        <w:t>” means a restricted common unit award with respect to a Common Unit that is not a Partnership PCU Award.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Partnership SEC Documents</w:t>
      </w:r>
      <w:r>
        <w:rPr>
          <w:rFonts w:ascii="Times New Roman;Times;Serif" w:hAnsi="Times New Roman;Times;Serif"/>
          <w:b w:val="false"/>
          <w:i w:val="false"/>
          <w:caps w:val="false"/>
          <w:smallCaps w:val="false"/>
          <w:sz w:val="20"/>
        </w:rPr>
        <w:t>” means, collectively, all reports, schedules, forms, statements or other documents filed with, or furnished to, the SEC on or after January 1, 2022, and prior to the date of this Agreement by the Partnership and its Subsidiaries and publicly available prior to the date of this Agreement, including all exhibits and schedules thereto and documents incorporated by reference therein.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has the meaning set forth in the Preamble.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Paying Agent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2.2(a)</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PCU Consideration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2.3(b)</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w:t>
      </w:r>
      <w:r>
        <w:rPr>
          <w:rFonts w:ascii="Times New Roman;Times;Serif" w:hAnsi="Times New Roman;Times;Serif"/>
          <w:b w:val="false"/>
          <w:i w:val="false"/>
          <w:caps w:val="false"/>
          <w:smallCaps w:val="false"/>
          <w:sz w:val="20"/>
        </w:rPr>
        <w:t>” means franchises, tariffs, grants, authorizations, licenses, permits, easements, variances, exceptions, consents, certificates, approvals, registrations and orders of any Governmental Authority.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Liens</w:t>
      </w:r>
      <w:r>
        <w:rPr>
          <w:rFonts w:ascii="Times New Roman;Times;Serif" w:hAnsi="Times New Roman;Times;Serif"/>
          <w:b w:val="false"/>
          <w:i w:val="false"/>
          <w:caps w:val="false"/>
          <w:smallCaps w:val="false"/>
          <w:sz w:val="20"/>
        </w:rPr>
        <w:t>” means (a) statutory Liens for Taxes, assessments or other charges by Governmental Authorities not yet due and payable, or the amount or validity of which is being contested in good faith and by appropriate proceedings and, in either case, for which adequate reserves are being maintained on the most recent Partnership Financial Statements in accordance with IFRS, (b) mechanics’, materialmen’s, carriers’, workmen’s, warehouseman’s, repairmen’s, landlords’ and similar Liens granted or which arise in the ordinary course of business, (c) Liens securing payment, or any obligation, of the Partnership or its Subsidiaries with respect to outstanding indebtedness so long as there is no default under such indebtedness, (d) pledges or deposits by the Partnership or any of its Subsidiaries under workmen’s compensation Laws, unemployment insurance Laws or similar legislation, or good faith deposits in connection with bids, tenders, Contracts (other than for the payment of indebtedness) or leases to which such entity is a party, or deposits to secure public or statutory obligations of such entity or to secure surety or appeal bonds to which such entity is a party, or deposits as security for contested Taxes, in each case incurred or made in the ordinary course of business, (e) licenses (including nonexclusive licenses of intellectual property) granted to third parties in the ordinary course of business by the Partnership or its Subsidiaries, (f) Liens created by or through the actions of Parent or any of its Affiliates, (g) transfer restrictions imposed by applicable Law, (h) Liens on Vessels for crews’ wages and salvage, for claims covered by insurance and for maritime liens arising in the ordinary course of business which secure obligations not yet due or payable or not more than 30 days overdue, and (i) such other Liens or imperfections that are not material in amount or do not materially detract from the value of or materially impair the existing or intended use of the asset or property affected by such Lien or imperfection.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43 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corporation, limited liability company, limited or general partnership, joint venture, association, trust, unincorporated organization or any other entity, including a Governmental Authority or any group comprised of two or more of the foregoing.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Preference Units</w:t>
      </w:r>
      <w:r>
        <w:rPr>
          <w:rFonts w:ascii="Times New Roman;Times;Serif" w:hAnsi="Times New Roman;Times;Serif"/>
          <w:b w:val="false"/>
          <w:i w:val="false"/>
          <w:caps w:val="false"/>
          <w:smallCaps w:val="false"/>
          <w:sz w:val="20"/>
        </w:rPr>
        <w:t>” means Preference Units as defined in the Partnership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means any actual or threatened claim (including a claim of a violation of Law), action, audit, demand, suit, proceeding, investigation or other proceeding at law or in equity or order or ruling, in each case, whether, civil, criminal, administrative, investigative, or otherwise, and whether or not such claim, action, audit, demand, suit, proceeding, investigation or other proceeding results in a formal civil or criminal litigation or other action.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Proxy Statement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RCU Consideration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Related Parties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8.13</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Representatives</w:t>
      </w:r>
      <w:r>
        <w:rPr>
          <w:rFonts w:ascii="Times New Roman;Times;Serif" w:hAnsi="Times New Roman;Times;Serif"/>
          <w:b w:val="false"/>
          <w:i w:val="false"/>
          <w:caps w:val="false"/>
          <w:smallCaps w:val="false"/>
          <w:sz w:val="20"/>
        </w:rPr>
        <w:t>” means, with respect to any Person, its officers, directors, equityholders, employees, agents, financial advisors, investment bankers, attorneys, accountants, consultants and other advisors and representatives.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Restraints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Schedule 13E-3</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U.S. Securities and Exchange Commission.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44 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(together with the rules and regulations promulgated thereunder).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A Preference Units</w:t>
      </w:r>
      <w:r>
        <w:rPr>
          <w:rFonts w:ascii="Times New Roman;Times;Serif" w:hAnsi="Times New Roman;Times;Serif"/>
          <w:b w:val="false"/>
          <w:i w:val="false"/>
          <w:caps w:val="false"/>
          <w:smallCaps w:val="false"/>
          <w:sz w:val="20"/>
        </w:rPr>
        <w:t>” means Series A Preference Units as defined in the Partnership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B Preference Units</w:t>
      </w:r>
      <w:r>
        <w:rPr>
          <w:rFonts w:ascii="Times New Roman;Times;Serif" w:hAnsi="Times New Roman;Times;Serif"/>
          <w:b w:val="false"/>
          <w:i w:val="false"/>
          <w:caps w:val="false"/>
          <w:smallCaps w:val="false"/>
          <w:sz w:val="20"/>
        </w:rPr>
        <w:t>” means Series B Preference Units as defined in the Partnership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C Preference Units</w:t>
      </w:r>
      <w:r>
        <w:rPr>
          <w:rFonts w:ascii="Times New Roman;Times;Serif" w:hAnsi="Times New Roman;Times;Serif"/>
          <w:b w:val="false"/>
          <w:i w:val="false"/>
          <w:caps w:val="false"/>
          <w:smallCaps w:val="false"/>
          <w:sz w:val="20"/>
        </w:rPr>
        <w:t>” means Series C Preference Units as defined in the Partnership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Shareholders’ Agreement</w:t>
      </w:r>
      <w:r>
        <w:rPr>
          <w:rFonts w:ascii="Times New Roman;Times;Serif" w:hAnsi="Times New Roman;Times;Serif"/>
          <w:b w:val="false"/>
          <w:i w:val="false"/>
          <w:caps w:val="false"/>
          <w:smallCaps w:val="false"/>
          <w:sz w:val="20"/>
        </w:rPr>
        <w:t>” means the Shareholders’ Agreement, dated as of June 9, 2021, among Parent, GEPIF and each of those existing shareholders of Parent that are listed on Schedule I thereto.</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Special Approval</w:t>
      </w:r>
      <w:r>
        <w:rPr>
          <w:rFonts w:ascii="Times New Roman;Times;Serif" w:hAnsi="Times New Roman;Times;Serif"/>
          <w:b w:val="false"/>
          <w:i w:val="false"/>
          <w:caps w:val="false"/>
          <w:smallCaps w:val="false"/>
          <w:sz w:val="20"/>
        </w:rPr>
        <w:t>” means Special Approval as defined in the Partnership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Special Distribution</w:t>
      </w:r>
      <w:r>
        <w:rPr>
          <w:rFonts w:ascii="Times New Roman;Times;Serif" w:hAnsi="Times New Roman;Times;Serif"/>
          <w:b w:val="false"/>
          <w:i w:val="false"/>
          <w:caps w:val="false"/>
          <w:smallCaps w:val="false"/>
          <w:sz w:val="20"/>
        </w:rPr>
        <w:t>” has the meaning set forth in the Recitals.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Sponsor Entities</w:t>
      </w:r>
      <w:r>
        <w:rPr>
          <w:rFonts w:ascii="Times New Roman;Times;Serif" w:hAnsi="Times New Roman;Times;Serif"/>
          <w:b w:val="false"/>
          <w:i w:val="false"/>
          <w:caps w:val="false"/>
          <w:smallCaps w:val="false"/>
          <w:sz w:val="20"/>
        </w:rPr>
        <w:t>” has the meaning set forth in the Preamble.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Sponsor Units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2.1(c)</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when used with respect to any Person, means any corporation, limited liability company, partnership, association, trust or other entity of which securities or other ownership interests representing more than 50% of the equity or more than 50% of the ordinary voting power (or, in the case of a partnership, more than 50% of the general partnership interests) are, as of such date, owned by such Person or one or more Subsidiaries of such Person or by such Person and one or more Subsidiaries of such Person. When used with respect to the Sponsor Entities, the term “</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shall not include the Partnership or its Subsidiaries unless otherwise specifically provided in this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Support Agreement</w:t>
      </w:r>
      <w:r>
        <w:rPr>
          <w:rFonts w:ascii="Times New Roman;Times;Serif" w:hAnsi="Times New Roman;Times;Serif"/>
          <w:b w:val="false"/>
          <w:i w:val="false"/>
          <w:caps w:val="false"/>
          <w:smallCaps w:val="false"/>
          <w:sz w:val="20"/>
        </w:rPr>
        <w:t>” has the meaning set forth in the Recitals.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Surviving Entity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Takeover Law</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5.4(b)</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w:t>
      </w:r>
      <w:r>
        <w:rPr>
          <w:rFonts w:ascii="Times New Roman;Times;Serif" w:hAnsi="Times New Roman;Times;Serif"/>
          <w:b w:val="false"/>
          <w:i w:val="false"/>
          <w:caps w:val="false"/>
          <w:smallCaps w:val="false"/>
          <w:sz w:val="20"/>
        </w:rPr>
        <w:t xml:space="preserve">” means all U.S. and non-U.S. federal, national, provincial, state or local taxes, charges, fees, levies or other similar assessments or liabilities, in each case in the nature of taxes, including income, gross receipts, </w:t>
      </w:r>
      <w:r>
        <w:rPr>
          <w:rFonts w:ascii="Times New Roman;Times;Serif" w:hAnsi="Times New Roman;Times;Serif"/>
          <w:b w:val="false"/>
          <w:i/>
          <w:caps w:val="false"/>
          <w:smallCaps w:val="false"/>
          <w:sz w:val="20"/>
        </w:rPr>
        <w:t>ad valorem</w:t>
      </w:r>
      <w:r>
        <w:rPr>
          <w:rFonts w:ascii="Times New Roman;Times;Serif" w:hAnsi="Times New Roman;Times;Serif"/>
          <w:b w:val="false"/>
          <w:i w:val="false"/>
          <w:caps w:val="false"/>
          <w:smallCaps w:val="false"/>
          <w:sz w:val="20"/>
        </w:rPr>
        <w:t>, value-added, excise, real property, personal property, sales, use, transfer, withholding, employment, license, payroll, severance, stamp, occupation, premium, windfall profits, environmental, customs, duties, capital stock, profits, social security (or similar), unemployment, disability, registration, value added, alternative or add-on minimum, estimated and franchise taxes, and any other tax of any kind or any charge of any kind, in each case in the nature of taxes, imposed by a Governmental Authority, together with any interest, penalties, assessments or additions to tax imposed with respect to such amounts, whether or not disputed.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45 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Returns</w:t>
      </w:r>
      <w:r>
        <w:rPr>
          <w:rFonts w:ascii="Times New Roman;Times;Serif" w:hAnsi="Times New Roman;Times;Serif"/>
          <w:b w:val="false"/>
          <w:i w:val="false"/>
          <w:caps w:val="false"/>
          <w:smallCaps w:val="false"/>
          <w:sz w:val="20"/>
        </w:rPr>
        <w:t>” means all reports, returns, declarations, claims for refunds, statements or other information supplied or required to be supplied to a Governmental Authority relating to Taxes or any amendment thereof or schedule or attachment thereto.</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 has the meaning set forth in the Recitals.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Unaffiliated Unitholders</w:t>
      </w:r>
      <w:r>
        <w:rPr>
          <w:rFonts w:ascii="Times New Roman;Times;Serif" w:hAnsi="Times New Roman;Times;Serif"/>
          <w:b w:val="false"/>
          <w:i w:val="false"/>
          <w:caps w:val="false"/>
          <w:smallCaps w:val="false"/>
          <w:sz w:val="20"/>
        </w:rPr>
        <w:t>” means Common Unitholders other than Parent and its Affiliates.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Unitholder Approval</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3.3(c)</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Unitholders Meeting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Vessels</w:t>
      </w:r>
      <w:r>
        <w:rPr>
          <w:rFonts w:ascii="Times New Roman;Times;Serif" w:hAnsi="Times New Roman;Times;Serif"/>
          <w:b w:val="false"/>
          <w:i w:val="false"/>
          <w:caps w:val="false"/>
          <w:smallCaps w:val="false"/>
          <w:sz w:val="20"/>
        </w:rPr>
        <w:t>” means, collectively, all vessels wholly owned by the Partnership or any of its Subsidiaries, all vessels chartered-in by the Partnership or any of its Subsidiaries pursuant to charter arrangements and any other vessels in which the Partnership or any of its Subsidiaries have an ownership interest.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Willful Breach</w:t>
      </w:r>
      <w:r>
        <w:rPr>
          <w:rFonts w:ascii="Times New Roman;Times;Serif" w:hAnsi="Times New Roman;Times;Serif"/>
          <w:b w:val="false"/>
          <w:i w:val="false"/>
          <w:caps w:val="false"/>
          <w:smallCaps w:val="false"/>
          <w:sz w:val="20"/>
        </w:rPr>
        <w:t>” means a material breach of, or failure to perform any of the covenants or other agreements contained in, this Agreement that is a consequence of an act or failure to act by the breaching or non-performing party with actual knowledge, or knowledge that a Person acting reasonably under the circumstances should have, that such party’s act or failure to act (including acts or failures to act by a party’s Representative at the direction of such party) would, or would reasonably be expected to, result in or constitute a breach of or failure of performance under this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46 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Agreement to be executed and delivered as of the date first above written.</w:t>
      </w:r>
    </w:p>
    <w:p>
      <w:pPr>
        <w:pStyle w:val="TextBody"/>
        <w:spacing w:before="0" w:after="0"/>
        <w:ind w:left="0" w:right="0" w:hanging="0"/>
        <w:jc w:val="both"/>
        <w:rPr>
          <w:caps w:val="false"/>
          <w:smallCaps w:val="false"/>
        </w:rPr>
      </w:pPr>
      <w:r>
        <w:rPr>
          <w:caps w:val="false"/>
          <w:smallCaps w:val="false"/>
        </w:rPr>
        <w:t> </w:t>
      </w:r>
    </w:p>
    <w:tbl>
      <w:tblPr>
        <w:tblW w:w="2895" w:type="dxa"/>
        <w:jc w:val="left"/>
        <w:tblInd w:w="0" w:type="dxa"/>
        <w:tblCellMar>
          <w:top w:w="0" w:type="dxa"/>
          <w:left w:w="0" w:type="dxa"/>
          <w:bottom w:w="0" w:type="dxa"/>
          <w:right w:w="0" w:type="dxa"/>
        </w:tblCellMar>
      </w:tblPr>
      <w:tblGrid>
        <w:gridCol w:w="75"/>
        <w:gridCol w:w="320"/>
        <w:gridCol w:w="545"/>
        <w:gridCol w:w="1955"/>
      </w:tblGrid>
      <w:tr>
        <w:trPr/>
        <w:tc>
          <w:tcPr>
            <w:tcW w:w="75" w:type="dxa"/>
            <w:tcBorders/>
            <w:shd w:fill="auto" w:val="clear"/>
            <w:vAlign w:val="center"/>
          </w:tcPr>
          <w:p>
            <w:pPr>
              <w:pStyle w:val="TableContents"/>
              <w:spacing w:before="0" w:after="283"/>
              <w:rPr/>
            </w:pPr>
            <w:r>
              <w:rPr/>
              <w:t> </w:t>
            </w:r>
          </w:p>
        </w:tc>
        <w:tc>
          <w:tcPr>
            <w:tcW w:w="2820" w:type="dxa"/>
            <w:gridSpan w:val="3"/>
            <w:tcBorders/>
            <w:shd w:fill="auto" w:val="clear"/>
            <w:vAlign w:val="center"/>
          </w:tcPr>
          <w:p>
            <w:pPr>
              <w:pStyle w:val="TableContents"/>
              <w:spacing w:before="0" w:after="283"/>
              <w:jc w:val="both"/>
              <w:rPr/>
            </w:pPr>
            <w:r>
              <w:rPr>
                <w:rFonts w:ascii="Times New Roman;Times;Serif" w:hAnsi="Times New Roman;Times;Serif"/>
                <w:sz w:val="20"/>
                <w:u w:val="single"/>
              </w:rPr>
              <w:t>PARENT</w:t>
            </w:r>
            <w:r>
              <w:rPr>
                <w:sz w:val="20"/>
              </w:rPr>
              <w:t>:</w:t>
            </w:r>
          </w:p>
        </w:tc>
      </w:tr>
      <w:tr>
        <w:trPr/>
        <w:tc>
          <w:tcPr>
            <w:tcW w:w="75" w:type="dxa"/>
            <w:tcBorders/>
            <w:shd w:fill="auto" w:val="clear"/>
            <w:vAlign w:val="center"/>
          </w:tcPr>
          <w:p>
            <w:pPr>
              <w:pStyle w:val="TableContents"/>
              <w:spacing w:before="0" w:after="283"/>
              <w:rPr/>
            </w:pPr>
            <w:r>
              <w:rPr/>
              <w:t> </w:t>
            </w:r>
          </w:p>
        </w:tc>
        <w:tc>
          <w:tcPr>
            <w:tcW w:w="2820" w:type="dxa"/>
            <w:gridSpan w:val="3"/>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2820" w:type="dxa"/>
            <w:gridSpan w:val="3"/>
            <w:tcBorders/>
            <w:shd w:fill="auto" w:val="clear"/>
            <w:vAlign w:val="center"/>
          </w:tcPr>
          <w:p>
            <w:pPr>
              <w:pStyle w:val="TableContents"/>
              <w:spacing w:before="0" w:after="283"/>
              <w:jc w:val="both"/>
              <w:rPr>
                <w:rFonts w:ascii="Times New Roman;Times;Serif" w:hAnsi="Times New Roman;Times;Serif"/>
                <w:caps/>
                <w:sz w:val="20"/>
              </w:rPr>
            </w:pPr>
            <w:r>
              <w:rPr>
                <w:rFonts w:ascii="Times New Roman;Times;Serif" w:hAnsi="Times New Roman;Times;Serif"/>
                <w:caps/>
                <w:sz w:val="20"/>
              </w:rPr>
              <w:t>GASLOG LTD.</w:t>
            </w:r>
          </w:p>
        </w:tc>
      </w:tr>
      <w:tr>
        <w:trPr/>
        <w:tc>
          <w:tcPr>
            <w:tcW w:w="75" w:type="dxa"/>
            <w:tcBorders/>
            <w:shd w:fill="auto" w:val="clear"/>
            <w:vAlign w:val="center"/>
          </w:tcPr>
          <w:p>
            <w:pPr>
              <w:pStyle w:val="TableContents"/>
              <w:spacing w:before="0" w:after="283"/>
              <w:rPr/>
            </w:pPr>
            <w:r>
              <w:rPr/>
              <w:t> </w:t>
            </w:r>
          </w:p>
        </w:tc>
        <w:tc>
          <w:tcPr>
            <w:tcW w:w="2820" w:type="dxa"/>
            <w:gridSpan w:val="3"/>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By:</w:t>
            </w:r>
          </w:p>
        </w:tc>
        <w:tc>
          <w:tcPr>
            <w:tcW w:w="2500" w:type="dxa"/>
            <w:gridSpan w:val="2"/>
            <w:tcBorders>
              <w:bottom w:val="single" w:sz="8" w:space="0" w:color="000000"/>
            </w:tcBorders>
            <w:shd w:fill="auto" w:val="clear"/>
            <w:tcMar>
              <w:bottom w:w="28" w:type="dxa"/>
            </w:tcM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/s/ Paolo Enoizi</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jc w:val="both"/>
              <w:rPr/>
            </w:pPr>
            <w:r>
              <w:rPr/>
              <w:t> </w:t>
            </w:r>
          </w:p>
        </w:tc>
        <w:tc>
          <w:tcPr>
            <w:tcW w:w="54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Name:</w:t>
            </w:r>
          </w:p>
        </w:tc>
        <w:tc>
          <w:tcPr>
            <w:tcW w:w="195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Paolo Enoizi</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jc w:val="both"/>
              <w:rPr/>
            </w:pPr>
            <w:r>
              <w:rPr/>
              <w:t> </w:t>
            </w:r>
          </w:p>
        </w:tc>
        <w:tc>
          <w:tcPr>
            <w:tcW w:w="54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Title:</w:t>
            </w:r>
          </w:p>
        </w:tc>
        <w:tc>
          <w:tcPr>
            <w:tcW w:w="195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Chief Executive Officer</w:t>
            </w:r>
          </w:p>
        </w:tc>
      </w:tr>
    </w:tbl>
    <w:p>
      <w:pPr>
        <w:pStyle w:val="TextBody"/>
        <w:spacing w:before="0" w:after="0"/>
        <w:ind w:left="0" w:right="0" w:hanging="0"/>
        <w:jc w:val="both"/>
        <w:rPr>
          <w:caps w:val="false"/>
          <w:smallCaps w:val="false"/>
        </w:rPr>
      </w:pPr>
      <w:r>
        <w:rPr>
          <w:caps w:val="false"/>
          <w:smallCaps w:val="false"/>
        </w:rPr>
        <w:t> </w:t>
      </w:r>
    </w:p>
    <w:tbl>
      <w:tblPr>
        <w:tblW w:w="2895" w:type="dxa"/>
        <w:jc w:val="left"/>
        <w:tblInd w:w="0" w:type="dxa"/>
        <w:tblCellMar>
          <w:top w:w="0" w:type="dxa"/>
          <w:left w:w="0" w:type="dxa"/>
          <w:bottom w:w="0" w:type="dxa"/>
          <w:right w:w="0" w:type="dxa"/>
        </w:tblCellMar>
      </w:tblPr>
      <w:tblGrid>
        <w:gridCol w:w="75"/>
        <w:gridCol w:w="320"/>
        <w:gridCol w:w="545"/>
        <w:gridCol w:w="1955"/>
      </w:tblGrid>
      <w:tr>
        <w:trPr/>
        <w:tc>
          <w:tcPr>
            <w:tcW w:w="75" w:type="dxa"/>
            <w:tcBorders/>
            <w:shd w:fill="auto" w:val="clear"/>
            <w:vAlign w:val="center"/>
          </w:tcPr>
          <w:p>
            <w:pPr>
              <w:pStyle w:val="TableContents"/>
              <w:spacing w:before="0" w:after="283"/>
              <w:rPr/>
            </w:pPr>
            <w:r>
              <w:rPr/>
              <w:t> </w:t>
            </w:r>
          </w:p>
        </w:tc>
        <w:tc>
          <w:tcPr>
            <w:tcW w:w="2820" w:type="dxa"/>
            <w:gridSpan w:val="3"/>
            <w:tcBorders/>
            <w:shd w:fill="auto" w:val="clear"/>
            <w:vAlign w:val="center"/>
          </w:tcPr>
          <w:p>
            <w:pPr>
              <w:pStyle w:val="TableContents"/>
              <w:spacing w:before="0" w:after="283"/>
              <w:jc w:val="both"/>
              <w:rPr/>
            </w:pPr>
            <w:r>
              <w:rPr>
                <w:rFonts w:ascii="Times New Roman;Times;Serif" w:hAnsi="Times New Roman;Times;Serif"/>
                <w:sz w:val="20"/>
                <w:u w:val="single"/>
              </w:rPr>
              <w:t>MERGER SUB</w:t>
            </w:r>
            <w:r>
              <w:rPr>
                <w:sz w:val="20"/>
              </w:rPr>
              <w:t>:</w:t>
            </w:r>
          </w:p>
        </w:tc>
      </w:tr>
      <w:tr>
        <w:trPr/>
        <w:tc>
          <w:tcPr>
            <w:tcW w:w="75" w:type="dxa"/>
            <w:tcBorders/>
            <w:shd w:fill="auto" w:val="clear"/>
            <w:vAlign w:val="center"/>
          </w:tcPr>
          <w:p>
            <w:pPr>
              <w:pStyle w:val="TableContents"/>
              <w:spacing w:before="0" w:after="283"/>
              <w:rPr/>
            </w:pPr>
            <w:r>
              <w:rPr/>
              <w:t> </w:t>
            </w:r>
          </w:p>
        </w:tc>
        <w:tc>
          <w:tcPr>
            <w:tcW w:w="2820" w:type="dxa"/>
            <w:gridSpan w:val="3"/>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2820" w:type="dxa"/>
            <w:gridSpan w:val="3"/>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SATURN MERGER SUB LLC</w:t>
            </w:r>
          </w:p>
        </w:tc>
      </w:tr>
      <w:tr>
        <w:trPr/>
        <w:tc>
          <w:tcPr>
            <w:tcW w:w="75" w:type="dxa"/>
            <w:tcBorders/>
            <w:shd w:fill="auto" w:val="clear"/>
            <w:vAlign w:val="center"/>
          </w:tcPr>
          <w:p>
            <w:pPr>
              <w:pStyle w:val="TableContents"/>
              <w:spacing w:before="0" w:after="283"/>
              <w:rPr/>
            </w:pPr>
            <w:r>
              <w:rPr/>
              <w:t> </w:t>
            </w:r>
          </w:p>
        </w:tc>
        <w:tc>
          <w:tcPr>
            <w:tcW w:w="2820" w:type="dxa"/>
            <w:gridSpan w:val="3"/>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By:</w:t>
            </w:r>
          </w:p>
        </w:tc>
        <w:tc>
          <w:tcPr>
            <w:tcW w:w="2500" w:type="dxa"/>
            <w:gridSpan w:val="2"/>
            <w:tcBorders>
              <w:bottom w:val="single" w:sz="8" w:space="0" w:color="000000"/>
            </w:tcBorders>
            <w:shd w:fill="auto" w:val="clear"/>
            <w:tcMar>
              <w:bottom w:w="28" w:type="dxa"/>
            </w:tcM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/s/ Paolo Enoizi</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jc w:val="both"/>
              <w:rPr/>
            </w:pPr>
            <w:r>
              <w:rPr/>
              <w:t> </w:t>
            </w:r>
          </w:p>
        </w:tc>
        <w:tc>
          <w:tcPr>
            <w:tcW w:w="54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Name:</w:t>
            </w:r>
          </w:p>
        </w:tc>
        <w:tc>
          <w:tcPr>
            <w:tcW w:w="195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Paolo Enoizi</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jc w:val="both"/>
              <w:rPr/>
            </w:pPr>
            <w:r>
              <w:rPr/>
              <w:t> </w:t>
            </w:r>
          </w:p>
        </w:tc>
        <w:tc>
          <w:tcPr>
            <w:tcW w:w="54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Title:</w:t>
            </w:r>
          </w:p>
        </w:tc>
        <w:tc>
          <w:tcPr>
            <w:tcW w:w="195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Chief Executive Officer</w:t>
            </w:r>
          </w:p>
        </w:tc>
      </w:tr>
    </w:tbl>
    <w:p>
      <w:pPr>
        <w:pStyle w:val="TextBody"/>
        <w:spacing w:before="0" w:after="0"/>
        <w:ind w:left="0" w:right="0" w:hanging="0"/>
        <w:jc w:val="both"/>
        <w:rPr>
          <w:caps w:val="false"/>
          <w:smallCaps w:val="false"/>
        </w:rPr>
      </w:pPr>
      <w:r>
        <w:rPr>
          <w:caps w:val="false"/>
          <w:smallCaps w:val="false"/>
        </w:rPr>
        <w:t> </w:t>
      </w:r>
    </w:p>
    <w:tbl>
      <w:tblPr>
        <w:tblW w:w="3795" w:type="dxa"/>
        <w:jc w:val="left"/>
        <w:tblInd w:w="0" w:type="dxa"/>
        <w:tblCellMar>
          <w:top w:w="0" w:type="dxa"/>
          <w:left w:w="0" w:type="dxa"/>
          <w:bottom w:w="0" w:type="dxa"/>
          <w:right w:w="0" w:type="dxa"/>
        </w:tblCellMar>
      </w:tblPr>
      <w:tblGrid>
        <w:gridCol w:w="75"/>
        <w:gridCol w:w="320"/>
        <w:gridCol w:w="545"/>
        <w:gridCol w:w="2855"/>
      </w:tblGrid>
      <w:tr>
        <w:trPr/>
        <w:tc>
          <w:tcPr>
            <w:tcW w:w="75" w:type="dxa"/>
            <w:tcBorders/>
            <w:shd w:fill="auto" w:val="clear"/>
            <w:vAlign w:val="center"/>
          </w:tcPr>
          <w:p>
            <w:pPr>
              <w:pStyle w:val="TableContents"/>
              <w:spacing w:before="0" w:after="283"/>
              <w:rPr/>
            </w:pPr>
            <w:r>
              <w:rPr/>
              <w:t> </w:t>
            </w:r>
          </w:p>
        </w:tc>
        <w:tc>
          <w:tcPr>
            <w:tcW w:w="3720" w:type="dxa"/>
            <w:gridSpan w:val="3"/>
            <w:tcBorders/>
            <w:shd w:fill="auto" w:val="clear"/>
            <w:vAlign w:val="center"/>
          </w:tcPr>
          <w:p>
            <w:pPr>
              <w:pStyle w:val="TableContents"/>
              <w:spacing w:before="0" w:after="283"/>
              <w:jc w:val="both"/>
              <w:rPr>
                <w:rFonts w:ascii="Times New Roman;Times;Serif" w:hAnsi="Times New Roman;Times;Serif"/>
                <w:sz w:val="20"/>
                <w:u w:val="single"/>
              </w:rPr>
            </w:pPr>
            <w:r>
              <w:rPr>
                <w:rFonts w:ascii="Times New Roman;Times;Serif" w:hAnsi="Times New Roman;Times;Serif"/>
                <w:sz w:val="20"/>
                <w:u w:val="single"/>
              </w:rPr>
              <w:t>THE PARTNERSHIP</w:t>
            </w:r>
          </w:p>
        </w:tc>
      </w:tr>
      <w:tr>
        <w:trPr/>
        <w:tc>
          <w:tcPr>
            <w:tcW w:w="75" w:type="dxa"/>
            <w:tcBorders/>
            <w:shd w:fill="auto" w:val="clear"/>
            <w:vAlign w:val="center"/>
          </w:tcPr>
          <w:p>
            <w:pPr>
              <w:pStyle w:val="TableContents"/>
              <w:spacing w:before="0" w:after="283"/>
              <w:rPr/>
            </w:pPr>
            <w:r>
              <w:rPr/>
              <w:t> </w:t>
            </w:r>
          </w:p>
        </w:tc>
        <w:tc>
          <w:tcPr>
            <w:tcW w:w="3720" w:type="dxa"/>
            <w:gridSpan w:val="3"/>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3720" w:type="dxa"/>
            <w:gridSpan w:val="3"/>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GASLOG PARTNERS LP</w:t>
            </w:r>
          </w:p>
        </w:tc>
      </w:tr>
      <w:tr>
        <w:trPr/>
        <w:tc>
          <w:tcPr>
            <w:tcW w:w="75" w:type="dxa"/>
            <w:tcBorders/>
            <w:shd w:fill="auto" w:val="clear"/>
            <w:vAlign w:val="center"/>
          </w:tcPr>
          <w:p>
            <w:pPr>
              <w:pStyle w:val="TableContents"/>
              <w:spacing w:before="0" w:after="283"/>
              <w:rPr/>
            </w:pPr>
            <w:r>
              <w:rPr/>
              <w:t> </w:t>
            </w:r>
          </w:p>
        </w:tc>
        <w:tc>
          <w:tcPr>
            <w:tcW w:w="3720" w:type="dxa"/>
            <w:gridSpan w:val="3"/>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By:</w:t>
            </w:r>
          </w:p>
        </w:tc>
        <w:tc>
          <w:tcPr>
            <w:tcW w:w="3400" w:type="dxa"/>
            <w:gridSpan w:val="2"/>
            <w:tcBorders>
              <w:bottom w:val="single" w:sz="8" w:space="0" w:color="000000"/>
            </w:tcBorders>
            <w:shd w:fill="auto" w:val="clear"/>
            <w:tcMar>
              <w:bottom w:w="28" w:type="dxa"/>
            </w:tcM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/s/ Paolo Enoizi</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jc w:val="both"/>
              <w:rPr/>
            </w:pPr>
            <w:r>
              <w:rPr/>
              <w:t> </w:t>
            </w:r>
          </w:p>
        </w:tc>
        <w:tc>
          <w:tcPr>
            <w:tcW w:w="54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Name:</w:t>
            </w:r>
          </w:p>
        </w:tc>
        <w:tc>
          <w:tcPr>
            <w:tcW w:w="285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Paolo Enoizi</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jc w:val="both"/>
              <w:rPr/>
            </w:pPr>
            <w:r>
              <w:rPr/>
              <w:t> </w:t>
            </w:r>
          </w:p>
        </w:tc>
        <w:tc>
          <w:tcPr>
            <w:tcW w:w="54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Title:</w:t>
            </w:r>
          </w:p>
        </w:tc>
        <w:tc>
          <w:tcPr>
            <w:tcW w:w="285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Director &amp; Chief Executive Officer</w:t>
            </w:r>
          </w:p>
        </w:tc>
      </w:tr>
    </w:tbl>
    <w:p>
      <w:pPr>
        <w:pStyle w:val="TextBody"/>
        <w:spacing w:before="0" w:after="0"/>
        <w:ind w:left="0" w:right="0" w:hanging="0"/>
        <w:jc w:val="both"/>
        <w:rPr>
          <w:caps w:val="false"/>
          <w:smallCaps w:val="false"/>
        </w:rPr>
      </w:pPr>
      <w:r>
        <w:rPr>
          <w:caps w:val="false"/>
          <w:smallCaps w:val="false"/>
        </w:rPr>
        <w:t> </w:t>
      </w:r>
    </w:p>
    <w:tbl>
      <w:tblPr>
        <w:tblW w:w="2895" w:type="dxa"/>
        <w:jc w:val="left"/>
        <w:tblInd w:w="0" w:type="dxa"/>
        <w:tblCellMar>
          <w:top w:w="0" w:type="dxa"/>
          <w:left w:w="0" w:type="dxa"/>
          <w:bottom w:w="0" w:type="dxa"/>
          <w:right w:w="0" w:type="dxa"/>
        </w:tblCellMar>
      </w:tblPr>
      <w:tblGrid>
        <w:gridCol w:w="75"/>
        <w:gridCol w:w="320"/>
        <w:gridCol w:w="545"/>
        <w:gridCol w:w="1955"/>
      </w:tblGrid>
      <w:tr>
        <w:trPr/>
        <w:tc>
          <w:tcPr>
            <w:tcW w:w="75" w:type="dxa"/>
            <w:tcBorders/>
            <w:shd w:fill="auto" w:val="clear"/>
            <w:vAlign w:val="center"/>
          </w:tcPr>
          <w:p>
            <w:pPr>
              <w:pStyle w:val="TableContents"/>
              <w:spacing w:before="0" w:after="283"/>
              <w:rPr/>
            </w:pPr>
            <w:r>
              <w:rPr/>
              <w:t> </w:t>
            </w:r>
          </w:p>
        </w:tc>
        <w:tc>
          <w:tcPr>
            <w:tcW w:w="2820" w:type="dxa"/>
            <w:gridSpan w:val="3"/>
            <w:tcBorders/>
            <w:shd w:fill="auto" w:val="clear"/>
            <w:vAlign w:val="center"/>
          </w:tcPr>
          <w:p>
            <w:pPr>
              <w:pStyle w:val="TableContents"/>
              <w:spacing w:before="0" w:after="283"/>
              <w:jc w:val="both"/>
              <w:rPr/>
            </w:pPr>
            <w:r>
              <w:rPr>
                <w:rFonts w:ascii="Times New Roman;Times;Serif" w:hAnsi="Times New Roman;Times;Serif"/>
                <w:sz w:val="20"/>
                <w:u w:val="single"/>
              </w:rPr>
              <w:t>GENERAL PARTNER</w:t>
            </w:r>
            <w:r>
              <w:rPr>
                <w:sz w:val="20"/>
              </w:rPr>
              <w:t>:</w:t>
            </w:r>
          </w:p>
        </w:tc>
      </w:tr>
      <w:tr>
        <w:trPr/>
        <w:tc>
          <w:tcPr>
            <w:tcW w:w="75" w:type="dxa"/>
            <w:tcBorders/>
            <w:shd w:fill="auto" w:val="clear"/>
            <w:vAlign w:val="center"/>
          </w:tcPr>
          <w:p>
            <w:pPr>
              <w:pStyle w:val="TableContents"/>
              <w:spacing w:before="0" w:after="283"/>
              <w:rPr/>
            </w:pPr>
            <w:r>
              <w:rPr/>
              <w:t> </w:t>
            </w:r>
          </w:p>
        </w:tc>
        <w:tc>
          <w:tcPr>
            <w:tcW w:w="2820" w:type="dxa"/>
            <w:gridSpan w:val="3"/>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2820" w:type="dxa"/>
            <w:gridSpan w:val="3"/>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GASLOG PARTNERS GP LLC</w:t>
            </w:r>
          </w:p>
        </w:tc>
      </w:tr>
      <w:tr>
        <w:trPr/>
        <w:tc>
          <w:tcPr>
            <w:tcW w:w="75" w:type="dxa"/>
            <w:tcBorders/>
            <w:shd w:fill="auto" w:val="clear"/>
            <w:vAlign w:val="center"/>
          </w:tcPr>
          <w:p>
            <w:pPr>
              <w:pStyle w:val="TableContents"/>
              <w:spacing w:before="0" w:after="283"/>
              <w:rPr/>
            </w:pPr>
            <w:r>
              <w:rPr/>
              <w:t> </w:t>
            </w:r>
          </w:p>
        </w:tc>
        <w:tc>
          <w:tcPr>
            <w:tcW w:w="2820" w:type="dxa"/>
            <w:gridSpan w:val="3"/>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By:</w:t>
            </w:r>
          </w:p>
        </w:tc>
        <w:tc>
          <w:tcPr>
            <w:tcW w:w="2500" w:type="dxa"/>
            <w:gridSpan w:val="2"/>
            <w:tcBorders>
              <w:bottom w:val="single" w:sz="8" w:space="0" w:color="000000"/>
            </w:tcBorders>
            <w:shd w:fill="auto" w:val="clear"/>
            <w:tcMar>
              <w:bottom w:w="28" w:type="dxa"/>
            </w:tcM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/s/ Paolo Enoizi</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jc w:val="both"/>
              <w:rPr/>
            </w:pPr>
            <w:r>
              <w:rPr/>
              <w:t> </w:t>
            </w:r>
          </w:p>
        </w:tc>
        <w:tc>
          <w:tcPr>
            <w:tcW w:w="54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Name:</w:t>
            </w:r>
          </w:p>
        </w:tc>
        <w:tc>
          <w:tcPr>
            <w:tcW w:w="195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Paolo Enoizi</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jc w:val="both"/>
              <w:rPr/>
            </w:pPr>
            <w:r>
              <w:rPr/>
              <w:t> </w:t>
            </w:r>
          </w:p>
        </w:tc>
        <w:tc>
          <w:tcPr>
            <w:tcW w:w="54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Title:</w:t>
            </w:r>
          </w:p>
        </w:tc>
        <w:tc>
          <w:tcPr>
            <w:tcW w:w="195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Chief Executive Officer</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right"/>
        <w:rPr>
          <w:rFonts w:ascii="Times New Roman;Times;Serif" w:hAnsi="Times New Roman;Times;Serif"/>
          <w:b w:val="false"/>
          <w:i w:val="false"/>
          <w:caps w:val="false"/>
          <w:smallCaps w:val="false"/>
          <w:sz w:val="20"/>
        </w:rPr>
      </w:pPr>
      <w:bookmarkStart w:id="7" w:name="sss_002"/>
      <w:bookmarkEnd w:id="7"/>
      <w:r>
        <w:rPr>
          <w:rFonts w:ascii="Times New Roman;Times;Serif" w:hAnsi="Times New Roman;Times;Serif"/>
          <w:b w:val="false"/>
          <w:i w:val="false"/>
          <w:caps w:val="false"/>
          <w:smallCaps w:val="false"/>
          <w:sz w:val="20"/>
        </w:rPr>
        <w:t>ANNEX B</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EXECUTION VERSION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VOTING AND SUPPORT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VOTING AND SUPPORT AGREEMENT, dated as of April 6, 2023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by and between GasLog Ltd., a Bermuda exempted company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and GasLog Partners LP, a Marshall Islands limited partnership (the “</w:t>
      </w:r>
      <w:r>
        <w:rPr>
          <w:rFonts w:ascii="Times New Roman;Times;Serif" w:hAnsi="Times New Roman;Times;Serif"/>
          <w:b w:val="false"/>
          <w:i w:val="false"/>
          <w:caps w:val="false"/>
          <w:smallCaps w:val="false"/>
          <w:sz w:val="20"/>
          <w:u w:val="single"/>
        </w:rPr>
        <w:t>Partnership</w:t>
      </w:r>
      <w:r>
        <w:rPr>
          <w:rFonts w:ascii="Times New Roman;Times;Serif" w:hAnsi="Times New Roman;Times;Serif"/>
          <w:b w:val="false"/>
          <w:i w:val="false"/>
          <w:caps w:val="false"/>
          <w:smallCaps w:val="false"/>
          <w:sz w:val="20"/>
        </w:rPr>
        <w:t>”). Each of Parent and the Partnership are referred to herein individually as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and collectively as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I T N E S S E T H:</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concurrently with the execution and delivery of this Agreement, the Partnership, GasLog Partners GP LLC, a Marshall Islands limited liability company and the general partner of the Partnership (the “</w:t>
      </w:r>
      <w:r>
        <w:rPr>
          <w:rFonts w:ascii="Times New Roman;Times;Serif" w:hAnsi="Times New Roman;Times;Serif"/>
          <w:b w:val="false"/>
          <w:i w:val="false"/>
          <w:caps w:val="false"/>
          <w:smallCaps w:val="false"/>
          <w:sz w:val="20"/>
          <w:u w:val="single"/>
        </w:rPr>
        <w:t>General Partner</w:t>
      </w:r>
      <w:r>
        <w:rPr>
          <w:rFonts w:ascii="Times New Roman;Times;Serif" w:hAnsi="Times New Roman;Times;Serif"/>
          <w:b w:val="false"/>
          <w:i w:val="false"/>
          <w:caps w:val="false"/>
          <w:smallCaps w:val="false"/>
          <w:sz w:val="20"/>
        </w:rPr>
        <w:t>”), Parent and Saturn Merger Sub LLC, a Marshall Islands limited liability company and a wholly owned subsidiary of Parent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have entered into an Agreement and Plan of Merger, dated as of the date hereof (as may be amended, restated, supplemented or otherwise modified from time to time,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pursuant to which, upon the terms and subject to the conditions set forth therein, among other things, Merger Sub will merge with and into the Partnership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with the Partnership surviving the Merger as a Subsidiary of Parent;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 of the date hereof, Parent is the Beneficial Owner (as defined below) of 15,621,602 Common Units (the “</w:t>
      </w:r>
      <w:r>
        <w:rPr>
          <w:rFonts w:ascii="Times New Roman;Times;Serif" w:hAnsi="Times New Roman;Times;Serif"/>
          <w:b w:val="false"/>
          <w:i w:val="false"/>
          <w:caps w:val="false"/>
          <w:smallCaps w:val="false"/>
          <w:sz w:val="20"/>
          <w:u w:val="single"/>
        </w:rPr>
        <w:t>Subject Common Units</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concurrently with the execution and delivery of the Merger Agreement, and as a condition and an inducement to Partnership entering into the Merger Agreement, Parent is entering into this Agreement with respect to the Subject Common Units; and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Parent is willing, subject to the limitations herein, not to Transfer (as defined below) any of the Subject Common Units, and to vote the Subject Common Units in a manner to facilitate consummation of the Merger and the other transactions contemplated by the Merger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representations, warranties and agreements contained herein, and intending to be legally bound hereby, the Parties agree as follows:</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w:t>
      </w:r>
      <w:r>
        <w:rPr>
          <w:rFonts w:ascii="Times New Roman;Times;Serif" w:hAnsi="Times New Roman;Times;Serif"/>
          <w:b/>
          <w:i w:val="false"/>
          <w:caps w:val="false"/>
          <w:smallCaps w:val="false"/>
          <w:sz w:val="20"/>
        </w:rPr>
        <w:br/>
        <w:t>GENERAL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w:t>
      </w:r>
      <w:r>
        <w:rPr>
          <w:rFonts w:ascii="Times New Roman;Times;Serif" w:hAnsi="Times New Roman;Times;Serif"/>
          <w:b w:val="false"/>
          <w:i w:val="false"/>
          <w:caps w:val="false"/>
          <w:smallCaps w:val="false"/>
          <w:sz w:val="20"/>
          <w:u w:val="single"/>
        </w:rPr>
        <w:t xml:space="preserve">Definitions. </w:t>
      </w:r>
      <w:r>
        <w:rPr>
          <w:rFonts w:ascii="Times New Roman;Times;Serif" w:hAnsi="Times New Roman;Times;Serif"/>
          <w:b w:val="false"/>
          <w:i w:val="false"/>
          <w:caps w:val="false"/>
          <w:smallCaps w:val="false"/>
          <w:sz w:val="20"/>
        </w:rPr>
        <w:t>This Agreement is the “Support Agreement” as defined in the Merger Agreement. Capitalized terms used but not defined herein shall have the respective meanings set forth in the Merger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Beneficially Own</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Beneficial Ownership</w:t>
      </w:r>
      <w:r>
        <w:rPr>
          <w:rFonts w:ascii="Times New Roman;Times;Serif" w:hAnsi="Times New Roman;Times;Serif"/>
          <w:b w:val="false"/>
          <w:i w:val="false"/>
          <w:caps w:val="false"/>
          <w:smallCaps w:val="false"/>
          <w:sz w:val="20"/>
        </w:rPr>
        <w:t>” has the meaning assigned to such term in Rule 13d-3 under the Exchange Act, and a Person’s beneficial ownership of securities shall be calculated in accordance with the provisions of such Rule (in each case, irrespective of whether or not such Rule is actually applicable in such circumstance). For the avoidance of doubt, Beneficially Own and Beneficial Ownership shall also include record ownership of securities.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Beneficial Owners</w:t>
      </w:r>
      <w:r>
        <w:rPr>
          <w:rFonts w:ascii="Times New Roman;Times;Serif" w:hAnsi="Times New Roman;Times;Serif"/>
          <w:b w:val="false"/>
          <w:i w:val="false"/>
          <w:caps w:val="false"/>
          <w:smallCaps w:val="false"/>
          <w:sz w:val="20"/>
        </w:rPr>
        <w:t>” shall mean Persons who Beneficially Own the referenced securities.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means any direct or indirect offer, sale, assignment, pledge, disposition or other similar transfer (by operation of law or otherwise), either voluntary or involuntary, or entry into any Contract, option or other arrangement or understanding with respect to any offer, sale, assignment, pledge, disposition or other transfer (by operation of law or otherwise), of any Subject Common Units, including in each case through the Transfer of any Person or any interest in any Person.</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II</w:t>
      </w:r>
      <w:r>
        <w:rPr>
          <w:rFonts w:ascii="Times New Roman;Times;Serif" w:hAnsi="Times New Roman;Times;Serif"/>
          <w:b/>
          <w:i w:val="false"/>
          <w:caps w:val="false"/>
          <w:smallCaps w:val="false"/>
          <w:sz w:val="20"/>
        </w:rPr>
        <w:br/>
        <w:t>AGREEMENT TO RETAIN COMMON UNITS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     </w:t>
      </w:r>
      <w:r>
        <w:rPr>
          <w:rFonts w:ascii="Times New Roman;Times;Serif" w:hAnsi="Times New Roman;Times;Serif"/>
          <w:b w:val="false"/>
          <w:i w:val="false"/>
          <w:caps w:val="false"/>
          <w:smallCaps w:val="false"/>
          <w:sz w:val="20"/>
          <w:u w:val="single"/>
        </w:rPr>
        <w:t>Transfer and Encumbrance of Common Units</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the date of this Agreement until the earliest of (i) the Unitholder Approval being obtained, (ii) the termination of the Merger Agreement pursuant to and in accordance with the terms thereof or (iii) the termination of this Agreement by the mutual written consent of Parent and the Partnership (in the case of the Partnership, duly authorized by the Conflicts Committee) (such earliest date,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Parent shall not, with respect to any Subject Common Units, (A) Transfer any such Subject Common Units (except as otherwise provided herein) or (B) deposit any such Subject Common Units into a voting trust or enter into a voting agreement or arrangement with respect to such Subject Common Units or grant any proxy (except as otherwise provided herein) or power of attorney with respect thereto.</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to the contrary in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 Parent may Transfer any Subject Common Units to any Person that (i) is a party to an agreement with the Partnership with substantially similar terms as this Agreement or (ii) as a condition to such Transfer, agrees in a writing, reasonably satisfactory in form and substance to the Partnership, to be bound by this Agreement, and delivers a copy of such executed written agreement to the Partnership prior to the consummation of such Transfer.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Nothing in this Agreement shall restrict direct or indirect Transfers of equity or other interests in Parent (it being understood that Parent shall remain bound by this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     </w:t>
      </w:r>
      <w:r>
        <w:rPr>
          <w:rFonts w:ascii="Times New Roman;Times;Serif" w:hAnsi="Times New Roman;Times;Serif"/>
          <w:b w:val="false"/>
          <w:i w:val="false"/>
          <w:caps w:val="false"/>
          <w:smallCaps w:val="false"/>
          <w:sz w:val="20"/>
          <w:u w:val="single"/>
        </w:rPr>
        <w:t>Additional Common Units</w:t>
      </w:r>
      <w:r>
        <w:rPr>
          <w:rFonts w:ascii="Times New Roman;Times;Serif" w:hAnsi="Times New Roman;Times;Serif"/>
          <w:b w:val="false"/>
          <w:i w:val="false"/>
          <w:caps w:val="false"/>
          <w:smallCaps w:val="false"/>
          <w:sz w:val="20"/>
        </w:rPr>
        <w:t>. From the date of this Agreement until the Termination Date, except for Common Units issued to Parent upon conversion of Class B Units in accordance with the Partnership Agreement, Parent agrees that it will not purchase or otherwise acquire or become the Beneficial Owner of any additional Common Units other than the Subject Common Units of which it is the Beneficial Owner as of the date hereof. From the date of this Agreement until the Termination Date, if Parent becomes the Beneficial Owner of any Common Units as a result of the issuance of Common Units upon conversion of Class B Units in accordance with the Partnership Agreement, such Common Units shall, without further action of the Parties, be deemed “Subject Common Units” and be subject to all of the restrictions, liabilities and rights under this Agreement, which shall continue in full force and effect until the valid termination of this Agreement in accordance with its terms.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2.3     </w:t>
      </w:r>
      <w:r>
        <w:rPr>
          <w:rFonts w:ascii="Times New Roman;Times;Serif" w:hAnsi="Times New Roman;Times;Serif"/>
          <w:b w:val="false"/>
          <w:i w:val="false"/>
          <w:caps w:val="false"/>
          <w:smallCaps w:val="false"/>
          <w:sz w:val="20"/>
          <w:u w:val="single"/>
        </w:rPr>
        <w:t>Unpermitted Transfers; Involuntary Transfers</w:t>
      </w:r>
      <w:r>
        <w:rPr>
          <w:rFonts w:ascii="Times New Roman;Times;Serif" w:hAnsi="Times New Roman;Times;Serif"/>
          <w:b w:val="false"/>
          <w:i w:val="false"/>
          <w:caps w:val="false"/>
          <w:smallCaps w:val="false"/>
          <w:sz w:val="20"/>
        </w:rPr>
        <w:t xml:space="preserve">. Any Transfer or attempted Transfer of any Subject Common Units in violation of this </w:t>
      </w:r>
      <w:r>
        <w:rPr>
          <w:rFonts w:ascii="Times New Roman;Times;Serif" w:hAnsi="Times New Roman;Times;Serif"/>
          <w:b w:val="false"/>
          <w:i w:val="false"/>
          <w:caps w:val="false"/>
          <w:smallCaps w:val="false"/>
          <w:sz w:val="20"/>
          <w:u w:val="single"/>
        </w:rPr>
        <w:t xml:space="preserve">Article II </w:t>
      </w:r>
      <w:r>
        <w:rPr>
          <w:rFonts w:ascii="Times New Roman;Times;Serif" w:hAnsi="Times New Roman;Times;Serif"/>
          <w:b w:val="false"/>
          <w:i w:val="false"/>
          <w:caps w:val="false"/>
          <w:smallCaps w:val="false"/>
          <w:sz w:val="20"/>
        </w:rPr>
        <w:t xml:space="preserve">shall, to the fullest extent permitted by applicable Law, be null and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If any involuntary Transfer of any Subject Common Units shall occur, the transferee (which term, as used herein, shall include any and all transferees and subsequent transferees of the initial transferee) shall take and hold such Subject Common Units subject to all of the restrictions, liabilities and rights under this Agreement, which shall continue in full force and effect until the valid termination of this Agreement in accordance with its terms.</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III</w:t>
      </w:r>
      <w:r>
        <w:rPr>
          <w:rFonts w:ascii="Times New Roman;Times;Serif" w:hAnsi="Times New Roman;Times;Serif"/>
          <w:b/>
          <w:i w:val="false"/>
          <w:caps w:val="false"/>
          <w:smallCaps w:val="false"/>
          <w:sz w:val="20"/>
        </w:rPr>
        <w:br/>
        <w:t>AGREEMENT TO VOTE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     </w:t>
      </w:r>
      <w:r>
        <w:rPr>
          <w:rFonts w:ascii="Times New Roman;Times;Serif" w:hAnsi="Times New Roman;Times;Serif"/>
          <w:b w:val="false"/>
          <w:i w:val="false"/>
          <w:caps w:val="false"/>
          <w:smallCaps w:val="false"/>
          <w:sz w:val="20"/>
          <w:u w:val="single"/>
        </w:rPr>
        <w:t>Agreement to Vote</w:t>
      </w:r>
      <w:r>
        <w:rPr>
          <w:rFonts w:ascii="Times New Roman;Times;Serif" w:hAnsi="Times New Roman;Times;Serif"/>
          <w:b w:val="false"/>
          <w:i w:val="false"/>
          <w:caps w:val="false"/>
          <w:smallCaps w:val="false"/>
          <w:sz w:val="20"/>
        </w:rPr>
        <w:t>. Prior to the Termination Date, Parent irrevocably and unconditionally agrees that it shall, at any Unitholders Meeting (whether annual or special and whether or not an adjourned or postponed meeting), however called, appear at such meeting or otherwise cause the Subject Common Units to be counted as present at such meeting for purpose of establishing a quorum and vote, or cause to be voted at such meeting, all the Subject Common Units: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favor of the Merger Agreement and the transactions contemplated thereby; and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against (i) any agreement, transaction or proposal that relates to any other transaction, proposal, agreement or action made in opposition to adoption of the Merger Agreement or inconsistent with the Merger or matters contemplated by the Merger Agreement; (ii) any action or agreement that would result in a breach of any covenant, representation or warranty or any other obligation or agreement of Parent or any of its Subsidiaries contained in the Merger Agreement; (iii) any action or agreement that would result in any condition to the consummation of the Merger or the transactions contemplated by the Merger Agreement set forth in Article VI of the Merger Agreement not being fulfilled; and (iv) any other action that would, individually or in the aggregate, reasonably be expected to materially delay, interfere with, hinder or impair the consummation of the transactions contemplated by the Merger Agreement or this Agreement in accordance with the terms thereof or hereof.</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attempt by Parent to vote, (or otherwise to utilize the voting power of) the Subject Common Units in contravention of this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shall be null and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xml:space="preserve">. Notwithstanding anything to the contrary in this Agreement, Parent shall remain free to vote (or execute consents or proxies with respect to) the Subject Common Units with respect to any matter other than as set forth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above in any manner Parent deems appropriate.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     </w:t>
      </w:r>
      <w:r>
        <w:rPr>
          <w:rFonts w:ascii="Times New Roman;Times;Serif" w:hAnsi="Times New Roman;Times;Serif"/>
          <w:b w:val="false"/>
          <w:i w:val="false"/>
          <w:caps w:val="false"/>
          <w:smallCaps w:val="false"/>
          <w:sz w:val="20"/>
          <w:u w:val="single"/>
        </w:rPr>
        <w:t>Proxy</w:t>
      </w:r>
      <w:r>
        <w:rPr>
          <w:rFonts w:ascii="Times New Roman;Times;Serif" w:hAnsi="Times New Roman;Times;Serif"/>
          <w:b w:val="false"/>
          <w:i w:val="false"/>
          <w:caps w:val="false"/>
          <w:smallCaps w:val="false"/>
          <w:sz w:val="20"/>
        </w:rPr>
        <w:t xml:space="preserve">. Parent hereby irrevocably appoints as its proxy and attorney-in-fact, the chair of the Conflicts Committee and any Person designated in writing by the chair of the Conflicts Committee, each of such Persons individually, with full power of substitution and resubstitution, to vote the Subject Common Units as indicated in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Parent intends this proxy to be irrevocable and unconditional during the term of this Agreement and coupled with an interest and will take such further action or execute such other instruments as may be reasonably necessary to effect the intent of this proxy, and hereby revokes any proxy previously granted by Parent with respect to the Subject Common Units. The proxy granted by Parent (a) shall be automatically revoked upon the occurrence of the Termination Date and (b) may be terminated at any time by the Partnership (with the prior written approval of the Conflicts Committee) by written notice provided to Parent.</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IV</w:t>
      </w:r>
      <w:r>
        <w:rPr>
          <w:rFonts w:ascii="Times New Roman;Times;Serif" w:hAnsi="Times New Roman;Times;Serif"/>
          <w:b/>
          <w:i w:val="false"/>
          <w:caps w:val="false"/>
          <w:smallCaps w:val="false"/>
          <w:sz w:val="20"/>
        </w:rPr>
        <w:br/>
        <w:t>REPRESENTATIONS, WARRANTIES AND COVENANTS OF PARENT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Parent hereby represents and warrants as follows: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Ownership</w:t>
      </w:r>
      <w:r>
        <w:rPr>
          <w:rFonts w:ascii="Times New Roman;Times;Serif" w:hAnsi="Times New Roman;Times;Serif"/>
          <w:b w:val="false"/>
          <w:i w:val="false"/>
          <w:caps w:val="false"/>
          <w:smallCaps w:val="false"/>
          <w:sz w:val="20"/>
        </w:rPr>
        <w:t xml:space="preserve">. Parent has, with respect to the Subject Common Units, and at all times during the term of this Agreement will continue to have, Beneficial Ownership of, good and valid title to and full and exclusive power to vote, issue instructions with respect to the matters set forth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agree to all of the matters set forth in this Agreement and to Transfer the Subject Common Units. The Subject Common Units constitute all of the Common Units owned of record or beneficially by Parent as of the date of this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Authority</w:t>
      </w:r>
      <w:r>
        <w:rPr>
          <w:rFonts w:ascii="Times New Roman;Times;Serif" w:hAnsi="Times New Roman;Times;Serif"/>
          <w:b w:val="false"/>
          <w:i w:val="false"/>
          <w:caps w:val="false"/>
          <w:smallCaps w:val="false"/>
          <w:sz w:val="20"/>
        </w:rPr>
        <w:t>. Parent has full corporate power and authority and is duly authorized to make, enter into and carry out the terms of this Agreement and to perform its obligations hereunder. This Agreement has been duly and validly executed and delivered by Parent and (assuming due authorization, execution and delivery by the Partnership) constitutes a valid and binding agreement of Parent, enforceable against Parent in accordance with its terms (except in all cases as such enforceability may be limited by and subject to the Bankruptcy and Equity Exception), and no other action is necessary to authorize the execution and delivery by Parent or the performance of Parent’s obligations hereunder.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 Violation</w:t>
      </w:r>
      <w:r>
        <w:rPr>
          <w:rFonts w:ascii="Times New Roman;Times;Serif" w:hAnsi="Times New Roman;Times;Serif"/>
          <w:b w:val="false"/>
          <w:i w:val="false"/>
          <w:caps w:val="false"/>
          <w:smallCaps w:val="false"/>
          <w:sz w:val="20"/>
        </w:rPr>
        <w:t>. The execution, delivery and performance by Parent of this Agreement will not (i) violate any provision of any Law applicable to Parent, (ii) violate any Judgment applicable to Parent or (iii) conflict with, or result in a breach or default under, any agreement or instrument to which Parent is a party or any term or condition of Parent’s Charter Documents, except where such conflict, breach or default would not, individually or in the aggregate, reasonably be expected to prevent the performance by Parent of its obligations under this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Consents and Approvals</w:t>
      </w:r>
      <w:r>
        <w:rPr>
          <w:rFonts w:ascii="Times New Roman;Times;Serif" w:hAnsi="Times New Roman;Times;Serif"/>
          <w:b w:val="false"/>
          <w:i w:val="false"/>
          <w:caps w:val="false"/>
          <w:smallCaps w:val="false"/>
          <w:sz w:val="20"/>
        </w:rPr>
        <w:t>. The execution and delivery by Parent of this Agreement and the performance of Parent’s obligations hereunder do not require Parent to obtain any Consent of, or to make any filing with or notification to, any Governmental Authority, except for any such Consent, filing or notification as may be required under the Exchange Act.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Absence of Litigation</w:t>
      </w:r>
      <w:r>
        <w:rPr>
          <w:rFonts w:ascii="Times New Roman;Times;Serif" w:hAnsi="Times New Roman;Times;Serif"/>
          <w:b w:val="false"/>
          <w:i w:val="false"/>
          <w:caps w:val="false"/>
          <w:smallCaps w:val="false"/>
          <w:sz w:val="20"/>
        </w:rPr>
        <w:t>. To the Knowledge of Parent, as of the date of this Agreement, there is no Proceeding pending against, or threatened in writing against Parent that would, individually or in the aggregate, reasonably be expected to prevent (or, if successful, would prevent) the performance by Parent of its obligations under this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4</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     </w:t>
      </w:r>
      <w:r>
        <w:rPr>
          <w:rFonts w:ascii="Times New Roman;Times;Serif" w:hAnsi="Times New Roman;Times;Serif"/>
          <w:b w:val="false"/>
          <w:i w:val="false"/>
          <w:caps w:val="false"/>
          <w:smallCaps w:val="false"/>
          <w:sz w:val="20"/>
          <w:u w:val="single"/>
        </w:rPr>
        <w:t>Waiver of Litigation</w:t>
      </w:r>
      <w:r>
        <w:rPr>
          <w:rFonts w:ascii="Times New Roman;Times;Serif" w:hAnsi="Times New Roman;Times;Serif"/>
          <w:b w:val="false"/>
          <w:i w:val="false"/>
          <w:caps w:val="false"/>
          <w:smallCaps w:val="false"/>
          <w:sz w:val="20"/>
        </w:rPr>
        <w:t>. Parent agrees not to commence or join in, and agrees to take all actions necessary to opt out of any class in any class action with respect to, any claim, derivative or otherwise, against the Partnership or any of its affiliates and each of their successors or directors relating to the negotiation, execution or delivery of this Agreement or the Merger Agreement or the consummation of the transactions contemplated hereby or thereby, including any claim (a) challenging the validity of, or seeking to enjoin the operation of, any provision of this Agreement or the Merger Agreement (including any claim seeking to enjoin or delay the Closing) or (b) alleging a breach of any fiduciary duty of the Partnership Board (or the Conflicts Committee) in connection with the negotiation and entry into this Agreement, the Merger Agreement or the transactions contemplated hereby or thereby, and hereby irrevocably waives any claim or rights whatsoever with respect to any of the foregoing.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4.3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Parent agrees that from and after the date of this Agreement and until the Termination Date, it shall take no action that would reasonably be likely to adversely affect or delay the ability to perform its covenants and agreements under this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V</w:t>
      </w:r>
      <w:r>
        <w:rPr>
          <w:rFonts w:ascii="Times New Roman;Times;Serif" w:hAnsi="Times New Roman;Times;Serif"/>
          <w:b/>
          <w:i w:val="false"/>
          <w:caps w:val="false"/>
          <w:smallCaps w:val="false"/>
          <w:sz w:val="20"/>
        </w:rPr>
        <w:br/>
        <w:t>MISCELLANEOUS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xml:space="preserve">. This Agreement shall terminate on the Termination Date. Neither the provisions of this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nor the termination of this Agreement shall relieve (x) any Party from any liability of such Party to the other Party incurred prior to such termination or (y) any Party from any liability to the other Party arising out of or in connection with a breach of this Agreement. Nothing in the Merger Agreement shall relieve Parent from any liability arising out of or in connection with a breach of this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requests and other communications to any Party hereunder shall be in writing and shall be deemed given if delivered personally, emailed (to the extent that no “bounce back” or similar message indicating non-delivery is received with respect thereto) or sent by overnight courier (providing proof of delivery) to the Parties at the following addresses: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Parent to:</w:t>
      </w:r>
    </w:p>
    <w:p>
      <w:pPr>
        <w:pStyle w:val="TextBody"/>
        <w:spacing w:before="0" w:after="0"/>
        <w:ind w:left="1080" w:right="0" w:hanging="0"/>
        <w:jc w:val="both"/>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GasLog Ltd.</w:t>
        <w:br/>
        <w:t>c/o GasLog LNG Services Ltd.</w:t>
        <w:br/>
        <w:t>69 Akti Miaouli</w:t>
        <w:br/>
        <w:t>18537 Piraeus</w:t>
        <w:br/>
        <w:t>Greece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Alexandros Laios, General Counsel</w:t>
        <w:br/>
        <w:t>Email:         alaios@gaslogltd.com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5</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Cravath, Swaine &amp; Moore LLP</w:t>
        <w:br/>
        <w:t>Worldwide Plaza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825 Eighth Avenue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p>
      <w:pPr>
        <w:pStyle w:val="TextBody"/>
        <w:spacing w:before="0" w:after="0"/>
        <w:ind w:left="1080" w:right="0" w:hanging="0"/>
        <w:jc w:val="both"/>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D. Scott Bennett </w:t>
      </w:r>
    </w:p>
    <w:p>
      <w:pPr>
        <w:pStyle w:val="TextBody"/>
        <w:spacing w:before="0" w:after="0"/>
        <w:ind w:left="1080"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C. Elken </w:t>
      </w:r>
    </w:p>
    <w:p>
      <w:pPr>
        <w:pStyle w:val="TextBody"/>
        <w:spacing w:before="0" w:after="0"/>
        <w:ind w:left="1080"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Jin-Kyu Baek</w:t>
        <w:br/>
        <w:t>Email:         sbennett@cravath.com</w:t>
      </w:r>
    </w:p>
    <w:p>
      <w:pPr>
        <w:pStyle w:val="TextBody"/>
        <w:spacing w:before="0" w:after="0"/>
        <w:ind w:left="1080"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aelken@cravath.com </w:t>
      </w:r>
    </w:p>
    <w:p>
      <w:pPr>
        <w:pStyle w:val="TextBody"/>
        <w:spacing w:before="0" w:after="0"/>
        <w:ind w:left="1080"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jbaek@cravath.com;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Partnership, to:</w:t>
      </w:r>
    </w:p>
    <w:p>
      <w:pPr>
        <w:pStyle w:val="TextBody"/>
        <w:spacing w:before="0" w:after="0"/>
        <w:ind w:left="1080" w:right="0" w:hanging="0"/>
        <w:jc w:val="both"/>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GasLog Partners LP</w:t>
        <w:br/>
        <w:t>c/o GasLog LNG Services Ltd.</w:t>
        <w:br/>
        <w:t>69 Akti Miaouli</w:t>
        <w:br/>
        <w:t>18537 Piraeus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Greece</w:t>
      </w:r>
    </w:p>
    <w:p>
      <w:pPr>
        <w:pStyle w:val="TextBody"/>
        <w:spacing w:before="0" w:after="0"/>
        <w:ind w:left="1080" w:right="0" w:hanging="0"/>
        <w:jc w:val="both"/>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Alexandros Laios, General Counsel</w:t>
        <w:br/>
        <w:t>Email:         alaios@gaslogltd.com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spacing w:before="0" w:after="0"/>
        <w:ind w:left="1080" w:right="0" w:hanging="0"/>
        <w:jc w:val="both"/>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Richards, Layton &amp; Finger, P.A.</w:t>
        <w:br/>
        <w:t>One Rodney Square, 920 North King Street</w:t>
        <w:br/>
        <w:t>Wilmington, Delaware 19801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Srinivas M. Raju </w:t>
      </w:r>
    </w:p>
    <w:p>
      <w:pPr>
        <w:pStyle w:val="TextBody"/>
        <w:spacing w:before="0" w:after="0"/>
        <w:ind w:left="1080"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Kenneth Jackman</w:t>
        <w:br/>
        <w:t>Email:          raju@rlf.com </w:t>
      </w:r>
    </w:p>
    <w:p>
      <w:pPr>
        <w:pStyle w:val="TextBody"/>
        <w:spacing w:before="0" w:after="0"/>
        <w:ind w:left="1080"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jackman@rlf.com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such other address or email address as such Party may hereafter specify by like notice to the other Parties. All such notices, requests and other communications shall be deemed received on the date of receipt by the recipient thereof if received prior to 5:00 p.m. local time in the place of receipt and such day is a business day in the place of receipt. Otherwise, any such notice, request or communication shall be deemed not to have been received until the succeeding business day in the place of receipt.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6</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5.3</w:t>
        <w:tab/>
        <w:t>     </w:t>
      </w:r>
      <w:r>
        <w:rPr>
          <w:rFonts w:ascii="Times New Roman;Times;Serif" w:hAnsi="Times New Roman;Times;Serif"/>
          <w:b w:val="false"/>
          <w:i w:val="false"/>
          <w:caps w:val="false"/>
          <w:smallCaps w:val="false"/>
          <w:sz w:val="20"/>
          <w:u w:val="single"/>
        </w:rPr>
        <w:t>Amendment; Waiver</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This Agreement shall not be amended or modified except by written instrument duly executed by each of the Parties;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Partnership may not, without the prior written approval of the Conflicts Committee, agree to any amendment, modification or waiver of this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waiver of any term or provision of this Agreement shall be effective unless in writing, signed by the Party against whom enforcement of the same is sought. The grant of a waiver in one instance does not constitute a continuing waiver in any other instances. No failure by any Party to exercise, and no delay by any Party in exercising, any right, remedy, power or privilege hereunder shall operate as a waiver thereof.</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5.4</w:t>
        <w:tab/>
        <w:t>     </w:t>
      </w:r>
      <w:r>
        <w:rPr>
          <w:rFonts w:ascii="Times New Roman;Times;Serif" w:hAnsi="Times New Roman;Times;Serif"/>
          <w:b w:val="false"/>
          <w:i w:val="false"/>
          <w:caps w:val="false"/>
          <w:smallCaps w:val="false"/>
          <w:sz w:val="20"/>
          <w:u w:val="single"/>
        </w:rPr>
        <w:t>Assignment and Binding Effect</w:t>
      </w:r>
      <w:r>
        <w:rPr>
          <w:rFonts w:ascii="Times New Roman;Times;Serif" w:hAnsi="Times New Roman;Times;Serif"/>
          <w:b w:val="false"/>
          <w:i w:val="false"/>
          <w:caps w:val="false"/>
          <w:smallCaps w:val="false"/>
          <w:sz w:val="20"/>
        </w:rPr>
        <w:t xml:space="preserve">. Except in connection with a permitted Transfer pursuant to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no Party may assign, delegate or otherwise transfer this Agreement or any of its rights or obligations hereunder, by operation of law or otherwise, without the prior written consent of the other Party, and any such attempted assignment, delegation or transfer shall be void. Subject to the preceding sentence, this Agreement will be binding upon, inure to the benefit of and be enforceable by the Parties and their respective successors, permitted transferees and permitted assigns. Except as expressly set forth in the prior sentence, (a) none of the provisions of this Agreement shall be for the benefit of or enforceable by any third party, including any creditor of any Party or any of their Affiliates, and (b) no such third party shall obtain any right under any provision of this Agreement or shall by reasons of any such provision make any claim in respect of any liability (or otherwise) against any other Party.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5.5</w:t>
        <w:tab/>
        <w:t>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constitutes the entire agreement between the Parties with respect to the subject matter hereof and thereof and supersedes all previous agreements, negotiations, discussions, understandings, writings, commitments and conversations between the Parties with respect to such subject matter. No agreements or understandings exist among the Parties other than those set forth or referred to herein or therein.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5.6</w:t>
        <w:tab/>
        <w:t>     </w:t>
      </w:r>
      <w:r>
        <w:rPr>
          <w:rFonts w:ascii="Times New Roman;Times;Serif" w:hAnsi="Times New Roman;Times;Serif"/>
          <w:b w:val="false"/>
          <w:i w:val="false"/>
          <w:caps w:val="false"/>
          <w:smallCaps w:val="false"/>
          <w:sz w:val="20"/>
          <w:u w:val="single"/>
        </w:rPr>
        <w:t>No Partnership, Agency or Joint Venture</w:t>
      </w:r>
      <w:r>
        <w:rPr>
          <w:rFonts w:ascii="Times New Roman;Times;Serif" w:hAnsi="Times New Roman;Times;Serif"/>
          <w:b w:val="false"/>
          <w:i w:val="false"/>
          <w:caps w:val="false"/>
          <w:smallCaps w:val="false"/>
          <w:sz w:val="20"/>
        </w:rPr>
        <w:t>. This Agreement is intended to create, and creates, a contractual relationship and is not intended to create, and does not create, any agency, partnership, joint venture, any like relationship between the Parties or a presumption that the Parties are in any way acting in concert or as a group with respect to the obligations or the transactions contemplated by this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5.7</w:t>
        <w:tab/>
        <w:t>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All fees and expenses incurred in connection with this Agreement and the transactions contemplated hereby shall be paid by the Party incurring or required to incur such fees or expenses, whether or not the transactions contemplated by the Merger Agreement and this Agreement are consummated.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5.8</w:t>
        <w:tab/>
        <w:t>     </w:t>
      </w:r>
      <w:r>
        <w:rPr>
          <w:rFonts w:ascii="Times New Roman;Times;Serif" w:hAnsi="Times New Roman;Times;Serif"/>
          <w:b w:val="false"/>
          <w:i w:val="false"/>
          <w:caps w:val="false"/>
          <w:smallCaps w:val="false"/>
          <w:sz w:val="20"/>
          <w:u w:val="single"/>
        </w:rPr>
        <w:t>No Ownership Interest</w:t>
      </w:r>
      <w:r>
        <w:rPr>
          <w:rFonts w:ascii="Times New Roman;Times;Serif" w:hAnsi="Times New Roman;Times;Serif"/>
          <w:b w:val="false"/>
          <w:i w:val="false"/>
          <w:caps w:val="false"/>
          <w:smallCaps w:val="false"/>
          <w:sz w:val="20"/>
        </w:rPr>
        <w:t>. Nothing contained in this Agreement shall be deemed to vest in the Partnership any direct or indirect ownership or incidence of ownership of or with respect to the Subject Common Units. All rights, ownership and economic benefits of and relating to the Subject Common Units shall remain vested in and belong to Parent, and the Partnership shall not have any authority to manage, direct, restrict, regulate, govern or administer any of the policies or operations of Parent or exercise any power or authority over Parent in the voting or disposition of any Subject Common Units, except as otherwise expressly provided herein.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7</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5.9</w:t>
        <w:tab/>
        <w:t>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Parent consents to and authorizes the publication and disclosure by the Partnership of the terms of this Agreement (including, for avoidance of doubt, the disclosure of this Agreement), in the Schedule 13E-3 (including the Proxy Statement contained therein) and any other announcement or disclosure required by the SEC in connection with the Merger Agreement and the transactions contemplated by thereby.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5.10</w:t>
        <w:tab/>
        <w:t>     </w:t>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sz w:val="20"/>
        </w:rPr>
        <w:t>. The Parties have participated jointly in negotiating and drafting this Agreement with the assistance of counsel. In the event an ambiguity or question of intent or interpretation arises, this Agreement shall be construed as jointly drafted by the Parties, and no presumption or burden of proof shall arise favoring or disfavoring any Party by virtue of the authorship of any provision of this Agreement or interim drafts of this Agreement. When a reference is made in this Agreement to Articles or Sections, such reference shall be to an Article or Section of this Agreement unless otherwise indicated. The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“hereto” and “hereunder” and words of similar import when used in this Agreement shall refer to this Agreement as a whole and not to any particular provision of this Agreement. The words “date hereof” when used in this Agreement shall refer to the date of this Agreement. The terms “or”, “any” and “either” are not exclusive. The word “extent” in the phrase “to the extent” shall mean the degree to which a subject or other thing extends, and such phrase shall not mean simply “if”. The word “will” shall be construed to have the same meaning and effect as the word “shall”.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References to a Person are also to its permitted assigns and successors.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5.11</w:t>
        <w:tab/>
        <w:t>     </w:t>
      </w:r>
      <w:r>
        <w:rPr>
          <w:rFonts w:ascii="Times New Roman;Times;Serif" w:hAnsi="Times New Roman;Times;Serif"/>
          <w:b w:val="false"/>
          <w:i w:val="false"/>
          <w:caps w:val="false"/>
          <w:smallCaps w:val="false"/>
          <w:sz w:val="20"/>
          <w:u w:val="single"/>
        </w:rPr>
        <w:t>Other Miscellaneous Provisions</w:t>
      </w:r>
      <w:r>
        <w:rPr>
          <w:rFonts w:ascii="Times New Roman;Times;Serif" w:hAnsi="Times New Roman;Times;Serif"/>
          <w:b w:val="false"/>
          <w:i w:val="false"/>
          <w:caps w:val="false"/>
          <w:smallCaps w:val="false"/>
          <w:sz w:val="20"/>
        </w:rPr>
        <w:t xml:space="preserve">. The provisions of </w:t>
      </w:r>
      <w:r>
        <w:rPr>
          <w:rFonts w:ascii="Times New Roman;Times;Serif" w:hAnsi="Times New Roman;Times;Serif"/>
          <w:b w:val="false"/>
          <w:i w:val="false"/>
          <w:caps w:val="false"/>
          <w:smallCaps w:val="false"/>
          <w:sz w:val="20"/>
          <w:u w:val="single"/>
        </w:rPr>
        <w:t>Sections 8.5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8.7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8.8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8.10</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8.13</w:t>
      </w:r>
      <w:r>
        <w:rPr>
          <w:rFonts w:ascii="Times New Roman;Times;Serif" w:hAnsi="Times New Roman;Times;Serif"/>
          <w:b w:val="false"/>
          <w:i w:val="false"/>
          <w:caps w:val="false"/>
          <w:smallCaps w:val="false"/>
          <w:sz w:val="20"/>
        </w:rPr>
        <w:t xml:space="preserve"> of the Merger Agreement shall be incorporated into this Agreement,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except for such changes as are required to comply with applicable Law.</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8</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intending to be legally bound hereby, have executed or caused this Agreement to be executed in counterparts, all as of the day and year first above written.</w:t>
      </w:r>
    </w:p>
    <w:p>
      <w:pPr>
        <w:pStyle w:val="TextBody"/>
        <w:spacing w:before="0" w:after="0"/>
        <w:ind w:left="0" w:right="0" w:hanging="0"/>
        <w:jc w:val="both"/>
        <w:rPr>
          <w:caps w:val="false"/>
          <w:smallCaps w:val="false"/>
        </w:rPr>
      </w:pPr>
      <w:r>
        <w:rPr>
          <w:caps w:val="false"/>
          <w:smallCaps w:val="false"/>
        </w:rPr>
        <w:t> </w:t>
      </w:r>
    </w:p>
    <w:tbl>
      <w:tblPr>
        <w:tblW w:w="2895" w:type="dxa"/>
        <w:jc w:val="left"/>
        <w:tblInd w:w="0" w:type="dxa"/>
        <w:tblCellMar>
          <w:top w:w="0" w:type="dxa"/>
          <w:left w:w="0" w:type="dxa"/>
          <w:bottom w:w="0" w:type="dxa"/>
          <w:right w:w="0" w:type="dxa"/>
        </w:tblCellMar>
      </w:tblPr>
      <w:tblGrid>
        <w:gridCol w:w="75"/>
        <w:gridCol w:w="320"/>
        <w:gridCol w:w="545"/>
        <w:gridCol w:w="1955"/>
      </w:tblGrid>
      <w:tr>
        <w:trPr/>
        <w:tc>
          <w:tcPr>
            <w:tcW w:w="75" w:type="dxa"/>
            <w:tcBorders/>
            <w:shd w:fill="auto" w:val="clear"/>
            <w:vAlign w:val="center"/>
          </w:tcPr>
          <w:p>
            <w:pPr>
              <w:pStyle w:val="TableContents"/>
              <w:spacing w:before="0" w:after="283"/>
              <w:rPr/>
            </w:pPr>
            <w:r>
              <w:rPr/>
              <w:t> </w:t>
            </w:r>
          </w:p>
        </w:tc>
        <w:tc>
          <w:tcPr>
            <w:tcW w:w="2820" w:type="dxa"/>
            <w:gridSpan w:val="3"/>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GASLOG LTD.</w:t>
            </w:r>
          </w:p>
        </w:tc>
      </w:tr>
      <w:tr>
        <w:trPr/>
        <w:tc>
          <w:tcPr>
            <w:tcW w:w="75" w:type="dxa"/>
            <w:tcBorders/>
            <w:shd w:fill="auto" w:val="clear"/>
            <w:vAlign w:val="center"/>
          </w:tcPr>
          <w:p>
            <w:pPr>
              <w:pStyle w:val="TableContents"/>
              <w:spacing w:before="0" w:after="283"/>
              <w:rPr/>
            </w:pPr>
            <w:r>
              <w:rPr/>
              <w:t> </w:t>
            </w:r>
          </w:p>
        </w:tc>
        <w:tc>
          <w:tcPr>
            <w:tcW w:w="2820" w:type="dxa"/>
            <w:gridSpan w:val="3"/>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00" w:type="dxa"/>
            <w:gridSpan w:val="2"/>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Paolo Enoizi</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caps w:val="false"/>
                <w:smallCaps w:val="false"/>
              </w:rPr>
            </w:pPr>
            <w:r>
              <w:rPr>
                <w:caps w:val="false"/>
                <w:smallCaps w:val="false"/>
              </w:rPr>
              <w:t> </w:t>
            </w:r>
          </w:p>
        </w:tc>
        <w:tc>
          <w:tcPr>
            <w:tcW w:w="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Paolo Enoizi</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caps w:val="false"/>
                <w:smallCaps w:val="false"/>
              </w:rPr>
            </w:pPr>
            <w:r>
              <w:rPr>
                <w:caps w:val="false"/>
                <w:smallCaps w:val="false"/>
              </w:rPr>
              <w:t> </w:t>
            </w:r>
          </w:p>
        </w:tc>
        <w:tc>
          <w:tcPr>
            <w:tcW w:w="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rPr/>
      </w:pPr>
      <w:r>
        <w:rPr/>
        <w:t> </w:t>
      </w:r>
    </w:p>
    <w:p>
      <w:pPr>
        <w:pStyle w:val="TextBody"/>
        <w:jc w:val="center"/>
        <w:rPr>
          <w:sz w:val="20"/>
        </w:rPr>
      </w:pPr>
      <w:r>
        <w:rPr>
          <w:sz w:val="20"/>
        </w:rPr>
        <w:t>[</w:t>
      </w:r>
      <w:r>
        <w:rPr>
          <w:i/>
          <w:sz w:val="20"/>
        </w:rPr>
        <w:t>Signature Page to Voting and Support Agreement</w:t>
      </w:r>
      <w:r>
        <w:rPr>
          <w:sz w:val="20"/>
        </w:rPr>
        <w:t>]</w:t>
      </w:r>
    </w:p>
    <w:p>
      <w:pPr>
        <w:pStyle w:val="TextBody"/>
        <w:rPr/>
      </w:pPr>
      <w:r>
        <w:rPr/>
        <w:t> </w:t>
      </w:r>
    </w:p>
    <w:p>
      <w:pPr>
        <w:pStyle w:val="TextBody"/>
        <w:spacing w:before="0" w:after="0"/>
        <w:ind w:left="0" w:right="0" w:hanging="0"/>
        <w:rPr/>
      </w:pPr>
      <w:r>
        <w:rPr/>
        <w:t> </w:t>
      </w:r>
    </w:p>
    <w:p>
      <w:pPr>
        <w:pStyle w:val="TextBody"/>
        <w:rPr/>
      </w:pPr>
      <w:r>
        <w:rPr/>
        <w:t> </w:t>
      </w:r>
    </w:p>
    <w:tbl>
      <w:tblPr>
        <w:tblW w:w="3795" w:type="dxa"/>
        <w:jc w:val="left"/>
        <w:tblInd w:w="0" w:type="dxa"/>
        <w:tblCellMar>
          <w:top w:w="0" w:type="dxa"/>
          <w:left w:w="0" w:type="dxa"/>
          <w:bottom w:w="0" w:type="dxa"/>
          <w:right w:w="0" w:type="dxa"/>
        </w:tblCellMar>
      </w:tblPr>
      <w:tblGrid>
        <w:gridCol w:w="75"/>
        <w:gridCol w:w="320"/>
        <w:gridCol w:w="545"/>
        <w:gridCol w:w="2855"/>
      </w:tblGrid>
      <w:tr>
        <w:trPr/>
        <w:tc>
          <w:tcPr>
            <w:tcW w:w="75" w:type="dxa"/>
            <w:tcBorders/>
            <w:shd w:fill="auto" w:val="clear"/>
            <w:vAlign w:val="center"/>
          </w:tcPr>
          <w:p>
            <w:pPr>
              <w:pStyle w:val="TableContents"/>
              <w:spacing w:before="0" w:after="283"/>
              <w:rPr/>
            </w:pPr>
            <w:r>
              <w:rPr/>
              <w:t> </w:t>
            </w:r>
          </w:p>
        </w:tc>
        <w:tc>
          <w:tcPr>
            <w:tcW w:w="3720" w:type="dxa"/>
            <w:gridSpan w:val="3"/>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GASLOG PARTNERS LP</w:t>
            </w:r>
          </w:p>
        </w:tc>
      </w:tr>
      <w:tr>
        <w:trPr/>
        <w:tc>
          <w:tcPr>
            <w:tcW w:w="75" w:type="dxa"/>
            <w:tcBorders/>
            <w:shd w:fill="auto" w:val="clear"/>
            <w:vAlign w:val="center"/>
          </w:tcPr>
          <w:p>
            <w:pPr>
              <w:pStyle w:val="TableContents"/>
              <w:spacing w:before="0" w:after="283"/>
              <w:rPr/>
            </w:pPr>
            <w:r>
              <w:rPr/>
              <w:t> </w:t>
            </w:r>
          </w:p>
        </w:tc>
        <w:tc>
          <w:tcPr>
            <w:tcW w:w="3720" w:type="dxa"/>
            <w:gridSpan w:val="3"/>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400" w:type="dxa"/>
            <w:gridSpan w:val="2"/>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Paolo Enoizi</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caps w:val="false"/>
                <w:smallCaps w:val="false"/>
              </w:rPr>
            </w:pPr>
            <w:r>
              <w:rPr>
                <w:caps w:val="false"/>
                <w:smallCaps w:val="false"/>
              </w:rPr>
              <w:t> </w:t>
            </w:r>
          </w:p>
        </w:tc>
        <w:tc>
          <w:tcPr>
            <w:tcW w:w="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85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Paolo Enoizi</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caps w:val="false"/>
                <w:smallCaps w:val="false"/>
              </w:rPr>
            </w:pPr>
            <w:r>
              <w:rPr>
                <w:caps w:val="false"/>
                <w:smallCaps w:val="false"/>
              </w:rPr>
              <w:t> </w:t>
            </w:r>
          </w:p>
        </w:tc>
        <w:tc>
          <w:tcPr>
            <w:tcW w:w="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85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&amp; Chief Executive Officer</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Voting and Support Agreement</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right"/>
        <w:rPr>
          <w:rFonts w:ascii="Times New Roman;Times;Serif" w:hAnsi="Times New Roman;Times;Serif"/>
          <w:b w:val="false"/>
          <w:i w:val="false"/>
          <w:caps w:val="false"/>
          <w:smallCaps w:val="false"/>
          <w:sz w:val="20"/>
        </w:rPr>
      </w:pPr>
      <w:bookmarkStart w:id="8" w:name="sss_003"/>
      <w:bookmarkEnd w:id="8"/>
      <w:r>
        <w:rPr>
          <w:rFonts w:ascii="Times New Roman;Times;Serif" w:hAnsi="Times New Roman;Times;Serif"/>
          <w:b w:val="false"/>
          <w:i w:val="false"/>
          <w:caps w:val="false"/>
          <w:smallCaps w:val="false"/>
          <w:sz w:val="20"/>
        </w:rPr>
        <w:t>ANNEX C</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6,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Conflicts Committee of the Board of Directors</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GasLog Partners LP</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 Akti Miaouli 18537</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Piraeus</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of the Conflicts Committee: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understand that GasLog Partners LP (the “</w:t>
      </w:r>
      <w:r>
        <w:rPr>
          <w:rFonts w:ascii="Times New Roman;Times;Serif" w:hAnsi="Times New Roman;Times;Serif"/>
          <w:b w:val="false"/>
          <w:i w:val="false"/>
          <w:caps w:val="false"/>
          <w:smallCaps w:val="false"/>
          <w:sz w:val="20"/>
          <w:u w:val="single"/>
        </w:rPr>
        <w:t>Partnership</w:t>
      </w:r>
      <w:r>
        <w:rPr>
          <w:rFonts w:ascii="Times New Roman;Times;Serif" w:hAnsi="Times New Roman;Times;Serif"/>
          <w:b w:val="false"/>
          <w:i w:val="false"/>
          <w:caps w:val="false"/>
          <w:smallCaps w:val="false"/>
          <w:sz w:val="20"/>
        </w:rPr>
        <w:t>”) proposes to enter into an Agreement and Plan of Merger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with GasLog Partners GP LLC, the general partner of the Partnership (the “</w:t>
      </w:r>
      <w:r>
        <w:rPr>
          <w:rFonts w:ascii="Times New Roman;Times;Serif" w:hAnsi="Times New Roman;Times;Serif"/>
          <w:b w:val="false"/>
          <w:i w:val="false"/>
          <w:caps w:val="false"/>
          <w:smallCaps w:val="false"/>
          <w:sz w:val="20"/>
          <w:u w:val="single"/>
        </w:rPr>
        <w:t>General Partner</w:t>
      </w:r>
      <w:r>
        <w:rPr>
          <w:rFonts w:ascii="Times New Roman;Times;Serif" w:hAnsi="Times New Roman;Times;Serif"/>
          <w:b w:val="false"/>
          <w:i w:val="false"/>
          <w:caps w:val="false"/>
          <w:smallCaps w:val="false"/>
          <w:sz w:val="20"/>
        </w:rPr>
        <w:t>”), GasLog Ltd.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and Saturn Merger Sub LLC, a wholly owned subsidiary of Parent (the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and, together with Parent and the General Partner, the “</w:t>
      </w:r>
      <w:r>
        <w:rPr>
          <w:rFonts w:ascii="Times New Roman;Times;Serif" w:hAnsi="Times New Roman;Times;Serif"/>
          <w:b w:val="false"/>
          <w:i w:val="false"/>
          <w:caps w:val="false"/>
          <w:smallCaps w:val="false"/>
          <w:sz w:val="20"/>
          <w:u w:val="single"/>
        </w:rPr>
        <w:t>Sponsor Entities</w:t>
      </w:r>
      <w:r>
        <w:rPr>
          <w:rFonts w:ascii="Times New Roman;Times;Serif" w:hAnsi="Times New Roman;Times;Serif"/>
          <w:b w:val="false"/>
          <w:i w:val="false"/>
          <w:caps w:val="false"/>
          <w:smallCaps w:val="false"/>
          <w:sz w:val="20"/>
        </w:rPr>
        <w:t>”), pursuant to which the Merger Sub will merge with and into the Partnership, with the Partnership being the surviving entity as a subsidiary of Parent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As a result of the Merger, each Common Unit (as defined in the Merger Agreement) of the Partnership, other than the Sponsor Units (as defined in the Merger Agreement) with respect to the Merger Consideration (as defined below), will receive overall value of $8.65 per Common Unit in cash (the "</w:t>
      </w:r>
      <w:r>
        <w:rPr>
          <w:rFonts w:ascii="Times New Roman;Times;Serif" w:hAnsi="Times New Roman;Times;Serif"/>
          <w:b w:val="false"/>
          <w:i w:val="false"/>
          <w:caps w:val="false"/>
          <w:smallCaps w:val="false"/>
          <w:sz w:val="20"/>
          <w:u w:val="single"/>
        </w:rPr>
        <w:t>Consideration</w:t>
      </w:r>
      <w:r>
        <w:rPr>
          <w:rFonts w:ascii="Times New Roman;Times;Serif" w:hAnsi="Times New Roman;Times;Serif"/>
          <w:b w:val="false"/>
          <w:i w:val="false"/>
          <w:caps w:val="false"/>
          <w:smallCaps w:val="false"/>
          <w:sz w:val="20"/>
        </w:rPr>
        <w:t>"), consisting of (i) a special distribution of $3.28 per Common Unit (with a corresponding amount distributed in respect of each General Partner Unit (as defined in the Merger Agreement)) to be paid by the Partnership in accordance with the terms of the Merger Agreement, and (ii) merger consideration of $5.37 per Common Unit to be paid by Parent at the Closing (the “</w:t>
      </w:r>
      <w:r>
        <w:rPr>
          <w:rFonts w:ascii="Times New Roman;Times;Serif" w:hAnsi="Times New Roman;Times;Serif"/>
          <w:b w:val="false"/>
          <w:i w:val="false"/>
          <w:caps w:val="false"/>
          <w:smallCaps w:val="false"/>
          <w:sz w:val="20"/>
          <w:u w:val="single"/>
        </w:rPr>
        <w:t>Merger Consideration</w:t>
      </w:r>
      <w:r>
        <w:rPr>
          <w:rFonts w:ascii="Times New Roman;Times;Serif" w:hAnsi="Times New Roman;Times;Serif"/>
          <w:b w:val="false"/>
          <w:i w:val="false"/>
          <w:caps w:val="false"/>
          <w:smallCaps w:val="false"/>
          <w:sz w:val="20"/>
        </w:rPr>
        <w:t>”). The terms and conditions of the Merger are more fully set forth in the Merger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Conflicts Committee of the Board of Directors of the Partnership (the “</w:t>
      </w:r>
      <w:r>
        <w:rPr>
          <w:rFonts w:ascii="Times New Roman;Times;Serif" w:hAnsi="Times New Roman;Times;Serif"/>
          <w:b w:val="false"/>
          <w:i w:val="false"/>
          <w:caps w:val="false"/>
          <w:smallCaps w:val="false"/>
          <w:sz w:val="20"/>
          <w:u w:val="single"/>
        </w:rPr>
        <w:t>Conflicts Committee</w:t>
      </w:r>
      <w:r>
        <w:rPr>
          <w:rFonts w:ascii="Times New Roman;Times;Serif" w:hAnsi="Times New Roman;Times;Serif"/>
          <w:b w:val="false"/>
          <w:i w:val="false"/>
          <w:caps w:val="false"/>
          <w:smallCaps w:val="false"/>
          <w:sz w:val="20"/>
        </w:rPr>
        <w:t>”) has asked us whether, in our opinion, the Consideration to be received by holders of the Common Units (other than Parent and its affiliates) (the “</w:t>
      </w:r>
      <w:r>
        <w:rPr>
          <w:rFonts w:ascii="Times New Roman;Times;Serif" w:hAnsi="Times New Roman;Times;Serif"/>
          <w:b w:val="false"/>
          <w:i w:val="false"/>
          <w:caps w:val="false"/>
          <w:smallCaps w:val="false"/>
          <w:sz w:val="20"/>
          <w:u w:val="single"/>
        </w:rPr>
        <w:t>Unaffiliated Unitholders</w:t>
      </w:r>
      <w:r>
        <w:rPr>
          <w:rFonts w:ascii="Times New Roman;Times;Serif" w:hAnsi="Times New Roman;Times;Serif"/>
          <w:b w:val="false"/>
          <w:i w:val="false"/>
          <w:caps w:val="false"/>
          <w:smallCaps w:val="false"/>
          <w:sz w:val="20"/>
        </w:rPr>
        <w:t>”) in the Merger is fair, from a financial point of view, to the Partnership and to such 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rendering our opinion, we have, among other things:</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4"/>
        <w:gridCol w:w="9994"/>
      </w:tblGrid>
      <w:tr>
        <w:trPr/>
        <w:tc>
          <w:tcPr>
            <w:tcW w:w="37"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pPr>
            <w:r>
              <w:rPr/>
              <w:t>(i)</w:t>
            </w:r>
          </w:p>
        </w:tc>
        <w:tc>
          <w:tcPr>
            <w:tcW w:w="9994"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reviewed certain publicly available business and financial information relating to the Partnership that we deemed to be relevant, including as set forth in the Annual Report on Form 20-F for the year ended December 31, 2022 and certain Current Reports on Form 6-K, in each case as filed with or furnished to the U.S. Securities and Exchange Commission by the Partnership;</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66"/>
        <w:gridCol w:w="9902"/>
      </w:tblGrid>
      <w:tr>
        <w:trPr/>
        <w:tc>
          <w:tcPr>
            <w:tcW w:w="37"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pPr>
            <w:r>
              <w:rPr/>
              <w:t>(ii)</w:t>
            </w:r>
          </w:p>
        </w:tc>
        <w:tc>
          <w:tcPr>
            <w:tcW w:w="9902"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reviewed publicly-available research analyst price targets and estimates for the Partnership’s future financial performance on a standalone basis;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09"/>
        <w:gridCol w:w="9859"/>
      </w:tblGrid>
      <w:tr>
        <w:trPr/>
        <w:tc>
          <w:tcPr>
            <w:tcW w:w="3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pPr>
            <w:r>
              <w:rPr/>
              <w:t>(iii)</w:t>
            </w:r>
          </w:p>
        </w:tc>
        <w:tc>
          <w:tcPr>
            <w:tcW w:w="9859"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reviewed certain internal projected financial data relating to the Partnership prepared and furnished to us by management of the Partnership, as approved for our use by the Conflicts Committee (the “</w:t>
            </w:r>
            <w:r>
              <w:rPr>
                <w:rFonts w:ascii="Times New Roman;Times;Serif" w:hAnsi="Times New Roman;Times;Serif"/>
                <w:u w:val="single"/>
              </w:rPr>
              <w:t>Forecasts</w:t>
            </w:r>
            <w:r>
              <w:rPr>
                <w:rFonts w:ascii="Times New Roman;Times;Serif" w:hAnsi="Times New Roman;Times;Serif"/>
              </w:rPr>
              <w: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09"/>
        <w:gridCol w:w="9859"/>
      </w:tblGrid>
      <w:tr>
        <w:trPr/>
        <w:tc>
          <w:tcPr>
            <w:tcW w:w="3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pPr>
            <w:r>
              <w:rPr/>
              <w:t>(iv)</w:t>
            </w:r>
          </w:p>
        </w:tc>
        <w:tc>
          <w:tcPr>
            <w:tcW w:w="9859"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reviewed certain third-party charter-free vessel appraisals of the vessels of the Partnership furnished to us by management of the Partnership, as approved for our use by the Conflicts Committee (the “</w:t>
            </w:r>
            <w:r>
              <w:rPr>
                <w:rFonts w:ascii="Times New Roman;Times;Serif" w:hAnsi="Times New Roman;Times;Serif"/>
                <w:u w:val="single"/>
              </w:rPr>
              <w:t>Appraisals</w:t>
            </w:r>
            <w:r>
              <w:rPr>
                <w:rFonts w:ascii="Times New Roman;Times;Serif" w:hAnsi="Times New Roman;Times;Serif"/>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47"/>
        <w:gridCol w:w="9921"/>
      </w:tblGrid>
      <w:tr>
        <w:trPr/>
        <w:tc>
          <w:tcPr>
            <w:tcW w:w="3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pPr>
            <w:r>
              <w:rPr/>
              <w:t>(v)</w:t>
            </w:r>
          </w:p>
        </w:tc>
        <w:tc>
          <w:tcPr>
            <w:tcW w:w="9921"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discussed with the Conflicts Committee and management of the Partnership their assessment of the past and current operations of the Partnership, the current financial condition and prospects of the Partnership, and the Forecasts;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8"/>
        <w:gridCol w:w="352"/>
        <w:gridCol w:w="9815"/>
      </w:tblGrid>
      <w:tr>
        <w:trPr/>
        <w:tc>
          <w:tcPr>
            <w:tcW w:w="38"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pPr>
            <w:r>
              <w:rPr/>
              <w:t>(vi)</w:t>
            </w:r>
          </w:p>
        </w:tc>
        <w:tc>
          <w:tcPr>
            <w:tcW w:w="9815"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reviewed the reported prices and the historical trading activity of the Common Units of the Partnership;</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86"/>
        <w:gridCol w:w="9782"/>
      </w:tblGrid>
      <w:tr>
        <w:trPr/>
        <w:tc>
          <w:tcPr>
            <w:tcW w:w="37"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pPr>
            <w:r>
              <w:rPr/>
              <w:t>(vii)</w:t>
            </w:r>
          </w:p>
        </w:tc>
        <w:tc>
          <w:tcPr>
            <w:tcW w:w="9782"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performed a discounted cash flow analysis for the Partnership based on the Forecasts and other data provided by management of the Partnership;</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433"/>
        <w:gridCol w:w="9735"/>
      </w:tblGrid>
      <w:tr>
        <w:trPr/>
        <w:tc>
          <w:tcPr>
            <w:tcW w:w="37"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pPr>
            <w:r>
              <w:rPr/>
              <w:t>(viii)</w:t>
            </w:r>
          </w:p>
        </w:tc>
        <w:tc>
          <w:tcPr>
            <w:tcW w:w="9735"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performed a price to net asset value analysis for the Partnership based on the Forecasts, the Appraisals (and adjustments thereto) and other data provided by management of the Partnership;</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10"/>
        <w:gridCol w:w="9858"/>
      </w:tblGrid>
      <w:tr>
        <w:trPr/>
        <w:tc>
          <w:tcPr>
            <w:tcW w:w="37"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pPr>
            <w:r>
              <w:rPr/>
              <w:t>(ix)</w:t>
            </w:r>
          </w:p>
        </w:tc>
        <w:tc>
          <w:tcPr>
            <w:tcW w:w="9858"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compared the financial performance of the Partnership and its stock market trading multiples with those of certain other publicly-traded master limited partnerships and companies that we deemed relevant;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49"/>
        <w:gridCol w:w="9919"/>
      </w:tblGrid>
      <w:tr>
        <w:trPr/>
        <w:tc>
          <w:tcPr>
            <w:tcW w:w="37"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pPr>
            <w:r>
              <w:rPr/>
              <w:t>(x)</w:t>
            </w:r>
          </w:p>
        </w:tc>
        <w:tc>
          <w:tcPr>
            <w:tcW w:w="9919"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compared the financial performance of the Partnership and the valuation multiples relating to the Merger with the financial terms, to the extent publicly available, of certain other transactions that we deemed relevant;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8"/>
        <w:gridCol w:w="358"/>
        <w:gridCol w:w="9809"/>
      </w:tblGrid>
      <w:tr>
        <w:trPr/>
        <w:tc>
          <w:tcPr>
            <w:tcW w:w="3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pPr>
            <w:r>
              <w:rPr/>
              <w:t>(xi)</w:t>
            </w:r>
          </w:p>
        </w:tc>
        <w:tc>
          <w:tcPr>
            <w:tcW w:w="9809"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reviewed the financial terms and conditions of a draft, dated April 6, 2023, of the Merger Agreement;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95"/>
        <w:gridCol w:w="9773"/>
      </w:tblGrid>
      <w:tr>
        <w:trPr/>
        <w:tc>
          <w:tcPr>
            <w:tcW w:w="37"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pPr>
            <w:r>
              <w:rPr/>
              <w:t>(xii)</w:t>
            </w:r>
          </w:p>
        </w:tc>
        <w:tc>
          <w:tcPr>
            <w:tcW w:w="9773"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reviewed a draft, dated April 5, 2023, of the Voting and Support Agreement by and between Parent and the Partnership; and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463"/>
        <w:gridCol w:w="9705"/>
      </w:tblGrid>
      <w:tr>
        <w:trPr/>
        <w:tc>
          <w:tcPr>
            <w:tcW w:w="37"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pPr>
            <w:r>
              <w:rPr/>
              <w:t>(xiii)</w:t>
            </w:r>
          </w:p>
        </w:tc>
        <w:tc>
          <w:tcPr>
            <w:tcW w:w="9705"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performed such other analyses and examinations and considered such other factors that we deemed appropriate.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our analysis and opinion, we have assumed and relied upon the accuracy and completeness of the financial and other information publicly available, and all of the information supplied or otherwise made available to, discussed with, or reviewed by us, without any independent verification of such information (and have not assumed responsibility or liability for any independent verification of such information), and have further relied upon the assurances of the management of the Partnership that they are not aware of any facts or circumstances that would make such information inaccurate or misleading. With respect to the Forecasts, we have assumed with your consent that they have been reasonably prepared on bases reflecting the best currently available estimates and good faith judgments of management of the Partnership as to the future financial performance of the Partnership and the other matters covered thereby. We express no view as to the Forecasts or the Appraisals, or the assumptions on which they are based, as applicable. We have relied, at your direction, without independent verification, upon the assessments of the management of the Partnership as to the future operational performance of the Partnership, including but not limited to, charter revenues, commissions, operating expenses, administrative expenses, other fees and expenses, and capital expenditures.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our analysis and opinion, we have assumed, in all respects material to our analysis, that the final executed Merger Agreement will not differ from the draft Merger Agreement reviewed by us, that the representations and warranties of each party contained in the Merger Agreement are true and correct, that each party will perform all of the covenants and agreements required to be performed by it under the Merger Agreement and that all conditions to the consummation of the Merger will be satisfied without waiver or modification thereof. We have further assumed, in all respects material to our analysis, that all governmental, regulatory or other consents, approvals or releases necessary for the consummation of the Merger will be obtained without any delay, limitation, restriction or condition that would have an adverse effect on the Partnership or the consummation of the Merger or reduce the contemplated benefits to the Unaffiliated Unitholders of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conducted a physical inspection of the properties, facilities or vessels of the Partnership and have not made or assumed any responsibility for making any independent valuation or appraisal of the assets or liabilities (including any contingent, derivative or other off-balance sheet assets and liabilities) of the Partnership, nor have we been furnished with any such valuations or appraisals (other than the Appraisals), nor have we evaluated the solvency or fair value of the Partnership or any of its vessels under any state or federal laws relating to bankruptcy, insolvency or similar matters. Our opinion is necessarily based upon information made available to us as of the date hereof and financial, economic, market and other conditions as they exist and as can be evaluated on the date hereof. It is understood that subsequent developments may affect this opinion and that we do not have any obligation to update, revise or reaffirm this opinion.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been asked to pass upon, and express no opinion with respect to, any matter other than the fairness to the Partnership and to the Unaffiliated Unitholders, from a financial point of view, of the Consideration. We do not express any view on, and our opinion does not address, the fairness of the Merger to, or any consideration received in connection therewith by, the holders of any other class of securities, creditors or other constituencies of the Partnership, nor as to the fairness of the amount or nature of any compensation to be paid or payable to any of the officers, directors or employees of the Partnership, or any class of such persons, whether relative to the Consideration or otherwise. We have not been asked to, nor do we express any view on, and our opinion does not address, any other term or aspect of the Merger Agreement or the Merger, including, without limitation, the structure or form of the Merger, the cancellation of any other class of equity, or any term or aspect of any other agreement or instrument contemplated by the Merger Agreement or entered into or amended in connection with the Merger Agreement. Our opinion does not address the relative merits of the Merger as compared to other business or financial strategies that might be available to the Partnership, nor does it address the underlying business decision of the Partnership to engage in the Merger. In arriving at our opinion, we were not authorized to solicit, and did not solicit, interest from any third party with respect to the acquisition of any or all of the Common Units or any business combination or other extraordinary transaction involving the Partnership. Our opinion does not constitute a recommendation to the Conflicts Committee, the Board of Directors of the Partnership or to any other persons in respect of the Merger, including as to how any holder of Common Units should vote or act in respect of the Merger. We are not expressing any opinion as to the prices at which Common Units will trade at any time, as to the potential effects of volatility in the credit, financial and stock markets on the Partnership or the Merger or as to the impact of the Merger on the solvency or viability of the Partnership or the ability of the Partnership to pay its obligations when they come due. We are not legal, regulatory, accounting or tax experts and have assumed the accuracy and completeness of assessments by the Partnership and its advisors with respect to legal, regulatory, accounting and tax matters.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financial advisor to the Conflicts Committee in connection with the Merger and have received an initial fee for our services and will receive an additional fee, a portion of which is payable upon rendering this opinion and a portion of which is contingent upon the consummation of the Merger. The Partnership has also agreed to reimburse our expenses and to indemnify us against certain liabilities arising out of our engagement. During the two-year period prior to the date hereof, Evercore Group L.L.C. and its affiliates have not been engaged to provide financial advisory or other services to the Partnership and we have not received any compensation from the Partnership during such period. Since January 31, 2020, Evercore Group L.L.C. and its affiliates have earned investment banking advisory fees of between $1 million and $5 million, and capital markets fees and commissions of less than $1 million, from Parent. During that same time period, we have earned investment banking advisory fees of between $5 million and $10 million from Blackrock, none of which fees are related to transactions with or involving the Partnership. We may provide financial advisory or other services to the Partnership and the Sponsor Entities and their respective affiliates in the future, and in connection with any such services we may receive compensation.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Evercore Group L.L.C. and its affiliates engage in a wide range of activities for our and their own accounts and the accounts of customers, including corporate finance, mergers and acquisitions, equity sales, trading and research, private equity, placement agent, asset management and related activities. In connection with these businesses or otherwise, Evercore Group L.L.C. and its affiliates and/or our or their respective employees, as well as investment funds in which any of them may have a financial interest, may at any time, directly or indirectly, hold long or short positions and may trade or otherwise effect transactions for their own accounts or the accounts of customers, in debt or equity securities, senior loans and/or derivative products or other financial instruments of or relating to the Partnership, the Sponsor Entities, potential parties to the Merger and/or any of their respective affiliates or persons that are competitors, customers or suppliers of the Partnership or the Sponsor Entities.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advisory services and this opinion are provided for the information and benefit of the Conflicts Committee (in its capacity as such) in connection with its evaluation of the Merger. The issuance of this opinion has been approved by an Opinion Committee of Evercore Group L.L.C.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may not be disclosed, quoted, referred to or communicated (in whole or in part) to any third party for any purpose whatsoever except with our prior written approval, except (i) as provided by our engagement letter with the Conflicts Committee, dated February 23, 2023, or (ii) with our prior written approval, except the Partnership may reproduce this opinion in full in any document that is required to be filed with the U.S. Securities and Exchange Commission and required to be mailed by the Partnership to its unitholders relating to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it is our opinion that, as of the date hereof, the Consideration to be received by the Unaffiliated Unitholders in the Merger is fair, from a financial point of view, to the Partnership and to such holders.</w:t>
      </w:r>
    </w:p>
    <w:p>
      <w:pPr>
        <w:pStyle w:val="TextBody"/>
        <w:spacing w:before="0" w:after="0"/>
        <w:ind w:left="0" w:right="0" w:hanging="0"/>
        <w:rPr>
          <w:caps w:val="false"/>
          <w:smallCaps w:val="false"/>
        </w:rPr>
      </w:pPr>
      <w:r>
        <w:rPr>
          <w:caps w:val="false"/>
          <w:smallCaps w:val="false"/>
        </w:rPr>
        <w:t> </w:t>
      </w:r>
    </w:p>
    <w:tbl>
      <w:tblPr>
        <w:tblW w:w="2545" w:type="dxa"/>
        <w:jc w:val="left"/>
        <w:tblInd w:w="0" w:type="dxa"/>
        <w:tblCellMar>
          <w:top w:w="0" w:type="dxa"/>
          <w:left w:w="0" w:type="dxa"/>
          <w:bottom w:w="0" w:type="dxa"/>
          <w:right w:w="0" w:type="dxa"/>
        </w:tblCellMar>
      </w:tblPr>
      <w:tblGrid>
        <w:gridCol w:w="75"/>
        <w:gridCol w:w="365"/>
        <w:gridCol w:w="2105"/>
      </w:tblGrid>
      <w:tr>
        <w:trPr/>
        <w:tc>
          <w:tcPr>
            <w:tcW w:w="75" w:type="dxa"/>
            <w:tcBorders/>
            <w:shd w:fill="auto" w:val="clear"/>
            <w:vAlign w:val="center"/>
          </w:tcPr>
          <w:p>
            <w:pPr>
              <w:pStyle w:val="TableContents"/>
              <w:spacing w:before="0" w:after="283"/>
              <w:rPr/>
            </w:pPr>
            <w:r>
              <w:rPr/>
              <w:t> </w:t>
            </w:r>
          </w:p>
        </w:tc>
        <w:tc>
          <w:tcPr>
            <w:tcW w:w="2470"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shd w:fill="auto" w:val="clear"/>
            <w:vAlign w:val="center"/>
          </w:tcPr>
          <w:p>
            <w:pPr>
              <w:pStyle w:val="TableContents"/>
              <w:spacing w:before="0" w:after="283"/>
              <w:rPr/>
            </w:pPr>
            <w:r>
              <w:rPr/>
              <w:t> </w:t>
            </w:r>
          </w:p>
        </w:tc>
        <w:tc>
          <w:tcPr>
            <w:tcW w:w="2470" w:type="dxa"/>
            <w:gridSpan w:val="2"/>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2470"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EVERCORE GROUP L.L.C.</w:t>
            </w:r>
          </w:p>
        </w:tc>
      </w:tr>
      <w:tr>
        <w:trPr/>
        <w:tc>
          <w:tcPr>
            <w:tcW w:w="75" w:type="dxa"/>
            <w:tcBorders/>
            <w:shd w:fill="auto" w:val="clear"/>
            <w:vAlign w:val="center"/>
          </w:tcPr>
          <w:p>
            <w:pPr>
              <w:pStyle w:val="TableContents"/>
              <w:spacing w:before="0" w:after="283"/>
              <w:rPr/>
            </w:pPr>
            <w:r>
              <w:rPr/>
              <w:t> </w:t>
            </w:r>
          </w:p>
        </w:tc>
        <w:tc>
          <w:tcPr>
            <w:tcW w:w="2470" w:type="dxa"/>
            <w:gridSpan w:val="2"/>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2470" w:type="dxa"/>
            <w:gridSpan w:val="2"/>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105"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Raymond B. Strong III</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caps w:val="false"/>
                <w:smallCaps w:val="false"/>
              </w:rPr>
            </w:pPr>
            <w:r>
              <w:rPr>
                <w:caps w:val="false"/>
                <w:smallCaps w:val="false"/>
              </w:rPr>
              <w:t> </w:t>
            </w:r>
          </w:p>
        </w:tc>
        <w:tc>
          <w:tcPr>
            <w:tcW w:w="210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Raymond B. Strong III</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Normal"/>
        <w:spacing w:before="0" w:after="0"/>
        <w:rPr>
          <w:sz w:val="4"/>
          <w:szCs w:val="4"/>
        </w:rPr>
      </w:pPr>
      <w:r>
        <w:rPr>
          <w:sz w:val="4"/>
          <w:szCs w:val="4"/>
        </w:rPr>
      </w:r>
      <w:bookmarkStart w:id="9" w:name="ad_001"/>
      <w:bookmarkStart w:id="10" w:name="ad_001"/>
      <w:bookmarkEnd w:id="10"/>
    </w:p>
    <w:tbl>
      <w:tblPr>
        <w:tblW w:w="13085" w:type="dxa"/>
        <w:jc w:val="center"/>
        <w:tblInd w:w="0" w:type="dxa"/>
        <w:tblCellMar>
          <w:top w:w="0" w:type="dxa"/>
          <w:left w:w="0" w:type="dxa"/>
          <w:bottom w:w="0" w:type="dxa"/>
          <w:right w:w="0" w:type="dxa"/>
        </w:tblCellMar>
      </w:tblPr>
      <w:tblGrid>
        <w:gridCol w:w="12735"/>
        <w:gridCol w:w="350"/>
      </w:tblGrid>
      <w:tr>
        <w:trPr/>
        <w:tc>
          <w:tcPr>
            <w:tcW w:w="12735" w:type="dxa"/>
            <w:tcBorders/>
            <w:shd w:fill="auto" w:val="clear"/>
          </w:tcPr>
          <w:p>
            <w:pPr>
              <w:pStyle w:val="TableContents"/>
              <w:spacing w:before="0" w:after="0"/>
              <w:ind w:left="0" w:right="0" w:hanging="0"/>
              <w:jc w:val="center"/>
              <w:rPr/>
            </w:pPr>
            <w:r>
              <w:rPr/>
              <w:drawing>
                <wp:inline distT="0" distB="0" distL="0" distR="0">
                  <wp:extent cx="8086725" cy="10477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8"/>
                          <a:stretch>
                            <a:fillRect/>
                          </a:stretch>
                        </pic:blipFill>
                        <pic:spPr bwMode="auto">
                          <a:xfrm>
                            <a:off x="0" y="0"/>
                            <a:ext cx="8086725" cy="10477500"/>
                          </a:xfrm>
                          <a:prstGeom prst="rect">
                            <a:avLst/>
                          </a:prstGeom>
                        </pic:spPr>
                      </pic:pic>
                    </a:graphicData>
                  </a:graphic>
                </wp:inline>
              </w:drawing>
            </w:r>
          </w:p>
        </w:tc>
        <w:tc>
          <w:tcPr>
            <w:tcW w:w="35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Signature [PLEASE SIGN WITHIN BOX] Date Signature (Joint Owners) Date TO VOTE, MARK BLOCKS BELOW IN BLUE OR BLACK INK AS FOLLOWS: KEEP THIS PORTION FOR YOUR RECORDS DETACH AND RETURN THIS PORTION ONLY THIS PROXY CARD IS VALID ONLY WHEN SIGNED AND DATED. V17701-TBD For Against Abstain ! ! ! ! ! ! GASLOG PARTNERS LP GASLOG PARTNERS LP C/O GASLOG LNG SERVICES LTD. 69 AKTI MIAOULI 18537 PIRAEUS, GREECE ATTENTION: CORPORATE SECRETARY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NOTE: Such other business as may properly come before the meeting or any adjournment thereof. 1. The Merger Proposal – to approve the Agreement and Plan of Merger, dated as of April 6, 2023 (the “Merger Agreement”), by and among GasLog Partners LP (the “Partnership”), GasLog Partners GP LLC, GasLog Ltd. (“Parent”) and Saturn Merger Sub LLC, a direct wholly owned subsidiary of Parent (“Merger Sub”), and the transactions contemplated thereby, including the merger of Merger Sub with and into the Partnership (the “Merger”), with the Partnership surviving the Merger as a Marshall Islands limited partnership and as a direct subsidiary of Parent 2. The Adjournment Proposal – to approve the adjournment of the special meeting of common unitholders of the Partnership (the "Special Meeting"), if necessary, to solicit additional proxies if there are not sufficient votes to approve the Merger Agreement and transactions contemplated thereby, including the Merger, at the time of the Special Meeting The Board of Directors recommends you vote "FOR" the following proposals: PRELIMINARY - SUBJECT TO COMPLETION VOTE BY INTERNET Before The Meeting - Go to www.proxyvote.com or scan the QR Barcode above 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 During The Meeting - Go to www.virtualshareholdermeeting.com/GLOP2023SM You may attend the meeting via the Internet and vote during the meeting. Have the information that is printed in the box marked by the arrow available and follow the instructions. VOTE BY PHONE - 1-800-690-6903 Use any touch-tone telephone to transmit your voting instructions up until 11:59 p.m. Eastern Time the day before the cut-off date or meeting date. Have your proxy card in hand when you call and then follow the instructions. VOTE BY MAIL Mark, sign and date your proxy card and return it in the postage-paid envelope we have provided or return it to Vote Processing, c/o Broadridge, 51 Mercedes Way, Edgewood, NY 11717. SCAN TO VIEW MATERIALS &amp; VOTEw Annex D</w:t>
            </w:r>
          </w:p>
        </w:tc>
      </w:tr>
    </w:tbl>
    <w:tbl>
      <w:tblPr>
        <w:tblW w:w="13085" w:type="dxa"/>
        <w:jc w:val="center"/>
        <w:tblInd w:w="0" w:type="dxa"/>
        <w:tblCellMar>
          <w:top w:w="0" w:type="dxa"/>
          <w:left w:w="0" w:type="dxa"/>
          <w:bottom w:w="0" w:type="dxa"/>
          <w:right w:w="0" w:type="dxa"/>
        </w:tblCellMar>
      </w:tblPr>
      <w:tblGrid>
        <w:gridCol w:w="12735"/>
        <w:gridCol w:w="350"/>
      </w:tblGrid>
      <w:tr>
        <w:trPr/>
        <w:tc>
          <w:tcPr>
            <w:tcW w:w="12735" w:type="dxa"/>
            <w:tcBorders/>
            <w:shd w:fill="auto" w:val="clear"/>
          </w:tcPr>
          <w:p>
            <w:pPr>
              <w:pStyle w:val="TableContents"/>
              <w:spacing w:before="0" w:after="0"/>
              <w:ind w:left="0" w:right="0" w:hanging="0"/>
              <w:jc w:val="center"/>
              <w:rPr/>
            </w:pPr>
            <w:r>
              <w:rPr/>
              <w:drawing>
                <wp:inline distT="0" distB="0" distL="0" distR="0">
                  <wp:extent cx="8086725" cy="104775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9"/>
                          <a:stretch>
                            <a:fillRect/>
                          </a:stretch>
                        </pic:blipFill>
                        <pic:spPr bwMode="auto">
                          <a:xfrm>
                            <a:off x="0" y="0"/>
                            <a:ext cx="8086725" cy="10477500"/>
                          </a:xfrm>
                          <a:prstGeom prst="rect">
                            <a:avLst/>
                          </a:prstGeom>
                        </pic:spPr>
                      </pic:pic>
                    </a:graphicData>
                  </a:graphic>
                </wp:inline>
              </w:drawing>
            </w:r>
          </w:p>
        </w:tc>
        <w:tc>
          <w:tcPr>
            <w:tcW w:w="35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V17702-TBD Important Notice Regarding the Availability of Proxy Materials for the Special Meeting: The Proxy Statement is available at www.proxyvote.com. Continued and to be signed on reverse side GASLOG PARTNERS LP SPECIAL MEETING OF COMMON UNITHOLDERS [TBD], 2023 THIS PROXY IS SOLICITED ON BEHALF OF THE BOARD OF DIRECTORS The common unitholder(s) hereby appoint(s) Paolo Enoizi and Georgios Chatzopoulos, or either of them, as proxies, each with the power to appoint his substitute, and hereby authorize(s) them to represent and to vote, as designated on the reverse side of this ballot, all of the common units of GasLog Partners LP that the common unitholder(s) is/are entitled to vote at the Special Meeting to be held at [TBD] on [TBD], at www.virtualshareholdermeeting.com/GLOP2023SM, and any adjournment or postponement thereof. This proxy, when properly executed, will be voted in the manner directed herein. If no such direction is made, this proxy will be voted in accordance with the Board of Directors' recommendations. If any other business is presented at the Special Meeting, this proxy will be voted by the above named proxies at the direction of the Board of Directors. This proxy revokes any prior proxy given by the undersigned.</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r>
        <w:br w:type="page"/>
      </w:r>
    </w:p>
    <w:p>
      <w:pPr>
        <w:pStyle w:val="TextBody"/>
        <w:rPr/>
      </w:pPr>
      <w:bookmarkStart w:id="11" w:name="tm2314213d1_ex99-b1.htm"/>
      <w:bookmarkStart w:id="12" w:name="kstm2314213d1_ex99b1"/>
      <w:bookmarkEnd w:id="11"/>
      <w:bookmarkEnd w:id="12"/>
      <w:r>
        <w:rPr/>
        <w:t> </w:t>
      </w:r>
    </w:p>
    <w:p>
      <w:pPr>
        <w:pStyle w:val="TextBody"/>
        <w:jc w:val="right"/>
        <w:rPr>
          <w:b/>
        </w:rPr>
      </w:pPr>
      <w:r>
        <w:rPr>
          <w:b/>
        </w:rPr>
        <w:t>Exhibit (b)(1)</w:t>
      </w:r>
    </w:p>
    <w:p>
      <w:pPr>
        <w:pStyle w:val="TextBody"/>
        <w:rPr/>
      </w:pPr>
      <w:r>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PRIVATE &amp; CONFIDENTIAL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GasLog Ltd. (the </w:t>
      </w:r>
      <w:r>
        <w:rPr>
          <w:rFonts w:ascii="Times New Roman;Times;Serif" w:hAnsi="Times New Roman;Times;Serif"/>
          <w:b/>
          <w:i/>
          <w:caps w:val="false"/>
          <w:smallCaps w:val="false"/>
          <w:sz w:val="20"/>
        </w:rPr>
        <w:t xml:space="preserve">Company </w:t>
      </w:r>
      <w:r>
        <w:rPr>
          <w:rFonts w:ascii="Times New Roman;Times;Serif" w:hAnsi="Times New Roman;Times;Serif"/>
          <w:b w:val="false"/>
          <w:i w:val="false"/>
          <w:caps w:val="false"/>
          <w:smallCaps w:val="false"/>
          <w:sz w:val="20"/>
        </w:rPr>
        <w:t xml:space="preserve">or </w:t>
      </w:r>
      <w:r>
        <w:rPr>
          <w:rFonts w:ascii="Times New Roman;Times;Serif" w:hAnsi="Times New Roman;Times;Serif"/>
          <w:b/>
          <w:i/>
          <w:caps w:val="false"/>
          <w:smallCaps w:val="false"/>
          <w:sz w:val="20"/>
        </w:rPr>
        <w:t>you</w:t>
      </w:r>
      <w:r>
        <w:rPr>
          <w:rFonts w:ascii="Times New Roman;Times;Serif" w:hAnsi="Times New Roman;Times;Serif"/>
          <w:b w:val="false"/>
          <w:i w:val="false"/>
          <w:caps w:val="false"/>
          <w:smallCaps w:val="false"/>
          <w:sz w:val="20"/>
        </w:rPr>
        <w:t>)</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69 Akti Miaouli</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Piraeus 185 37</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Achilleas Tasioulas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April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Project Saturn – Commitment Letter</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79"/>
        <w:gridCol w:w="660"/>
        <w:gridCol w:w="9366"/>
      </w:tblGrid>
      <w:tr>
        <w:trPr/>
        <w:tc>
          <w:tcPr>
            <w:tcW w:w="179"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rFonts w:ascii="Times New Roman;Times;Serif" w:hAnsi="Times New Roman;Times;Serif"/>
                <w:b/>
                <w:caps/>
                <w:color w:val="010000"/>
              </w:rPr>
            </w:pPr>
            <w:r>
              <w:rPr>
                <w:rFonts w:ascii="Times New Roman;Times;Serif" w:hAnsi="Times New Roman;Times;Serif"/>
                <w:b/>
                <w:caps/>
                <w:color w:val="010000"/>
              </w:rPr>
              <w:t>1</w:t>
            </w:r>
          </w:p>
        </w:tc>
        <w:tc>
          <w:tcPr>
            <w:tcW w:w="9366" w:type="dxa"/>
            <w:tcBorders/>
            <w:shd w:fill="auto" w:val="clear"/>
            <w:vAlign w:val="center"/>
          </w:tcPr>
          <w:p>
            <w:pPr>
              <w:pStyle w:val="TableContents"/>
              <w:spacing w:before="0" w:after="283"/>
              <w:rPr>
                <w:b/>
                <w:caps/>
              </w:rPr>
            </w:pPr>
            <w:r>
              <w:rPr>
                <w:b/>
                <w:caps/>
              </w:rPr>
              <w:t>INTRODUCTION</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20"/>
        <w:gridCol w:w="9848"/>
      </w:tblGrid>
      <w:tr>
        <w:trPr/>
        <w:tc>
          <w:tcPr>
            <w:tcW w:w="37"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rFonts w:ascii="Times New Roman;Times;Serif" w:hAnsi="Times New Roman;Times;Serif"/>
                <w:color w:val="010000"/>
              </w:rPr>
            </w:pPr>
            <w:r>
              <w:rPr>
                <w:rFonts w:ascii="Times New Roman;Times;Serif" w:hAnsi="Times New Roman;Times;Serif"/>
                <w:color w:val="010000"/>
              </w:rPr>
              <w:t>1.1</w:t>
            </w:r>
          </w:p>
        </w:tc>
        <w:tc>
          <w:tcPr>
            <w:tcW w:w="9848" w:type="dxa"/>
            <w:tcBorders/>
            <w:shd w:fill="auto" w:val="clear"/>
            <w:vAlign w:val="center"/>
          </w:tcPr>
          <w:p>
            <w:pPr>
              <w:pStyle w:val="TableContents"/>
              <w:spacing w:before="0" w:after="283"/>
              <w:jc w:val="both"/>
              <w:rPr/>
            </w:pPr>
            <w:r>
              <w:rPr/>
              <w:t xml:space="preserve">We are pleased to set out in this letter and in the Bridge Facility Term Sheet (as defined below) appended to this letter the terms and conditions on which we are willing to arrange and underwrite 100% of a U.S.$75,000,000 senior bridge facility (the </w:t>
            </w:r>
            <w:r>
              <w:rPr>
                <w:b/>
              </w:rPr>
              <w:t>Bridge Facility</w:t>
            </w:r>
            <w:r>
              <w:rPr/>
              <w:t xml:space="preserve">) which, if utilised, will be made available to a wholly owned subsidiary of the Company organized in the Marshall Islands as a limited liability company (the </w:t>
            </w:r>
            <w:r>
              <w:rPr>
                <w:b/>
              </w:rPr>
              <w:t>Borrower</w:t>
            </w:r>
            <w:r>
              <w:rPr/>
              <w: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20"/>
        <w:gridCol w:w="9848"/>
      </w:tblGrid>
      <w:tr>
        <w:trPr/>
        <w:tc>
          <w:tcPr>
            <w:tcW w:w="37"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rFonts w:ascii="Times New Roman;Times;Serif" w:hAnsi="Times New Roman;Times;Serif"/>
                <w:color w:val="010000"/>
              </w:rPr>
            </w:pPr>
            <w:r>
              <w:rPr>
                <w:rFonts w:ascii="Times New Roman;Times;Serif" w:hAnsi="Times New Roman;Times;Serif"/>
                <w:color w:val="010000"/>
              </w:rPr>
              <w:t>1.2</w:t>
            </w:r>
          </w:p>
        </w:tc>
        <w:tc>
          <w:tcPr>
            <w:tcW w:w="9848" w:type="dxa"/>
            <w:tcBorders/>
            <w:shd w:fill="auto" w:val="clear"/>
            <w:vAlign w:val="center"/>
          </w:tcPr>
          <w:p>
            <w:pPr>
              <w:pStyle w:val="TableContents"/>
              <w:spacing w:before="0" w:after="283"/>
              <w:jc w:val="both"/>
              <w:rPr/>
            </w:pPr>
            <w:r>
              <w:rPr/>
              <w:t xml:space="preserve">The purpose of the Bridge Facility will be to finance part of the acquisition costs in respect of the acquisition by the Company of all of the common units in GasLog Partners LP (the </w:t>
            </w:r>
            <w:r>
              <w:rPr>
                <w:b/>
              </w:rPr>
              <w:t>Target</w:t>
            </w:r>
            <w:r>
              <w:rPr/>
              <w:t>) not currently owned directly or indirectly by the Company.</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9"/>
        <w:gridCol w:w="329"/>
        <w:gridCol w:w="9837"/>
      </w:tblGrid>
      <w:tr>
        <w:trPr/>
        <w:tc>
          <w:tcPr>
            <w:tcW w:w="3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rFonts w:ascii="Times New Roman;Times;Serif" w:hAnsi="Times New Roman;Times;Serif"/>
                <w:color w:val="010000"/>
              </w:rPr>
            </w:pPr>
            <w:r>
              <w:rPr>
                <w:rFonts w:ascii="Times New Roman;Times;Serif" w:hAnsi="Times New Roman;Times;Serif"/>
                <w:color w:val="010000"/>
              </w:rPr>
              <w:t>1.3</w:t>
            </w:r>
          </w:p>
        </w:tc>
        <w:tc>
          <w:tcPr>
            <w:tcW w:w="9837" w:type="dxa"/>
            <w:tcBorders/>
            <w:shd w:fill="auto" w:val="clear"/>
            <w:vAlign w:val="center"/>
          </w:tcPr>
          <w:p>
            <w:pPr>
              <w:pStyle w:val="TableContents"/>
              <w:spacing w:before="0" w:after="283"/>
              <w:jc w:val="both"/>
              <w:rPr/>
            </w:pPr>
            <w:r>
              <w:rPr/>
              <w:t>Our commitments are provided on the basis of, and are subject to, the terms and conditions set out in:</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32"/>
        <w:gridCol w:w="1682"/>
        <w:gridCol w:w="8291"/>
      </w:tblGrid>
      <w:tr>
        <w:trPr/>
        <w:tc>
          <w:tcPr>
            <w:tcW w:w="232" w:type="dxa"/>
            <w:tcBorders/>
            <w:shd w:fill="auto" w:val="clear"/>
            <w:vAlign w:val="center"/>
          </w:tcPr>
          <w:p>
            <w:pPr>
              <w:pStyle w:val="TableContents"/>
              <w:spacing w:before="0" w:after="283"/>
              <w:rPr>
                <w:sz w:val="4"/>
                <w:szCs w:val="4"/>
              </w:rPr>
            </w:pPr>
            <w:r>
              <w:rPr>
                <w:sz w:val="4"/>
                <w:szCs w:val="4"/>
              </w:rPr>
            </w:r>
          </w:p>
        </w:tc>
        <w:tc>
          <w:tcPr>
            <w:tcW w:w="1682"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(a)</w:t>
            </w:r>
          </w:p>
        </w:tc>
        <w:tc>
          <w:tcPr>
            <w:tcW w:w="8291" w:type="dxa"/>
            <w:tcBorders/>
            <w:shd w:fill="auto" w:val="clear"/>
            <w:vAlign w:val="center"/>
          </w:tcPr>
          <w:p>
            <w:pPr>
              <w:pStyle w:val="TableContents"/>
              <w:spacing w:before="0" w:after="283"/>
              <w:jc w:val="both"/>
              <w:rPr/>
            </w:pPr>
            <w:r>
              <w:rPr/>
              <w:t>this letter; and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31"/>
        <w:gridCol w:w="9937"/>
      </w:tblGrid>
      <w:tr>
        <w:trPr/>
        <w:tc>
          <w:tcPr>
            <w:tcW w:w="37"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(b)</w:t>
            </w:r>
          </w:p>
        </w:tc>
        <w:tc>
          <w:tcPr>
            <w:tcW w:w="9937" w:type="dxa"/>
            <w:tcBorders/>
            <w:shd w:fill="auto" w:val="clear"/>
            <w:vAlign w:val="center"/>
          </w:tcPr>
          <w:p>
            <w:pPr>
              <w:pStyle w:val="TableContents"/>
              <w:spacing w:before="0" w:after="283"/>
              <w:jc w:val="both"/>
              <w:rPr/>
            </w:pPr>
            <w:r>
              <w:rPr/>
              <w:t>the term sheet in respect of the Bridge Facility attached to this letter as Appendix A (</w:t>
            </w:r>
            <w:r>
              <w:rPr>
                <w:i/>
              </w:rPr>
              <w:t>Facility Term Sheet</w:t>
            </w:r>
            <w:r>
              <w:rPr/>
              <w:t xml:space="preserve">) (the </w:t>
            </w:r>
            <w:r>
              <w:rPr>
                <w:b/>
              </w:rPr>
              <w:t>Bridge Facility Term Sheet</w:t>
            </w:r>
            <w:r>
              <w:rPr/>
              <w:t xml:space="preserve"> and, together with the letter referred to in paragraph (a) above, each as may be amended, amended and restated, supplemented, modified or replaced from time to time in accordance with the amendment provisions contained within the relevant document, the </w:t>
            </w:r>
            <w:r>
              <w:rPr>
                <w:b/>
              </w:rPr>
              <w:t>Commitment Documents</w:t>
            </w:r>
            <w:r>
              <w:rPr/>
              <w: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8"/>
        <w:gridCol w:w="495"/>
        <w:gridCol w:w="9652"/>
      </w:tblGrid>
      <w:tr>
        <w:trPr/>
        <w:tc>
          <w:tcPr>
            <w:tcW w:w="58"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rFonts w:ascii="Times New Roman;Times;Serif" w:hAnsi="Times New Roman;Times;Serif"/>
                <w:color w:val="010000"/>
              </w:rPr>
            </w:pPr>
            <w:r>
              <w:rPr>
                <w:rFonts w:ascii="Times New Roman;Times;Serif" w:hAnsi="Times New Roman;Times;Serif"/>
                <w:color w:val="010000"/>
              </w:rPr>
              <w:t>1.4</w:t>
            </w:r>
          </w:p>
        </w:tc>
        <w:tc>
          <w:tcPr>
            <w:tcW w:w="9652" w:type="dxa"/>
            <w:tcBorders/>
            <w:shd w:fill="auto" w:val="clear"/>
            <w:vAlign w:val="center"/>
          </w:tcPr>
          <w:p>
            <w:pPr>
              <w:pStyle w:val="TableContents"/>
              <w:spacing w:before="0" w:after="283"/>
              <w:jc w:val="both"/>
              <w:rPr/>
            </w:pPr>
            <w:r>
              <w:rPr/>
              <w:t>In this letter and the other Commitment Documents, references to:</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Affiliate</w:t>
      </w:r>
      <w:r>
        <w:rPr>
          <w:rFonts w:ascii="Times New Roman;Times;Serif" w:hAnsi="Times New Roman;Times;Serif"/>
          <w:b w:val="false"/>
          <w:i w:val="false"/>
          <w:caps w:val="false"/>
          <w:smallCaps w:val="false"/>
          <w:sz w:val="20"/>
        </w:rPr>
        <w:t xml:space="preserve"> means, in relation to any person, a Subsidiary of that person or a Holding Company of that person or any other Subsidiary of that Holding Company and, in the case of any limited partnership, any entity (including any other limited partnership) which owns or controls or is owned or controlled by the first limited partnership or is under common ownership or control with the first limited partnership.</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Business Day </w:t>
      </w:r>
      <w:r>
        <w:rPr>
          <w:rFonts w:ascii="Times New Roman;Times;Serif" w:hAnsi="Times New Roman;Times;Serif"/>
          <w:b w:val="false"/>
          <w:i w:val="false"/>
          <w:caps w:val="false"/>
          <w:smallCaps w:val="false"/>
          <w:sz w:val="20"/>
        </w:rPr>
        <w:t>means any day (other than Saturday or Sunday) on which banks are open for general business in Athens (Greece), London (England) and New York (New York).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Closing Date</w:t>
      </w:r>
      <w:r>
        <w:rPr>
          <w:rFonts w:ascii="Times New Roman;Times;Serif" w:hAnsi="Times New Roman;Times;Serif"/>
          <w:b w:val="false"/>
          <w:i w:val="false"/>
          <w:caps w:val="false"/>
          <w:smallCaps w:val="false"/>
          <w:sz w:val="20"/>
        </w:rPr>
        <w:t xml:space="preserve"> means the date on which the Bridge Facility is drawn.</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Finance Documents</w:t>
      </w:r>
      <w:r>
        <w:rPr>
          <w:rFonts w:ascii="Times New Roman;Times;Serif" w:hAnsi="Times New Roman;Times;Serif"/>
          <w:b w:val="false"/>
          <w:i w:val="false"/>
          <w:caps w:val="false"/>
          <w:smallCaps w:val="false"/>
          <w:sz w:val="20"/>
        </w:rPr>
        <w:t xml:space="preserve"> means, upon its execution, the meaning given the term “Finance Documents” in the Bridge Facility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Group</w:t>
      </w:r>
      <w:r>
        <w:rPr>
          <w:rFonts w:ascii="Times New Roman;Times;Serif" w:hAnsi="Times New Roman;Times;Serif"/>
          <w:b w:val="false"/>
          <w:i w:val="false"/>
          <w:caps w:val="false"/>
          <w:smallCaps w:val="false"/>
          <w:sz w:val="20"/>
        </w:rPr>
        <w:t xml:space="preserve"> means the Company and its Subsidiaries from time to time.</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Holding Company</w:t>
      </w:r>
      <w:r>
        <w:rPr>
          <w:rFonts w:ascii="Times New Roman;Times;Serif" w:hAnsi="Times New Roman;Times;Serif"/>
          <w:b w:val="false"/>
          <w:i w:val="false"/>
          <w:caps w:val="false"/>
          <w:smallCaps w:val="false"/>
          <w:sz w:val="20"/>
        </w:rPr>
        <w:t xml:space="preserve"> means, in relation to a person, any other person in respect of which it is a Subsidiary.</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Subsidiary</w:t>
      </w:r>
      <w:r>
        <w:rPr>
          <w:rFonts w:ascii="Times New Roman;Times;Serif" w:hAnsi="Times New Roman;Times;Serif"/>
          <w:b w:val="false"/>
          <w:i w:val="false"/>
          <w:caps w:val="false"/>
          <w:smallCaps w:val="false"/>
          <w:sz w:val="20"/>
        </w:rPr>
        <w:t xml:space="preserve"> means an entity of which a person has direct or indirect control or owns directly or indirectly more than 50% of the share capital or similar right of ownership, provided that “</w:t>
      </w:r>
      <w:r>
        <w:rPr>
          <w:rFonts w:ascii="Times New Roman;Times;Serif" w:hAnsi="Times New Roman;Times;Serif"/>
          <w:b w:val="false"/>
          <w:i/>
          <w:caps w:val="false"/>
          <w:smallCaps w:val="false"/>
          <w:sz w:val="20"/>
        </w:rPr>
        <w:t>control</w:t>
      </w:r>
      <w:r>
        <w:rPr>
          <w:rFonts w:ascii="Times New Roman;Times;Serif" w:hAnsi="Times New Roman;Times;Serif"/>
          <w:b w:val="false"/>
          <w:i w:val="false"/>
          <w:caps w:val="false"/>
          <w:smallCaps w:val="false"/>
          <w:sz w:val="20"/>
        </w:rPr>
        <w:t>” for this purpose means the power to direct the management and policies of the entity whether through the ownership of share capital, contract or otherwise.</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Target Group</w:t>
      </w:r>
      <w:r>
        <w:rPr>
          <w:rFonts w:ascii="Times New Roman;Times;Serif" w:hAnsi="Times New Roman;Times;Serif"/>
          <w:b w:val="false"/>
          <w:i w:val="false"/>
          <w:caps w:val="false"/>
          <w:smallCaps w:val="false"/>
          <w:sz w:val="20"/>
        </w:rPr>
        <w:t xml:space="preserve"> means the Target and its Subsidiaries from time to time.</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Transaction</w:t>
      </w:r>
      <w:r>
        <w:rPr>
          <w:rFonts w:ascii="Times New Roman;Times;Serif" w:hAnsi="Times New Roman;Times;Serif"/>
          <w:b w:val="false"/>
          <w:i w:val="false"/>
          <w:caps w:val="false"/>
          <w:smallCaps w:val="false"/>
          <w:sz w:val="20"/>
        </w:rPr>
        <w:t xml:space="preserve"> means, whether in one or a series of transactions, the acquisition by the Company of all of the shares of the Target not currently owned directly or indirectly by the Company, via a merger of the Borrower with and into the Target.</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20"/>
        <w:gridCol w:w="9848"/>
      </w:tblGrid>
      <w:tr>
        <w:trPr/>
        <w:tc>
          <w:tcPr>
            <w:tcW w:w="37"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rFonts w:ascii="Times New Roman;Times;Serif" w:hAnsi="Times New Roman;Times;Serif"/>
                <w:color w:val="010000"/>
              </w:rPr>
            </w:pPr>
            <w:r>
              <w:rPr>
                <w:rFonts w:ascii="Times New Roman;Times;Serif" w:hAnsi="Times New Roman;Times;Serif"/>
                <w:color w:val="010000"/>
              </w:rPr>
              <w:t>1.5</w:t>
            </w:r>
          </w:p>
        </w:tc>
        <w:tc>
          <w:tcPr>
            <w:tcW w:w="9848" w:type="dxa"/>
            <w:tcBorders/>
            <w:shd w:fill="auto" w:val="clear"/>
            <w:vAlign w:val="center"/>
          </w:tcPr>
          <w:p>
            <w:pPr>
              <w:pStyle w:val="TableContents"/>
              <w:spacing w:before="0" w:after="283"/>
              <w:jc w:val="both"/>
              <w:rPr/>
            </w:pPr>
            <w:r>
              <w:rPr/>
              <w:t>Words and expressions defined in the Bridge Facility Term Sheet have the same meaning when used in this letter unless otherwise provided or the context otherwise requires.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60"/>
        <w:gridCol w:w="509"/>
        <w:gridCol w:w="9636"/>
      </w:tblGrid>
      <w:tr>
        <w:trPr/>
        <w:tc>
          <w:tcPr>
            <w:tcW w:w="60"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rFonts w:ascii="Times New Roman;Times;Serif" w:hAnsi="Times New Roman;Times;Serif"/>
                <w:color w:val="010000"/>
              </w:rPr>
            </w:pPr>
            <w:r>
              <w:rPr>
                <w:rFonts w:ascii="Times New Roman;Times;Serif" w:hAnsi="Times New Roman;Times;Serif"/>
                <w:color w:val="010000"/>
              </w:rPr>
              <w:t>1.6</w:t>
            </w:r>
          </w:p>
        </w:tc>
        <w:tc>
          <w:tcPr>
            <w:tcW w:w="9636" w:type="dxa"/>
            <w:tcBorders/>
            <w:shd w:fill="auto" w:val="clear"/>
            <w:vAlign w:val="center"/>
          </w:tcPr>
          <w:p>
            <w:pPr>
              <w:pStyle w:val="TableContents"/>
              <w:spacing w:before="0" w:after="283"/>
              <w:jc w:val="both"/>
              <w:rPr/>
            </w:pPr>
            <w:r>
              <w:rPr/>
              <w:t>In addition, in this letter and the other Commitment Documents,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61"/>
        <w:gridCol w:w="9907"/>
      </w:tblGrid>
      <w:tr>
        <w:trPr/>
        <w:tc>
          <w:tcPr>
            <w:tcW w:w="37"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(a)</w:t>
            </w:r>
          </w:p>
        </w:tc>
        <w:tc>
          <w:tcPr>
            <w:tcW w:w="9907" w:type="dxa"/>
            <w:tcBorders/>
            <w:shd w:fill="auto" w:val="clear"/>
            <w:vAlign w:val="center"/>
          </w:tcPr>
          <w:p>
            <w:pPr>
              <w:pStyle w:val="TableContents"/>
              <w:spacing w:before="0" w:after="283"/>
              <w:jc w:val="both"/>
              <w:rPr/>
            </w:pPr>
            <w:r>
              <w:rPr/>
              <w:t xml:space="preserve">unless otherwise provided or if the context requires, a reference to </w:t>
            </w:r>
            <w:r>
              <w:rPr>
                <w:b/>
                <w:i/>
              </w:rPr>
              <w:t>we</w:t>
            </w:r>
            <w:r>
              <w:rPr/>
              <w:t xml:space="preserve">, </w:t>
            </w:r>
            <w:r>
              <w:rPr>
                <w:b/>
                <w:i/>
              </w:rPr>
              <w:t>us</w:t>
            </w:r>
            <w:r>
              <w:rPr/>
              <w:t xml:space="preserve">, </w:t>
            </w:r>
            <w:r>
              <w:rPr>
                <w:b/>
                <w:i/>
              </w:rPr>
              <w:t>our</w:t>
            </w:r>
            <w:r>
              <w:rPr/>
              <w:t xml:space="preserve"> or the like shall be construed as a reference to:</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0"/>
        <w:gridCol w:w="308"/>
        <w:gridCol w:w="9847"/>
      </w:tblGrid>
      <w:tr>
        <w:trPr/>
        <w:tc>
          <w:tcPr>
            <w:tcW w:w="50"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rFonts w:ascii="Times New Roman;Times;Serif" w:hAnsi="Times New Roman;Times;Serif"/>
                <w:color w:val="010000"/>
              </w:rPr>
            </w:pPr>
            <w:r>
              <w:rPr>
                <w:rFonts w:ascii="Times New Roman;Times;Serif" w:hAnsi="Times New Roman;Times;Serif"/>
                <w:color w:val="010000"/>
              </w:rPr>
              <w:t>(i)</w:t>
            </w:r>
          </w:p>
        </w:tc>
        <w:tc>
          <w:tcPr>
            <w:tcW w:w="9847" w:type="dxa"/>
            <w:tcBorders/>
            <w:shd w:fill="auto" w:val="clear"/>
            <w:vAlign w:val="center"/>
          </w:tcPr>
          <w:p>
            <w:pPr>
              <w:pStyle w:val="TableContents"/>
              <w:spacing w:before="0" w:after="283"/>
              <w:jc w:val="both"/>
              <w:rPr/>
            </w:pPr>
            <w:r>
              <w:rPr/>
              <w:t xml:space="preserve">the arranger named on the signature pages to this letter (the </w:t>
            </w:r>
            <w:r>
              <w:rPr>
                <w:b/>
                <w:i/>
              </w:rPr>
              <w:t>Arranger</w:t>
            </w:r>
            <w:r>
              <w:rPr/>
              <w:t>); and/or</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71"/>
        <w:gridCol w:w="9897"/>
      </w:tblGrid>
      <w:tr>
        <w:trPr/>
        <w:tc>
          <w:tcPr>
            <w:tcW w:w="37"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rFonts w:ascii="Times New Roman;Times;Serif" w:hAnsi="Times New Roman;Times;Serif"/>
                <w:color w:val="010000"/>
              </w:rPr>
            </w:pPr>
            <w:r>
              <w:rPr>
                <w:rFonts w:ascii="Times New Roman;Times;Serif" w:hAnsi="Times New Roman;Times;Serif"/>
                <w:color w:val="010000"/>
              </w:rPr>
              <w:t>(ii)</w:t>
            </w:r>
          </w:p>
        </w:tc>
        <w:tc>
          <w:tcPr>
            <w:tcW w:w="9897" w:type="dxa"/>
            <w:tcBorders/>
            <w:shd w:fill="auto" w:val="clear"/>
            <w:vAlign w:val="center"/>
          </w:tcPr>
          <w:p>
            <w:pPr>
              <w:pStyle w:val="TableContents"/>
              <w:spacing w:before="0" w:after="283"/>
              <w:jc w:val="both"/>
              <w:rPr/>
            </w:pPr>
            <w:r>
              <w:rPr/>
              <w:t xml:space="preserve">the underwriter named on the signature pages to this letter (the </w:t>
            </w:r>
            <w:r>
              <w:rPr>
                <w:b/>
                <w:i/>
              </w:rPr>
              <w:t>Underwriter</w:t>
            </w:r>
            <w:r>
              <w:rPr/>
              <w:t xml:space="preserve"> and, together with the Arranger, the </w:t>
            </w:r>
            <w:r>
              <w:rPr>
                <w:b/>
                <w:i/>
              </w:rPr>
              <w:t>Commitment Parties</w:t>
            </w:r>
            <w:r>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acting individually or together, as the context may requires, and</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39"/>
        <w:gridCol w:w="9929"/>
      </w:tblGrid>
      <w:tr>
        <w:trPr/>
        <w:tc>
          <w:tcPr>
            <w:tcW w:w="37"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(b)</w:t>
            </w:r>
          </w:p>
        </w:tc>
        <w:tc>
          <w:tcPr>
            <w:tcW w:w="9929" w:type="dxa"/>
            <w:tcBorders/>
            <w:shd w:fill="auto" w:val="clear"/>
            <w:vAlign w:val="center"/>
          </w:tcPr>
          <w:p>
            <w:pPr>
              <w:pStyle w:val="TableContents"/>
              <w:spacing w:before="0" w:after="283"/>
              <w:jc w:val="both"/>
              <w:rPr/>
            </w:pPr>
            <w:r>
              <w:rPr/>
              <w:t>any reference to a “regulation” includes any regulation, rule, official directive, request or guideline (whether or not having the force of law) of any governmental, intergovernmental or supranational body, agency, department or of any regulatory, self-regulatory or other authority or organisation.</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81"/>
        <w:gridCol w:w="301"/>
        <w:gridCol w:w="9823"/>
      </w:tblGrid>
      <w:tr>
        <w:trPr/>
        <w:tc>
          <w:tcPr>
            <w:tcW w:w="8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rFonts w:ascii="Times New Roman;Times;Serif" w:hAnsi="Times New Roman;Times;Serif"/>
                <w:b/>
                <w:caps/>
                <w:color w:val="010000"/>
              </w:rPr>
            </w:pPr>
            <w:r>
              <w:rPr>
                <w:rFonts w:ascii="Times New Roman;Times;Serif" w:hAnsi="Times New Roman;Times;Serif"/>
                <w:b/>
                <w:caps/>
                <w:color w:val="010000"/>
              </w:rPr>
              <w:t>2</w:t>
            </w:r>
          </w:p>
        </w:tc>
        <w:tc>
          <w:tcPr>
            <w:tcW w:w="9823" w:type="dxa"/>
            <w:tcBorders/>
            <w:shd w:fill="auto" w:val="clear"/>
            <w:vAlign w:val="center"/>
          </w:tcPr>
          <w:p>
            <w:pPr>
              <w:pStyle w:val="TableContents"/>
              <w:spacing w:before="0" w:after="283"/>
              <w:rPr>
                <w:b/>
                <w:caps/>
              </w:rPr>
            </w:pPr>
            <w:r>
              <w:rPr>
                <w:b/>
                <w:caps/>
              </w:rPr>
              <w:t>BRIDGE FACILITY DOCUMENTATION</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20"/>
        <w:gridCol w:w="9848"/>
      </w:tblGrid>
      <w:tr>
        <w:trPr/>
        <w:tc>
          <w:tcPr>
            <w:tcW w:w="37"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rFonts w:ascii="Times New Roman;Times;Serif" w:hAnsi="Times New Roman;Times;Serif"/>
                <w:color w:val="010000"/>
              </w:rPr>
            </w:pPr>
            <w:r>
              <w:rPr>
                <w:rFonts w:ascii="Times New Roman;Times;Serif" w:hAnsi="Times New Roman;Times;Serif"/>
                <w:color w:val="010000"/>
              </w:rPr>
              <w:t>2.1</w:t>
            </w:r>
          </w:p>
        </w:tc>
        <w:tc>
          <w:tcPr>
            <w:tcW w:w="9848" w:type="dxa"/>
            <w:tcBorders/>
            <w:shd w:fill="auto" w:val="clear"/>
            <w:vAlign w:val="center"/>
          </w:tcPr>
          <w:p>
            <w:pPr>
              <w:pStyle w:val="TableContents"/>
              <w:spacing w:before="0" w:after="283"/>
              <w:jc w:val="both"/>
              <w:rPr/>
            </w:pPr>
            <w:r>
              <w:rPr/>
              <w:t xml:space="preserve">We and you hereby agree to negotiate the long-form facility agreement for the Bridge Facility (the </w:t>
            </w:r>
            <w:r>
              <w:rPr>
                <w:b/>
                <w:i/>
              </w:rPr>
              <w:t>Bridge Facility Agreement</w:t>
            </w:r>
            <w:r>
              <w:rPr/>
              <w:t>) in good faith, based upon the terms and conditions set forth in the Bridge Facility Term Sheet and use our respective reasonable endeavours to agree and execute the Finance Documents on the basis of the Bridge Facility Term Sheet as soon as reasonably practicable after the execution of the Merger Agreement (as defined in the Bridge Facility Term Sheet) and in any event by the date falling six (6) months after the Commitment Date (as defined below) so that funding of the Transaction may take place pursuant to the Bridge Facility Agreement.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20"/>
        <w:gridCol w:w="9848"/>
      </w:tblGrid>
      <w:tr>
        <w:trPr/>
        <w:tc>
          <w:tcPr>
            <w:tcW w:w="37"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rFonts w:ascii="Times New Roman;Times;Serif" w:hAnsi="Times New Roman;Times;Serif"/>
                <w:color w:val="010000"/>
              </w:rPr>
            </w:pPr>
            <w:r>
              <w:rPr>
                <w:rFonts w:ascii="Times New Roman;Times;Serif" w:hAnsi="Times New Roman;Times;Serif"/>
                <w:color w:val="010000"/>
              </w:rPr>
              <w:t>2.2</w:t>
            </w:r>
          </w:p>
        </w:tc>
        <w:tc>
          <w:tcPr>
            <w:tcW w:w="9848" w:type="dxa"/>
            <w:tcBorders/>
            <w:shd w:fill="auto" w:val="clear"/>
            <w:vAlign w:val="center"/>
          </w:tcPr>
          <w:p>
            <w:pPr>
              <w:pStyle w:val="TableContents"/>
              <w:spacing w:before="0" w:after="283"/>
              <w:jc w:val="both"/>
              <w:rPr/>
            </w:pPr>
            <w:r>
              <w:rPr/>
              <w:t>The first draft of each Finance Document will, unless otherwise agreed, be prepared by counsel to the Lenders on a basis that is consistent with the approach described in this paragraph 2.</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89"/>
        <w:gridCol w:w="699"/>
        <w:gridCol w:w="9317"/>
      </w:tblGrid>
      <w:tr>
        <w:trPr/>
        <w:tc>
          <w:tcPr>
            <w:tcW w:w="189"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rFonts w:ascii="Times New Roman;Times;Serif" w:hAnsi="Times New Roman;Times;Serif"/>
                <w:b/>
                <w:caps/>
                <w:color w:val="010000"/>
              </w:rPr>
            </w:pPr>
            <w:r>
              <w:rPr>
                <w:rFonts w:ascii="Times New Roman;Times;Serif" w:hAnsi="Times New Roman;Times;Serif"/>
                <w:b/>
                <w:caps/>
                <w:color w:val="010000"/>
              </w:rPr>
              <w:t>3</w:t>
            </w:r>
          </w:p>
        </w:tc>
        <w:tc>
          <w:tcPr>
            <w:tcW w:w="9317" w:type="dxa"/>
            <w:tcBorders/>
            <w:shd w:fill="auto" w:val="clear"/>
            <w:vAlign w:val="center"/>
          </w:tcPr>
          <w:p>
            <w:pPr>
              <w:pStyle w:val="TableContents"/>
              <w:spacing w:before="0" w:after="283"/>
              <w:rPr>
                <w:b/>
                <w:caps/>
              </w:rPr>
            </w:pPr>
            <w:r>
              <w:rPr>
                <w:b/>
                <w:caps/>
              </w:rPr>
              <w:t>Appointment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20"/>
        <w:gridCol w:w="9848"/>
      </w:tblGrid>
      <w:tr>
        <w:trPr/>
        <w:tc>
          <w:tcPr>
            <w:tcW w:w="37"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rFonts w:ascii="Times New Roman;Times;Serif" w:hAnsi="Times New Roman;Times;Serif"/>
                <w:color w:val="010000"/>
              </w:rPr>
            </w:pPr>
            <w:r>
              <w:rPr>
                <w:rFonts w:ascii="Times New Roman;Times;Serif" w:hAnsi="Times New Roman;Times;Serif"/>
                <w:color w:val="010000"/>
              </w:rPr>
              <w:t>3.1</w:t>
            </w:r>
          </w:p>
        </w:tc>
        <w:tc>
          <w:tcPr>
            <w:tcW w:w="9848" w:type="dxa"/>
            <w:tcBorders/>
            <w:shd w:fill="auto" w:val="clear"/>
            <w:vAlign w:val="center"/>
          </w:tcPr>
          <w:p>
            <w:pPr>
              <w:pStyle w:val="TableContents"/>
              <w:spacing w:before="0" w:after="283"/>
              <w:jc w:val="both"/>
              <w:rPr/>
            </w:pPr>
            <w:r>
              <w:rPr/>
              <w:t>On acceptance of the offer set out in this letter and subject to the terms of this letter (including paragraphs 3.2 and 12.2 below) and except as otherwise provided in the Commitment Documents, the Company:</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43"/>
        <w:gridCol w:w="9925"/>
      </w:tblGrid>
      <w:tr>
        <w:trPr/>
        <w:tc>
          <w:tcPr>
            <w:tcW w:w="37"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(a)</w:t>
            </w:r>
          </w:p>
        </w:tc>
        <w:tc>
          <w:tcPr>
            <w:tcW w:w="9925" w:type="dxa"/>
            <w:tcBorders/>
            <w:shd w:fill="auto" w:val="clear"/>
            <w:vAlign w:val="center"/>
          </w:tcPr>
          <w:p>
            <w:pPr>
              <w:pStyle w:val="TableContents"/>
              <w:spacing w:before="0" w:after="283"/>
              <w:jc w:val="both"/>
              <w:rPr/>
            </w:pPr>
            <w:r>
              <w:rPr/>
              <w:t>appoints the Arranger as exclusive “</w:t>
            </w:r>
            <w:r>
              <w:rPr>
                <w:i/>
              </w:rPr>
              <w:t>mandated lead arranger</w:t>
            </w:r>
            <w:r>
              <w:rPr/>
              <w:t>” with respect to the Bridge Facility and the Arranger hereby agrees to act as an arranger of the Bridge Facility;</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52"/>
        <w:gridCol w:w="9916"/>
      </w:tblGrid>
      <w:tr>
        <w:trPr/>
        <w:tc>
          <w:tcPr>
            <w:tcW w:w="37"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(b)</w:t>
            </w:r>
          </w:p>
        </w:tc>
        <w:tc>
          <w:tcPr>
            <w:tcW w:w="9916" w:type="dxa"/>
            <w:tcBorders/>
            <w:shd w:fill="auto" w:val="clear"/>
            <w:vAlign w:val="center"/>
          </w:tcPr>
          <w:p>
            <w:pPr>
              <w:pStyle w:val="TableContents"/>
              <w:spacing w:before="0" w:after="283"/>
              <w:jc w:val="both"/>
              <w:rPr/>
            </w:pPr>
            <w:r>
              <w:rPr/>
              <w:t>appoints the Underwriter as exclusive “</w:t>
            </w:r>
            <w:r>
              <w:rPr>
                <w:i/>
              </w:rPr>
              <w:t>underwriter</w:t>
            </w:r>
            <w:r>
              <w:rPr/>
              <w:t>” and original lender of the Bridge Facility and the Underwriter hereby agrees to act as an underwriter and original lender of the Bridge Facility;</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67"/>
        <w:gridCol w:w="9901"/>
      </w:tblGrid>
      <w:tr>
        <w:trPr/>
        <w:tc>
          <w:tcPr>
            <w:tcW w:w="37"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(c)</w:t>
            </w:r>
          </w:p>
        </w:tc>
        <w:tc>
          <w:tcPr>
            <w:tcW w:w="9901" w:type="dxa"/>
            <w:tcBorders/>
            <w:shd w:fill="auto" w:val="clear"/>
            <w:vAlign w:val="center"/>
          </w:tcPr>
          <w:p>
            <w:pPr>
              <w:pStyle w:val="TableContents"/>
              <w:spacing w:before="0" w:after="283"/>
              <w:jc w:val="both"/>
              <w:rPr/>
            </w:pPr>
            <w:r>
              <w:rPr/>
              <w:t>appoints DNB Bank ASA as documentation, facility and security agent in connection with the Bridge Facility; and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37"/>
        <w:gridCol w:w="9931"/>
      </w:tblGrid>
      <w:tr>
        <w:trPr/>
        <w:tc>
          <w:tcPr>
            <w:tcW w:w="3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(d)</w:t>
            </w:r>
          </w:p>
        </w:tc>
        <w:tc>
          <w:tcPr>
            <w:tcW w:w="9931" w:type="dxa"/>
            <w:tcBorders/>
            <w:shd w:fill="auto" w:val="clear"/>
            <w:vAlign w:val="center"/>
          </w:tcPr>
          <w:p>
            <w:pPr>
              <w:pStyle w:val="TableContents"/>
              <w:spacing w:before="0" w:after="283"/>
              <w:jc w:val="both"/>
              <w:rPr/>
            </w:pPr>
            <w:r>
              <w:rPr/>
              <w:t>agrees that no additional arrangers, underwriters or original lenders will be appointed and no other titles will be awarded in connection with the Bridge Facility, other than in accordance with this letter or otherwise with the consent of the Commitment Parties, not to be unreasonably withheld, conditioned or delayed.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4"/>
        <w:gridCol w:w="373"/>
        <w:gridCol w:w="9788"/>
      </w:tblGrid>
      <w:tr>
        <w:trPr/>
        <w:tc>
          <w:tcPr>
            <w:tcW w:w="44"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rFonts w:ascii="Times New Roman;Times;Serif" w:hAnsi="Times New Roman;Times;Serif"/>
                <w:color w:val="010000"/>
              </w:rPr>
            </w:pPr>
            <w:r>
              <w:rPr>
                <w:rFonts w:ascii="Times New Roman;Times;Serif" w:hAnsi="Times New Roman;Times;Serif"/>
                <w:color w:val="010000"/>
              </w:rPr>
              <w:t>3.2</w:t>
            </w:r>
          </w:p>
        </w:tc>
        <w:tc>
          <w:tcPr>
            <w:tcW w:w="9788" w:type="dxa"/>
            <w:tcBorders/>
            <w:shd w:fill="auto" w:val="clear"/>
            <w:vAlign w:val="center"/>
          </w:tcPr>
          <w:p>
            <w:pPr>
              <w:pStyle w:val="TableContents"/>
              <w:spacing w:before="0" w:after="283"/>
              <w:jc w:val="both"/>
              <w:rPr/>
            </w:pPr>
            <w:r>
              <w:rPr/>
              <w:t>No Commitment Party is responsible for the obligations of any other Commitment Party.</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18"/>
        <w:gridCol w:w="806"/>
        <w:gridCol w:w="9181"/>
      </w:tblGrid>
      <w:tr>
        <w:trPr/>
        <w:tc>
          <w:tcPr>
            <w:tcW w:w="218"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rFonts w:ascii="Times New Roman;Times;Serif" w:hAnsi="Times New Roman;Times;Serif"/>
                <w:b/>
                <w:caps/>
                <w:color w:val="010000"/>
              </w:rPr>
            </w:pPr>
            <w:r>
              <w:rPr>
                <w:rFonts w:ascii="Times New Roman;Times;Serif" w:hAnsi="Times New Roman;Times;Serif"/>
                <w:b/>
                <w:caps/>
                <w:color w:val="010000"/>
              </w:rPr>
              <w:t>4</w:t>
            </w:r>
          </w:p>
        </w:tc>
        <w:tc>
          <w:tcPr>
            <w:tcW w:w="9181" w:type="dxa"/>
            <w:tcBorders/>
            <w:shd w:fill="auto" w:val="clear"/>
            <w:vAlign w:val="center"/>
          </w:tcPr>
          <w:p>
            <w:pPr>
              <w:pStyle w:val="TableContents"/>
              <w:spacing w:before="0" w:after="283"/>
              <w:rPr>
                <w:b/>
                <w:caps/>
              </w:rPr>
            </w:pPr>
            <w:r>
              <w:rPr>
                <w:b/>
                <w:caps/>
              </w:rPr>
              <w:t>Conditions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20"/>
        <w:gridCol w:w="9848"/>
      </w:tblGrid>
      <w:tr>
        <w:trPr/>
        <w:tc>
          <w:tcPr>
            <w:tcW w:w="37"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rFonts w:ascii="Times New Roman;Times;Serif" w:hAnsi="Times New Roman;Times;Serif"/>
                <w:color w:val="010000"/>
              </w:rPr>
            </w:pPr>
            <w:r>
              <w:rPr>
                <w:rFonts w:ascii="Times New Roman;Times;Serif" w:hAnsi="Times New Roman;Times;Serif"/>
                <w:color w:val="010000"/>
              </w:rPr>
              <w:t>4.1</w:t>
            </w:r>
          </w:p>
        </w:tc>
        <w:tc>
          <w:tcPr>
            <w:tcW w:w="9848" w:type="dxa"/>
            <w:tcBorders/>
            <w:shd w:fill="auto" w:val="clear"/>
            <w:vAlign w:val="center"/>
          </w:tcPr>
          <w:p>
            <w:pPr>
              <w:pStyle w:val="TableContents"/>
              <w:spacing w:before="0" w:after="283"/>
              <w:jc w:val="both"/>
              <w:rPr/>
            </w:pPr>
            <w:r>
              <w:rPr/>
              <w:t>Our commitment to arrange and manage the primary syndication and to underwrite the relevant proportion of the Bridge Facility, to be arranged and/or underwritten by us, on the terms set out in the Commitment Documents, is subject only to satisfaction of the following conditions: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7"/>
        <w:gridCol w:w="345"/>
        <w:gridCol w:w="9813"/>
      </w:tblGrid>
      <w:tr>
        <w:trPr/>
        <w:tc>
          <w:tcPr>
            <w:tcW w:w="47"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(a)</w:t>
            </w:r>
          </w:p>
        </w:tc>
        <w:tc>
          <w:tcPr>
            <w:tcW w:w="9813" w:type="dxa"/>
            <w:tcBorders/>
            <w:shd w:fill="auto" w:val="clear"/>
            <w:vAlign w:val="center"/>
          </w:tcPr>
          <w:p>
            <w:pPr>
              <w:pStyle w:val="TableContents"/>
              <w:spacing w:before="0" w:after="283"/>
              <w:jc w:val="both"/>
              <w:rPr/>
            </w:pPr>
            <w:r>
              <w:rPr/>
              <w:t>compliance by the Company of all material terms of each Commitment Document;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59"/>
        <w:gridCol w:w="9909"/>
      </w:tblGrid>
      <w:tr>
        <w:trPr/>
        <w:tc>
          <w:tcPr>
            <w:tcW w:w="37"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(b)</w:t>
            </w:r>
          </w:p>
        </w:tc>
        <w:tc>
          <w:tcPr>
            <w:tcW w:w="9909" w:type="dxa"/>
            <w:tcBorders/>
            <w:shd w:fill="auto" w:val="clear"/>
            <w:vAlign w:val="center"/>
          </w:tcPr>
          <w:p>
            <w:pPr>
              <w:pStyle w:val="TableContents"/>
              <w:spacing w:before="0" w:after="283"/>
              <w:jc w:val="both"/>
              <w:rPr/>
            </w:pPr>
            <w:r>
              <w:rPr/>
              <w:t>absence of any Material Adverse Effect (as defined in the Bridge Facility Term Sheet) and any Partnership Material Adverse Effect (as defined in the Merger Agreement);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14"/>
        <w:gridCol w:w="9954"/>
      </w:tblGrid>
      <w:tr>
        <w:trPr/>
        <w:tc>
          <w:tcPr>
            <w:tcW w:w="37"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(c)</w:t>
            </w:r>
          </w:p>
        </w:tc>
        <w:tc>
          <w:tcPr>
            <w:tcW w:w="9954" w:type="dxa"/>
            <w:tcBorders/>
            <w:shd w:fill="auto" w:val="clear"/>
            <w:vAlign w:val="center"/>
          </w:tcPr>
          <w:p>
            <w:pPr>
              <w:pStyle w:val="TableContents"/>
              <w:spacing w:before="0" w:after="283"/>
              <w:jc w:val="both"/>
              <w:rPr/>
            </w:pPr>
            <w:r>
              <w:rPr/>
              <w:t>each of the representations set out in clause 7 and each of the Specified Representations (as defined below) applicable to the Finance Documents but also mutatis mutandis to the Commitment Documents, being correct in all material respects (unless already qualified by materiality or “material adverse effect”(or similar expressions), in which case they shall be correct in all respects) at all times from the date of this letter until the date of the Bridge Facility Agreement;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62"/>
        <w:gridCol w:w="9906"/>
      </w:tblGrid>
      <w:tr>
        <w:trPr/>
        <w:tc>
          <w:tcPr>
            <w:tcW w:w="37"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(d)</w:t>
            </w:r>
          </w:p>
        </w:tc>
        <w:tc>
          <w:tcPr>
            <w:tcW w:w="9906" w:type="dxa"/>
            <w:tcBorders/>
            <w:shd w:fill="auto" w:val="clear"/>
            <w:vAlign w:val="center"/>
          </w:tcPr>
          <w:p>
            <w:pPr>
              <w:pStyle w:val="TableContents"/>
              <w:spacing w:before="0" w:after="283"/>
              <w:jc w:val="both"/>
              <w:rPr/>
            </w:pPr>
            <w:r>
              <w:rPr/>
              <w:t>the preparation, execution and delivery of the Bridge Facility Agreement as required in accordance with paragraph 2 above and the other Finance Documents;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22"/>
        <w:gridCol w:w="9946"/>
      </w:tblGrid>
      <w:tr>
        <w:trPr/>
        <w:tc>
          <w:tcPr>
            <w:tcW w:w="37"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(e)</w:t>
            </w:r>
          </w:p>
        </w:tc>
        <w:tc>
          <w:tcPr>
            <w:tcW w:w="9946" w:type="dxa"/>
            <w:tcBorders/>
            <w:shd w:fill="auto" w:val="clear"/>
            <w:vAlign w:val="center"/>
          </w:tcPr>
          <w:p>
            <w:pPr>
              <w:pStyle w:val="TableContents"/>
              <w:spacing w:before="0" w:after="283"/>
              <w:jc w:val="both"/>
              <w:rPr/>
            </w:pPr>
            <w:r>
              <w:rPr/>
              <w:t>there being no event or circumstance in relation to the provision of the Bridge Facility which would result in any Commitment Party acting contrary to any applicable law, regulation, treaty or official directive applicable to us (and we have not been able to resolve such issue by the relevant time after using reasonable efforts);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0"/>
        <w:gridCol w:w="261"/>
        <w:gridCol w:w="9904"/>
      </w:tblGrid>
      <w:tr>
        <w:trPr/>
        <w:tc>
          <w:tcPr>
            <w:tcW w:w="4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(f)</w:t>
            </w:r>
          </w:p>
        </w:tc>
        <w:tc>
          <w:tcPr>
            <w:tcW w:w="9904" w:type="dxa"/>
            <w:tcBorders/>
            <w:shd w:fill="auto" w:val="clear"/>
            <w:vAlign w:val="center"/>
          </w:tcPr>
          <w:p>
            <w:pPr>
              <w:pStyle w:val="TableContents"/>
              <w:spacing w:before="0" w:after="283"/>
              <w:jc w:val="both"/>
              <w:rPr/>
            </w:pPr>
            <w:r>
              <w:rPr/>
              <w:t>completion of client identification procedures and all due diligence in respect of the Borrower; and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52"/>
        <w:gridCol w:w="9916"/>
      </w:tblGrid>
      <w:tr>
        <w:trPr/>
        <w:tc>
          <w:tcPr>
            <w:tcW w:w="37"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(g)</w:t>
            </w:r>
          </w:p>
        </w:tc>
        <w:tc>
          <w:tcPr>
            <w:tcW w:w="9916" w:type="dxa"/>
            <w:tcBorders/>
            <w:shd w:fill="auto" w:val="clear"/>
            <w:vAlign w:val="center"/>
          </w:tcPr>
          <w:p>
            <w:pPr>
              <w:pStyle w:val="TableContents"/>
              <w:spacing w:before="0" w:after="283"/>
              <w:jc w:val="both"/>
              <w:rPr/>
            </w:pPr>
            <w:r>
              <w:rPr/>
              <w:t>completion of legal, regulatory and financial due diligence in respect of the Borrower, the Target and the Target Group, the results being in all respects satisfactory to each of the Commitment Parties,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there are no other conditions, express or implied, to such commitment.</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purposes of this letter, </w:t>
      </w:r>
      <w:r>
        <w:rPr>
          <w:rFonts w:ascii="Times New Roman;Times;Serif" w:hAnsi="Times New Roman;Times;Serif"/>
          <w:b/>
          <w:i w:val="false"/>
          <w:caps w:val="false"/>
          <w:smallCaps w:val="false"/>
          <w:sz w:val="20"/>
        </w:rPr>
        <w:t xml:space="preserve">Specified Representations </w:t>
      </w:r>
      <w:r>
        <w:rPr>
          <w:rFonts w:ascii="Times New Roman;Times;Serif" w:hAnsi="Times New Roman;Times;Serif"/>
          <w:b w:val="false"/>
          <w:i w:val="false"/>
          <w:caps w:val="false"/>
          <w:smallCaps w:val="false"/>
          <w:sz w:val="20"/>
        </w:rPr>
        <w:t>means the representations and warranties made by the Obligors in the Bridge Facility Agreement relating as to due organization and existence of the Obligors, requisite power and authority of the Obligors to enter into the Finance Documents and consummate the transactions thereunder, the due authorization, execution and delivery of the Finance Documents by the Obligors and enforceability of the Finance Documents against the Obligors, the Finance Documents and the transactions thereunder not conflicting with laws (except to extent such conflict would not reasonably be expected to have a Material Adverse Effect (as defined in the Bridge Facility Term Sheet)) or the organizational documents of the Obligors, solvency of the Obligors and their subsidiaries (including after giving effect to the Transaction) and proceeds not used in violation of anti-corruption laws and sanctions.</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95"/>
        <w:gridCol w:w="1647"/>
        <w:gridCol w:w="8363"/>
      </w:tblGrid>
      <w:tr>
        <w:trPr/>
        <w:tc>
          <w:tcPr>
            <w:tcW w:w="195" w:type="dxa"/>
            <w:tcBorders/>
            <w:shd w:fill="auto" w:val="clear"/>
            <w:vAlign w:val="center"/>
          </w:tcPr>
          <w:p>
            <w:pPr>
              <w:pStyle w:val="TableContents"/>
              <w:spacing w:before="0" w:after="283"/>
              <w:rPr>
                <w:sz w:val="4"/>
                <w:szCs w:val="4"/>
              </w:rPr>
            </w:pPr>
            <w:r>
              <w:rPr>
                <w:sz w:val="4"/>
                <w:szCs w:val="4"/>
              </w:rPr>
            </w:r>
          </w:p>
        </w:tc>
        <w:tc>
          <w:tcPr>
            <w:tcW w:w="1647" w:type="dxa"/>
            <w:tcBorders/>
            <w:shd w:fill="auto" w:val="clear"/>
            <w:vAlign w:val="center"/>
          </w:tcPr>
          <w:p>
            <w:pPr>
              <w:pStyle w:val="TableContents"/>
              <w:spacing w:before="0" w:after="283"/>
              <w:rPr>
                <w:rFonts w:ascii="Times New Roman;Times;Serif" w:hAnsi="Times New Roman;Times;Serif"/>
                <w:color w:val="010000"/>
              </w:rPr>
            </w:pPr>
            <w:r>
              <w:rPr>
                <w:rFonts w:ascii="Times New Roman;Times;Serif" w:hAnsi="Times New Roman;Times;Serif"/>
                <w:color w:val="010000"/>
              </w:rPr>
              <w:t>4.2</w:t>
            </w:r>
          </w:p>
        </w:tc>
        <w:tc>
          <w:tcPr>
            <w:tcW w:w="8363" w:type="dxa"/>
            <w:tcBorders/>
            <w:shd w:fill="auto" w:val="clear"/>
            <w:vAlign w:val="center"/>
          </w:tcPr>
          <w:p>
            <w:pPr>
              <w:pStyle w:val="TableContents"/>
              <w:spacing w:before="0" w:after="283"/>
              <w:jc w:val="both"/>
              <w:rPr/>
            </w:pPr>
            <w:r>
              <w:rPr/>
              <w:t>We confirm that: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14"/>
        <w:gridCol w:w="9954"/>
      </w:tblGrid>
      <w:tr>
        <w:trPr/>
        <w:tc>
          <w:tcPr>
            <w:tcW w:w="37"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(a)</w:t>
            </w:r>
          </w:p>
        </w:tc>
        <w:tc>
          <w:tcPr>
            <w:tcW w:w="9954" w:type="dxa"/>
            <w:tcBorders/>
            <w:shd w:fill="auto" w:val="clear"/>
            <w:vAlign w:val="center"/>
          </w:tcPr>
          <w:p>
            <w:pPr>
              <w:pStyle w:val="TableContents"/>
              <w:spacing w:before="0" w:after="283"/>
              <w:jc w:val="both"/>
              <w:rPr/>
            </w:pPr>
            <w:r>
              <w:rPr/>
              <w:t>we have obtained all necessary approvals (including credit committee approvals and all other relevant internal approvals) to allow us to arrange, manage, underwrite and/or make available the Bridge Facility to be arranged, managed, underwritten and/or made available by us in the amounts specified in the first paragraph of this letter and do not require any further internal credit sanctions or other approvals in order to arrange, manage and underwrite the Bridge Facility in such amounts; and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68"/>
        <w:gridCol w:w="9900"/>
      </w:tblGrid>
      <w:tr>
        <w:trPr/>
        <w:tc>
          <w:tcPr>
            <w:tcW w:w="37"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(b)</w:t>
            </w:r>
          </w:p>
        </w:tc>
        <w:tc>
          <w:tcPr>
            <w:tcW w:w="9900" w:type="dxa"/>
            <w:tcBorders/>
            <w:shd w:fill="auto" w:val="clear"/>
            <w:vAlign w:val="center"/>
          </w:tcPr>
          <w:p>
            <w:pPr>
              <w:pStyle w:val="TableContents"/>
              <w:spacing w:before="0" w:after="283"/>
              <w:jc w:val="both"/>
              <w:rPr/>
            </w:pPr>
            <w:r>
              <w:rPr/>
              <w:t>there are no other conditions, express or implied, to our commitment to arrange, manage, underwrite and/or make available the Bridge Facility.</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05"/>
        <w:gridCol w:w="388"/>
        <w:gridCol w:w="9712"/>
      </w:tblGrid>
      <w:tr>
        <w:trPr/>
        <w:tc>
          <w:tcPr>
            <w:tcW w:w="105"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rFonts w:ascii="Times New Roman;Times;Serif" w:hAnsi="Times New Roman;Times;Serif"/>
                <w:b/>
                <w:caps/>
                <w:color w:val="010000"/>
              </w:rPr>
            </w:pPr>
            <w:r>
              <w:rPr>
                <w:rFonts w:ascii="Times New Roman;Times;Serif" w:hAnsi="Times New Roman;Times;Serif"/>
                <w:b/>
                <w:caps/>
                <w:color w:val="010000"/>
              </w:rPr>
              <w:t>5</w:t>
            </w:r>
          </w:p>
        </w:tc>
        <w:tc>
          <w:tcPr>
            <w:tcW w:w="9712" w:type="dxa"/>
            <w:tcBorders/>
            <w:shd w:fill="auto" w:val="clear"/>
            <w:vAlign w:val="center"/>
          </w:tcPr>
          <w:p>
            <w:pPr>
              <w:pStyle w:val="TableContents"/>
              <w:spacing w:before="0" w:after="283"/>
              <w:rPr>
                <w:b/>
                <w:caps/>
              </w:rPr>
            </w:pPr>
            <w:r>
              <w:rPr>
                <w:b/>
                <w:caps/>
              </w:rPr>
              <w:t>Fees, Costs And Expenses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20"/>
        <w:gridCol w:w="9848"/>
      </w:tblGrid>
      <w:tr>
        <w:trPr/>
        <w:tc>
          <w:tcPr>
            <w:tcW w:w="37"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rFonts w:ascii="Times New Roman;Times;Serif" w:hAnsi="Times New Roman;Times;Serif"/>
                <w:color w:val="010000"/>
              </w:rPr>
            </w:pPr>
            <w:r>
              <w:rPr>
                <w:rFonts w:ascii="Times New Roman;Times;Serif" w:hAnsi="Times New Roman;Times;Serif"/>
                <w:color w:val="010000"/>
              </w:rPr>
              <w:t>5.1</w:t>
            </w:r>
          </w:p>
        </w:tc>
        <w:tc>
          <w:tcPr>
            <w:tcW w:w="9848" w:type="dxa"/>
            <w:tcBorders/>
            <w:shd w:fill="auto" w:val="clear"/>
            <w:vAlign w:val="center"/>
          </w:tcPr>
          <w:p>
            <w:pPr>
              <w:pStyle w:val="TableContents"/>
              <w:spacing w:before="0" w:after="283"/>
              <w:jc w:val="both"/>
              <w:rPr/>
            </w:pPr>
            <w:r>
              <w:rPr/>
              <w:t xml:space="preserve">All of our fees, costs and expenses and the fees, costs and expenses of the Agent (under and as defined in the Bridge Facility Agreement) shall be paid in accordance with the provisions of any letter setting out fees payable in respect of the Bridge Facility Agreement (the </w:t>
            </w:r>
            <w:r>
              <w:rPr>
                <w:b/>
              </w:rPr>
              <w:t>Bridge Facility Fee Letter</w:t>
            </w:r>
            <w:r>
              <w:rPr/>
              <w:t>), as set out in paragraph 5.2 below or as set out in the Bridge Facility Term Sheet (in each case without double counting).</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20"/>
        <w:gridCol w:w="9848"/>
      </w:tblGrid>
      <w:tr>
        <w:trPr/>
        <w:tc>
          <w:tcPr>
            <w:tcW w:w="37"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rFonts w:ascii="Times New Roman;Times;Serif" w:hAnsi="Times New Roman;Times;Serif"/>
                <w:color w:val="010000"/>
              </w:rPr>
            </w:pPr>
            <w:r>
              <w:rPr>
                <w:rFonts w:ascii="Times New Roman;Times;Serif" w:hAnsi="Times New Roman;Times;Serif"/>
                <w:color w:val="010000"/>
              </w:rPr>
              <w:t>5.2</w:t>
            </w:r>
          </w:p>
        </w:tc>
        <w:tc>
          <w:tcPr>
            <w:tcW w:w="9848" w:type="dxa"/>
            <w:tcBorders/>
            <w:shd w:fill="auto" w:val="clear"/>
            <w:vAlign w:val="center"/>
          </w:tcPr>
          <w:p>
            <w:pPr>
              <w:pStyle w:val="TableContents"/>
              <w:spacing w:before="0" w:after="283"/>
              <w:jc w:val="both"/>
              <w:rPr/>
            </w:pPr>
            <w:r>
              <w:rPr/>
              <w:t>The Company shall promptly on demand pay the Agent (under and as defined in the Bridge Facility Agreement) and the Commitment Parties: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12"/>
        <w:gridCol w:w="9956"/>
      </w:tblGrid>
      <w:tr>
        <w:trPr/>
        <w:tc>
          <w:tcPr>
            <w:tcW w:w="37"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(a)</w:t>
            </w:r>
          </w:p>
        </w:tc>
        <w:tc>
          <w:tcPr>
            <w:tcW w:w="9956" w:type="dxa"/>
            <w:tcBorders/>
            <w:shd w:fill="auto" w:val="clear"/>
            <w:vAlign w:val="center"/>
          </w:tcPr>
          <w:p>
            <w:pPr>
              <w:pStyle w:val="TableContents"/>
              <w:spacing w:before="0" w:after="283"/>
              <w:jc w:val="both"/>
              <w:rPr/>
            </w:pPr>
            <w:r>
              <w:rPr/>
              <w:t>all reasonable and documented out-of-pocket costs and expenses (limited, in the case of legal fees, to the reasonable and documented fees for one firm of outside counsel to the Agent and the Commitment Parties on matters of English law and one local counsel in any relevant jurisdiction), reasonably incurred by any of them in connection with the negotiation, preparation, printing and execution of the Commitment Documents and/or the Finance Documents and the primary syndication of the Bridge Facility, whether or not the Finance Documents are signed;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87"/>
        <w:gridCol w:w="9881"/>
      </w:tblGrid>
      <w:tr>
        <w:trPr/>
        <w:tc>
          <w:tcPr>
            <w:tcW w:w="37"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(b)</w:t>
            </w:r>
          </w:p>
        </w:tc>
        <w:tc>
          <w:tcPr>
            <w:tcW w:w="9881" w:type="dxa"/>
            <w:tcBorders/>
            <w:shd w:fill="auto" w:val="clear"/>
            <w:vAlign w:val="center"/>
          </w:tcPr>
          <w:p>
            <w:pPr>
              <w:pStyle w:val="TableContents"/>
              <w:spacing w:before="0" w:after="283"/>
              <w:jc w:val="both"/>
              <w:rPr/>
            </w:pPr>
            <w:r>
              <w:rPr/>
              <w:t>arrangement fees in the amount, and in accordance with the terms, set out in the Bridge Facility Term Sheet;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69"/>
        <w:gridCol w:w="1229"/>
        <w:gridCol w:w="8807"/>
      </w:tblGrid>
      <w:tr>
        <w:trPr/>
        <w:tc>
          <w:tcPr>
            <w:tcW w:w="169" w:type="dxa"/>
            <w:tcBorders/>
            <w:shd w:fill="auto" w:val="clear"/>
            <w:vAlign w:val="center"/>
          </w:tcPr>
          <w:p>
            <w:pPr>
              <w:pStyle w:val="TableContents"/>
              <w:spacing w:before="0" w:after="283"/>
              <w:rPr>
                <w:sz w:val="4"/>
                <w:szCs w:val="4"/>
              </w:rPr>
            </w:pPr>
            <w:r>
              <w:rPr>
                <w:sz w:val="4"/>
                <w:szCs w:val="4"/>
              </w:rPr>
            </w:r>
          </w:p>
        </w:tc>
        <w:tc>
          <w:tcPr>
            <w:tcW w:w="1229"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(c)</w:t>
            </w:r>
          </w:p>
        </w:tc>
        <w:tc>
          <w:tcPr>
            <w:tcW w:w="8807" w:type="dxa"/>
            <w:tcBorders/>
            <w:shd w:fill="auto" w:val="clear"/>
            <w:vAlign w:val="center"/>
          </w:tcPr>
          <w:p>
            <w:pPr>
              <w:pStyle w:val="TableContents"/>
              <w:spacing w:before="0" w:after="283"/>
              <w:jc w:val="both"/>
              <w:rPr/>
            </w:pPr>
            <w:r>
              <w:rPr/>
              <w:t>[REDACTED]; and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87"/>
        <w:gridCol w:w="9881"/>
      </w:tblGrid>
      <w:tr>
        <w:trPr/>
        <w:tc>
          <w:tcPr>
            <w:tcW w:w="37"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(d)</w:t>
            </w:r>
          </w:p>
        </w:tc>
        <w:tc>
          <w:tcPr>
            <w:tcW w:w="9881" w:type="dxa"/>
            <w:tcBorders/>
            <w:shd w:fill="auto" w:val="clear"/>
            <w:vAlign w:val="center"/>
          </w:tcPr>
          <w:p>
            <w:pPr>
              <w:pStyle w:val="TableContents"/>
              <w:spacing w:before="0" w:after="283"/>
              <w:jc w:val="both"/>
              <w:rPr/>
            </w:pPr>
            <w:r>
              <w:rPr/>
              <w:t>commitment fees in the amount, and in accordance with the terms, set out in the Bridge Facility Term Sheet.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43"/>
        <w:gridCol w:w="897"/>
        <w:gridCol w:w="9065"/>
      </w:tblGrid>
      <w:tr>
        <w:trPr/>
        <w:tc>
          <w:tcPr>
            <w:tcW w:w="243"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rFonts w:ascii="Times New Roman;Times;Serif" w:hAnsi="Times New Roman;Times;Serif"/>
                <w:b/>
                <w:caps/>
                <w:color w:val="010000"/>
              </w:rPr>
            </w:pPr>
            <w:r>
              <w:rPr>
                <w:rFonts w:ascii="Times New Roman;Times;Serif" w:hAnsi="Times New Roman;Times;Serif"/>
                <w:b/>
                <w:caps/>
                <w:color w:val="010000"/>
              </w:rPr>
              <w:t>6</w:t>
            </w:r>
          </w:p>
        </w:tc>
        <w:tc>
          <w:tcPr>
            <w:tcW w:w="9065" w:type="dxa"/>
            <w:tcBorders/>
            <w:shd w:fill="auto" w:val="clear"/>
            <w:vAlign w:val="center"/>
          </w:tcPr>
          <w:p>
            <w:pPr>
              <w:pStyle w:val="TableContents"/>
              <w:spacing w:before="0" w:after="283"/>
              <w:rPr>
                <w:b/>
                <w:caps/>
              </w:rPr>
            </w:pPr>
            <w:r>
              <w:rPr>
                <w:b/>
                <w:caps/>
              </w:rPr>
              <w:t>Payments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63"/>
        <w:gridCol w:w="457"/>
        <w:gridCol w:w="9685"/>
      </w:tblGrid>
      <w:tr>
        <w:trPr/>
        <w:tc>
          <w:tcPr>
            <w:tcW w:w="63"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(a)</w:t>
            </w:r>
          </w:p>
        </w:tc>
        <w:tc>
          <w:tcPr>
            <w:tcW w:w="9685" w:type="dxa"/>
            <w:tcBorders/>
            <w:shd w:fill="auto" w:val="clear"/>
            <w:vAlign w:val="center"/>
          </w:tcPr>
          <w:p>
            <w:pPr>
              <w:pStyle w:val="TableContents"/>
              <w:spacing w:before="0" w:after="283"/>
              <w:jc w:val="both"/>
              <w:rPr/>
            </w:pPr>
            <w:r>
              <w:rPr/>
              <w:t>All payments to be made under the Commitment Documents: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83"/>
        <w:gridCol w:w="9985"/>
      </w:tblGrid>
      <w:tr>
        <w:trPr/>
        <w:tc>
          <w:tcPr>
            <w:tcW w:w="37"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rFonts w:ascii="Times New Roman;Times;Serif" w:hAnsi="Times New Roman;Times;Serif"/>
                <w:color w:val="010000"/>
              </w:rPr>
            </w:pPr>
            <w:r>
              <w:rPr>
                <w:rFonts w:ascii="Times New Roman;Times;Serif" w:hAnsi="Times New Roman;Times;Serif"/>
                <w:color w:val="010000"/>
              </w:rPr>
              <w:t>(i)</w:t>
            </w:r>
          </w:p>
        </w:tc>
        <w:tc>
          <w:tcPr>
            <w:tcW w:w="9985" w:type="dxa"/>
            <w:tcBorders/>
            <w:shd w:fill="auto" w:val="clear"/>
            <w:vAlign w:val="center"/>
          </w:tcPr>
          <w:p>
            <w:pPr>
              <w:pStyle w:val="TableContents"/>
              <w:spacing w:before="0" w:after="283"/>
              <w:jc w:val="both"/>
              <w:rPr/>
            </w:pPr>
            <w:r>
              <w:rPr/>
              <w:t>shall be paid in the currency of invoice and in immediately available, freely transferable cleared funds to such account with such bank(s) as the relevant Commitment Party shall notify to the Company with at least five (5) Business Days’ prior written notice;</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68"/>
        <w:gridCol w:w="9900"/>
      </w:tblGrid>
      <w:tr>
        <w:trPr/>
        <w:tc>
          <w:tcPr>
            <w:tcW w:w="37"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rFonts w:ascii="Times New Roman;Times;Serif" w:hAnsi="Times New Roman;Times;Serif"/>
                <w:color w:val="010000"/>
              </w:rPr>
            </w:pPr>
            <w:r>
              <w:rPr>
                <w:rFonts w:ascii="Times New Roman;Times;Serif" w:hAnsi="Times New Roman;Times;Serif"/>
                <w:color w:val="010000"/>
              </w:rPr>
              <w:t>(ii)</w:t>
            </w:r>
          </w:p>
        </w:tc>
        <w:tc>
          <w:tcPr>
            <w:tcW w:w="9900" w:type="dxa"/>
            <w:tcBorders/>
            <w:shd w:fill="auto" w:val="clear"/>
            <w:vAlign w:val="center"/>
          </w:tcPr>
          <w:p>
            <w:pPr>
              <w:pStyle w:val="TableContents"/>
              <w:spacing w:before="0" w:after="283"/>
              <w:jc w:val="both"/>
              <w:rPr/>
            </w:pPr>
            <w:r>
              <w:rPr/>
              <w:t xml:space="preserve">shall be paid without any deduction or withholding for or on account of tax (a </w:t>
            </w:r>
            <w:r>
              <w:rPr>
                <w:b/>
                <w:i/>
              </w:rPr>
              <w:t>Tax Deduction</w:t>
            </w:r>
            <w:r>
              <w:rPr/>
              <w:t>) unless a Tax Deduction is required by law; and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61"/>
        <w:gridCol w:w="573"/>
        <w:gridCol w:w="9571"/>
      </w:tblGrid>
      <w:tr>
        <w:trPr/>
        <w:tc>
          <w:tcPr>
            <w:tcW w:w="61"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rFonts w:ascii="Times New Roman;Times;Serif" w:hAnsi="Times New Roman;Times;Serif"/>
                <w:color w:val="010000"/>
              </w:rPr>
            </w:pPr>
            <w:r>
              <w:rPr>
                <w:rFonts w:ascii="Times New Roman;Times;Serif" w:hAnsi="Times New Roman;Times;Serif"/>
                <w:color w:val="010000"/>
              </w:rPr>
              <w:t>(iii)</w:t>
            </w:r>
          </w:p>
        </w:tc>
        <w:tc>
          <w:tcPr>
            <w:tcW w:w="9571" w:type="dxa"/>
            <w:tcBorders/>
            <w:shd w:fill="auto" w:val="clear"/>
            <w:vAlign w:val="center"/>
          </w:tcPr>
          <w:p>
            <w:pPr>
              <w:pStyle w:val="TableContents"/>
              <w:spacing w:before="0" w:after="283"/>
              <w:jc w:val="both"/>
              <w:rPr/>
            </w:pPr>
            <w:r>
              <w:rPr/>
              <w:t>are exclusive of any value added tax or similar charge (</w:t>
            </w:r>
            <w:r>
              <w:rPr>
                <w:b/>
                <w:i/>
              </w:rPr>
              <w:t>VAT</w:t>
            </w:r>
            <w:r>
              <w:rPr/>
              <w: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42"/>
        <w:gridCol w:w="9926"/>
      </w:tblGrid>
      <w:tr>
        <w:trPr/>
        <w:tc>
          <w:tcPr>
            <w:tcW w:w="37"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(b)</w:t>
            </w:r>
          </w:p>
        </w:tc>
        <w:tc>
          <w:tcPr>
            <w:tcW w:w="9926" w:type="dxa"/>
            <w:tcBorders/>
            <w:shd w:fill="auto" w:val="clear"/>
            <w:vAlign w:val="center"/>
          </w:tcPr>
          <w:p>
            <w:pPr>
              <w:pStyle w:val="TableContents"/>
              <w:spacing w:before="0" w:after="283"/>
              <w:jc w:val="both"/>
              <w:rPr/>
            </w:pPr>
            <w:r>
              <w:rPr/>
              <w:t>If a Tax Deduction is required to be made by law, the amount of the payment due shall be increased to an amount which (after making any Tax Deduction) leaves an amount equal to the payment which would have been due if no Tax Deduction had been required.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23"/>
        <w:gridCol w:w="9945"/>
      </w:tblGrid>
      <w:tr>
        <w:trPr/>
        <w:tc>
          <w:tcPr>
            <w:tcW w:w="37"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(c)</w:t>
            </w:r>
          </w:p>
        </w:tc>
        <w:tc>
          <w:tcPr>
            <w:tcW w:w="9945" w:type="dxa"/>
            <w:tcBorders/>
            <w:shd w:fill="auto" w:val="clear"/>
            <w:vAlign w:val="center"/>
          </w:tcPr>
          <w:p>
            <w:pPr>
              <w:pStyle w:val="TableContents"/>
              <w:spacing w:before="0" w:after="283"/>
              <w:jc w:val="both"/>
              <w:rPr/>
            </w:pPr>
            <w:r>
              <w:rPr/>
              <w:t>If VAT is chargeable, the Company shall also and at the same time pay to the recipient of the relevant payment an amount equal to the amount of the VAT against delivery of invoices and receipts as the Company may reasonably require in order to duly account for such VAT in accordance with applicable laws.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92"/>
        <w:gridCol w:w="710"/>
        <w:gridCol w:w="9303"/>
      </w:tblGrid>
      <w:tr>
        <w:trPr/>
        <w:tc>
          <w:tcPr>
            <w:tcW w:w="192"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rFonts w:ascii="Times New Roman;Times;Serif" w:hAnsi="Times New Roman;Times;Serif"/>
                <w:b/>
                <w:caps/>
                <w:color w:val="010000"/>
              </w:rPr>
            </w:pPr>
            <w:r>
              <w:rPr>
                <w:rFonts w:ascii="Times New Roman;Times;Serif" w:hAnsi="Times New Roman;Times;Serif"/>
                <w:b/>
                <w:caps/>
                <w:color w:val="010000"/>
              </w:rPr>
              <w:t>7</w:t>
            </w:r>
          </w:p>
        </w:tc>
        <w:tc>
          <w:tcPr>
            <w:tcW w:w="9303" w:type="dxa"/>
            <w:tcBorders/>
            <w:shd w:fill="auto" w:val="clear"/>
            <w:vAlign w:val="center"/>
          </w:tcPr>
          <w:p>
            <w:pPr>
              <w:pStyle w:val="TableContents"/>
              <w:spacing w:before="0" w:after="283"/>
              <w:rPr>
                <w:b/>
                <w:caps/>
              </w:rPr>
            </w:pPr>
            <w:r>
              <w:rPr>
                <w:b/>
                <w:caps/>
              </w:rPr>
              <w:t>Information</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20"/>
        <w:gridCol w:w="9848"/>
      </w:tblGrid>
      <w:tr>
        <w:trPr/>
        <w:tc>
          <w:tcPr>
            <w:tcW w:w="37"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rFonts w:ascii="Times New Roman;Times;Serif" w:hAnsi="Times New Roman;Times;Serif"/>
                <w:color w:val="010000"/>
              </w:rPr>
            </w:pPr>
            <w:r>
              <w:rPr>
                <w:rFonts w:ascii="Times New Roman;Times;Serif" w:hAnsi="Times New Roman;Times;Serif"/>
                <w:color w:val="010000"/>
              </w:rPr>
              <w:t>7.1</w:t>
            </w:r>
          </w:p>
        </w:tc>
        <w:tc>
          <w:tcPr>
            <w:tcW w:w="9848" w:type="dxa"/>
            <w:tcBorders/>
            <w:shd w:fill="auto" w:val="clear"/>
            <w:vAlign w:val="center"/>
          </w:tcPr>
          <w:p>
            <w:pPr>
              <w:pStyle w:val="TableContents"/>
              <w:spacing w:before="0" w:after="283"/>
              <w:jc w:val="both"/>
              <w:rPr/>
            </w:pPr>
            <w:r>
              <w:rPr/>
              <w:t>At the times set out in paragraph 7.2 below, the Company represents and warrants to us that, and in respect of representations and warranties given with respect to the Target Group, to its knowledge, that: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15"/>
        <w:gridCol w:w="9953"/>
      </w:tblGrid>
      <w:tr>
        <w:trPr/>
        <w:tc>
          <w:tcPr>
            <w:tcW w:w="37"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(a)</w:t>
            </w:r>
          </w:p>
        </w:tc>
        <w:tc>
          <w:tcPr>
            <w:tcW w:w="9953" w:type="dxa"/>
            <w:tcBorders/>
            <w:shd w:fill="auto" w:val="clear"/>
            <w:vAlign w:val="center"/>
          </w:tcPr>
          <w:p>
            <w:pPr>
              <w:pStyle w:val="TableContents"/>
              <w:spacing w:before="0" w:after="283"/>
              <w:jc w:val="both"/>
              <w:rPr/>
            </w:pPr>
            <w:r>
              <w:rPr/>
              <w:t xml:space="preserve">any material written factual information provided to us (other than projections and other forward-looking information and information of a general economic or industry-specific nature), taken as a whole, in connection with the Transaction by, or on behalf of it, or any other member of the Group in connection with the Transaction and/or the Target Group and/or the Group (the </w:t>
            </w:r>
            <w:r>
              <w:rPr>
                <w:b/>
                <w:i/>
              </w:rPr>
              <w:t>Information</w:t>
            </w:r>
            <w:r>
              <w:rPr/>
              <w:t>) is true and accurate in all material respects on:</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5</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62"/>
        <w:gridCol w:w="381"/>
        <w:gridCol w:w="9762"/>
      </w:tblGrid>
      <w:tr>
        <w:trPr/>
        <w:tc>
          <w:tcPr>
            <w:tcW w:w="62"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rFonts w:ascii="Times New Roman;Times;Serif" w:hAnsi="Times New Roman;Times;Serif"/>
                <w:color w:val="010000"/>
              </w:rPr>
            </w:pPr>
            <w:r>
              <w:rPr>
                <w:rFonts w:ascii="Times New Roman;Times;Serif" w:hAnsi="Times New Roman;Times;Serif"/>
                <w:color w:val="010000"/>
              </w:rPr>
              <w:t>(i)</w:t>
            </w:r>
          </w:p>
        </w:tc>
        <w:tc>
          <w:tcPr>
            <w:tcW w:w="9762" w:type="dxa"/>
            <w:tcBorders/>
            <w:shd w:fill="auto" w:val="clear"/>
            <w:vAlign w:val="center"/>
          </w:tcPr>
          <w:p>
            <w:pPr>
              <w:pStyle w:val="TableContents"/>
              <w:spacing w:before="0" w:after="283"/>
              <w:jc w:val="both"/>
              <w:rPr/>
            </w:pPr>
            <w:r>
              <w:rPr/>
              <w:t>where such Information is dated, the date of such Information;</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37"/>
        <w:gridCol w:w="9931"/>
      </w:tblGrid>
      <w:tr>
        <w:trPr/>
        <w:tc>
          <w:tcPr>
            <w:tcW w:w="3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rFonts w:ascii="Times New Roman;Times;Serif" w:hAnsi="Times New Roman;Times;Serif"/>
                <w:color w:val="010000"/>
              </w:rPr>
            </w:pPr>
            <w:r>
              <w:rPr>
                <w:rFonts w:ascii="Times New Roman;Times;Serif" w:hAnsi="Times New Roman;Times;Serif"/>
                <w:color w:val="010000"/>
              </w:rPr>
              <w:t>(ii)</w:t>
            </w:r>
          </w:p>
        </w:tc>
        <w:tc>
          <w:tcPr>
            <w:tcW w:w="9931" w:type="dxa"/>
            <w:tcBorders/>
            <w:shd w:fill="auto" w:val="clear"/>
            <w:vAlign w:val="center"/>
          </w:tcPr>
          <w:p>
            <w:pPr>
              <w:pStyle w:val="TableContents"/>
              <w:spacing w:before="0" w:after="283"/>
              <w:jc w:val="both"/>
              <w:rPr/>
            </w:pPr>
            <w:r>
              <w:rPr/>
              <w:t>where such Information is stated to be accurate as at a particular date or stated to be given by references to the facts and circumstances existing on a particular date, the date such Information is stated to be accurate or the date of the facts and circumstances by reference to which such Information is stated to be given; or</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64"/>
        <w:gridCol w:w="598"/>
        <w:gridCol w:w="9543"/>
      </w:tblGrid>
      <w:tr>
        <w:trPr/>
        <w:tc>
          <w:tcPr>
            <w:tcW w:w="64"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rFonts w:ascii="Times New Roman;Times;Serif" w:hAnsi="Times New Roman;Times;Serif"/>
                <w:color w:val="010000"/>
              </w:rPr>
            </w:pPr>
            <w:r>
              <w:rPr>
                <w:rFonts w:ascii="Times New Roman;Times;Serif" w:hAnsi="Times New Roman;Times;Serif"/>
                <w:color w:val="010000"/>
              </w:rPr>
              <w:t>(iii)</w:t>
            </w:r>
          </w:p>
        </w:tc>
        <w:tc>
          <w:tcPr>
            <w:tcW w:w="9543" w:type="dxa"/>
            <w:tcBorders/>
            <w:shd w:fill="auto" w:val="clear"/>
            <w:vAlign w:val="center"/>
          </w:tcPr>
          <w:p>
            <w:pPr>
              <w:pStyle w:val="TableContents"/>
              <w:spacing w:before="0" w:after="283"/>
              <w:jc w:val="both"/>
              <w:rPr/>
            </w:pPr>
            <w:r>
              <w:rPr/>
              <w:t>otherwise, the date on which such Information is provided;</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after giving effect to all supplements thereto provided before the date of this letter;</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35"/>
        <w:gridCol w:w="9933"/>
      </w:tblGrid>
      <w:tr>
        <w:trPr/>
        <w:tc>
          <w:tcPr>
            <w:tcW w:w="37"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(b)</w:t>
            </w:r>
          </w:p>
        </w:tc>
        <w:tc>
          <w:tcPr>
            <w:tcW w:w="9933" w:type="dxa"/>
            <w:tcBorders/>
            <w:shd w:fill="auto" w:val="clear"/>
            <w:vAlign w:val="center"/>
          </w:tcPr>
          <w:p>
            <w:pPr>
              <w:pStyle w:val="TableContents"/>
              <w:spacing w:before="0" w:after="283"/>
              <w:jc w:val="both"/>
              <w:rPr/>
            </w:pPr>
            <w:r>
              <w:rPr/>
              <w:t>nothing has occurred or been omitted and no information has been given or withheld that results in the Information being untrue or misleading in any material respect in light of the circumstances under which such statements were or are made, in each case, after giving effect to all supplements thereto provided before the date of this letter; and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10"/>
        <w:gridCol w:w="9958"/>
      </w:tblGrid>
      <w:tr>
        <w:trPr/>
        <w:tc>
          <w:tcPr>
            <w:tcW w:w="37"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(c)</w:t>
            </w:r>
          </w:p>
        </w:tc>
        <w:tc>
          <w:tcPr>
            <w:tcW w:w="9958" w:type="dxa"/>
            <w:tcBorders/>
            <w:shd w:fill="auto" w:val="clear"/>
            <w:vAlign w:val="center"/>
          </w:tcPr>
          <w:p>
            <w:pPr>
              <w:pStyle w:val="TableContents"/>
              <w:spacing w:before="0" w:after="283"/>
              <w:jc w:val="both"/>
              <w:rPr/>
            </w:pPr>
            <w:r>
              <w:rPr/>
              <w:t>any financial projections provided by or on behalf of the Company or any other member of the Group in connection with the Transaction have been prepared in good faith on the basis of reasonable assumptions (it being understood that such projections are as to future events and are not to be viewed as facts, that such projections may be subject to significant uncertainties and contingencies, many of which are beyond the control of the Company, that no assurance can be given that the projections will be realised and that the actual results during the period or periods covered by any such projections may differ significantly from the projected results and such differences may be material).</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20"/>
        <w:gridCol w:w="9848"/>
      </w:tblGrid>
      <w:tr>
        <w:trPr/>
        <w:tc>
          <w:tcPr>
            <w:tcW w:w="37"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rFonts w:ascii="Times New Roman;Times;Serif" w:hAnsi="Times New Roman;Times;Serif"/>
                <w:color w:val="010000"/>
              </w:rPr>
            </w:pPr>
            <w:r>
              <w:rPr>
                <w:rFonts w:ascii="Times New Roman;Times;Serif" w:hAnsi="Times New Roman;Times;Serif"/>
                <w:color w:val="010000"/>
              </w:rPr>
              <w:t>7.2</w:t>
            </w:r>
          </w:p>
        </w:tc>
        <w:tc>
          <w:tcPr>
            <w:tcW w:w="9848" w:type="dxa"/>
            <w:tcBorders/>
            <w:shd w:fill="auto" w:val="clear"/>
            <w:vAlign w:val="center"/>
          </w:tcPr>
          <w:p>
            <w:pPr>
              <w:pStyle w:val="TableContents"/>
              <w:spacing w:before="0" w:after="283"/>
              <w:jc w:val="both"/>
              <w:rPr/>
            </w:pPr>
            <w:r>
              <w:rPr/>
              <w:t>The representations and warranties set out in paragraph 7.1 above are deemed to be made by the Company on the date of this letter and by reference to the facts and circumstances existing on the date hereof (or otherwise in respect of the period to which the relevant Information or projections are expressed to relate or the representations in respect thereof are expressed to be given).</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20"/>
        <w:gridCol w:w="9848"/>
      </w:tblGrid>
      <w:tr>
        <w:trPr/>
        <w:tc>
          <w:tcPr>
            <w:tcW w:w="37"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rFonts w:ascii="Times New Roman;Times;Serif" w:hAnsi="Times New Roman;Times;Serif"/>
                <w:color w:val="010000"/>
              </w:rPr>
            </w:pPr>
            <w:r>
              <w:rPr>
                <w:rFonts w:ascii="Times New Roman;Times;Serif" w:hAnsi="Times New Roman;Times;Serif"/>
                <w:color w:val="010000"/>
              </w:rPr>
              <w:t>7.3</w:t>
            </w:r>
          </w:p>
        </w:tc>
        <w:tc>
          <w:tcPr>
            <w:tcW w:w="9848" w:type="dxa"/>
            <w:tcBorders/>
            <w:shd w:fill="auto" w:val="clear"/>
            <w:vAlign w:val="center"/>
          </w:tcPr>
          <w:p>
            <w:pPr>
              <w:pStyle w:val="TableContents"/>
              <w:spacing w:before="0" w:after="283"/>
              <w:jc w:val="both"/>
              <w:rPr/>
            </w:pPr>
            <w:r>
              <w:rPr/>
              <w:t>The Company acknowledges that we will be relying on the Information without carrying out independent verification.</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20"/>
        <w:gridCol w:w="9848"/>
      </w:tblGrid>
      <w:tr>
        <w:trPr/>
        <w:tc>
          <w:tcPr>
            <w:tcW w:w="37"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rFonts w:ascii="Times New Roman;Times;Serif" w:hAnsi="Times New Roman;Times;Serif"/>
                <w:color w:val="010000"/>
              </w:rPr>
            </w:pPr>
            <w:r>
              <w:rPr>
                <w:rFonts w:ascii="Times New Roman;Times;Serif" w:hAnsi="Times New Roman;Times;Serif"/>
                <w:color w:val="010000"/>
              </w:rPr>
              <w:t>7.4</w:t>
            </w:r>
          </w:p>
        </w:tc>
        <w:tc>
          <w:tcPr>
            <w:tcW w:w="9848" w:type="dxa"/>
            <w:tcBorders/>
            <w:shd w:fill="auto" w:val="clear"/>
            <w:vAlign w:val="center"/>
          </w:tcPr>
          <w:p>
            <w:pPr>
              <w:pStyle w:val="TableContents"/>
              <w:spacing w:before="0" w:after="283"/>
              <w:jc w:val="both"/>
              <w:rPr/>
            </w:pPr>
            <w:r>
              <w:rPr/>
              <w:t>The representations and warranties in paragraph 7.1 above will be superseded by those in the Bridge Facility Agreement.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32"/>
        <w:gridCol w:w="856"/>
        <w:gridCol w:w="9117"/>
      </w:tblGrid>
      <w:tr>
        <w:trPr/>
        <w:tc>
          <w:tcPr>
            <w:tcW w:w="232"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rFonts w:ascii="Times New Roman;Times;Serif" w:hAnsi="Times New Roman;Times;Serif"/>
                <w:b/>
                <w:caps/>
                <w:color w:val="010000"/>
              </w:rPr>
            </w:pPr>
            <w:r>
              <w:rPr>
                <w:rFonts w:ascii="Times New Roman;Times;Serif" w:hAnsi="Times New Roman;Times;Serif"/>
                <w:b/>
                <w:caps/>
                <w:color w:val="010000"/>
              </w:rPr>
              <w:t>8</w:t>
            </w:r>
          </w:p>
        </w:tc>
        <w:tc>
          <w:tcPr>
            <w:tcW w:w="9117" w:type="dxa"/>
            <w:tcBorders/>
            <w:shd w:fill="auto" w:val="clear"/>
            <w:vAlign w:val="center"/>
          </w:tcPr>
          <w:p>
            <w:pPr>
              <w:pStyle w:val="TableContents"/>
              <w:spacing w:before="0" w:after="283"/>
              <w:rPr>
                <w:b/>
                <w:caps/>
              </w:rPr>
            </w:pPr>
            <w:r>
              <w:rPr>
                <w:b/>
                <w:caps/>
              </w:rPr>
              <w:t>Indemnity</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20"/>
        <w:gridCol w:w="9848"/>
      </w:tblGrid>
      <w:tr>
        <w:trPr/>
        <w:tc>
          <w:tcPr>
            <w:tcW w:w="37"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rFonts w:ascii="Times New Roman;Times;Serif" w:hAnsi="Times New Roman;Times;Serif"/>
                <w:color w:val="010000"/>
              </w:rPr>
            </w:pPr>
            <w:r>
              <w:rPr>
                <w:rFonts w:ascii="Times New Roman;Times;Serif" w:hAnsi="Times New Roman;Times;Serif"/>
                <w:color w:val="010000"/>
              </w:rPr>
              <w:t>8.1</w:t>
            </w:r>
          </w:p>
        </w:tc>
        <w:tc>
          <w:tcPr>
            <w:tcW w:w="9848" w:type="dxa"/>
            <w:tcBorders/>
            <w:shd w:fill="auto" w:val="clear"/>
            <w:vAlign w:val="center"/>
          </w:tcPr>
          <w:p>
            <w:pPr>
              <w:pStyle w:val="TableContents"/>
              <w:spacing w:before="0" w:after="283"/>
              <w:jc w:val="both"/>
              <w:rPr/>
            </w:pPr>
            <w:r>
              <w:rPr/>
              <w:t xml:space="preserve">Whether or not the Bridge Facility Agreement is signed, the Company shall, within fifteen (15) Business Days of demand, indemnify and hold harmless us and any of our respective Affiliates and any of our (or our respective Affiliates’) directors, officers, agents, advisers and employees (as applicable) in each case in our capacity as an arranger, underwriter and/or original lender (each an </w:t>
            </w:r>
            <w:r>
              <w:rPr>
                <w:b/>
                <w:i/>
              </w:rPr>
              <w:t>Indemnified Person</w:t>
            </w:r>
            <w:r>
              <w:rPr/>
              <w:t>) against any cost, expense, loss, liability (limited, in the case of legal fees and expenses, to the reasonable and documented fees and expenses of one counsel to such Indemnified Persons taken as a whole and in the case of a conflict of interest, one additional counsel to the affected Indemnified Persons similarly situated, taken as a whole (and, if reasonably necessary one local counsel in any relevant jurisdiction)) incurred by or awarded against such Indemnified Person in each case arising out of or in connection with any action, claim, investigation or proceeding (including, without limitation, any action, claim, investigation or proceeding to preserve or enforce rights), commenced or threatened, relating to this letter, the Commitment Documents, the Bridge Facility or the Transaction or the use or proposed use of proceeds of the Bridge Facility or the arranging or underwriting of the Bridge Facility except to the extent such cost, expense, loss or liability has resulted:</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6</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14"/>
        <w:gridCol w:w="9954"/>
      </w:tblGrid>
      <w:tr>
        <w:trPr/>
        <w:tc>
          <w:tcPr>
            <w:tcW w:w="37"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(a)</w:t>
            </w:r>
          </w:p>
        </w:tc>
        <w:tc>
          <w:tcPr>
            <w:tcW w:w="9954" w:type="dxa"/>
            <w:tcBorders/>
            <w:shd w:fill="auto" w:val="clear"/>
            <w:vAlign w:val="center"/>
          </w:tcPr>
          <w:p>
            <w:pPr>
              <w:pStyle w:val="TableContents"/>
              <w:spacing w:before="0" w:after="283"/>
              <w:jc w:val="both"/>
              <w:rPr/>
            </w:pPr>
            <w:r>
              <w:rPr/>
              <w:t>from the fraud, gross negligence or wilful misconduct of such Indemnified Person or from such Indemnified Person breaching a term of, or not complying with, any of its obligations under the Commitment Documents, the Bridge Facility Agreement and/or any other Finance Document or any Confidentiality Undertaking (as defined in paragraph 9.2) given by that Indemnified Person, in each case as determined by a court of competent jurisdiction in a final and unappealable judgement; or</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61"/>
        <w:gridCol w:w="9907"/>
      </w:tblGrid>
      <w:tr>
        <w:trPr/>
        <w:tc>
          <w:tcPr>
            <w:tcW w:w="37"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(b)</w:t>
            </w:r>
          </w:p>
        </w:tc>
        <w:tc>
          <w:tcPr>
            <w:tcW w:w="9907" w:type="dxa"/>
            <w:tcBorders/>
            <w:shd w:fill="auto" w:val="clear"/>
            <w:vAlign w:val="center"/>
          </w:tcPr>
          <w:p>
            <w:pPr>
              <w:pStyle w:val="TableContents"/>
              <w:spacing w:before="0" w:after="283"/>
              <w:jc w:val="both"/>
              <w:rPr/>
            </w:pPr>
            <w:r>
              <w:rPr/>
              <w:t>from or relates to any disputes solely among Indemnified Persons and has not arisen out of any act or omission of the Company or any other entity controlled by it.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20"/>
        <w:gridCol w:w="9848"/>
      </w:tblGrid>
      <w:tr>
        <w:trPr/>
        <w:tc>
          <w:tcPr>
            <w:tcW w:w="37"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rFonts w:ascii="Times New Roman;Times;Serif" w:hAnsi="Times New Roman;Times;Serif"/>
                <w:color w:val="010000"/>
              </w:rPr>
            </w:pPr>
            <w:r>
              <w:rPr>
                <w:rFonts w:ascii="Times New Roman;Times;Serif" w:hAnsi="Times New Roman;Times;Serif"/>
                <w:color w:val="010000"/>
              </w:rPr>
              <w:t>8.2</w:t>
            </w:r>
          </w:p>
        </w:tc>
        <w:tc>
          <w:tcPr>
            <w:tcW w:w="9848" w:type="dxa"/>
            <w:tcBorders/>
            <w:shd w:fill="auto" w:val="clear"/>
            <w:vAlign w:val="center"/>
          </w:tcPr>
          <w:p>
            <w:pPr>
              <w:pStyle w:val="TableContents"/>
              <w:spacing w:before="0" w:after="283"/>
              <w:jc w:val="both"/>
              <w:rPr/>
            </w:pPr>
            <w:r>
              <w:rPr/>
              <w:t>If any event occurs in respect of which indemnification may be sought from the Company, the relevant Indemnified Person shall only be indemnified if (in each case where legally permissible to do so and without being under any obligation to so notify to the extent that it is not lawfully permitted to do so) it: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19"/>
        <w:gridCol w:w="9949"/>
      </w:tblGrid>
      <w:tr>
        <w:trPr/>
        <w:tc>
          <w:tcPr>
            <w:tcW w:w="37"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(a)</w:t>
            </w:r>
          </w:p>
        </w:tc>
        <w:tc>
          <w:tcPr>
            <w:tcW w:w="9949" w:type="dxa"/>
            <w:tcBorders/>
            <w:shd w:fill="auto" w:val="clear"/>
            <w:vAlign w:val="center"/>
          </w:tcPr>
          <w:p>
            <w:pPr>
              <w:pStyle w:val="TableContents"/>
              <w:spacing w:before="0" w:after="283"/>
              <w:jc w:val="both"/>
              <w:rPr/>
            </w:pPr>
            <w:r>
              <w:rPr/>
              <w:t>notifies the Company in writing within a reasonable amount of time after the relevant Indemnified Person becomes aware of such event and this provision provided that the failure to notify the Company shall not relieve the Company from any liability that the Company may have under this paragraph 8 except to the extent that the Company has been prejudiced by such failure;</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80"/>
        <w:gridCol w:w="9888"/>
      </w:tblGrid>
      <w:tr>
        <w:trPr/>
        <w:tc>
          <w:tcPr>
            <w:tcW w:w="37"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(b)</w:t>
            </w:r>
          </w:p>
        </w:tc>
        <w:tc>
          <w:tcPr>
            <w:tcW w:w="9888" w:type="dxa"/>
            <w:tcBorders/>
            <w:shd w:fill="auto" w:val="clear"/>
            <w:vAlign w:val="center"/>
          </w:tcPr>
          <w:p>
            <w:pPr>
              <w:pStyle w:val="TableContents"/>
              <w:spacing w:before="0" w:after="283"/>
              <w:jc w:val="both"/>
              <w:rPr/>
            </w:pPr>
            <w:r>
              <w:rPr/>
              <w:t>consults with the Company fully and promptly with respect to the conduct of the relevant claim, action or proceeding;</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5"/>
        <w:gridCol w:w="402"/>
        <w:gridCol w:w="9748"/>
      </w:tblGrid>
      <w:tr>
        <w:trPr/>
        <w:tc>
          <w:tcPr>
            <w:tcW w:w="55"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(c)</w:t>
            </w:r>
          </w:p>
        </w:tc>
        <w:tc>
          <w:tcPr>
            <w:tcW w:w="9748" w:type="dxa"/>
            <w:tcBorders/>
            <w:shd w:fill="auto" w:val="clear"/>
            <w:vAlign w:val="center"/>
          </w:tcPr>
          <w:p>
            <w:pPr>
              <w:pStyle w:val="TableContents"/>
              <w:spacing w:before="0" w:after="283"/>
              <w:jc w:val="both"/>
              <w:rPr/>
            </w:pPr>
            <w:r>
              <w:rPr/>
              <w:t>conducts such claim, action or proceeding properly and diligently; and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62"/>
        <w:gridCol w:w="9906"/>
      </w:tblGrid>
      <w:tr>
        <w:trPr/>
        <w:tc>
          <w:tcPr>
            <w:tcW w:w="37"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(d)</w:t>
            </w:r>
          </w:p>
        </w:tc>
        <w:tc>
          <w:tcPr>
            <w:tcW w:w="9906" w:type="dxa"/>
            <w:tcBorders/>
            <w:shd w:fill="auto" w:val="clear"/>
            <w:vAlign w:val="center"/>
          </w:tcPr>
          <w:p>
            <w:pPr>
              <w:pStyle w:val="TableContents"/>
              <w:spacing w:before="0" w:after="283"/>
              <w:jc w:val="both"/>
              <w:rPr/>
            </w:pPr>
            <w:r>
              <w:rPr/>
              <w:t>does not settle any such claim, action or proceeding without the Company’s prior written consent (such consent not to be unreasonably withheld or delayed),</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the Indemnified Person shall also be entitled to appoint their own legal counsel in each applicable jurisdiction in respect of any such claim, action or proceeding (subject to the limitation on indemnification of legal fees and expenses set forth in paragraph 8.1) and the above indemnity shall be superseded by any corresponding indemnity contained in the Bridge Facility Agreement, once signed.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7</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20"/>
        <w:gridCol w:w="9848"/>
      </w:tblGrid>
      <w:tr>
        <w:trPr/>
        <w:tc>
          <w:tcPr>
            <w:tcW w:w="37"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rFonts w:ascii="Times New Roman;Times;Serif" w:hAnsi="Times New Roman;Times;Serif"/>
                <w:color w:val="010000"/>
              </w:rPr>
            </w:pPr>
            <w:r>
              <w:rPr>
                <w:rFonts w:ascii="Times New Roman;Times;Serif" w:hAnsi="Times New Roman;Times;Serif"/>
                <w:color w:val="010000"/>
              </w:rPr>
              <w:t>8.3</w:t>
            </w:r>
          </w:p>
        </w:tc>
        <w:tc>
          <w:tcPr>
            <w:tcW w:w="9848" w:type="dxa"/>
            <w:tcBorders/>
            <w:shd w:fill="auto" w:val="clear"/>
            <w:vAlign w:val="center"/>
          </w:tcPr>
          <w:p>
            <w:pPr>
              <w:pStyle w:val="TableContents"/>
              <w:spacing w:before="0" w:after="283"/>
              <w:jc w:val="both"/>
              <w:rPr/>
            </w:pPr>
            <w:r>
              <w:rPr/>
              <w:t>No Commitment Party shall have any duty or obligation, whether as fiduciary for any Indemnified Person or otherwise, to recover any payment made or required to be made under paragraph 8.1.</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20"/>
        <w:gridCol w:w="9848"/>
      </w:tblGrid>
      <w:tr>
        <w:trPr/>
        <w:tc>
          <w:tcPr>
            <w:tcW w:w="37"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rFonts w:ascii="Times New Roman;Times;Serif" w:hAnsi="Times New Roman;Times;Serif"/>
                <w:color w:val="010000"/>
              </w:rPr>
            </w:pPr>
            <w:r>
              <w:rPr>
                <w:rFonts w:ascii="Times New Roman;Times;Serif" w:hAnsi="Times New Roman;Times;Serif"/>
                <w:color w:val="010000"/>
              </w:rPr>
              <w:t>8.4</w:t>
            </w:r>
          </w:p>
        </w:tc>
        <w:tc>
          <w:tcPr>
            <w:tcW w:w="9848" w:type="dxa"/>
            <w:tcBorders/>
            <w:shd w:fill="auto" w:val="clear"/>
            <w:vAlign w:val="center"/>
          </w:tcPr>
          <w:p>
            <w:pPr>
              <w:pStyle w:val="TableContents"/>
              <w:spacing w:before="0" w:after="283"/>
              <w:jc w:val="both"/>
              <w:rPr/>
            </w:pPr>
            <w:r>
              <w:rPr/>
              <w:t>Neither (x) any Indemnified Person, nor (y) the Company (or any of its Subsidiaries or Affiliates) or any member of the Target Group (or any of their respective Subsidiaries or Affiliates) shall be liable for any indirect, special, punitive or consequential losses or damages in connection with its activities related to the Bridge Facility or the Commitment Documents.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51"/>
        <w:gridCol w:w="560"/>
        <w:gridCol w:w="9494"/>
      </w:tblGrid>
      <w:tr>
        <w:trPr/>
        <w:tc>
          <w:tcPr>
            <w:tcW w:w="151"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rFonts w:ascii="Times New Roman;Times;Serif" w:hAnsi="Times New Roman;Times;Serif"/>
                <w:b/>
                <w:caps/>
                <w:color w:val="010000"/>
              </w:rPr>
            </w:pPr>
            <w:r>
              <w:rPr>
                <w:rFonts w:ascii="Times New Roman;Times;Serif" w:hAnsi="Times New Roman;Times;Serif"/>
                <w:b/>
                <w:caps/>
                <w:color w:val="010000"/>
              </w:rPr>
              <w:t>9</w:t>
            </w:r>
          </w:p>
        </w:tc>
        <w:tc>
          <w:tcPr>
            <w:tcW w:w="9494" w:type="dxa"/>
            <w:tcBorders/>
            <w:shd w:fill="auto" w:val="clear"/>
            <w:vAlign w:val="center"/>
          </w:tcPr>
          <w:p>
            <w:pPr>
              <w:pStyle w:val="TableContents"/>
              <w:spacing w:before="0" w:after="283"/>
              <w:rPr>
                <w:b/>
                <w:caps/>
              </w:rPr>
            </w:pPr>
            <w:r>
              <w:rPr>
                <w:b/>
                <w:caps/>
              </w:rPr>
              <w:t>Confidentiality</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20"/>
        <w:gridCol w:w="9848"/>
      </w:tblGrid>
      <w:tr>
        <w:trPr/>
        <w:tc>
          <w:tcPr>
            <w:tcW w:w="37"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rFonts w:ascii="Times New Roman;Times;Serif" w:hAnsi="Times New Roman;Times;Serif"/>
                <w:color w:val="010000"/>
              </w:rPr>
            </w:pPr>
            <w:r>
              <w:rPr>
                <w:rFonts w:ascii="Times New Roman;Times;Serif" w:hAnsi="Times New Roman;Times;Serif"/>
                <w:color w:val="010000"/>
              </w:rPr>
              <w:t>9.1</w:t>
            </w:r>
          </w:p>
        </w:tc>
        <w:tc>
          <w:tcPr>
            <w:tcW w:w="9848" w:type="dxa"/>
            <w:tcBorders/>
            <w:shd w:fill="auto" w:val="clear"/>
            <w:vAlign w:val="center"/>
          </w:tcPr>
          <w:p>
            <w:pPr>
              <w:pStyle w:val="TableContents"/>
              <w:spacing w:before="0" w:after="283"/>
              <w:jc w:val="both"/>
              <w:rPr/>
            </w:pPr>
            <w:r>
              <w:rPr/>
              <w:t>Each of the parties to this letter acknowledges that the Commitment Documents and all Confidential Information (as defined below) are confidential and (i) the Company shall not (and the Company shall ensure that none of its Affiliates (or any of their respective directors, officers, agents and employees) shall), without the prior written consent of each Commitment Party, disclose the Commitment Documents or their contents to any other person and (ii) no Commitment Party shall (and each Commitment Party shall ensure that none of its Affiliates (or any of their respective directors, officers, agents and employees) shall), without the prior written consent of the Company, disclose the Commitment Documents or their contents or any Confidential Information to any other person, in each case except: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08"/>
        <w:gridCol w:w="9960"/>
      </w:tblGrid>
      <w:tr>
        <w:trPr/>
        <w:tc>
          <w:tcPr>
            <w:tcW w:w="37"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(a)</w:t>
            </w:r>
          </w:p>
        </w:tc>
        <w:tc>
          <w:tcPr>
            <w:tcW w:w="9960" w:type="dxa"/>
            <w:tcBorders/>
            <w:shd w:fill="auto" w:val="clear"/>
            <w:vAlign w:val="center"/>
          </w:tcPr>
          <w:p>
            <w:pPr>
              <w:pStyle w:val="TableContents"/>
              <w:spacing w:before="0" w:after="283"/>
              <w:jc w:val="both"/>
              <w:rPr/>
            </w:pPr>
            <w:r>
              <w:rPr/>
              <w:t>as required by law or as requested by any applicable governmental or other regulatory authority or by any applicable stock exchange or if required in connection with any legal, administrative or arbitration proceedings provided that (i) the person to whom the Commitment Documents or the contents thereof or Confidential Information is to be given is informed of its confidential nature and that some or all of such Confidential Information may be price-sensitive information except that there shall be no requirement to so inform if, in the opinion of that disclosing party (acting reasonably and in good faith), it is not practicable so to do in the circumstances and (ii) the disclosing party shall, to the extent practicable and not prohibited by applicable law, promptly inform the other parties to this letter;</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23"/>
        <w:gridCol w:w="9945"/>
      </w:tblGrid>
      <w:tr>
        <w:trPr/>
        <w:tc>
          <w:tcPr>
            <w:tcW w:w="37"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(b)</w:t>
            </w:r>
          </w:p>
        </w:tc>
        <w:tc>
          <w:tcPr>
            <w:tcW w:w="9945" w:type="dxa"/>
            <w:tcBorders/>
            <w:shd w:fill="auto" w:val="clear"/>
            <w:vAlign w:val="center"/>
          </w:tcPr>
          <w:p>
            <w:pPr>
              <w:pStyle w:val="TableContents"/>
              <w:spacing w:before="0" w:after="283"/>
              <w:jc w:val="both"/>
              <w:rPr/>
            </w:pPr>
            <w:r>
              <w:rPr/>
              <w:t>to its Affiliates and each of their (or their respective Affiliates’) respective directors, officers, advisers, employees, agents and professional advisers and representatives of each of the foregoing and their respective employees on a confidential and need-to-know basis for the purposes of the Bridge Facility provided that the person to whom the Commitment Documents or the contents thereof or the Confidential Information is to be given has entered into a Confidentiality Undertaking (as defined below) (unless such person is an employee of the disclosing party or such party’s Affiliate) and has been made aware of, and agreed to be bound by, the obligations under this paragraph or are in any event subject to confidentiality obligations as a matter of law or professional practice;</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17"/>
        <w:gridCol w:w="9951"/>
      </w:tblGrid>
      <w:tr>
        <w:trPr/>
        <w:tc>
          <w:tcPr>
            <w:tcW w:w="3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(c)</w:t>
            </w:r>
          </w:p>
        </w:tc>
        <w:tc>
          <w:tcPr>
            <w:tcW w:w="9951" w:type="dxa"/>
            <w:tcBorders/>
            <w:shd w:fill="auto" w:val="clear"/>
            <w:vAlign w:val="center"/>
          </w:tcPr>
          <w:p>
            <w:pPr>
              <w:pStyle w:val="TableContents"/>
              <w:spacing w:before="0" w:after="283"/>
              <w:jc w:val="both"/>
              <w:rPr/>
            </w:pPr>
            <w:r>
              <w:rPr/>
              <w:t>that any Commitment Party may disclose any Commitment Document or the contents thereof or any Confidential Information to any of its Affiliates or to any bank, financial institution or other person and any of their respective Affiliates and advisers with whom it is discussing the transfer, assignment or participation of any commitment or obligation under any Commitment Document provided that: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8</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8"/>
        <w:gridCol w:w="9990"/>
      </w:tblGrid>
      <w:tr>
        <w:trPr/>
        <w:tc>
          <w:tcPr>
            <w:tcW w:w="3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rFonts w:ascii="Times New Roman;Times;Serif" w:hAnsi="Times New Roman;Times;Serif"/>
                <w:color w:val="010000"/>
              </w:rPr>
            </w:pPr>
            <w:r>
              <w:rPr>
                <w:rFonts w:ascii="Times New Roman;Times;Serif" w:hAnsi="Times New Roman;Times;Serif"/>
                <w:color w:val="010000"/>
              </w:rPr>
              <w:t>(i)</w:t>
            </w:r>
          </w:p>
        </w:tc>
        <w:tc>
          <w:tcPr>
            <w:tcW w:w="9990" w:type="dxa"/>
            <w:tcBorders/>
            <w:shd w:fill="auto" w:val="clear"/>
            <w:vAlign w:val="center"/>
          </w:tcPr>
          <w:p>
            <w:pPr>
              <w:pStyle w:val="TableContents"/>
              <w:spacing w:before="0" w:after="283"/>
              <w:jc w:val="both"/>
              <w:rPr/>
            </w:pPr>
            <w:r>
              <w:rPr/>
              <w:t>if such person is not listed on the agreed white list set forth on Exhibit 2 to the Bridge Facility Term Sheet, the disclosing Commitment Party must obtain the prior written consent of the Company prior to providing any Commitment Document or the contents thereof or Confidential Information to such person; and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35"/>
        <w:gridCol w:w="9933"/>
      </w:tblGrid>
      <w:tr>
        <w:trPr/>
        <w:tc>
          <w:tcPr>
            <w:tcW w:w="37"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rFonts w:ascii="Times New Roman;Times;Serif" w:hAnsi="Times New Roman;Times;Serif"/>
                <w:color w:val="010000"/>
              </w:rPr>
            </w:pPr>
            <w:r>
              <w:rPr>
                <w:rFonts w:ascii="Times New Roman;Times;Serif" w:hAnsi="Times New Roman;Times;Serif"/>
                <w:color w:val="010000"/>
              </w:rPr>
              <w:t>(ii)</w:t>
            </w:r>
          </w:p>
        </w:tc>
        <w:tc>
          <w:tcPr>
            <w:tcW w:w="9933" w:type="dxa"/>
            <w:tcBorders/>
            <w:shd w:fill="auto" w:val="clear"/>
            <w:vAlign w:val="center"/>
          </w:tcPr>
          <w:p>
            <w:pPr>
              <w:pStyle w:val="TableContents"/>
              <w:spacing w:before="0" w:after="283"/>
              <w:jc w:val="both"/>
              <w:rPr/>
            </w:pPr>
            <w:r>
              <w:rPr/>
              <w:t>the person to whom the Commitment Document or the contents thereof or Confidential Information is to be given has first entered into a Confidentiality Undertaking except that there shall be no requirement for a Confidentiality Undertaking if the recipient is subject to confidentiality obligations as a matter of law or professional practice;</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25"/>
        <w:gridCol w:w="9943"/>
      </w:tblGrid>
      <w:tr>
        <w:trPr/>
        <w:tc>
          <w:tcPr>
            <w:tcW w:w="37"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(d)</w:t>
            </w:r>
          </w:p>
        </w:tc>
        <w:tc>
          <w:tcPr>
            <w:tcW w:w="9943" w:type="dxa"/>
            <w:tcBorders/>
            <w:shd w:fill="auto" w:val="clear"/>
            <w:vAlign w:val="center"/>
          </w:tcPr>
          <w:p>
            <w:pPr>
              <w:pStyle w:val="TableContents"/>
              <w:spacing w:before="0" w:after="283"/>
              <w:jc w:val="both"/>
              <w:rPr/>
            </w:pPr>
            <w:r>
              <w:rPr/>
              <w:t>that the Company may make the Commitment Documents or the contents thereof available to the management of the Target, the Group, each vendor or seller (howsoever described) under any merger agreement to be entered into by the Company in respect of the Transaction and each of their professional advisers in connection with the Transaction and any person who may join as an arranger, underwriter or lender of the Bridge Facility, provided that they have been made aware of and agree to be bound by the obligations under this paragraph or are in any event subject to confidentiality obligations as a matter of law or professional practice;</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34"/>
        <w:gridCol w:w="9934"/>
      </w:tblGrid>
      <w:tr>
        <w:trPr/>
        <w:tc>
          <w:tcPr>
            <w:tcW w:w="37"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(e)</w:t>
            </w:r>
          </w:p>
        </w:tc>
        <w:tc>
          <w:tcPr>
            <w:tcW w:w="9934" w:type="dxa"/>
            <w:tcBorders/>
            <w:shd w:fill="auto" w:val="clear"/>
            <w:vAlign w:val="center"/>
          </w:tcPr>
          <w:p>
            <w:pPr>
              <w:pStyle w:val="TableContents"/>
              <w:spacing w:before="0" w:after="283"/>
              <w:jc w:val="both"/>
              <w:rPr/>
            </w:pPr>
            <w:r>
              <w:rPr/>
              <w:t>to rating agencies who have been made aware of, and agree to be bound by, the obligations under this paragraph or are in any event subject to confidentiality obligations as a matter of law or professional practice;</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99"/>
        <w:gridCol w:w="9969"/>
      </w:tblGrid>
      <w:tr>
        <w:trPr/>
        <w:tc>
          <w:tcPr>
            <w:tcW w:w="37"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(f)</w:t>
            </w:r>
          </w:p>
        </w:tc>
        <w:tc>
          <w:tcPr>
            <w:tcW w:w="9969" w:type="dxa"/>
            <w:tcBorders/>
            <w:shd w:fill="auto" w:val="clear"/>
            <w:vAlign w:val="center"/>
          </w:tcPr>
          <w:p>
            <w:pPr>
              <w:pStyle w:val="TableContents"/>
              <w:spacing w:before="0" w:after="283"/>
              <w:jc w:val="both"/>
              <w:rPr/>
            </w:pPr>
            <w:r>
              <w:rPr/>
              <w:t>as part of any “due diligence” defence where the recipients have been made aware of, and agree to be bound by, the obligations under this paragraph or are in any event subject to confidentiality obligations as a matter of law or professional practice;</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85"/>
        <w:gridCol w:w="9883"/>
      </w:tblGrid>
      <w:tr>
        <w:trPr/>
        <w:tc>
          <w:tcPr>
            <w:tcW w:w="37"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(g)</w:t>
            </w:r>
          </w:p>
        </w:tc>
        <w:tc>
          <w:tcPr>
            <w:tcW w:w="9883" w:type="dxa"/>
            <w:tcBorders/>
            <w:shd w:fill="auto" w:val="clear"/>
            <w:vAlign w:val="center"/>
          </w:tcPr>
          <w:p>
            <w:pPr>
              <w:pStyle w:val="TableContents"/>
              <w:spacing w:before="0" w:after="283"/>
              <w:jc w:val="both"/>
              <w:rPr/>
            </w:pPr>
            <w:r>
              <w:rPr/>
              <w:t>in connection with the exercise of any remedy or enforcement of any right under the Commitment Documents;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54"/>
        <w:gridCol w:w="9914"/>
      </w:tblGrid>
      <w:tr>
        <w:trPr/>
        <w:tc>
          <w:tcPr>
            <w:tcW w:w="37"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(h)</w:t>
            </w:r>
          </w:p>
        </w:tc>
        <w:tc>
          <w:tcPr>
            <w:tcW w:w="9914" w:type="dxa"/>
            <w:tcBorders/>
            <w:shd w:fill="auto" w:val="clear"/>
            <w:vAlign w:val="center"/>
          </w:tcPr>
          <w:p>
            <w:pPr>
              <w:pStyle w:val="TableContents"/>
              <w:spacing w:before="0" w:after="283"/>
              <w:jc w:val="both"/>
              <w:rPr/>
            </w:pPr>
            <w:r>
              <w:rPr/>
              <w:t>that the Company may disclose the Commitment Documents and the terms thereof in any public filing relating to the Transaction or the Bridge Facility or as otherwise required by law; and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6"/>
        <w:gridCol w:w="9992"/>
      </w:tblGrid>
      <w:tr>
        <w:trPr/>
        <w:tc>
          <w:tcPr>
            <w:tcW w:w="37"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(i)</w:t>
            </w:r>
          </w:p>
        </w:tc>
        <w:tc>
          <w:tcPr>
            <w:tcW w:w="9992" w:type="dxa"/>
            <w:tcBorders/>
            <w:shd w:fill="auto" w:val="clear"/>
            <w:vAlign w:val="center"/>
          </w:tcPr>
          <w:p>
            <w:pPr>
              <w:pStyle w:val="TableContents"/>
              <w:spacing w:before="0" w:after="283"/>
              <w:jc w:val="both"/>
              <w:rPr/>
            </w:pPr>
            <w:r>
              <w:rPr/>
              <w:t>that the Company may disclose the aggregate fee amounts contained in the Commitment Documents (but without disclosing any specific fees) in financial statements or as part of projections, pro forma information or a generic disclosure of aggregate sources and uses related to fee amounts related to the Transaction and the Bridge Facility.</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9</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48"/>
        <w:gridCol w:w="2089"/>
        <w:gridCol w:w="7868"/>
      </w:tblGrid>
      <w:tr>
        <w:trPr/>
        <w:tc>
          <w:tcPr>
            <w:tcW w:w="248" w:type="dxa"/>
            <w:tcBorders/>
            <w:shd w:fill="auto" w:val="clear"/>
            <w:vAlign w:val="center"/>
          </w:tcPr>
          <w:p>
            <w:pPr>
              <w:pStyle w:val="TableContents"/>
              <w:spacing w:before="0" w:after="283"/>
              <w:rPr>
                <w:sz w:val="4"/>
                <w:szCs w:val="4"/>
              </w:rPr>
            </w:pPr>
            <w:r>
              <w:rPr>
                <w:sz w:val="4"/>
                <w:szCs w:val="4"/>
              </w:rPr>
            </w:r>
          </w:p>
        </w:tc>
        <w:tc>
          <w:tcPr>
            <w:tcW w:w="2089" w:type="dxa"/>
            <w:tcBorders/>
            <w:shd w:fill="auto" w:val="clear"/>
            <w:vAlign w:val="center"/>
          </w:tcPr>
          <w:p>
            <w:pPr>
              <w:pStyle w:val="TableContents"/>
              <w:spacing w:before="0" w:after="283"/>
              <w:rPr>
                <w:rFonts w:ascii="Times New Roman;Times;Serif" w:hAnsi="Times New Roman;Times;Serif"/>
                <w:color w:val="010000"/>
              </w:rPr>
            </w:pPr>
            <w:r>
              <w:rPr>
                <w:rFonts w:ascii="Times New Roman;Times;Serif" w:hAnsi="Times New Roman;Times;Serif"/>
                <w:color w:val="010000"/>
              </w:rPr>
              <w:t>9.2</w:t>
            </w:r>
          </w:p>
        </w:tc>
        <w:tc>
          <w:tcPr>
            <w:tcW w:w="7868" w:type="dxa"/>
            <w:tcBorders/>
            <w:shd w:fill="auto" w:val="clear"/>
            <w:vAlign w:val="center"/>
          </w:tcPr>
          <w:p>
            <w:pPr>
              <w:pStyle w:val="TableContents"/>
              <w:spacing w:before="0" w:after="283"/>
              <w:jc w:val="both"/>
              <w:rPr/>
            </w:pPr>
            <w:r>
              <w:rPr/>
              <w:t>In this letter: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 Information means:</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information relating to the Company, the Group, the Target Group, the Transaction (including, but not limited to, the discussions between the parties relating to the Transaction), the Finance Documents and/or the Bridge Facility which is provided to a Commitment Party (the </w:t>
      </w:r>
      <w:r>
        <w:rPr>
          <w:rFonts w:ascii="Times New Roman;Times;Serif" w:hAnsi="Times New Roman;Times;Serif"/>
          <w:b/>
          <w:i/>
          <w:caps w:val="false"/>
          <w:smallCaps w:val="false"/>
          <w:sz w:val="20"/>
        </w:rPr>
        <w:t>Receiving Party</w:t>
      </w:r>
      <w:r>
        <w:rPr>
          <w:rFonts w:ascii="Times New Roman;Times;Serif" w:hAnsi="Times New Roman;Times;Serif"/>
          <w:b w:val="false"/>
          <w:i w:val="false"/>
          <w:caps w:val="false"/>
          <w:smallCaps w:val="false"/>
          <w:sz w:val="20"/>
        </w:rPr>
        <w:t xml:space="preserve">) by or on behalf of the Company (the </w:t>
      </w:r>
      <w:r>
        <w:rPr>
          <w:rFonts w:ascii="Times New Roman;Times;Serif" w:hAnsi="Times New Roman;Times;Serif"/>
          <w:b/>
          <w:i/>
          <w:caps w:val="false"/>
          <w:smallCaps w:val="false"/>
          <w:sz w:val="20"/>
        </w:rPr>
        <w:t>Providing Party</w:t>
      </w:r>
      <w:r>
        <w:rPr>
          <w:rFonts w:ascii="Times New Roman;Times;Serif" w:hAnsi="Times New Roman;Times;Serif"/>
          <w:b w:val="false"/>
          <w:i w:val="false"/>
          <w:caps w:val="false"/>
          <w:smallCaps w:val="false"/>
          <w:sz w:val="20"/>
        </w:rPr>
        <w:t>), in whatever form, and includes information given orally and any document, electronic file or any other way of representing or recording information which contains or is derived or copied from such information but excludes information that:</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41"/>
        <w:gridCol w:w="9927"/>
      </w:tblGrid>
      <w:tr>
        <w:trPr/>
        <w:tc>
          <w:tcPr>
            <w:tcW w:w="37"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(a)</w:t>
            </w:r>
          </w:p>
        </w:tc>
        <w:tc>
          <w:tcPr>
            <w:tcW w:w="9927" w:type="dxa"/>
            <w:tcBorders/>
            <w:shd w:fill="auto" w:val="clear"/>
            <w:vAlign w:val="center"/>
          </w:tcPr>
          <w:p>
            <w:pPr>
              <w:pStyle w:val="TableContents"/>
              <w:spacing w:before="0" w:after="283"/>
              <w:jc w:val="both"/>
              <w:rPr/>
            </w:pPr>
            <w:r>
              <w:rPr/>
              <w:t>is or becomes public information other than as a direct or indirect result of any breach by the Receiving Party of a confidentiality obligation to which that Receiving Party is subject;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3"/>
        <w:gridCol w:w="332"/>
        <w:gridCol w:w="9830"/>
      </w:tblGrid>
      <w:tr>
        <w:trPr/>
        <w:tc>
          <w:tcPr>
            <w:tcW w:w="43"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(b)</w:t>
            </w:r>
          </w:p>
        </w:tc>
        <w:tc>
          <w:tcPr>
            <w:tcW w:w="9830" w:type="dxa"/>
            <w:tcBorders/>
            <w:shd w:fill="auto" w:val="clear"/>
            <w:vAlign w:val="center"/>
          </w:tcPr>
          <w:p>
            <w:pPr>
              <w:pStyle w:val="TableContents"/>
              <w:spacing w:before="0" w:after="283"/>
              <w:jc w:val="both"/>
              <w:rPr/>
            </w:pPr>
            <w:r>
              <w:rPr/>
              <w:t>is identified in writing at the time of delivery as non-confidential by the Providing Party; or</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14"/>
        <w:gridCol w:w="9954"/>
      </w:tblGrid>
      <w:tr>
        <w:trPr/>
        <w:tc>
          <w:tcPr>
            <w:tcW w:w="37"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(c)</w:t>
            </w:r>
          </w:p>
        </w:tc>
        <w:tc>
          <w:tcPr>
            <w:tcW w:w="9954" w:type="dxa"/>
            <w:tcBorders/>
            <w:shd w:fill="auto" w:val="clear"/>
            <w:vAlign w:val="center"/>
          </w:tcPr>
          <w:p>
            <w:pPr>
              <w:pStyle w:val="TableContents"/>
              <w:spacing w:before="0" w:after="283"/>
              <w:jc w:val="both"/>
              <w:rPr/>
            </w:pPr>
            <w:r>
              <w:rPr/>
              <w:t>is known by the Receiving Party before the date the information is disclosed to the Receiving Party by the Providing Party or is lawfully obtained by the Receiving Party after that date, from a source which is, as far as the Receiving Party is aware, unconnected with the Company, the Group or the Target Group and which, in either case, as far as the Receiving Party is aware, has not been obtained in breach of, and is not otherwise subject to, any obligation of confidentiality.</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Confidentiality Undertaking</w:t>
      </w:r>
      <w:r>
        <w:rPr>
          <w:rFonts w:ascii="Times New Roman;Times;Serif" w:hAnsi="Times New Roman;Times;Serif"/>
          <w:b w:val="false"/>
          <w:i w:val="false"/>
          <w:caps w:val="false"/>
          <w:smallCaps w:val="false"/>
          <w:sz w:val="20"/>
        </w:rPr>
        <w:t xml:space="preserve"> means a confidentiality undertaking substantially in a recommended form of the Loan Market Association or in any other form agreed between us and the Company.</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95"/>
        <w:gridCol w:w="655"/>
        <w:gridCol w:w="9455"/>
      </w:tblGrid>
      <w:tr>
        <w:trPr/>
        <w:tc>
          <w:tcPr>
            <w:tcW w:w="95" w:type="dxa"/>
            <w:tcBorders/>
            <w:shd w:fill="auto" w:val="clear"/>
            <w:vAlign w:val="center"/>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rFonts w:ascii="Times New Roman;Times;Serif" w:hAnsi="Times New Roman;Times;Serif"/>
                <w:b/>
                <w:caps/>
                <w:color w:val="010000"/>
              </w:rPr>
            </w:pPr>
            <w:r>
              <w:rPr>
                <w:rFonts w:ascii="Times New Roman;Times;Serif" w:hAnsi="Times New Roman;Times;Serif"/>
                <w:b/>
                <w:caps/>
                <w:color w:val="010000"/>
              </w:rPr>
              <w:t>10</w:t>
            </w:r>
          </w:p>
        </w:tc>
        <w:tc>
          <w:tcPr>
            <w:tcW w:w="9455" w:type="dxa"/>
            <w:tcBorders/>
            <w:shd w:fill="auto" w:val="clear"/>
            <w:vAlign w:val="center"/>
          </w:tcPr>
          <w:p>
            <w:pPr>
              <w:pStyle w:val="TableContents"/>
              <w:spacing w:before="0" w:after="283"/>
              <w:rPr>
                <w:b/>
                <w:caps/>
              </w:rPr>
            </w:pPr>
            <w:r>
              <w:rPr>
                <w:b/>
                <w:caps/>
              </w:rPr>
              <w:t>Publicity/Announcements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8"/>
        <w:gridCol w:w="447"/>
        <w:gridCol w:w="9720"/>
      </w:tblGrid>
      <w:tr>
        <w:trPr/>
        <w:tc>
          <w:tcPr>
            <w:tcW w:w="38"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rFonts w:ascii="Times New Roman;Times;Serif" w:hAnsi="Times New Roman;Times;Serif"/>
                <w:color w:val="010000"/>
              </w:rPr>
            </w:pPr>
            <w:r>
              <w:rPr>
                <w:rFonts w:ascii="Times New Roman;Times;Serif" w:hAnsi="Times New Roman;Times;Serif"/>
                <w:color w:val="010000"/>
              </w:rPr>
              <w:t>10.1</w:t>
            </w:r>
          </w:p>
        </w:tc>
        <w:tc>
          <w:tcPr>
            <w:tcW w:w="9720" w:type="dxa"/>
            <w:tcBorders/>
            <w:shd w:fill="auto" w:val="clear"/>
            <w:vAlign w:val="center"/>
          </w:tcPr>
          <w:p>
            <w:pPr>
              <w:pStyle w:val="TableContents"/>
              <w:spacing w:before="0" w:after="283"/>
              <w:jc w:val="both"/>
              <w:rPr/>
            </w:pPr>
            <w:r>
              <w:rPr/>
              <w:t>All publicity in connection with the Bridge Facility shall be managed jointly by us and the Company.</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440"/>
        <w:gridCol w:w="9728"/>
      </w:tblGrid>
      <w:tr>
        <w:trPr/>
        <w:tc>
          <w:tcPr>
            <w:tcW w:w="37"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rFonts w:ascii="Times New Roman;Times;Serif" w:hAnsi="Times New Roman;Times;Serif"/>
                <w:color w:val="010000"/>
              </w:rPr>
            </w:pPr>
            <w:r>
              <w:rPr>
                <w:rFonts w:ascii="Times New Roman;Times;Serif" w:hAnsi="Times New Roman;Times;Serif"/>
                <w:color w:val="010000"/>
              </w:rPr>
              <w:t>10.2</w:t>
            </w:r>
          </w:p>
        </w:tc>
        <w:tc>
          <w:tcPr>
            <w:tcW w:w="9728" w:type="dxa"/>
            <w:tcBorders/>
            <w:shd w:fill="auto" w:val="clear"/>
            <w:vAlign w:val="center"/>
          </w:tcPr>
          <w:p>
            <w:pPr>
              <w:pStyle w:val="TableContents"/>
              <w:spacing w:before="0" w:after="283"/>
              <w:jc w:val="both"/>
              <w:rPr/>
            </w:pPr>
            <w:r>
              <w:rPr/>
              <w:t>No announcements regarding the Bridge Facility or any appointment of any Commitment Party as arranger, underwriter, original lender or agent (as the case may be) shall be made without the prior written consent of the Commitment Parties and the Company.</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20"/>
        <w:gridCol w:w="1509"/>
        <w:gridCol w:w="8476"/>
      </w:tblGrid>
      <w:tr>
        <w:trPr/>
        <w:tc>
          <w:tcPr>
            <w:tcW w:w="220" w:type="dxa"/>
            <w:tcBorders/>
            <w:shd w:fill="auto" w:val="clear"/>
            <w:vAlign w:val="center"/>
          </w:tcPr>
          <w:p>
            <w:pPr>
              <w:pStyle w:val="TableContents"/>
              <w:spacing w:before="0" w:after="283"/>
              <w:rPr>
                <w:sz w:val="4"/>
                <w:szCs w:val="4"/>
              </w:rPr>
            </w:pPr>
            <w:r>
              <w:rPr>
                <w:sz w:val="4"/>
                <w:szCs w:val="4"/>
              </w:rPr>
            </w:r>
          </w:p>
        </w:tc>
        <w:tc>
          <w:tcPr>
            <w:tcW w:w="1509" w:type="dxa"/>
            <w:tcBorders/>
            <w:shd w:fill="auto" w:val="clear"/>
            <w:vAlign w:val="center"/>
          </w:tcPr>
          <w:p>
            <w:pPr>
              <w:pStyle w:val="TableContents"/>
              <w:spacing w:before="0" w:after="283"/>
              <w:rPr>
                <w:rFonts w:ascii="Times New Roman;Times;Serif" w:hAnsi="Times New Roman;Times;Serif"/>
                <w:b/>
                <w:caps/>
                <w:color w:val="010000"/>
              </w:rPr>
            </w:pPr>
            <w:r>
              <w:rPr>
                <w:rFonts w:ascii="Times New Roman;Times;Serif" w:hAnsi="Times New Roman;Times;Serif"/>
                <w:b/>
                <w:caps/>
                <w:color w:val="010000"/>
              </w:rPr>
              <w:t>11</w:t>
            </w:r>
          </w:p>
        </w:tc>
        <w:tc>
          <w:tcPr>
            <w:tcW w:w="8476" w:type="dxa"/>
            <w:tcBorders/>
            <w:shd w:fill="auto" w:val="clear"/>
            <w:vAlign w:val="center"/>
          </w:tcPr>
          <w:p>
            <w:pPr>
              <w:pStyle w:val="TableContents"/>
              <w:spacing w:before="0" w:after="283"/>
              <w:rPr>
                <w:b/>
                <w:caps/>
              </w:rPr>
            </w:pPr>
            <w:r>
              <w:rPr>
                <w:b/>
                <w:caps/>
              </w:rPr>
              <w:t>Conflicts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440"/>
        <w:gridCol w:w="9728"/>
      </w:tblGrid>
      <w:tr>
        <w:trPr/>
        <w:tc>
          <w:tcPr>
            <w:tcW w:w="37"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rFonts w:ascii="Times New Roman;Times;Serif" w:hAnsi="Times New Roman;Times;Serif"/>
                <w:color w:val="010000"/>
              </w:rPr>
            </w:pPr>
            <w:r>
              <w:rPr>
                <w:rFonts w:ascii="Times New Roman;Times;Serif" w:hAnsi="Times New Roman;Times;Serif"/>
                <w:color w:val="010000"/>
              </w:rPr>
              <w:t>11.1</w:t>
            </w:r>
          </w:p>
        </w:tc>
        <w:tc>
          <w:tcPr>
            <w:tcW w:w="9728" w:type="dxa"/>
            <w:tcBorders/>
            <w:shd w:fill="auto" w:val="clear"/>
            <w:vAlign w:val="center"/>
          </w:tcPr>
          <w:p>
            <w:pPr>
              <w:pStyle w:val="TableContents"/>
              <w:spacing w:before="0" w:after="283"/>
              <w:jc w:val="both"/>
              <w:rPr/>
            </w:pPr>
            <w:r>
              <w:rPr/>
              <w:t>The provisions of this paragraph 11 (</w:t>
            </w:r>
            <w:r>
              <w:rPr>
                <w:i/>
              </w:rPr>
              <w:t>Conflicts</w:t>
            </w:r>
            <w:r>
              <w:rPr/>
              <w:t>) are without prejudice to and subject to the obligations of the parties under paragraph 9 (</w:t>
            </w:r>
            <w:r>
              <w:rPr>
                <w:i/>
              </w:rPr>
              <w:t>Confidentiality</w:t>
            </w:r>
            <w:r>
              <w:rPr/>
              <w: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440"/>
        <w:gridCol w:w="9728"/>
      </w:tblGrid>
      <w:tr>
        <w:trPr/>
        <w:tc>
          <w:tcPr>
            <w:tcW w:w="37"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rFonts w:ascii="Times New Roman;Times;Serif" w:hAnsi="Times New Roman;Times;Serif"/>
                <w:color w:val="010000"/>
              </w:rPr>
            </w:pPr>
            <w:r>
              <w:rPr>
                <w:rFonts w:ascii="Times New Roman;Times;Serif" w:hAnsi="Times New Roman;Times;Serif"/>
                <w:color w:val="010000"/>
              </w:rPr>
              <w:t>11.2</w:t>
            </w:r>
          </w:p>
        </w:tc>
        <w:tc>
          <w:tcPr>
            <w:tcW w:w="9728" w:type="dxa"/>
            <w:tcBorders/>
            <w:shd w:fill="auto" w:val="clear"/>
            <w:vAlign w:val="center"/>
          </w:tcPr>
          <w:p>
            <w:pPr>
              <w:pStyle w:val="TableContents"/>
              <w:spacing w:before="0" w:after="283"/>
              <w:jc w:val="both"/>
              <w:rPr/>
            </w:pPr>
            <w:r>
              <w:rPr/>
              <w:t>Each Commitment Party agrees that it will use the information supplied by the Company (or any other person on the Company’s behalf) in connection with the Transaction for the sole purpose of providing advice and/or financing to the Company (and its Affiliates) in our capacity as a Commitment Party.</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440"/>
        <w:gridCol w:w="9728"/>
      </w:tblGrid>
      <w:tr>
        <w:trPr/>
        <w:tc>
          <w:tcPr>
            <w:tcW w:w="37"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rFonts w:ascii="Times New Roman;Times;Serif" w:hAnsi="Times New Roman;Times;Serif"/>
                <w:color w:val="010000"/>
              </w:rPr>
            </w:pPr>
            <w:r>
              <w:rPr>
                <w:rFonts w:ascii="Times New Roman;Times;Serif" w:hAnsi="Times New Roman;Times;Serif"/>
                <w:color w:val="010000"/>
              </w:rPr>
              <w:t>11.3</w:t>
            </w:r>
          </w:p>
        </w:tc>
        <w:tc>
          <w:tcPr>
            <w:tcW w:w="9728" w:type="dxa"/>
            <w:tcBorders/>
            <w:shd w:fill="auto" w:val="clear"/>
            <w:vAlign w:val="center"/>
          </w:tcPr>
          <w:p>
            <w:pPr>
              <w:pStyle w:val="TableContents"/>
              <w:spacing w:before="0" w:after="283"/>
              <w:jc w:val="both"/>
              <w:rPr/>
            </w:pPr>
            <w:r>
              <w:rPr/>
              <w:t>Each Commitment Party and the Company acknowledges that we and our Affiliates may act in more than one capacity in relation to the Transaction and may provide debt financing, equity capital or other services to other persons with whom the Company or its Affiliates may have conflicting interests in respect of the Transaction or the Bridge Facility.</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10</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440"/>
        <w:gridCol w:w="9728"/>
      </w:tblGrid>
      <w:tr>
        <w:trPr/>
        <w:tc>
          <w:tcPr>
            <w:tcW w:w="37"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rFonts w:ascii="Times New Roman;Times;Serif" w:hAnsi="Times New Roman;Times;Serif"/>
                <w:color w:val="010000"/>
              </w:rPr>
            </w:pPr>
            <w:r>
              <w:rPr>
                <w:rFonts w:ascii="Times New Roman;Times;Serif" w:hAnsi="Times New Roman;Times;Serif"/>
                <w:color w:val="010000"/>
              </w:rPr>
              <w:t>11.4</w:t>
            </w:r>
          </w:p>
        </w:tc>
        <w:tc>
          <w:tcPr>
            <w:tcW w:w="9728" w:type="dxa"/>
            <w:tcBorders/>
            <w:shd w:fill="auto" w:val="clear"/>
            <w:vAlign w:val="center"/>
          </w:tcPr>
          <w:p>
            <w:pPr>
              <w:pStyle w:val="TableContents"/>
              <w:spacing w:before="0" w:after="283"/>
              <w:jc w:val="both"/>
              <w:rPr/>
            </w:pPr>
            <w:r>
              <w:rPr/>
              <w:t>Neither the relationship described in this letter nor the services provided by any Commitment Party or any of our respective Affiliates to you or any other matter will give rise to any fiduciary, equitable or contractual duties (including, without limitation, any duty of confidence) which could prevent or hinder us or our respective Affiliates providing similar services to other customers, or otherwise acting on behalf of other customers or for their own account. However, the Commitment Parties shall not use any Confidential Information in connection with providing services to other persons or furnish such Confidential Information to such other persons. No Commitment Party shall, nor shall any of their respective Affiliates be required to, account to the Company for any payment, remuneration, profit or benefit obtained by it as a result of acting in the ways referred to above or as a result of entering into any transaction with the Company or providing services to the Company.</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440"/>
        <w:gridCol w:w="9728"/>
      </w:tblGrid>
      <w:tr>
        <w:trPr/>
        <w:tc>
          <w:tcPr>
            <w:tcW w:w="37"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rFonts w:ascii="Times New Roman;Times;Serif" w:hAnsi="Times New Roman;Times;Serif"/>
                <w:color w:val="010000"/>
              </w:rPr>
            </w:pPr>
            <w:r>
              <w:rPr>
                <w:rFonts w:ascii="Times New Roman;Times;Serif" w:hAnsi="Times New Roman;Times;Serif"/>
                <w:color w:val="010000"/>
              </w:rPr>
              <w:t>11.5</w:t>
            </w:r>
          </w:p>
        </w:tc>
        <w:tc>
          <w:tcPr>
            <w:tcW w:w="9728" w:type="dxa"/>
            <w:tcBorders/>
            <w:shd w:fill="auto" w:val="clear"/>
            <w:vAlign w:val="center"/>
          </w:tcPr>
          <w:p>
            <w:pPr>
              <w:pStyle w:val="TableContents"/>
              <w:spacing w:before="0" w:after="283"/>
              <w:jc w:val="both"/>
              <w:rPr/>
            </w:pPr>
            <w:r>
              <w:rPr/>
              <w:t>No Commitment Party shall use any Confidential Information in connection with providing services to other persons or furnish such information to such other persons.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440"/>
        <w:gridCol w:w="9728"/>
      </w:tblGrid>
      <w:tr>
        <w:trPr/>
        <w:tc>
          <w:tcPr>
            <w:tcW w:w="37"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rFonts w:ascii="Times New Roman;Times;Serif" w:hAnsi="Times New Roman;Times;Serif"/>
                <w:color w:val="010000"/>
              </w:rPr>
            </w:pPr>
            <w:r>
              <w:rPr>
                <w:rFonts w:ascii="Times New Roman;Times;Serif" w:hAnsi="Times New Roman;Times;Serif"/>
                <w:color w:val="010000"/>
              </w:rPr>
              <w:t>11.6</w:t>
            </w:r>
          </w:p>
        </w:tc>
        <w:tc>
          <w:tcPr>
            <w:tcW w:w="9728" w:type="dxa"/>
            <w:tcBorders/>
            <w:shd w:fill="auto" w:val="clear"/>
            <w:vAlign w:val="center"/>
          </w:tcPr>
          <w:p>
            <w:pPr>
              <w:pStyle w:val="TableContents"/>
              <w:spacing w:before="0" w:after="283"/>
              <w:jc w:val="both"/>
              <w:rPr/>
            </w:pPr>
            <w:r>
              <w:rPr/>
              <w:t>The Company acknowledges that we have no obligation to use any information obtained from another source for the purposes of the Bridge Facility or to furnish such information to the Company or its Affiliates.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440"/>
        <w:gridCol w:w="9728"/>
      </w:tblGrid>
      <w:tr>
        <w:trPr/>
        <w:tc>
          <w:tcPr>
            <w:tcW w:w="37"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rFonts w:ascii="Times New Roman;Times;Serif" w:hAnsi="Times New Roman;Times;Serif"/>
                <w:color w:val="010000"/>
              </w:rPr>
            </w:pPr>
            <w:r>
              <w:rPr>
                <w:rFonts w:ascii="Times New Roman;Times;Serif" w:hAnsi="Times New Roman;Times;Serif"/>
                <w:color w:val="010000"/>
              </w:rPr>
              <w:t>11.7</w:t>
            </w:r>
          </w:p>
        </w:tc>
        <w:tc>
          <w:tcPr>
            <w:tcW w:w="9728" w:type="dxa"/>
            <w:tcBorders/>
            <w:shd w:fill="auto" w:val="clear"/>
            <w:vAlign w:val="center"/>
          </w:tcPr>
          <w:p>
            <w:pPr>
              <w:pStyle w:val="TableContents"/>
              <w:spacing w:before="0" w:after="283"/>
              <w:jc w:val="both"/>
              <w:rPr/>
            </w:pPr>
            <w:r>
              <w:rPr/>
              <w:t xml:space="preserve">The Commitment Parties reserve the right to employ the services of certain of their respective Affiliates (the </w:t>
            </w:r>
            <w:r>
              <w:rPr>
                <w:b/>
                <w:i/>
              </w:rPr>
              <w:t>Arranger Affiliates</w:t>
            </w:r>
            <w:r>
              <w:rPr/>
              <w:t>) in providing services incidental to the provision of the Bridge Facility and to the extent a Commitment Party employs the services of such an Arranger Affiliate, it will procure that such Arranger Affiliate performs its obligations as if such Arranger Affiliate were a party to this letter in the relevant capacity. The Company agrees that in connection with the provision of such services, the Commitment Parties and our Arranger Affiliates may share with each other any Confidential Information or other information relating to the Company, the Group and the Target Group, subject to the Arranger Affiliates agreeing to keep confidential any such Confidential Information or other information to the extent it is confidential in accordance with the provisions of paragraph 9 (</w:t>
            </w:r>
            <w:r>
              <w:rPr>
                <w:i/>
              </w:rPr>
              <w:t>Confidentiality</w:t>
            </w:r>
            <w:r>
              <w:rPr/>
              <w:t>) of this letter.</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81"/>
        <w:gridCol w:w="1244"/>
        <w:gridCol w:w="8780"/>
      </w:tblGrid>
      <w:tr>
        <w:trPr/>
        <w:tc>
          <w:tcPr>
            <w:tcW w:w="181" w:type="dxa"/>
            <w:tcBorders/>
            <w:shd w:fill="auto" w:val="clear"/>
            <w:vAlign w:val="center"/>
          </w:tcPr>
          <w:p>
            <w:pPr>
              <w:pStyle w:val="TableContents"/>
              <w:spacing w:before="0" w:after="283"/>
              <w:rPr>
                <w:sz w:val="4"/>
                <w:szCs w:val="4"/>
              </w:rPr>
            </w:pPr>
            <w:r>
              <w:rPr>
                <w:sz w:val="4"/>
                <w:szCs w:val="4"/>
              </w:rPr>
            </w:r>
          </w:p>
        </w:tc>
        <w:tc>
          <w:tcPr>
            <w:tcW w:w="1244" w:type="dxa"/>
            <w:tcBorders/>
            <w:shd w:fill="auto" w:val="clear"/>
            <w:vAlign w:val="center"/>
          </w:tcPr>
          <w:p>
            <w:pPr>
              <w:pStyle w:val="TableContents"/>
              <w:spacing w:before="0" w:after="283"/>
              <w:rPr>
                <w:rFonts w:ascii="Times New Roman;Times;Serif" w:hAnsi="Times New Roman;Times;Serif"/>
                <w:b/>
                <w:caps/>
                <w:color w:val="010000"/>
              </w:rPr>
            </w:pPr>
            <w:r>
              <w:rPr>
                <w:rFonts w:ascii="Times New Roman;Times;Serif" w:hAnsi="Times New Roman;Times;Serif"/>
                <w:b/>
                <w:caps/>
                <w:color w:val="010000"/>
              </w:rPr>
              <w:t>12</w:t>
            </w:r>
          </w:p>
        </w:tc>
        <w:tc>
          <w:tcPr>
            <w:tcW w:w="8780" w:type="dxa"/>
            <w:tcBorders/>
            <w:shd w:fill="auto" w:val="clear"/>
            <w:vAlign w:val="center"/>
          </w:tcPr>
          <w:p>
            <w:pPr>
              <w:pStyle w:val="TableContents"/>
              <w:spacing w:before="0" w:after="283"/>
              <w:rPr>
                <w:b/>
                <w:caps/>
              </w:rPr>
            </w:pPr>
            <w:r>
              <w:rPr>
                <w:b/>
                <w:caps/>
              </w:rPr>
              <w:t>Termination</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440"/>
        <w:gridCol w:w="9728"/>
      </w:tblGrid>
      <w:tr>
        <w:trPr/>
        <w:tc>
          <w:tcPr>
            <w:tcW w:w="37"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rFonts w:ascii="Times New Roman;Times;Serif" w:hAnsi="Times New Roman;Times;Serif"/>
                <w:color w:val="010000"/>
              </w:rPr>
            </w:pPr>
            <w:r>
              <w:rPr>
                <w:rFonts w:ascii="Times New Roman;Times;Serif" w:hAnsi="Times New Roman;Times;Serif"/>
                <w:color w:val="010000"/>
              </w:rPr>
              <w:t>12.1</w:t>
            </w:r>
          </w:p>
        </w:tc>
        <w:tc>
          <w:tcPr>
            <w:tcW w:w="9728" w:type="dxa"/>
            <w:tcBorders/>
            <w:shd w:fill="auto" w:val="clear"/>
            <w:vAlign w:val="center"/>
          </w:tcPr>
          <w:p>
            <w:pPr>
              <w:pStyle w:val="TableContents"/>
              <w:spacing w:before="0" w:after="283"/>
              <w:jc w:val="both"/>
              <w:rPr/>
            </w:pPr>
            <w:r>
              <w:rPr/>
              <w:t xml:space="preserve">Our commitments and other obligations set out in this letter are irrevocable and shall become effective only if the offer contained in this letter is accepted in writing by the Company in the manner set out in paragraph 12.2 below (the date of such acceptance, the </w:t>
            </w:r>
            <w:r>
              <w:rPr>
                <w:b/>
                <w:i/>
              </w:rPr>
              <w:t>Commitment Date</w:t>
            </w:r>
            <w:r>
              <w:rPr/>
              <w:t xml:space="preserve">), and such commitment and obligations shall otherwise expire and terminate six (6) months after the Commitment Date (the </w:t>
            </w:r>
            <w:r>
              <w:rPr>
                <w:b/>
                <w:i/>
              </w:rPr>
              <w:t>Backstop Date</w:t>
            </w:r>
            <w:r>
              <w:rPr/>
              <w:t>), or such later date as agreed by us (acting reasonably and in good faith).</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440"/>
        <w:gridCol w:w="9728"/>
      </w:tblGrid>
      <w:tr>
        <w:trPr/>
        <w:tc>
          <w:tcPr>
            <w:tcW w:w="37"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rFonts w:ascii="Times New Roman;Times;Serif" w:hAnsi="Times New Roman;Times;Serif"/>
                <w:color w:val="010000"/>
              </w:rPr>
            </w:pPr>
            <w:r>
              <w:rPr>
                <w:rFonts w:ascii="Times New Roman;Times;Serif" w:hAnsi="Times New Roman;Times;Serif"/>
                <w:color w:val="010000"/>
              </w:rPr>
              <w:t>12.2</w:t>
            </w:r>
          </w:p>
        </w:tc>
        <w:tc>
          <w:tcPr>
            <w:tcW w:w="9728" w:type="dxa"/>
            <w:tcBorders/>
            <w:shd w:fill="auto" w:val="clear"/>
            <w:vAlign w:val="center"/>
          </w:tcPr>
          <w:p>
            <w:pPr>
              <w:pStyle w:val="TableContents"/>
              <w:spacing w:before="0" w:after="283"/>
              <w:jc w:val="both"/>
              <w:rPr/>
            </w:pPr>
            <w:r>
              <w:rPr/>
              <w:t>If the Company does not accept the offer made by us in this letter by signing and scanning a counter-signed copy of this letter to the contacts identified on the signature pages below before 11:59 pm (London time) on the date falling two (2) Business Days from (and excluding) the date of this letter, such offer shall terminate on that date.</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440"/>
        <w:gridCol w:w="9728"/>
      </w:tblGrid>
      <w:tr>
        <w:trPr/>
        <w:tc>
          <w:tcPr>
            <w:tcW w:w="37"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rFonts w:ascii="Times New Roman;Times;Serif" w:hAnsi="Times New Roman;Times;Serif"/>
                <w:color w:val="010000"/>
              </w:rPr>
            </w:pPr>
            <w:r>
              <w:rPr>
                <w:rFonts w:ascii="Times New Roman;Times;Serif" w:hAnsi="Times New Roman;Times;Serif"/>
                <w:color w:val="010000"/>
              </w:rPr>
              <w:t>12.3</w:t>
            </w:r>
          </w:p>
        </w:tc>
        <w:tc>
          <w:tcPr>
            <w:tcW w:w="9728" w:type="dxa"/>
            <w:tcBorders/>
            <w:shd w:fill="auto" w:val="clear"/>
            <w:vAlign w:val="center"/>
          </w:tcPr>
          <w:p>
            <w:pPr>
              <w:pStyle w:val="TableContents"/>
              <w:spacing w:before="0" w:after="283"/>
              <w:jc w:val="both"/>
              <w:rPr/>
            </w:pPr>
            <w:r>
              <w:rPr/>
              <w:t>Notwithstanding the previous paragraphs of this clause 12, we may terminate our obligations under this letter at any other time with immediate effect by notifying the Company in writing to that effect if, in our opinion (acting reasonably), any of the conditions set out in paragraph 4.1 is not satisfied or met or will not be satisfied or met by the Backstop Date.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11</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38"/>
        <w:gridCol w:w="1635"/>
        <w:gridCol w:w="8332"/>
      </w:tblGrid>
      <w:tr>
        <w:trPr/>
        <w:tc>
          <w:tcPr>
            <w:tcW w:w="238" w:type="dxa"/>
            <w:tcBorders/>
            <w:shd w:fill="auto" w:val="clear"/>
            <w:vAlign w:val="center"/>
          </w:tcPr>
          <w:p>
            <w:pPr>
              <w:pStyle w:val="TableContents"/>
              <w:spacing w:before="0" w:after="283"/>
              <w:rPr>
                <w:sz w:val="4"/>
                <w:szCs w:val="4"/>
              </w:rPr>
            </w:pPr>
            <w:r>
              <w:rPr>
                <w:sz w:val="4"/>
                <w:szCs w:val="4"/>
              </w:rPr>
            </w:r>
          </w:p>
        </w:tc>
        <w:tc>
          <w:tcPr>
            <w:tcW w:w="1635" w:type="dxa"/>
            <w:tcBorders/>
            <w:shd w:fill="auto" w:val="clear"/>
            <w:vAlign w:val="center"/>
          </w:tcPr>
          <w:p>
            <w:pPr>
              <w:pStyle w:val="TableContents"/>
              <w:spacing w:before="0" w:after="283"/>
              <w:rPr>
                <w:rFonts w:ascii="Times New Roman;Times;Serif" w:hAnsi="Times New Roman;Times;Serif"/>
                <w:b/>
                <w:caps/>
                <w:color w:val="010000"/>
              </w:rPr>
            </w:pPr>
            <w:r>
              <w:rPr>
                <w:rFonts w:ascii="Times New Roman;Times;Serif" w:hAnsi="Times New Roman;Times;Serif"/>
                <w:b/>
                <w:caps/>
                <w:color w:val="010000"/>
              </w:rPr>
              <w:t>13</w:t>
            </w:r>
          </w:p>
        </w:tc>
        <w:tc>
          <w:tcPr>
            <w:tcW w:w="8332" w:type="dxa"/>
            <w:tcBorders/>
            <w:shd w:fill="auto" w:val="clear"/>
            <w:vAlign w:val="center"/>
          </w:tcPr>
          <w:p>
            <w:pPr>
              <w:pStyle w:val="TableContents"/>
              <w:spacing w:before="0" w:after="283"/>
              <w:rPr>
                <w:b/>
                <w:caps/>
              </w:rPr>
            </w:pPr>
            <w:r>
              <w:rPr>
                <w:b/>
                <w:caps/>
              </w:rPr>
              <w:t>Survival</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and obligations of the parties hereto under this paragraph and paragraphs 5 (</w:t>
      </w:r>
      <w:r>
        <w:rPr>
          <w:rFonts w:ascii="Times New Roman;Times;Serif" w:hAnsi="Times New Roman;Times;Serif"/>
          <w:b w:val="false"/>
          <w:i/>
          <w:caps w:val="false"/>
          <w:smallCaps w:val="false"/>
          <w:sz w:val="20"/>
        </w:rPr>
        <w:t>Fees, Costs And Expenses</w:t>
      </w:r>
      <w:r>
        <w:rPr>
          <w:rFonts w:ascii="Times New Roman;Times;Serif" w:hAnsi="Times New Roman;Times;Serif"/>
          <w:b w:val="false"/>
          <w:i w:val="false"/>
          <w:caps w:val="false"/>
          <w:smallCaps w:val="false"/>
          <w:sz w:val="20"/>
        </w:rPr>
        <w:t>), 6 (</w:t>
      </w:r>
      <w:r>
        <w:rPr>
          <w:rFonts w:ascii="Times New Roman;Times;Serif" w:hAnsi="Times New Roman;Times;Serif"/>
          <w:b w:val="false"/>
          <w:i/>
          <w:caps w:val="false"/>
          <w:smallCaps w:val="false"/>
          <w:sz w:val="20"/>
        </w:rPr>
        <w:t>Payments</w:t>
      </w:r>
      <w:r>
        <w:rPr>
          <w:rFonts w:ascii="Times New Roman;Times;Serif" w:hAnsi="Times New Roman;Times;Serif"/>
          <w:b w:val="false"/>
          <w:i w:val="false"/>
          <w:caps w:val="false"/>
          <w:smallCaps w:val="false"/>
          <w:sz w:val="20"/>
        </w:rPr>
        <w:t>), 7 (</w:t>
      </w:r>
      <w:r>
        <w:rPr>
          <w:rFonts w:ascii="Times New Roman;Times;Serif" w:hAnsi="Times New Roman;Times;Serif"/>
          <w:b w:val="false"/>
          <w:i/>
          <w:caps w:val="false"/>
          <w:smallCaps w:val="false"/>
          <w:sz w:val="20"/>
        </w:rPr>
        <w:t>Information</w:t>
      </w:r>
      <w:r>
        <w:rPr>
          <w:rFonts w:ascii="Times New Roman;Times;Serif" w:hAnsi="Times New Roman;Times;Serif"/>
          <w:b w:val="false"/>
          <w:i w:val="false"/>
          <w:caps w:val="false"/>
          <w:smallCaps w:val="false"/>
          <w:sz w:val="20"/>
        </w:rPr>
        <w:t>), 8 (</w:t>
      </w:r>
      <w:r>
        <w:rPr>
          <w:rFonts w:ascii="Times New Roman;Times;Serif" w:hAnsi="Times New Roman;Times;Serif"/>
          <w:b w:val="false"/>
          <w:i/>
          <w:caps w:val="false"/>
          <w:smallCaps w:val="false"/>
          <w:sz w:val="20"/>
        </w:rPr>
        <w:t>Indemnity</w:t>
      </w:r>
      <w:r>
        <w:rPr>
          <w:rFonts w:ascii="Times New Roman;Times;Serif" w:hAnsi="Times New Roman;Times;Serif"/>
          <w:b w:val="false"/>
          <w:i w:val="false"/>
          <w:caps w:val="false"/>
          <w:smallCaps w:val="false"/>
          <w:sz w:val="20"/>
        </w:rPr>
        <w:t>), 9 (</w:t>
      </w:r>
      <w:r>
        <w:rPr>
          <w:rFonts w:ascii="Times New Roman;Times;Serif" w:hAnsi="Times New Roman;Times;Serif"/>
          <w:b w:val="false"/>
          <w:i/>
          <w:caps w:val="false"/>
          <w:smallCaps w:val="false"/>
          <w:sz w:val="20"/>
        </w:rPr>
        <w:t>Confidentiality</w:t>
      </w:r>
      <w:r>
        <w:rPr>
          <w:rFonts w:ascii="Times New Roman;Times;Serif" w:hAnsi="Times New Roman;Times;Serif"/>
          <w:b w:val="false"/>
          <w:i w:val="false"/>
          <w:caps w:val="false"/>
          <w:smallCaps w:val="false"/>
          <w:sz w:val="20"/>
        </w:rPr>
        <w:t>), 10 (</w:t>
      </w:r>
      <w:r>
        <w:rPr>
          <w:rFonts w:ascii="Times New Roman;Times;Serif" w:hAnsi="Times New Roman;Times;Serif"/>
          <w:b w:val="false"/>
          <w:i/>
          <w:caps w:val="false"/>
          <w:smallCaps w:val="false"/>
          <w:sz w:val="20"/>
        </w:rPr>
        <w:t>Publicity/Announcements</w:t>
      </w:r>
      <w:r>
        <w:rPr>
          <w:rFonts w:ascii="Times New Roman;Times;Serif" w:hAnsi="Times New Roman;Times;Serif"/>
          <w:b w:val="false"/>
          <w:i w:val="false"/>
          <w:caps w:val="false"/>
          <w:smallCaps w:val="false"/>
          <w:sz w:val="20"/>
        </w:rPr>
        <w:t>), 11 (</w:t>
      </w:r>
      <w:r>
        <w:rPr>
          <w:rFonts w:ascii="Times New Roman;Times;Serif" w:hAnsi="Times New Roman;Times;Serif"/>
          <w:b w:val="false"/>
          <w:i/>
          <w:caps w:val="false"/>
          <w:smallCaps w:val="false"/>
          <w:sz w:val="20"/>
        </w:rPr>
        <w:t>Conflicts</w:t>
      </w:r>
      <w:r>
        <w:rPr>
          <w:rFonts w:ascii="Times New Roman;Times;Serif" w:hAnsi="Times New Roman;Times;Serif"/>
          <w:b w:val="false"/>
          <w:i w:val="false"/>
          <w:caps w:val="false"/>
          <w:smallCaps w:val="false"/>
          <w:sz w:val="20"/>
        </w:rPr>
        <w:t>), 14 (</w:t>
      </w:r>
      <w:r>
        <w:rPr>
          <w:rFonts w:ascii="Times New Roman;Times;Serif" w:hAnsi="Times New Roman;Times;Serif"/>
          <w:b w:val="false"/>
          <w:i/>
          <w:caps w:val="false"/>
          <w:smallCaps w:val="false"/>
          <w:sz w:val="20"/>
        </w:rPr>
        <w:t>Service of Process</w:t>
      </w:r>
      <w:r>
        <w:rPr>
          <w:rFonts w:ascii="Times New Roman;Times;Serif" w:hAnsi="Times New Roman;Times;Serif"/>
          <w:b w:val="false"/>
          <w:i w:val="false"/>
          <w:caps w:val="false"/>
          <w:smallCaps w:val="false"/>
          <w:sz w:val="20"/>
        </w:rPr>
        <w:t>), 15 (</w:t>
      </w:r>
      <w:r>
        <w:rPr>
          <w:rFonts w:ascii="Times New Roman;Times;Serif" w:hAnsi="Times New Roman;Times;Serif"/>
          <w:b w:val="false"/>
          <w:i/>
          <w:caps w:val="false"/>
          <w:smallCaps w:val="false"/>
          <w:sz w:val="20"/>
        </w:rPr>
        <w:t>Remedies and Waivers</w:t>
      </w:r>
      <w:r>
        <w:rPr>
          <w:rFonts w:ascii="Times New Roman;Times;Serif" w:hAnsi="Times New Roman;Times;Serif"/>
          <w:b w:val="false"/>
          <w:i w:val="false"/>
          <w:caps w:val="false"/>
          <w:smallCaps w:val="false"/>
          <w:sz w:val="20"/>
        </w:rPr>
        <w:t>), 16 (</w:t>
      </w:r>
      <w:r>
        <w:rPr>
          <w:rFonts w:ascii="Times New Roman;Times;Serif" w:hAnsi="Times New Roman;Times;Serif"/>
          <w:b w:val="false"/>
          <w:i/>
          <w:caps w:val="false"/>
          <w:smallCaps w:val="false"/>
          <w:sz w:val="20"/>
        </w:rPr>
        <w:t>Partial Invalidity</w:t>
      </w:r>
      <w:r>
        <w:rPr>
          <w:rFonts w:ascii="Times New Roman;Times;Serif" w:hAnsi="Times New Roman;Times;Serif"/>
          <w:b w:val="false"/>
          <w:i w:val="false"/>
          <w:caps w:val="false"/>
          <w:smallCaps w:val="false"/>
          <w:sz w:val="20"/>
        </w:rPr>
        <w:t>), 17 (</w:t>
      </w:r>
      <w:r>
        <w:rPr>
          <w:rFonts w:ascii="Times New Roman;Times;Serif" w:hAnsi="Times New Roman;Times;Serif"/>
          <w:b w:val="false"/>
          <w:i/>
          <w:caps w:val="false"/>
          <w:smallCaps w:val="false"/>
          <w:sz w:val="20"/>
        </w:rPr>
        <w:t>Entire Agreement</w:t>
      </w:r>
      <w:r>
        <w:rPr>
          <w:rFonts w:ascii="Times New Roman;Times;Serif" w:hAnsi="Times New Roman;Times;Serif"/>
          <w:b w:val="false"/>
          <w:i w:val="false"/>
          <w:caps w:val="false"/>
          <w:smallCaps w:val="false"/>
          <w:sz w:val="20"/>
        </w:rPr>
        <w:t>), 18 (</w:t>
      </w:r>
      <w:r>
        <w:rPr>
          <w:rFonts w:ascii="Times New Roman;Times;Serif" w:hAnsi="Times New Roman;Times;Serif"/>
          <w:b w:val="false"/>
          <w:i/>
          <w:caps w:val="false"/>
          <w:smallCaps w:val="false"/>
          <w:sz w:val="20"/>
        </w:rPr>
        <w:t>Counterparts</w:t>
      </w:r>
      <w:r>
        <w:rPr>
          <w:rFonts w:ascii="Times New Roman;Times;Serif" w:hAnsi="Times New Roman;Times;Serif"/>
          <w:b w:val="false"/>
          <w:i w:val="false"/>
          <w:caps w:val="false"/>
          <w:smallCaps w:val="false"/>
          <w:sz w:val="20"/>
        </w:rPr>
        <w:t>), 19 (</w:t>
      </w:r>
      <w:r>
        <w:rPr>
          <w:rFonts w:ascii="Times New Roman;Times;Serif" w:hAnsi="Times New Roman;Times;Serif"/>
          <w:b w:val="false"/>
          <w:i/>
          <w:caps w:val="false"/>
          <w:smallCaps w:val="false"/>
          <w:sz w:val="20"/>
        </w:rPr>
        <w:t>Third Party Rights</w:t>
      </w:r>
      <w:r>
        <w:rPr>
          <w:rFonts w:ascii="Times New Roman;Times;Serif" w:hAnsi="Times New Roman;Times;Serif"/>
          <w:b w:val="false"/>
          <w:i w:val="false"/>
          <w:caps w:val="false"/>
          <w:smallCaps w:val="false"/>
          <w:sz w:val="20"/>
        </w:rPr>
        <w:t>) and 20 (</w:t>
      </w:r>
      <w:r>
        <w:rPr>
          <w:rFonts w:ascii="Times New Roman;Times;Serif" w:hAnsi="Times New Roman;Times;Serif"/>
          <w:b w:val="false"/>
          <w:i/>
          <w:caps w:val="false"/>
          <w:smallCaps w:val="false"/>
          <w:sz w:val="20"/>
        </w:rPr>
        <w:t>Governing Law and Jurisdiction</w:t>
      </w:r>
      <w:r>
        <w:rPr>
          <w:rFonts w:ascii="Times New Roman;Times;Serif" w:hAnsi="Times New Roman;Times;Serif"/>
          <w:b w:val="false"/>
          <w:i w:val="false"/>
          <w:caps w:val="false"/>
          <w:smallCaps w:val="false"/>
          <w:sz w:val="20"/>
        </w:rPr>
        <w:t>) shall survive and continue after any expiry or termination of our obligations (including any of our permitted successors and assigns) under the Commitment Documents but shall:</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84"/>
        <w:gridCol w:w="9984"/>
      </w:tblGrid>
      <w:tr>
        <w:trPr/>
        <w:tc>
          <w:tcPr>
            <w:tcW w:w="37"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w:t>
            </w:r>
          </w:p>
        </w:tc>
        <w:tc>
          <w:tcPr>
            <w:tcW w:w="9984" w:type="dxa"/>
            <w:tcBorders/>
            <w:shd w:fill="auto" w:val="clear"/>
            <w:vAlign w:val="center"/>
          </w:tcPr>
          <w:p>
            <w:pPr>
              <w:pStyle w:val="TableContents"/>
              <w:spacing w:before="0" w:after="283"/>
              <w:jc w:val="both"/>
              <w:rPr/>
            </w:pPr>
            <w:r>
              <w:rPr/>
              <w:t>in the case of paragraphs 7 (</w:t>
            </w:r>
            <w:r>
              <w:rPr>
                <w:i/>
              </w:rPr>
              <w:t>Information</w:t>
            </w:r>
            <w:r>
              <w:rPr/>
              <w:t>), 8 (</w:t>
            </w:r>
            <w:r>
              <w:rPr>
                <w:i/>
              </w:rPr>
              <w:t>Indemnity</w:t>
            </w:r>
            <w:r>
              <w:rPr/>
              <w:t>), 9 (</w:t>
            </w:r>
            <w:r>
              <w:rPr>
                <w:i/>
              </w:rPr>
              <w:t>Confidentiality</w:t>
            </w:r>
            <w:r>
              <w:rPr/>
              <w:t>), 15 (</w:t>
            </w:r>
            <w:r>
              <w:rPr>
                <w:i/>
              </w:rPr>
              <w:t>Remedies and waivers</w:t>
            </w:r>
            <w:r>
              <w:rPr/>
              <w:t>), 17 (</w:t>
            </w:r>
            <w:r>
              <w:rPr>
                <w:i/>
                <w:sz w:val="20"/>
              </w:rPr>
              <w:t>Entire Agreement</w:t>
            </w:r>
            <w:r>
              <w:rPr>
                <w:sz w:val="20"/>
              </w:rPr>
              <w:t>)</w:t>
            </w:r>
            <w:r>
              <w:rPr/>
              <w:t xml:space="preserve"> and 19 (</w:t>
            </w:r>
            <w:r>
              <w:rPr>
                <w:i/>
              </w:rPr>
              <w:t>Third Party Rights</w:t>
            </w:r>
            <w:r>
              <w:rPr/>
              <w:t>) terminate on the execution of the Bridge Facility Agreement to the extent that substantially equivalent provisions are contained therein (but without prejudice to the accrued rights and obligations at the time of termination); and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60"/>
        <w:gridCol w:w="9908"/>
      </w:tblGrid>
      <w:tr>
        <w:trPr/>
        <w:tc>
          <w:tcPr>
            <w:tcW w:w="37"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(b)</w:t>
            </w:r>
          </w:p>
        </w:tc>
        <w:tc>
          <w:tcPr>
            <w:tcW w:w="9908" w:type="dxa"/>
            <w:tcBorders/>
            <w:shd w:fill="auto" w:val="clear"/>
            <w:vAlign w:val="center"/>
          </w:tcPr>
          <w:p>
            <w:pPr>
              <w:pStyle w:val="TableContents"/>
              <w:spacing w:before="0" w:after="283"/>
              <w:jc w:val="both"/>
              <w:rPr/>
            </w:pPr>
            <w:r>
              <w:rPr/>
              <w:t>to the extent the Bridge Facility Agreement is not signed, in the case of paragraph 9 (</w:t>
            </w:r>
            <w:r>
              <w:rPr>
                <w:i/>
              </w:rPr>
              <w:t>Confidentiality</w:t>
            </w:r>
            <w:r>
              <w:rPr/>
              <w:t>), terminate on the second anniversary of the date of this letter.</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29"/>
        <w:gridCol w:w="883"/>
        <w:gridCol w:w="9193"/>
      </w:tblGrid>
      <w:tr>
        <w:trPr/>
        <w:tc>
          <w:tcPr>
            <w:tcW w:w="129"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rFonts w:ascii="Times New Roman;Times;Serif" w:hAnsi="Times New Roman;Times;Serif"/>
                <w:b/>
                <w:caps/>
                <w:color w:val="010000"/>
              </w:rPr>
            </w:pPr>
            <w:r>
              <w:rPr>
                <w:rFonts w:ascii="Times New Roman;Times;Serif" w:hAnsi="Times New Roman;Times;Serif"/>
                <w:b/>
                <w:caps/>
                <w:color w:val="010000"/>
              </w:rPr>
              <w:t>14</w:t>
            </w:r>
          </w:p>
        </w:tc>
        <w:tc>
          <w:tcPr>
            <w:tcW w:w="9193" w:type="dxa"/>
            <w:tcBorders/>
            <w:shd w:fill="auto" w:val="clear"/>
            <w:vAlign w:val="center"/>
          </w:tcPr>
          <w:p>
            <w:pPr>
              <w:pStyle w:val="TableContents"/>
              <w:spacing w:before="0" w:after="283"/>
              <w:rPr>
                <w:b/>
                <w:caps/>
              </w:rPr>
            </w:pPr>
            <w:r>
              <w:rPr>
                <w:b/>
                <w:caps/>
              </w:rPr>
              <w:t>Service of Process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0"/>
        <w:gridCol w:w="476"/>
        <w:gridCol w:w="9689"/>
      </w:tblGrid>
      <w:tr>
        <w:trPr/>
        <w:tc>
          <w:tcPr>
            <w:tcW w:w="40"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rFonts w:ascii="Times New Roman;Times;Serif" w:hAnsi="Times New Roman;Times;Serif"/>
                <w:color w:val="010000"/>
              </w:rPr>
            </w:pPr>
            <w:r>
              <w:rPr>
                <w:rFonts w:ascii="Times New Roman;Times;Serif" w:hAnsi="Times New Roman;Times;Serif"/>
                <w:color w:val="010000"/>
              </w:rPr>
              <w:t>14.1</w:t>
            </w:r>
          </w:p>
        </w:tc>
        <w:tc>
          <w:tcPr>
            <w:tcW w:w="9689" w:type="dxa"/>
            <w:tcBorders/>
            <w:shd w:fill="auto" w:val="clear"/>
            <w:vAlign w:val="center"/>
          </w:tcPr>
          <w:p>
            <w:pPr>
              <w:pStyle w:val="TableContents"/>
              <w:spacing w:before="0" w:after="283"/>
              <w:jc w:val="both"/>
              <w:rPr/>
            </w:pPr>
            <w:r>
              <w:rPr/>
              <w:t>Without prejudice to any other mode of service allowed under any relevant law, the Company:</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26"/>
        <w:gridCol w:w="9942"/>
      </w:tblGrid>
      <w:tr>
        <w:trPr/>
        <w:tc>
          <w:tcPr>
            <w:tcW w:w="37"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(a)</w:t>
            </w:r>
          </w:p>
        </w:tc>
        <w:tc>
          <w:tcPr>
            <w:tcW w:w="9942" w:type="dxa"/>
            <w:tcBorders/>
            <w:shd w:fill="auto" w:val="clear"/>
            <w:vAlign w:val="center"/>
          </w:tcPr>
          <w:p>
            <w:pPr>
              <w:pStyle w:val="TableContents"/>
              <w:spacing w:before="0" w:after="283"/>
              <w:jc w:val="both"/>
              <w:rPr/>
            </w:pPr>
            <w:r>
              <w:rPr/>
              <w:t>irrevocably appoints GasLog Services UK Ltd., with its registered office currently at 99 Kings Road, London, SW3 4PA, England as its agent for service of process in relation to any proceedings before the courts of England in connection with the Commitment Documents; and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70"/>
        <w:gridCol w:w="9898"/>
      </w:tblGrid>
      <w:tr>
        <w:trPr/>
        <w:tc>
          <w:tcPr>
            <w:tcW w:w="37"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(b)</w:t>
            </w:r>
          </w:p>
        </w:tc>
        <w:tc>
          <w:tcPr>
            <w:tcW w:w="9898" w:type="dxa"/>
            <w:tcBorders/>
            <w:shd w:fill="auto" w:val="clear"/>
            <w:vAlign w:val="center"/>
          </w:tcPr>
          <w:p>
            <w:pPr>
              <w:pStyle w:val="TableContents"/>
              <w:spacing w:before="0" w:after="283"/>
              <w:jc w:val="both"/>
              <w:rPr/>
            </w:pPr>
            <w:r>
              <w:rPr/>
              <w:t>agrees that failure by an agent for service of process to notify the Company of the process will not invalidate the proceedings concerned.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440"/>
        <w:gridCol w:w="9728"/>
      </w:tblGrid>
      <w:tr>
        <w:trPr/>
        <w:tc>
          <w:tcPr>
            <w:tcW w:w="37"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rFonts w:ascii="Times New Roman;Times;Serif" w:hAnsi="Times New Roman;Times;Serif"/>
                <w:color w:val="010000"/>
              </w:rPr>
            </w:pPr>
            <w:r>
              <w:rPr>
                <w:rFonts w:ascii="Times New Roman;Times;Serif" w:hAnsi="Times New Roman;Times;Serif"/>
                <w:color w:val="010000"/>
              </w:rPr>
              <w:t>14.2</w:t>
            </w:r>
          </w:p>
        </w:tc>
        <w:tc>
          <w:tcPr>
            <w:tcW w:w="9728" w:type="dxa"/>
            <w:tcBorders/>
            <w:shd w:fill="auto" w:val="clear"/>
            <w:vAlign w:val="center"/>
          </w:tcPr>
          <w:p>
            <w:pPr>
              <w:pStyle w:val="TableContents"/>
              <w:spacing w:before="0" w:after="283"/>
              <w:jc w:val="both"/>
              <w:rPr/>
            </w:pPr>
            <w:r>
              <w:rPr/>
              <w:t>If any person appointed as agent for service of process is unable for any reason to act as an agent for service of process, the Company must promptly (and in any event within ten (10) Business Days of such event taking place) appoint another agent for service of process on terms acceptable to us (acting reasonably).</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11"/>
        <w:gridCol w:w="765"/>
        <w:gridCol w:w="9329"/>
      </w:tblGrid>
      <w:tr>
        <w:trPr/>
        <w:tc>
          <w:tcPr>
            <w:tcW w:w="111"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rFonts w:ascii="Times New Roman;Times;Serif" w:hAnsi="Times New Roman;Times;Serif"/>
                <w:b/>
                <w:caps/>
                <w:color w:val="010000"/>
              </w:rPr>
            </w:pPr>
            <w:r>
              <w:rPr>
                <w:rFonts w:ascii="Times New Roman;Times;Serif" w:hAnsi="Times New Roman;Times;Serif"/>
                <w:b/>
                <w:caps/>
                <w:color w:val="010000"/>
              </w:rPr>
              <w:t>15</w:t>
            </w:r>
          </w:p>
        </w:tc>
        <w:tc>
          <w:tcPr>
            <w:tcW w:w="9329" w:type="dxa"/>
            <w:tcBorders/>
            <w:shd w:fill="auto" w:val="clear"/>
            <w:vAlign w:val="center"/>
          </w:tcPr>
          <w:p>
            <w:pPr>
              <w:pStyle w:val="TableContents"/>
              <w:spacing w:before="0" w:after="283"/>
              <w:rPr>
                <w:b/>
                <w:caps/>
              </w:rPr>
            </w:pPr>
            <w:r>
              <w:rPr>
                <w:b/>
                <w:caps/>
              </w:rPr>
              <w:t>Remedies and Waivers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to exercise or delay in exercising a right or remedy under the Commitment Documents will not constitute a waiver of that right or remedy or a waiver of any other right or remedy and no single or partial exercise of any right or remedy will preclude any further exercise of that right or remedy, or the exercise of any other right or remedy. Except as expressly provided in the Commitment Documents, the rights and remedies contained in the Commitment Documents are cumulative and not exclusive of any rights or remedies provided by law.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29"/>
        <w:gridCol w:w="883"/>
        <w:gridCol w:w="9193"/>
      </w:tblGrid>
      <w:tr>
        <w:trPr/>
        <w:tc>
          <w:tcPr>
            <w:tcW w:w="129"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rFonts w:ascii="Times New Roman;Times;Serif" w:hAnsi="Times New Roman;Times;Serif"/>
                <w:b/>
                <w:caps/>
                <w:color w:val="010000"/>
              </w:rPr>
            </w:pPr>
            <w:r>
              <w:rPr>
                <w:rFonts w:ascii="Times New Roman;Times;Serif" w:hAnsi="Times New Roman;Times;Serif"/>
                <w:b/>
                <w:caps/>
                <w:color w:val="010000"/>
              </w:rPr>
              <w:t>16</w:t>
            </w:r>
          </w:p>
        </w:tc>
        <w:tc>
          <w:tcPr>
            <w:tcW w:w="9193" w:type="dxa"/>
            <w:tcBorders/>
            <w:shd w:fill="auto" w:val="clear"/>
            <w:vAlign w:val="center"/>
          </w:tcPr>
          <w:p>
            <w:pPr>
              <w:pStyle w:val="TableContents"/>
              <w:spacing w:before="0" w:after="283"/>
              <w:rPr>
                <w:b/>
                <w:caps/>
              </w:rPr>
            </w:pPr>
            <w:r>
              <w:rPr>
                <w:b/>
                <w:caps/>
              </w:rPr>
              <w:t>Partial Invalidity</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any provision of the Commitment Documents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31"/>
        <w:gridCol w:w="902"/>
        <w:gridCol w:w="9172"/>
      </w:tblGrid>
      <w:tr>
        <w:trPr/>
        <w:tc>
          <w:tcPr>
            <w:tcW w:w="131"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rFonts w:ascii="Times New Roman;Times;Serif" w:hAnsi="Times New Roman;Times;Serif"/>
                <w:b/>
                <w:caps/>
                <w:color w:val="010000"/>
              </w:rPr>
            </w:pPr>
            <w:r>
              <w:rPr>
                <w:rFonts w:ascii="Times New Roman;Times;Serif" w:hAnsi="Times New Roman;Times;Serif"/>
                <w:b/>
                <w:caps/>
                <w:color w:val="010000"/>
              </w:rPr>
              <w:t>17</w:t>
            </w:r>
          </w:p>
        </w:tc>
        <w:tc>
          <w:tcPr>
            <w:tcW w:w="9172" w:type="dxa"/>
            <w:tcBorders/>
            <w:shd w:fill="auto" w:val="clear"/>
            <w:vAlign w:val="center"/>
          </w:tcPr>
          <w:p>
            <w:pPr>
              <w:pStyle w:val="TableContents"/>
              <w:spacing w:before="0" w:after="283"/>
              <w:rPr>
                <w:b/>
                <w:caps/>
              </w:rPr>
            </w:pPr>
            <w:r>
              <w:rPr>
                <w:b/>
                <w:caps/>
              </w:rPr>
              <w:t>Entire Agreement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440"/>
        <w:gridCol w:w="9728"/>
      </w:tblGrid>
      <w:tr>
        <w:trPr/>
        <w:tc>
          <w:tcPr>
            <w:tcW w:w="37"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rFonts w:ascii="Times New Roman;Times;Serif" w:hAnsi="Times New Roman;Times;Serif"/>
                <w:color w:val="010000"/>
              </w:rPr>
            </w:pPr>
            <w:r>
              <w:rPr>
                <w:rFonts w:ascii="Times New Roman;Times;Serif" w:hAnsi="Times New Roman;Times;Serif"/>
                <w:color w:val="010000"/>
              </w:rPr>
              <w:t>17.1</w:t>
            </w:r>
          </w:p>
        </w:tc>
        <w:tc>
          <w:tcPr>
            <w:tcW w:w="9728" w:type="dxa"/>
            <w:tcBorders/>
            <w:shd w:fill="auto" w:val="clear"/>
            <w:vAlign w:val="center"/>
          </w:tcPr>
          <w:p>
            <w:pPr>
              <w:pStyle w:val="TableContents"/>
              <w:spacing w:before="0" w:after="283"/>
              <w:jc w:val="both"/>
              <w:rPr/>
            </w:pPr>
            <w:r>
              <w:rPr/>
              <w:t>The Commitment Documents set out the entire agreement between us with regards to the arranging, managing, underwriting and/or making available (as relevant) of the Bridge Facility and supersede any prior oral and/or written understandings or arrangements relating to the Bridge Facility.</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440"/>
        <w:gridCol w:w="9728"/>
      </w:tblGrid>
      <w:tr>
        <w:trPr/>
        <w:tc>
          <w:tcPr>
            <w:tcW w:w="37"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rFonts w:ascii="Times New Roman;Times;Serif" w:hAnsi="Times New Roman;Times;Serif"/>
                <w:color w:val="010000"/>
              </w:rPr>
            </w:pPr>
            <w:r>
              <w:rPr>
                <w:rFonts w:ascii="Times New Roman;Times;Serif" w:hAnsi="Times New Roman;Times;Serif"/>
                <w:color w:val="010000"/>
              </w:rPr>
              <w:t>17.2</w:t>
            </w:r>
          </w:p>
        </w:tc>
        <w:tc>
          <w:tcPr>
            <w:tcW w:w="9728" w:type="dxa"/>
            <w:tcBorders/>
            <w:shd w:fill="auto" w:val="clear"/>
            <w:vAlign w:val="center"/>
          </w:tcPr>
          <w:p>
            <w:pPr>
              <w:pStyle w:val="TableContents"/>
              <w:spacing w:before="0" w:after="283"/>
              <w:jc w:val="both"/>
              <w:rPr/>
            </w:pPr>
            <w:r>
              <w:rPr/>
              <w:t>Any provision of the Commitment Documents may only be amended or waived by way of a written amendment or waiver signed by the Commitment Parties and the Company, or otherwise pursuant to the terms of such Commitment Document.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63"/>
        <w:gridCol w:w="1118"/>
        <w:gridCol w:w="8924"/>
      </w:tblGrid>
      <w:tr>
        <w:trPr/>
        <w:tc>
          <w:tcPr>
            <w:tcW w:w="163"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rFonts w:ascii="Times New Roman;Times;Serif" w:hAnsi="Times New Roman;Times;Serif"/>
                <w:b/>
                <w:caps/>
                <w:color w:val="010000"/>
              </w:rPr>
            </w:pPr>
            <w:r>
              <w:rPr>
                <w:rFonts w:ascii="Times New Roman;Times;Serif" w:hAnsi="Times New Roman;Times;Serif"/>
                <w:b/>
                <w:caps/>
                <w:color w:val="010000"/>
              </w:rPr>
              <w:t>18</w:t>
            </w:r>
          </w:p>
        </w:tc>
        <w:tc>
          <w:tcPr>
            <w:tcW w:w="8924" w:type="dxa"/>
            <w:tcBorders/>
            <w:shd w:fill="auto" w:val="clear"/>
            <w:vAlign w:val="center"/>
          </w:tcPr>
          <w:p>
            <w:pPr>
              <w:pStyle w:val="TableContents"/>
              <w:spacing w:before="0" w:after="283"/>
              <w:rPr>
                <w:b/>
                <w:caps/>
              </w:rPr>
            </w:pPr>
            <w:r>
              <w:rPr>
                <w:b/>
                <w:caps/>
              </w:rPr>
              <w:t>Counterparts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Commitment Document may be executed in any number of counterparts and all those counterparts taken together shall be deemed to constitute one and the same Commitment Document. Delivery of a counterpart of a Commitment Document by email attachment shall be an effective mode of delivery.</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27"/>
        <w:gridCol w:w="875"/>
        <w:gridCol w:w="9203"/>
      </w:tblGrid>
      <w:tr>
        <w:trPr/>
        <w:tc>
          <w:tcPr>
            <w:tcW w:w="127"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rFonts w:ascii="Times New Roman;Times;Serif" w:hAnsi="Times New Roman;Times;Serif"/>
                <w:b/>
                <w:caps/>
                <w:color w:val="010000"/>
              </w:rPr>
            </w:pPr>
            <w:r>
              <w:rPr>
                <w:rFonts w:ascii="Times New Roman;Times;Serif" w:hAnsi="Times New Roman;Times;Serif"/>
                <w:b/>
                <w:caps/>
                <w:color w:val="010000"/>
              </w:rPr>
              <w:t>19</w:t>
            </w:r>
          </w:p>
        </w:tc>
        <w:tc>
          <w:tcPr>
            <w:tcW w:w="9203" w:type="dxa"/>
            <w:tcBorders/>
            <w:shd w:fill="auto" w:val="clear"/>
            <w:vAlign w:val="center"/>
          </w:tcPr>
          <w:p>
            <w:pPr>
              <w:pStyle w:val="TableContents"/>
              <w:spacing w:before="0" w:after="283"/>
              <w:rPr>
                <w:b/>
                <w:caps/>
              </w:rPr>
            </w:pPr>
            <w:r>
              <w:rPr>
                <w:b/>
                <w:caps/>
              </w:rPr>
              <w:t>Third Party Rights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expressly provided to the contrary in this letter, a person who is not a party to this letter has no right under the Contracts (Rights of Third Parties) Act 1999 to enforce or to enjoy the benefit of any of its terms. Notwithstanding any term of this letter, the consent of any person who is not a party to this letter is not required to rescind or vary this letter at any time.</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78"/>
        <w:gridCol w:w="539"/>
        <w:gridCol w:w="9588"/>
      </w:tblGrid>
      <w:tr>
        <w:trPr/>
        <w:tc>
          <w:tcPr>
            <w:tcW w:w="78"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rFonts w:ascii="Times New Roman;Times;Serif" w:hAnsi="Times New Roman;Times;Serif"/>
                <w:b/>
                <w:caps/>
                <w:color w:val="010000"/>
              </w:rPr>
            </w:pPr>
            <w:r>
              <w:rPr>
                <w:rFonts w:ascii="Times New Roman;Times;Serif" w:hAnsi="Times New Roman;Times;Serif"/>
                <w:b/>
                <w:caps/>
                <w:color w:val="010000"/>
              </w:rPr>
              <w:t>20</w:t>
            </w:r>
          </w:p>
        </w:tc>
        <w:tc>
          <w:tcPr>
            <w:tcW w:w="9588" w:type="dxa"/>
            <w:tcBorders/>
            <w:shd w:fill="auto" w:val="clear"/>
            <w:vAlign w:val="center"/>
          </w:tcPr>
          <w:p>
            <w:pPr>
              <w:pStyle w:val="TableContents"/>
              <w:spacing w:before="0" w:after="283"/>
              <w:rPr>
                <w:b/>
                <w:caps/>
              </w:rPr>
            </w:pPr>
            <w:r>
              <w:rPr>
                <w:b/>
                <w:caps/>
              </w:rPr>
              <w:t>Governing Law and Jurisdiction</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440"/>
        <w:gridCol w:w="9728"/>
      </w:tblGrid>
      <w:tr>
        <w:trPr/>
        <w:tc>
          <w:tcPr>
            <w:tcW w:w="37"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rFonts w:ascii="Times New Roman;Times;Serif" w:hAnsi="Times New Roman;Times;Serif"/>
                <w:color w:val="010000"/>
              </w:rPr>
            </w:pPr>
            <w:r>
              <w:rPr>
                <w:rFonts w:ascii="Times New Roman;Times;Serif" w:hAnsi="Times New Roman;Times;Serif"/>
                <w:color w:val="010000"/>
              </w:rPr>
              <w:t>20.1</w:t>
            </w:r>
          </w:p>
        </w:tc>
        <w:tc>
          <w:tcPr>
            <w:tcW w:w="9728" w:type="dxa"/>
            <w:tcBorders/>
            <w:shd w:fill="auto" w:val="clear"/>
            <w:vAlign w:val="center"/>
          </w:tcPr>
          <w:p>
            <w:pPr>
              <w:pStyle w:val="TableContents"/>
              <w:spacing w:before="0" w:after="283"/>
              <w:jc w:val="both"/>
              <w:rPr/>
            </w:pPr>
            <w:r>
              <w:rPr/>
              <w:t>Each Commitment Document and any non-contractual obligations arising out of or in connection with it (including any non-contractual obligations arising out of the negotiations of the transaction contemplated by each Commitment Document) shall be governed by, and construed in accordance with, English law.</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440"/>
        <w:gridCol w:w="9728"/>
      </w:tblGrid>
      <w:tr>
        <w:trPr/>
        <w:tc>
          <w:tcPr>
            <w:tcW w:w="37"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rFonts w:ascii="Times New Roman;Times;Serif" w:hAnsi="Times New Roman;Times;Serif"/>
                <w:color w:val="010000"/>
              </w:rPr>
            </w:pPr>
            <w:r>
              <w:rPr>
                <w:rFonts w:ascii="Times New Roman;Times;Serif" w:hAnsi="Times New Roman;Times;Serif"/>
                <w:color w:val="010000"/>
              </w:rPr>
              <w:t>20.2</w:t>
            </w:r>
          </w:p>
        </w:tc>
        <w:tc>
          <w:tcPr>
            <w:tcW w:w="9728" w:type="dxa"/>
            <w:tcBorders/>
            <w:shd w:fill="auto" w:val="clear"/>
            <w:vAlign w:val="center"/>
          </w:tcPr>
          <w:p>
            <w:pPr>
              <w:pStyle w:val="TableContents"/>
              <w:spacing w:before="0" w:after="283"/>
              <w:jc w:val="both"/>
              <w:rPr/>
            </w:pPr>
            <w:r>
              <w:rPr/>
              <w:t>For our benefit only, each of the parties to this letter agrees that the courts of England shall have non-exclusive jurisdiction to settle any disputes arising out of or in connection with the Commitment Documents and any non-contractual obligation arising out of or in connection with these (including any non-contractual obligations arising out of the negotiations of the transaction contemplated by the Commitment Documents) and each of the parties to this letter accordingly submits to the jurisdiction of the English courts.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80"/>
        <w:gridCol w:w="929"/>
        <w:gridCol w:w="9196"/>
      </w:tblGrid>
      <w:tr>
        <w:trPr/>
        <w:tc>
          <w:tcPr>
            <w:tcW w:w="80"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rFonts w:ascii="Times New Roman;Times;Serif" w:hAnsi="Times New Roman;Times;Serif"/>
                <w:color w:val="010000"/>
              </w:rPr>
            </w:pPr>
            <w:r>
              <w:rPr>
                <w:rFonts w:ascii="Times New Roman;Times;Serif" w:hAnsi="Times New Roman;Times;Serif"/>
                <w:color w:val="010000"/>
              </w:rPr>
              <w:t>20.3</w:t>
            </w:r>
          </w:p>
        </w:tc>
        <w:tc>
          <w:tcPr>
            <w:tcW w:w="9196" w:type="dxa"/>
            <w:tcBorders/>
            <w:shd w:fill="auto" w:val="clear"/>
            <w:vAlign w:val="center"/>
          </w:tcPr>
          <w:p>
            <w:pPr>
              <w:pStyle w:val="TableContents"/>
              <w:spacing w:before="0" w:after="283"/>
              <w:jc w:val="both"/>
              <w:rPr/>
            </w:pPr>
            <w:r>
              <w:rPr/>
              <w:t>Each of the parties to this letter further agrees: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26"/>
        <w:gridCol w:w="9942"/>
      </w:tblGrid>
      <w:tr>
        <w:trPr/>
        <w:tc>
          <w:tcPr>
            <w:tcW w:w="37"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(a)</w:t>
            </w:r>
          </w:p>
        </w:tc>
        <w:tc>
          <w:tcPr>
            <w:tcW w:w="9942" w:type="dxa"/>
            <w:tcBorders/>
            <w:shd w:fill="auto" w:val="clear"/>
            <w:vAlign w:val="center"/>
          </w:tcPr>
          <w:p>
            <w:pPr>
              <w:pStyle w:val="TableContents"/>
              <w:spacing w:before="0" w:after="283"/>
              <w:jc w:val="both"/>
              <w:rPr/>
            </w:pPr>
            <w:r>
              <w:rPr/>
              <w:t>to waive any objection to the English courts on grounds of inconvenient forum or otherwise as regards proceedings in connection with the Commitment Documents and any non-contractual obligation arising out of or in connection with the Commitment Documents;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41"/>
        <w:gridCol w:w="9927"/>
      </w:tblGrid>
      <w:tr>
        <w:trPr/>
        <w:tc>
          <w:tcPr>
            <w:tcW w:w="37"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(b)</w:t>
            </w:r>
          </w:p>
        </w:tc>
        <w:tc>
          <w:tcPr>
            <w:tcW w:w="9927" w:type="dxa"/>
            <w:tcBorders/>
            <w:shd w:fill="auto" w:val="clear"/>
            <w:vAlign w:val="center"/>
          </w:tcPr>
          <w:p>
            <w:pPr>
              <w:pStyle w:val="TableContents"/>
              <w:spacing w:before="0" w:after="283"/>
              <w:jc w:val="both"/>
              <w:rPr/>
            </w:pPr>
            <w:r>
              <w:rPr/>
              <w:t>that a judgment or order of an English court in connection with the Commitment Documents and any non-contractual obligation arising out of or in connection with it is conclusive and binding on it and may be enforced against it in the courts of any other jurisdiction; and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30"/>
        <w:gridCol w:w="9938"/>
      </w:tblGrid>
      <w:tr>
        <w:trPr/>
        <w:tc>
          <w:tcPr>
            <w:tcW w:w="37"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(c)</w:t>
            </w:r>
          </w:p>
        </w:tc>
        <w:tc>
          <w:tcPr>
            <w:tcW w:w="9938" w:type="dxa"/>
            <w:tcBorders/>
            <w:shd w:fill="auto" w:val="clear"/>
            <w:vAlign w:val="center"/>
          </w:tcPr>
          <w:p>
            <w:pPr>
              <w:pStyle w:val="TableContents"/>
              <w:spacing w:before="0" w:after="283"/>
              <w:jc w:val="both"/>
              <w:rPr/>
            </w:pPr>
            <w:r>
              <w:rPr/>
              <w:t>that nothing in this paragraph limits our right to bring proceedings against the Company in connection with the Commitment Documents and any non-contractual obligation arising out of or in connection with the Commitment Documents: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82"/>
        <w:gridCol w:w="501"/>
        <w:gridCol w:w="9622"/>
      </w:tblGrid>
      <w:tr>
        <w:trPr/>
        <w:tc>
          <w:tcPr>
            <w:tcW w:w="82"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rFonts w:ascii="Times New Roman;Times;Serif" w:hAnsi="Times New Roman;Times;Serif"/>
                <w:color w:val="010000"/>
              </w:rPr>
            </w:pPr>
            <w:r>
              <w:rPr>
                <w:rFonts w:ascii="Times New Roman;Times;Serif" w:hAnsi="Times New Roman;Times;Serif"/>
                <w:color w:val="010000"/>
              </w:rPr>
              <w:t>(i)</w:t>
            </w:r>
          </w:p>
        </w:tc>
        <w:tc>
          <w:tcPr>
            <w:tcW w:w="9622" w:type="dxa"/>
            <w:tcBorders/>
            <w:shd w:fill="auto" w:val="clear"/>
            <w:vAlign w:val="center"/>
          </w:tcPr>
          <w:p>
            <w:pPr>
              <w:pStyle w:val="TableContents"/>
              <w:spacing w:before="0" w:after="283"/>
              <w:jc w:val="both"/>
              <w:rPr/>
            </w:pPr>
            <w:r>
              <w:rPr/>
              <w:t>in any other court of competent jurisdiction; or</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88"/>
        <w:gridCol w:w="678"/>
        <w:gridCol w:w="9439"/>
      </w:tblGrid>
      <w:tr>
        <w:trPr/>
        <w:tc>
          <w:tcPr>
            <w:tcW w:w="88"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rFonts w:ascii="Times New Roman;Times;Serif" w:hAnsi="Times New Roman;Times;Serif"/>
                <w:color w:val="010000"/>
              </w:rPr>
            </w:pPr>
            <w:r>
              <w:rPr>
                <w:rFonts w:ascii="Times New Roman;Times;Serif" w:hAnsi="Times New Roman;Times;Serif"/>
                <w:color w:val="010000"/>
              </w:rPr>
              <w:t>(ii)</w:t>
            </w:r>
          </w:p>
        </w:tc>
        <w:tc>
          <w:tcPr>
            <w:tcW w:w="9439" w:type="dxa"/>
            <w:tcBorders/>
            <w:shd w:fill="auto" w:val="clear"/>
            <w:vAlign w:val="center"/>
          </w:tcPr>
          <w:p>
            <w:pPr>
              <w:pStyle w:val="TableContents"/>
              <w:spacing w:before="0" w:after="283"/>
              <w:jc w:val="both"/>
              <w:rPr/>
            </w:pPr>
            <w:r>
              <w:rPr/>
              <w:t>concurrently in more than one jurisdiction.</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440"/>
        <w:gridCol w:w="9728"/>
      </w:tblGrid>
      <w:tr>
        <w:trPr/>
        <w:tc>
          <w:tcPr>
            <w:tcW w:w="37"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rFonts w:ascii="Times New Roman;Times;Serif" w:hAnsi="Times New Roman;Times;Serif"/>
                <w:color w:val="010000"/>
              </w:rPr>
            </w:pPr>
            <w:r>
              <w:rPr>
                <w:rFonts w:ascii="Times New Roman;Times;Serif" w:hAnsi="Times New Roman;Times;Serif"/>
                <w:color w:val="010000"/>
              </w:rPr>
              <w:t>20.4</w:t>
            </w:r>
          </w:p>
        </w:tc>
        <w:tc>
          <w:tcPr>
            <w:tcW w:w="9728" w:type="dxa"/>
            <w:tcBorders/>
            <w:shd w:fill="auto" w:val="clear"/>
            <w:vAlign w:val="center"/>
          </w:tcPr>
          <w:p>
            <w:pPr>
              <w:pStyle w:val="TableContents"/>
              <w:spacing w:before="0" w:after="283"/>
              <w:jc w:val="both"/>
              <w:rPr/>
            </w:pPr>
            <w:r>
              <w:rPr/>
              <w:t>We acknowledge that the Company may seek specific performance by us and any other finance parties (howsoever described) in respect of our commitments and of our agreement to enter into and to make advances under the Finance Documents for the funding of the Transaction in addition to any other available remedies and that damages are not an adequate remedy with respect to these matters.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87"/>
        <w:gridCol w:w="1132"/>
        <w:gridCol w:w="8886"/>
      </w:tblGrid>
      <w:tr>
        <w:trPr/>
        <w:tc>
          <w:tcPr>
            <w:tcW w:w="187"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rFonts w:ascii="Times New Roman;Times;Serif" w:hAnsi="Times New Roman;Times;Serif"/>
                <w:b/>
                <w:caps/>
                <w:color w:val="010000"/>
                <w:sz w:val="20"/>
              </w:rPr>
            </w:pPr>
            <w:r>
              <w:rPr>
                <w:rFonts w:ascii="Times New Roman;Times;Serif" w:hAnsi="Times New Roman;Times;Serif"/>
                <w:b/>
                <w:caps/>
                <w:color w:val="010000"/>
                <w:sz w:val="20"/>
              </w:rPr>
              <w:t>21</w:t>
            </w:r>
          </w:p>
        </w:tc>
        <w:tc>
          <w:tcPr>
            <w:tcW w:w="8886" w:type="dxa"/>
            <w:tcBorders/>
            <w:shd w:fill="auto" w:val="clear"/>
            <w:vAlign w:val="center"/>
          </w:tcPr>
          <w:p>
            <w:pPr>
              <w:pStyle w:val="TableContents"/>
              <w:spacing w:before="0" w:after="283"/>
              <w:rPr>
                <w:b/>
                <w:caps/>
              </w:rPr>
            </w:pPr>
            <w:r>
              <w:rPr>
                <w:b/>
                <w:caps/>
              </w:rPr>
              <w:t>assignments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440"/>
        <w:gridCol w:w="9728"/>
      </w:tblGrid>
      <w:tr>
        <w:trPr/>
        <w:tc>
          <w:tcPr>
            <w:tcW w:w="37"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rFonts w:ascii="Times New Roman;Times;Serif" w:hAnsi="Times New Roman;Times;Serif"/>
                <w:color w:val="010000"/>
              </w:rPr>
            </w:pPr>
            <w:r>
              <w:rPr>
                <w:rFonts w:ascii="Times New Roman;Times;Serif" w:hAnsi="Times New Roman;Times;Serif"/>
                <w:color w:val="010000"/>
              </w:rPr>
              <w:t>21.1</w:t>
            </w:r>
          </w:p>
        </w:tc>
        <w:tc>
          <w:tcPr>
            <w:tcW w:w="9728" w:type="dxa"/>
            <w:tcBorders/>
            <w:shd w:fill="auto" w:val="clear"/>
            <w:vAlign w:val="center"/>
          </w:tcPr>
          <w:p>
            <w:pPr>
              <w:pStyle w:val="TableContents"/>
              <w:spacing w:before="0" w:after="283"/>
              <w:jc w:val="both"/>
              <w:rPr/>
            </w:pPr>
            <w:r>
              <w:rPr/>
              <w:t>Without prejudice to our right to syndicate the Bridge Facility (whether before or after the execution of the Bridge Facility Agreement) to the extent set forth in the Bridge Facility Term Sheet, no party to this letter may assign this letter or any commitments or agreements hereunder to any other person without the prior written consent of each of the other parties hereto (and any purported assignment without such consent will be null and void).</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 of this page is intentionally left blank]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A</w:t>
        <w:br/>
        <w:t>Bridge Facility Term Sheet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15</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right"/>
        <w:rPr>
          <w:caps w:val="false"/>
          <w:smallCaps w:val="false"/>
        </w:rPr>
      </w:pPr>
      <w:r>
        <w:rPr>
          <w:caps w:val="false"/>
          <w:smallCaps w:val="false"/>
        </w:rPr>
        <w:drawing>
          <wp:inline distT="0" distB="0" distL="0" distR="0">
            <wp:extent cx="1181100" cy="6096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0"/>
                    <a:stretch>
                      <a:fillRect/>
                    </a:stretch>
                  </pic:blipFill>
                  <pic:spPr bwMode="auto">
                    <a:xfrm>
                      <a:off x="0" y="0"/>
                      <a:ext cx="1181100" cy="609600"/>
                    </a:xfrm>
                    <a:prstGeom prst="rect">
                      <a:avLst/>
                    </a:prstGeom>
                  </pic:spPr>
                </pic:pic>
              </a:graphicData>
            </a:graphic>
          </wp:inline>
        </w:drawing>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BRIDGE FACILITY TERM SHEET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USD75,000,000</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020"/>
        <w:gridCol w:w="8185"/>
      </w:tblGrid>
      <w:tr>
        <w:trPr/>
        <w:tc>
          <w:tcPr>
            <w:tcW w:w="2020"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Borrower:</w:t>
            </w:r>
          </w:p>
        </w:tc>
        <w:tc>
          <w:tcPr>
            <w:tcW w:w="81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 wholly owned subsidiary of GasLog Ltd. organized in the Marshall Islands as a limited liability company.</w:t>
            </w:r>
          </w:p>
        </w:tc>
      </w:tr>
      <w:tr>
        <w:trPr/>
        <w:tc>
          <w:tcPr>
            <w:tcW w:w="2020" w:type="dxa"/>
            <w:tcBorders/>
            <w:shd w:fill="auto" w:val="clear"/>
            <w:vAlign w:val="center"/>
          </w:tcPr>
          <w:p>
            <w:pPr>
              <w:pStyle w:val="TableContents"/>
              <w:spacing w:before="0" w:after="283"/>
              <w:rPr/>
            </w:pPr>
            <w:r>
              <w:rPr/>
              <w:t> </w:t>
            </w:r>
          </w:p>
        </w:tc>
        <w:tc>
          <w:tcPr>
            <w:tcW w:w="8185" w:type="dxa"/>
            <w:tcBorders/>
            <w:shd w:fill="auto" w:val="clear"/>
            <w:vAlign w:val="center"/>
          </w:tcPr>
          <w:p>
            <w:pPr>
              <w:pStyle w:val="TableContents"/>
              <w:spacing w:before="0" w:after="283"/>
              <w:rPr/>
            </w:pPr>
            <w:r>
              <w:rPr/>
              <w:t> </w:t>
            </w:r>
          </w:p>
        </w:tc>
      </w:tr>
      <w:tr>
        <w:trPr/>
        <w:tc>
          <w:tcPr>
            <w:tcW w:w="2020" w:type="dxa"/>
            <w:tcBorders/>
            <w:shd w:fill="auto" w:val="clear"/>
            <w:vAlign w:val="center"/>
          </w:tcPr>
          <w:p>
            <w:pPr>
              <w:pStyle w:val="TableContents"/>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Guarantor:</w:t>
            </w:r>
          </w:p>
        </w:tc>
        <w:tc>
          <w:tcPr>
            <w:tcW w:w="8185" w:type="dxa"/>
            <w:tcBorders/>
            <w:shd w:fill="auto" w:val="clear"/>
            <w:vAlign w:val="center"/>
          </w:tcPr>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GasLog Ltd.</w:t>
            </w:r>
          </w:p>
        </w:tc>
      </w:tr>
      <w:tr>
        <w:trPr/>
        <w:tc>
          <w:tcPr>
            <w:tcW w:w="2020" w:type="dxa"/>
            <w:tcBorders/>
            <w:shd w:fill="auto" w:val="clear"/>
            <w:vAlign w:val="center"/>
          </w:tcPr>
          <w:p>
            <w:pPr>
              <w:pStyle w:val="TableContents"/>
              <w:spacing w:before="0" w:after="283"/>
              <w:rPr/>
            </w:pPr>
            <w:r>
              <w:rPr/>
              <w:t> </w:t>
            </w:r>
          </w:p>
        </w:tc>
        <w:tc>
          <w:tcPr>
            <w:tcW w:w="8185" w:type="dxa"/>
            <w:tcBorders/>
            <w:shd w:fill="auto" w:val="clear"/>
            <w:vAlign w:val="center"/>
          </w:tcPr>
          <w:p>
            <w:pPr>
              <w:pStyle w:val="TableContents"/>
              <w:spacing w:before="0" w:after="283"/>
              <w:rPr/>
            </w:pPr>
            <w:r>
              <w:rPr/>
              <w:t> </w:t>
            </w:r>
          </w:p>
        </w:tc>
      </w:tr>
      <w:tr>
        <w:trPr/>
        <w:tc>
          <w:tcPr>
            <w:tcW w:w="2020" w:type="dxa"/>
            <w:tcBorders/>
            <w:shd w:fill="auto" w:val="clear"/>
            <w:vAlign w:val="center"/>
          </w:tcPr>
          <w:p>
            <w:pPr>
              <w:pStyle w:val="TableContents"/>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Obligors:</w:t>
            </w:r>
          </w:p>
        </w:tc>
        <w:tc>
          <w:tcPr>
            <w:tcW w:w="8185" w:type="dxa"/>
            <w:tcBorders/>
            <w:shd w:fill="auto" w:val="clear"/>
            <w:vAlign w:val="center"/>
          </w:tcPr>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and the Guarantor.</w:t>
            </w:r>
          </w:p>
        </w:tc>
      </w:tr>
      <w:tr>
        <w:trPr/>
        <w:tc>
          <w:tcPr>
            <w:tcW w:w="2020" w:type="dxa"/>
            <w:tcBorders/>
            <w:shd w:fill="auto" w:val="clear"/>
            <w:vAlign w:val="center"/>
          </w:tcPr>
          <w:p>
            <w:pPr>
              <w:pStyle w:val="TableContents"/>
              <w:spacing w:before="0" w:after="283"/>
              <w:rPr/>
            </w:pPr>
            <w:r>
              <w:rPr/>
              <w:t> </w:t>
            </w:r>
          </w:p>
        </w:tc>
        <w:tc>
          <w:tcPr>
            <w:tcW w:w="8185" w:type="dxa"/>
            <w:tcBorders/>
            <w:shd w:fill="auto" w:val="clear"/>
            <w:vAlign w:val="center"/>
          </w:tcPr>
          <w:p>
            <w:pPr>
              <w:pStyle w:val="TableContents"/>
              <w:spacing w:before="0" w:after="283"/>
              <w:rPr/>
            </w:pPr>
            <w:r>
              <w:rPr/>
              <w:t> </w:t>
            </w:r>
          </w:p>
        </w:tc>
      </w:tr>
      <w:tr>
        <w:trPr/>
        <w:tc>
          <w:tcPr>
            <w:tcW w:w="2020" w:type="dxa"/>
            <w:tcBorders/>
            <w:shd w:fill="auto" w:val="clear"/>
            <w:vAlign w:val="center"/>
          </w:tcPr>
          <w:p>
            <w:pPr>
              <w:pStyle w:val="TableContents"/>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Group:</w:t>
            </w:r>
          </w:p>
        </w:tc>
        <w:tc>
          <w:tcPr>
            <w:tcW w:w="8185" w:type="dxa"/>
            <w:tcBorders/>
            <w:shd w:fill="auto" w:val="clear"/>
            <w:vAlign w:val="center"/>
          </w:tcPr>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GasLog Ltd. and its subsidiaries</w:t>
            </w:r>
          </w:p>
        </w:tc>
      </w:tr>
      <w:tr>
        <w:trPr/>
        <w:tc>
          <w:tcPr>
            <w:tcW w:w="2020" w:type="dxa"/>
            <w:tcBorders/>
            <w:shd w:fill="auto" w:val="clear"/>
            <w:vAlign w:val="center"/>
          </w:tcPr>
          <w:p>
            <w:pPr>
              <w:pStyle w:val="TableContents"/>
              <w:spacing w:before="0" w:after="283"/>
              <w:rPr/>
            </w:pPr>
            <w:r>
              <w:rPr/>
              <w:t> </w:t>
            </w:r>
          </w:p>
        </w:tc>
        <w:tc>
          <w:tcPr>
            <w:tcW w:w="8185" w:type="dxa"/>
            <w:tcBorders/>
            <w:shd w:fill="auto" w:val="clear"/>
            <w:vAlign w:val="center"/>
          </w:tcPr>
          <w:p>
            <w:pPr>
              <w:pStyle w:val="TableContents"/>
              <w:spacing w:before="0" w:after="283"/>
              <w:jc w:val="both"/>
              <w:rPr/>
            </w:pPr>
            <w:r>
              <w:rPr/>
              <w:t> </w:t>
            </w:r>
          </w:p>
        </w:tc>
      </w:tr>
      <w:tr>
        <w:trPr/>
        <w:tc>
          <w:tcPr>
            <w:tcW w:w="2020"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Vessels:</w:t>
            </w:r>
          </w:p>
        </w:tc>
        <w:tc>
          <w:tcPr>
            <w:tcW w:w="81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All ships owned or leased in by the Group (whether with or without a purchase obligation)</w:t>
            </w:r>
          </w:p>
        </w:tc>
      </w:tr>
      <w:tr>
        <w:trPr/>
        <w:tc>
          <w:tcPr>
            <w:tcW w:w="2020" w:type="dxa"/>
            <w:tcBorders/>
            <w:shd w:fill="auto" w:val="clear"/>
            <w:vAlign w:val="center"/>
          </w:tcPr>
          <w:p>
            <w:pPr>
              <w:pStyle w:val="TableContents"/>
              <w:spacing w:before="0" w:after="283"/>
              <w:rPr/>
            </w:pPr>
            <w:r>
              <w:rPr/>
              <w:t> </w:t>
            </w:r>
          </w:p>
        </w:tc>
        <w:tc>
          <w:tcPr>
            <w:tcW w:w="8185" w:type="dxa"/>
            <w:tcBorders/>
            <w:shd w:fill="auto" w:val="clear"/>
            <w:vAlign w:val="center"/>
          </w:tcPr>
          <w:p>
            <w:pPr>
              <w:pStyle w:val="TableContents"/>
              <w:spacing w:before="0" w:after="283"/>
              <w:rPr/>
            </w:pPr>
            <w:r>
              <w:rPr/>
              <w:t> </w:t>
            </w:r>
          </w:p>
        </w:tc>
      </w:tr>
      <w:tr>
        <w:trPr/>
        <w:tc>
          <w:tcPr>
            <w:tcW w:w="2020"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 xml:space="preserve">Facility Agent, Bookrunner, Underwriter: </w:t>
            </w:r>
          </w:p>
        </w:tc>
        <w:tc>
          <w:tcPr>
            <w:tcW w:w="81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DNB Bank ASA</w:t>
            </w:r>
          </w:p>
        </w:tc>
      </w:tr>
      <w:tr>
        <w:trPr/>
        <w:tc>
          <w:tcPr>
            <w:tcW w:w="2020" w:type="dxa"/>
            <w:tcBorders/>
            <w:shd w:fill="auto" w:val="clear"/>
            <w:vAlign w:val="center"/>
          </w:tcPr>
          <w:p>
            <w:pPr>
              <w:pStyle w:val="TableContents"/>
              <w:spacing w:before="0" w:after="283"/>
              <w:rPr/>
            </w:pPr>
            <w:r>
              <w:rPr/>
              <w:t> </w:t>
            </w:r>
          </w:p>
        </w:tc>
        <w:tc>
          <w:tcPr>
            <w:tcW w:w="8185" w:type="dxa"/>
            <w:tcBorders/>
            <w:shd w:fill="auto" w:val="clear"/>
            <w:vAlign w:val="center"/>
          </w:tcPr>
          <w:p>
            <w:pPr>
              <w:pStyle w:val="TableContents"/>
              <w:spacing w:before="0" w:after="283"/>
              <w:rPr/>
            </w:pPr>
            <w:r>
              <w:rPr/>
              <w:t> </w:t>
            </w:r>
          </w:p>
        </w:tc>
      </w:tr>
      <w:tr>
        <w:trPr/>
        <w:tc>
          <w:tcPr>
            <w:tcW w:w="2020"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Lender:</w:t>
            </w:r>
          </w:p>
        </w:tc>
        <w:tc>
          <w:tcPr>
            <w:tcW w:w="81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DNB (UK) Ltd.</w:t>
            </w:r>
          </w:p>
        </w:tc>
      </w:tr>
      <w:tr>
        <w:trPr/>
        <w:tc>
          <w:tcPr>
            <w:tcW w:w="2020" w:type="dxa"/>
            <w:tcBorders/>
            <w:shd w:fill="auto" w:val="clear"/>
            <w:vAlign w:val="center"/>
          </w:tcPr>
          <w:p>
            <w:pPr>
              <w:pStyle w:val="TableContents"/>
              <w:spacing w:before="0" w:after="283"/>
              <w:rPr/>
            </w:pPr>
            <w:r>
              <w:rPr/>
              <w:t> </w:t>
            </w:r>
          </w:p>
        </w:tc>
        <w:tc>
          <w:tcPr>
            <w:tcW w:w="8185" w:type="dxa"/>
            <w:tcBorders/>
            <w:shd w:fill="auto" w:val="clear"/>
            <w:vAlign w:val="center"/>
          </w:tcPr>
          <w:p>
            <w:pPr>
              <w:pStyle w:val="TableContents"/>
              <w:spacing w:before="0" w:after="283"/>
              <w:rPr/>
            </w:pPr>
            <w:r>
              <w:rPr/>
              <w:t> </w:t>
            </w:r>
          </w:p>
        </w:tc>
      </w:tr>
      <w:tr>
        <w:trPr/>
        <w:tc>
          <w:tcPr>
            <w:tcW w:w="2020"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Facility:</w:t>
            </w:r>
          </w:p>
        </w:tc>
        <w:tc>
          <w:tcPr>
            <w:tcW w:w="81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term loan (“Bridge Facility”)</w:t>
            </w:r>
          </w:p>
        </w:tc>
      </w:tr>
      <w:tr>
        <w:trPr/>
        <w:tc>
          <w:tcPr>
            <w:tcW w:w="2020" w:type="dxa"/>
            <w:tcBorders/>
            <w:shd w:fill="auto" w:val="clear"/>
            <w:vAlign w:val="center"/>
          </w:tcPr>
          <w:p>
            <w:pPr>
              <w:pStyle w:val="TableContents"/>
              <w:spacing w:before="0" w:after="283"/>
              <w:rPr/>
            </w:pPr>
            <w:r>
              <w:rPr/>
              <w:t> </w:t>
            </w:r>
          </w:p>
        </w:tc>
        <w:tc>
          <w:tcPr>
            <w:tcW w:w="8185" w:type="dxa"/>
            <w:tcBorders/>
            <w:shd w:fill="auto" w:val="clear"/>
            <w:vAlign w:val="center"/>
          </w:tcPr>
          <w:p>
            <w:pPr>
              <w:pStyle w:val="TableContents"/>
              <w:spacing w:before="0" w:after="283"/>
              <w:rPr/>
            </w:pPr>
            <w:r>
              <w:rPr/>
              <w:t> </w:t>
            </w:r>
          </w:p>
        </w:tc>
      </w:tr>
      <w:tr>
        <w:trPr/>
        <w:tc>
          <w:tcPr>
            <w:tcW w:w="2020"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Existing Facility:</w:t>
            </w:r>
          </w:p>
        </w:tc>
        <w:tc>
          <w:tcPr>
            <w:tcW w:w="818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The USD 1,053m facility dated 12th December 2019 entered into between wholly owned subsidiaries of the Guarantor and banks including the Lender.</w:t>
            </w:r>
          </w:p>
        </w:tc>
      </w:tr>
      <w:tr>
        <w:trPr/>
        <w:tc>
          <w:tcPr>
            <w:tcW w:w="2020" w:type="dxa"/>
            <w:tcBorders/>
            <w:shd w:fill="auto" w:val="clear"/>
            <w:vAlign w:val="center"/>
          </w:tcPr>
          <w:p>
            <w:pPr>
              <w:pStyle w:val="TableContents"/>
              <w:spacing w:before="0" w:after="283"/>
              <w:rPr/>
            </w:pPr>
            <w:r>
              <w:rPr/>
              <w:t> </w:t>
            </w:r>
          </w:p>
        </w:tc>
        <w:tc>
          <w:tcPr>
            <w:tcW w:w="8185" w:type="dxa"/>
            <w:tcBorders/>
            <w:shd w:fill="auto" w:val="clear"/>
            <w:vAlign w:val="center"/>
          </w:tcPr>
          <w:p>
            <w:pPr>
              <w:pStyle w:val="TableContents"/>
              <w:spacing w:before="0" w:after="283"/>
              <w:jc w:val="both"/>
              <w:rPr/>
            </w:pPr>
            <w:r>
              <w:rPr/>
              <w:t> </w:t>
            </w:r>
          </w:p>
        </w:tc>
      </w:tr>
      <w:tr>
        <w:trPr/>
        <w:tc>
          <w:tcPr>
            <w:tcW w:w="2020"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Facility Purpose:</w:t>
            </w:r>
          </w:p>
        </w:tc>
        <w:tc>
          <w:tcPr>
            <w:tcW w:w="818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To part finance the acquisition by the Guarantor of all of the common units (the “Target Units”) in GasLog Partners LP not currently owned by the Guarantor, via a merger of the Borrower with and into GasLog Partners LP (the “Transaction”).</w:t>
            </w:r>
          </w:p>
        </w:tc>
      </w:tr>
      <w:tr>
        <w:trPr/>
        <w:tc>
          <w:tcPr>
            <w:tcW w:w="2020" w:type="dxa"/>
            <w:tcBorders/>
            <w:shd w:fill="auto" w:val="clear"/>
            <w:vAlign w:val="center"/>
          </w:tcPr>
          <w:p>
            <w:pPr>
              <w:pStyle w:val="TableContents"/>
              <w:spacing w:before="0" w:after="283"/>
              <w:rPr/>
            </w:pPr>
            <w:r>
              <w:rPr/>
              <w:t> </w:t>
            </w:r>
          </w:p>
        </w:tc>
        <w:tc>
          <w:tcPr>
            <w:tcW w:w="8185" w:type="dxa"/>
            <w:tcBorders/>
            <w:shd w:fill="auto" w:val="clear"/>
            <w:vAlign w:val="center"/>
          </w:tcPr>
          <w:p>
            <w:pPr>
              <w:pStyle w:val="TableContents"/>
              <w:spacing w:before="0" w:after="283"/>
              <w:jc w:val="both"/>
              <w:rPr/>
            </w:pPr>
            <w:r>
              <w:rPr/>
              <w:t> </w:t>
            </w:r>
          </w:p>
        </w:tc>
      </w:tr>
      <w:tr>
        <w:trPr/>
        <w:tc>
          <w:tcPr>
            <w:tcW w:w="2020"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Merger Agreement:</w:t>
            </w:r>
          </w:p>
        </w:tc>
        <w:tc>
          <w:tcPr>
            <w:tcW w:w="818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Agreement and Plan of Merger dated on or about the date of this Bridge Facility Term Sheet, by and among GasLog Partners LP, GasLog Partners GP LLC, GasLog Ltd. and the Borrower.</w:t>
            </w:r>
          </w:p>
        </w:tc>
      </w:tr>
      <w:tr>
        <w:trPr/>
        <w:tc>
          <w:tcPr>
            <w:tcW w:w="2020" w:type="dxa"/>
            <w:tcBorders/>
            <w:shd w:fill="auto" w:val="clear"/>
            <w:vAlign w:val="center"/>
          </w:tcPr>
          <w:p>
            <w:pPr>
              <w:pStyle w:val="TableContents"/>
              <w:spacing w:before="0" w:after="283"/>
              <w:rPr/>
            </w:pPr>
            <w:r>
              <w:rPr/>
              <w:t> </w:t>
            </w:r>
          </w:p>
        </w:tc>
        <w:tc>
          <w:tcPr>
            <w:tcW w:w="8185" w:type="dxa"/>
            <w:tcBorders/>
            <w:shd w:fill="auto" w:val="clear"/>
            <w:vAlign w:val="center"/>
          </w:tcPr>
          <w:p>
            <w:pPr>
              <w:pStyle w:val="TableContents"/>
              <w:spacing w:before="0" w:after="283"/>
              <w:jc w:val="both"/>
              <w:rPr/>
            </w:pPr>
            <w:r>
              <w:rPr/>
              <w:t> </w:t>
            </w:r>
          </w:p>
        </w:tc>
      </w:tr>
      <w:tr>
        <w:trPr/>
        <w:tc>
          <w:tcPr>
            <w:tcW w:w="2020"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Facility Amount:</w:t>
            </w:r>
          </w:p>
        </w:tc>
        <w:tc>
          <w:tcPr>
            <w:tcW w:w="8185" w:type="dxa"/>
            <w:tcBorders/>
            <w:shd w:fill="auto" w:val="clear"/>
            <w:vAlign w:val="center"/>
          </w:tcPr>
          <w:p>
            <w:pPr>
              <w:pStyle w:val="TableContents"/>
              <w:spacing w:before="0" w:after="283"/>
              <w:rPr>
                <w:sz w:val="20"/>
              </w:rPr>
            </w:pPr>
            <w:r>
              <w:rPr>
                <w:sz w:val="20"/>
              </w:rPr>
              <w:t>The lower of (x) USD 75m and (y) 85% of the purchase price of the Target Units.</w:t>
            </w:r>
          </w:p>
        </w:tc>
      </w:tr>
      <w:tr>
        <w:trPr/>
        <w:tc>
          <w:tcPr>
            <w:tcW w:w="2020" w:type="dxa"/>
            <w:tcBorders/>
            <w:shd w:fill="auto" w:val="clear"/>
            <w:vAlign w:val="center"/>
          </w:tcPr>
          <w:p>
            <w:pPr>
              <w:pStyle w:val="TableContents"/>
              <w:spacing w:before="0" w:after="283"/>
              <w:rPr/>
            </w:pPr>
            <w:r>
              <w:rPr/>
              <w:t> </w:t>
            </w:r>
          </w:p>
        </w:tc>
        <w:tc>
          <w:tcPr>
            <w:tcW w:w="8185" w:type="dxa"/>
            <w:tcBorders/>
            <w:shd w:fill="auto" w:val="clear"/>
            <w:vAlign w:val="center"/>
          </w:tcPr>
          <w:p>
            <w:pPr>
              <w:pStyle w:val="TableContents"/>
              <w:spacing w:before="0" w:after="283"/>
              <w:rPr/>
            </w:pPr>
            <w:r>
              <w:rPr/>
              <w:t> </w:t>
            </w:r>
          </w:p>
        </w:tc>
      </w:tr>
      <w:tr>
        <w:trPr/>
        <w:tc>
          <w:tcPr>
            <w:tcW w:w="2020"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Signing Date:</w:t>
            </w:r>
          </w:p>
        </w:tc>
        <w:tc>
          <w:tcPr>
            <w:tcW w:w="818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Date of signing of the Facility Agreement being no later than the date falling 6 months from the date of the Commitment Date (as defined below).</w:t>
            </w:r>
          </w:p>
        </w:tc>
      </w:tr>
      <w:tr>
        <w:trPr/>
        <w:tc>
          <w:tcPr>
            <w:tcW w:w="2020" w:type="dxa"/>
            <w:tcBorders/>
            <w:shd w:fill="auto" w:val="clear"/>
            <w:vAlign w:val="center"/>
          </w:tcPr>
          <w:p>
            <w:pPr>
              <w:pStyle w:val="TableContents"/>
              <w:spacing w:before="0" w:after="283"/>
              <w:rPr/>
            </w:pPr>
            <w:r>
              <w:rPr/>
              <w:t> </w:t>
            </w:r>
          </w:p>
        </w:tc>
        <w:tc>
          <w:tcPr>
            <w:tcW w:w="8185" w:type="dxa"/>
            <w:tcBorders/>
            <w:shd w:fill="auto" w:val="clear"/>
            <w:vAlign w:val="center"/>
          </w:tcPr>
          <w:p>
            <w:pPr>
              <w:pStyle w:val="TableContents"/>
              <w:spacing w:before="0" w:after="283"/>
              <w:jc w:val="both"/>
              <w:rPr/>
            </w:pPr>
            <w:r>
              <w:rPr/>
              <w:t> </w:t>
            </w:r>
          </w:p>
        </w:tc>
      </w:tr>
      <w:tr>
        <w:trPr/>
        <w:tc>
          <w:tcPr>
            <w:tcW w:w="2020"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Utilisation Date:</w:t>
            </w:r>
          </w:p>
        </w:tc>
        <w:tc>
          <w:tcPr>
            <w:tcW w:w="818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The date of Utilisation of the Bridge Facility.</w:t>
            </w:r>
          </w:p>
        </w:tc>
      </w:tr>
      <w:tr>
        <w:trPr/>
        <w:tc>
          <w:tcPr>
            <w:tcW w:w="2020" w:type="dxa"/>
            <w:tcBorders/>
            <w:shd w:fill="auto" w:val="clear"/>
            <w:vAlign w:val="center"/>
          </w:tcPr>
          <w:p>
            <w:pPr>
              <w:pStyle w:val="TableContents"/>
              <w:spacing w:before="0" w:after="283"/>
              <w:rPr/>
            </w:pPr>
            <w:r>
              <w:rPr/>
              <w:t> </w:t>
            </w:r>
          </w:p>
        </w:tc>
        <w:tc>
          <w:tcPr>
            <w:tcW w:w="8185" w:type="dxa"/>
            <w:tcBorders/>
            <w:shd w:fill="auto" w:val="clear"/>
            <w:vAlign w:val="center"/>
          </w:tcPr>
          <w:p>
            <w:pPr>
              <w:pStyle w:val="TableContents"/>
              <w:spacing w:before="0" w:after="283"/>
              <w:jc w:val="both"/>
              <w:rPr/>
            </w:pPr>
            <w:r>
              <w:rPr/>
              <w:t> </w:t>
            </w:r>
          </w:p>
        </w:tc>
      </w:tr>
      <w:tr>
        <w:trPr/>
        <w:tc>
          <w:tcPr>
            <w:tcW w:w="2020"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Availability Period:</w:t>
            </w:r>
          </w:p>
        </w:tc>
        <w:tc>
          <w:tcPr>
            <w:tcW w:w="818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From and including the Signing Date to and including the date that is 11 months from Commitment Date.</w:t>
            </w:r>
          </w:p>
        </w:tc>
      </w:tr>
      <w:tr>
        <w:trPr/>
        <w:tc>
          <w:tcPr>
            <w:tcW w:w="2020" w:type="dxa"/>
            <w:tcBorders/>
            <w:shd w:fill="auto" w:val="clear"/>
            <w:vAlign w:val="center"/>
          </w:tcPr>
          <w:p>
            <w:pPr>
              <w:pStyle w:val="TableContents"/>
              <w:spacing w:before="0" w:after="283"/>
              <w:rPr/>
            </w:pPr>
            <w:r>
              <w:rPr/>
              <w:t> </w:t>
            </w:r>
          </w:p>
        </w:tc>
        <w:tc>
          <w:tcPr>
            <w:tcW w:w="8185" w:type="dxa"/>
            <w:tcBorders/>
            <w:shd w:fill="auto" w:val="clear"/>
            <w:vAlign w:val="center"/>
          </w:tcPr>
          <w:p>
            <w:pPr>
              <w:pStyle w:val="TableContents"/>
              <w:spacing w:before="0" w:after="283"/>
              <w:jc w:val="both"/>
              <w:rPr/>
            </w:pPr>
            <w:r>
              <w:rPr/>
              <w:t> </w:t>
            </w:r>
          </w:p>
        </w:tc>
      </w:tr>
      <w:tr>
        <w:trPr/>
        <w:tc>
          <w:tcPr>
            <w:tcW w:w="2020"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Commitment Date:</w:t>
            </w:r>
          </w:p>
        </w:tc>
        <w:tc>
          <w:tcPr>
            <w:tcW w:w="818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The date on which the Commitment Letter is countersigned by the Borrower (being a date falling not later than 14 April 2023).</w:t>
            </w:r>
          </w:p>
        </w:tc>
      </w:tr>
      <w:tr>
        <w:trPr/>
        <w:tc>
          <w:tcPr>
            <w:tcW w:w="2020" w:type="dxa"/>
            <w:tcBorders/>
            <w:shd w:fill="auto" w:val="clear"/>
            <w:vAlign w:val="center"/>
          </w:tcPr>
          <w:p>
            <w:pPr>
              <w:pStyle w:val="TableContents"/>
              <w:spacing w:before="0" w:after="283"/>
              <w:rPr/>
            </w:pPr>
            <w:r>
              <w:rPr/>
              <w:t> </w:t>
            </w:r>
          </w:p>
        </w:tc>
        <w:tc>
          <w:tcPr>
            <w:tcW w:w="8185" w:type="dxa"/>
            <w:tcBorders/>
            <w:shd w:fill="auto" w:val="clear"/>
            <w:vAlign w:val="center"/>
          </w:tcPr>
          <w:p>
            <w:pPr>
              <w:pStyle w:val="TableContents"/>
              <w:spacing w:before="0" w:after="283"/>
              <w:jc w:val="both"/>
              <w:rPr/>
            </w:pPr>
            <w:r>
              <w:rPr/>
              <w:t> </w:t>
            </w:r>
          </w:p>
        </w:tc>
      </w:tr>
      <w:tr>
        <w:trPr/>
        <w:tc>
          <w:tcPr>
            <w:tcW w:w="2020"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Documentation:</w:t>
            </w:r>
          </w:p>
        </w:tc>
        <w:tc>
          <w:tcPr>
            <w:tcW w:w="8185" w:type="dxa"/>
            <w:tcBorders/>
            <w:shd w:fill="auto" w:val="clear"/>
            <w:vAlign w:val="center"/>
          </w:tcPr>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Lender’s commitment to provide the Bridge Facility on the terms set forth in this Bridge Facility Term Sheet shall be set forth in a certain funds commitment letter (the “Commitment Letter”) and in a form acceptable to the Borrower and the Lender (each acting reasonably and in good faith).</w:t>
            </w:r>
          </w:p>
          <w:p>
            <w:pPr>
              <w:pStyle w:val="TableContents"/>
              <w:spacing w:before="0" w:after="0"/>
              <w:ind w:left="0" w:right="0" w:hanging="0"/>
              <w:jc w:val="both"/>
              <w:rPr>
                <w:caps w:val="false"/>
                <w:smallCaps w:val="false"/>
              </w:rPr>
            </w:pPr>
            <w:r>
              <w:rPr>
                <w:caps w:val="false"/>
                <w:smallCaps w:val="false"/>
              </w:rPr>
              <w:t> </w:t>
            </w:r>
          </w:p>
        </w:tc>
      </w:tr>
    </w:tbl>
    <w:p>
      <w:pPr>
        <w:pStyle w:val="TextBody"/>
        <w:rPr/>
      </w:pPr>
      <w:r>
        <w:rPr/>
        <w:t> </w:t>
      </w:r>
    </w:p>
    <w:p>
      <w:pPr>
        <w:pStyle w:val="TextBody"/>
        <w:spacing w:before="0" w:after="0"/>
        <w:jc w:val="center"/>
        <w:rPr>
          <w:sz w:val="20"/>
          <w:bdr w:val="single" w:sz="8" w:space="1" w:color="000000"/>
        </w:rPr>
      </w:pPr>
      <w:r>
        <w:rPr>
          <w:sz w:val="20"/>
          <w:bdr w:val="single" w:sz="8" w:space="1" w:color="000000"/>
        </w:rPr>
        <w:t>16</w:t>
      </w:r>
    </w:p>
    <w:p>
      <w:pPr>
        <w:pStyle w:val="TextBody"/>
        <w:spacing w:before="0" w:after="0"/>
        <w:ind w:left="0" w:right="0" w:hanging="0"/>
        <w:rPr/>
      </w:pPr>
      <w:r>
        <w:rPr/>
        <w:t> </w:t>
      </w:r>
    </w:p>
    <w:p>
      <w:pPr>
        <w:pStyle w:val="TextBody"/>
        <w:rPr/>
      </w:pPr>
      <w:r>
        <w:rPr/>
        <w:t> </w:t>
      </w:r>
    </w:p>
    <w:p>
      <w:pPr>
        <w:pStyle w:val="TextBody"/>
        <w:jc w:val="right"/>
        <w:rPr/>
      </w:pPr>
      <w:r>
        <w:rPr/>
        <w:drawing>
          <wp:inline distT="0" distB="0" distL="0" distR="0">
            <wp:extent cx="1181100" cy="6096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1"/>
                    <a:stretch>
                      <a:fillRect/>
                    </a:stretch>
                  </pic:blipFill>
                  <pic:spPr bwMode="auto">
                    <a:xfrm>
                      <a:off x="0" y="0"/>
                      <a:ext cx="1181100" cy="609600"/>
                    </a:xfrm>
                    <a:prstGeom prst="rect">
                      <a:avLst/>
                    </a:prstGeom>
                  </pic:spPr>
                </pic:pic>
              </a:graphicData>
            </a:graphic>
          </wp:inline>
        </w:drawing>
      </w:r>
      <w:r>
        <w:rPr/>
        <w:t> </w:t>
      </w:r>
    </w:p>
    <w:p>
      <w:pPr>
        <w:pStyle w:val="TextBody"/>
        <w:rPr/>
      </w:pPr>
      <w:r>
        <w:rPr/>
        <w:t> </w:t>
      </w:r>
    </w:p>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rPr/>
            </w:pPr>
            <w:r>
              <w:rPr/>
              <w:t> </w:t>
            </w:r>
          </w:p>
        </w:tc>
        <w:tc>
          <w:tcPr>
            <w:tcW w:w="10130" w:type="dxa"/>
            <w:tcBorders/>
            <w:shd w:fill="auto" w:val="clear"/>
            <w:vAlign w:val="center"/>
          </w:tcPr>
          <w:p>
            <w:pPr>
              <w:pStyle w:val="TableContents"/>
              <w:spacing w:before="0" w:after="283"/>
              <w:jc w:val="both"/>
              <w:rPr>
                <w:sz w:val="20"/>
              </w:rPr>
            </w:pPr>
            <w:r>
              <w:rPr>
                <w:sz w:val="20"/>
              </w:rPr>
              <w:t>The Bridge Facility shall be set forth in a bridge facility agreement (the “Facility Agreement”) which shall reflect the terms set forth in this Bridge Facility Term Sheet, and which shall otherwise be documented on the basis of an LMA based facility agreement, to be in all respects satisfactory to the Obligors and the Facility Agent and incorporate inter alia, conditions precedent, representations and warranties, undertakings (including, indicatively, the covenants set out in Exhibit 3), Events of Default and other usual provisions for a facility of this nature with such adjustments, where necessary, to reflect the terms hereof, and the capital structure and jurisdiction of organization of the Obligors. The first draft of the Facility Agreement and other finance documents will be prepared by counsel to the Lender.</w:t>
            </w:r>
          </w:p>
        </w:tc>
      </w:tr>
    </w:tbl>
    <w:p>
      <w:pPr>
        <w:pStyle w:val="TextBody"/>
        <w:rPr/>
      </w:pPr>
      <w:r>
        <w:rPr/>
        <w:t> </w:t>
      </w:r>
    </w:p>
    <w:tbl>
      <w:tblPr>
        <w:tblW w:w="10205" w:type="dxa"/>
        <w:jc w:val="left"/>
        <w:tblInd w:w="0" w:type="dxa"/>
        <w:tblCellMar>
          <w:top w:w="0" w:type="dxa"/>
          <w:left w:w="0" w:type="dxa"/>
          <w:bottom w:w="0" w:type="dxa"/>
          <w:right w:w="0" w:type="dxa"/>
        </w:tblCellMar>
      </w:tblPr>
      <w:tblGrid>
        <w:gridCol w:w="1316"/>
        <w:gridCol w:w="8889"/>
      </w:tblGrid>
      <w:tr>
        <w:trPr/>
        <w:tc>
          <w:tcPr>
            <w:tcW w:w="1316"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Utilisation:</w:t>
            </w:r>
          </w:p>
        </w:tc>
        <w:tc>
          <w:tcPr>
            <w:tcW w:w="8889"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In a single Utilisation, upon completion of satisfactory documentation and fulfilment of Conditions Precedent to Utilisation.</w:t>
            </w:r>
          </w:p>
        </w:tc>
      </w:tr>
      <w:tr>
        <w:trPr/>
        <w:tc>
          <w:tcPr>
            <w:tcW w:w="1316" w:type="dxa"/>
            <w:tcBorders/>
            <w:shd w:fill="auto" w:val="clear"/>
            <w:vAlign w:val="center"/>
          </w:tcPr>
          <w:p>
            <w:pPr>
              <w:pStyle w:val="TableContents"/>
              <w:spacing w:before="0" w:after="283"/>
              <w:rPr/>
            </w:pPr>
            <w:r>
              <w:rPr/>
              <w:t> </w:t>
            </w:r>
          </w:p>
        </w:tc>
        <w:tc>
          <w:tcPr>
            <w:tcW w:w="8889" w:type="dxa"/>
            <w:tcBorders/>
            <w:shd w:fill="auto" w:val="clear"/>
            <w:vAlign w:val="center"/>
          </w:tcPr>
          <w:p>
            <w:pPr>
              <w:pStyle w:val="TableContents"/>
              <w:spacing w:before="0" w:after="283"/>
              <w:jc w:val="both"/>
              <w:rPr/>
            </w:pPr>
            <w:r>
              <w:rPr/>
              <w:t> </w:t>
            </w:r>
          </w:p>
        </w:tc>
      </w:tr>
      <w:tr>
        <w:trPr/>
        <w:tc>
          <w:tcPr>
            <w:tcW w:w="1316" w:type="dxa"/>
            <w:tcBorders/>
            <w:shd w:fill="auto" w:val="clear"/>
            <w:vAlign w:val="center"/>
          </w:tcPr>
          <w:p>
            <w:pPr>
              <w:pStyle w:val="TableContents"/>
              <w:spacing w:before="0" w:after="283"/>
              <w:rPr/>
            </w:pPr>
            <w:r>
              <w:rPr/>
              <w:t> </w:t>
            </w:r>
          </w:p>
        </w:tc>
        <w:tc>
          <w:tcPr>
            <w:tcW w:w="8889" w:type="dxa"/>
            <w:tcBorders/>
            <w:shd w:fill="auto" w:val="clear"/>
            <w:vAlign w:val="center"/>
          </w:tcPr>
          <w:p>
            <w:pPr>
              <w:pStyle w:val="TableContents"/>
              <w:spacing w:before="0" w:after="283"/>
              <w:rPr/>
            </w:pPr>
            <w:r>
              <w:rPr/>
              <w:t> </w:t>
            </w:r>
            <w:r>
              <w:rPr>
                <w:rFonts w:ascii="Times New Roman;Times;Serif" w:hAnsi="Times New Roman;Times;Serif"/>
                <w:sz w:val="20"/>
              </w:rPr>
              <w:t>After the Availability Period has ended, any unutilised part of the Bridge Facility will be cancelled automatically.</w:t>
            </w:r>
          </w:p>
        </w:tc>
      </w:tr>
      <w:tr>
        <w:trPr/>
        <w:tc>
          <w:tcPr>
            <w:tcW w:w="1316" w:type="dxa"/>
            <w:tcBorders/>
            <w:shd w:fill="auto" w:val="clear"/>
            <w:vAlign w:val="center"/>
          </w:tcPr>
          <w:p>
            <w:pPr>
              <w:pStyle w:val="TableContents"/>
              <w:spacing w:before="0" w:after="283"/>
              <w:rPr/>
            </w:pPr>
            <w:r>
              <w:rPr/>
              <w:t> </w:t>
            </w:r>
          </w:p>
        </w:tc>
        <w:tc>
          <w:tcPr>
            <w:tcW w:w="8889" w:type="dxa"/>
            <w:tcBorders/>
            <w:shd w:fill="auto" w:val="clear"/>
            <w:vAlign w:val="center"/>
          </w:tcPr>
          <w:p>
            <w:pPr>
              <w:pStyle w:val="TableContents"/>
              <w:spacing w:before="0" w:after="283"/>
              <w:rPr/>
            </w:pPr>
            <w:r>
              <w:rPr/>
              <w:t> </w:t>
            </w:r>
          </w:p>
        </w:tc>
      </w:tr>
      <w:tr>
        <w:trPr/>
        <w:tc>
          <w:tcPr>
            <w:tcW w:w="1316"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Final Maturity Date:</w:t>
            </w:r>
          </w:p>
        </w:tc>
        <w:tc>
          <w:tcPr>
            <w:tcW w:w="888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Earlier of (i) 12 months from Commitment Date and (ii) 8 months from Utilisation Date.</w:t>
            </w:r>
          </w:p>
        </w:tc>
      </w:tr>
      <w:tr>
        <w:trPr/>
        <w:tc>
          <w:tcPr>
            <w:tcW w:w="1316" w:type="dxa"/>
            <w:tcBorders/>
            <w:shd w:fill="auto" w:val="clear"/>
            <w:vAlign w:val="center"/>
          </w:tcPr>
          <w:p>
            <w:pPr>
              <w:pStyle w:val="TableContents"/>
              <w:spacing w:before="0" w:after="283"/>
              <w:rPr/>
            </w:pPr>
            <w:r>
              <w:rPr/>
              <w:t> </w:t>
            </w:r>
          </w:p>
        </w:tc>
        <w:tc>
          <w:tcPr>
            <w:tcW w:w="8889" w:type="dxa"/>
            <w:tcBorders/>
            <w:shd w:fill="auto" w:val="clear"/>
            <w:vAlign w:val="center"/>
          </w:tcPr>
          <w:p>
            <w:pPr>
              <w:pStyle w:val="TableContents"/>
              <w:spacing w:before="0" w:after="283"/>
              <w:rPr/>
            </w:pPr>
            <w:r>
              <w:rPr/>
              <w:t> </w:t>
            </w:r>
          </w:p>
        </w:tc>
      </w:tr>
      <w:tr>
        <w:trPr/>
        <w:tc>
          <w:tcPr>
            <w:tcW w:w="1316"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Scheduled Repayments:</w:t>
            </w:r>
          </w:p>
        </w:tc>
        <w:tc>
          <w:tcPr>
            <w:tcW w:w="8889"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The Bridge Facility shall be repaid as follows: (i) on the date that is 3 months after the Utilisation Date, in an amount equal to the aggregate principal amount then outstanding in excess of USD 70m and (ii) on the Final Maturity Date, the remaining aggregate principal amount then outstanding, in full.</w:t>
            </w:r>
          </w:p>
        </w:tc>
      </w:tr>
      <w:tr>
        <w:trPr/>
        <w:tc>
          <w:tcPr>
            <w:tcW w:w="1316" w:type="dxa"/>
            <w:tcBorders/>
            <w:shd w:fill="auto" w:val="clear"/>
            <w:vAlign w:val="center"/>
          </w:tcPr>
          <w:p>
            <w:pPr>
              <w:pStyle w:val="TableContents"/>
              <w:spacing w:before="0" w:after="283"/>
              <w:rPr/>
            </w:pPr>
            <w:r>
              <w:rPr/>
              <w:t> </w:t>
            </w:r>
          </w:p>
        </w:tc>
        <w:tc>
          <w:tcPr>
            <w:tcW w:w="8889" w:type="dxa"/>
            <w:tcBorders/>
            <w:shd w:fill="auto" w:val="clear"/>
            <w:vAlign w:val="center"/>
          </w:tcPr>
          <w:p>
            <w:pPr>
              <w:pStyle w:val="TableContents"/>
              <w:spacing w:before="0" w:after="283"/>
              <w:jc w:val="both"/>
              <w:rPr/>
            </w:pPr>
            <w:r>
              <w:rPr/>
              <w:t> </w:t>
            </w:r>
          </w:p>
        </w:tc>
      </w:tr>
      <w:tr>
        <w:trPr/>
        <w:tc>
          <w:tcPr>
            <w:tcW w:w="1316" w:type="dxa"/>
            <w:tcBorders/>
            <w:shd w:fill="auto" w:val="clear"/>
            <w:vAlign w:val="center"/>
          </w:tcPr>
          <w:p>
            <w:pPr>
              <w:pStyle w:val="TableContents"/>
              <w:spacing w:before="0" w:after="283"/>
              <w:jc w:val="both"/>
              <w:rPr>
                <w:rFonts w:ascii="Times New Roman;Times;Serif" w:hAnsi="Times New Roman;Times;Serif"/>
                <w:b/>
                <w:sz w:val="20"/>
              </w:rPr>
            </w:pPr>
            <w:r>
              <w:rPr>
                <w:rFonts w:ascii="Times New Roman;Times;Serif" w:hAnsi="Times New Roman;Times;Serif"/>
                <w:b/>
                <w:sz w:val="20"/>
              </w:rPr>
              <w:t>Prepayment/Cancellation:</w:t>
            </w:r>
          </w:p>
        </w:tc>
        <w:tc>
          <w:tcPr>
            <w:tcW w:w="8889"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Mandatory Prepayments/Cancellation:</w:t>
            </w:r>
          </w:p>
        </w:tc>
      </w:tr>
      <w:tr>
        <w:trPr/>
        <w:tc>
          <w:tcPr>
            <w:tcW w:w="1316" w:type="dxa"/>
            <w:tcBorders/>
            <w:shd w:fill="auto" w:val="clear"/>
            <w:vAlign w:val="center"/>
          </w:tcPr>
          <w:p>
            <w:pPr>
              <w:pStyle w:val="TableContents"/>
              <w:spacing w:before="0" w:after="283"/>
              <w:jc w:val="both"/>
              <w:rPr/>
            </w:pPr>
            <w:r>
              <w:rPr/>
              <w:t> </w:t>
            </w:r>
          </w:p>
        </w:tc>
        <w:tc>
          <w:tcPr>
            <w:tcW w:w="8889" w:type="dxa"/>
            <w:tcBorders/>
            <w:shd w:fill="auto" w:val="clear"/>
            <w:vAlign w:val="center"/>
          </w:tcPr>
          <w:p>
            <w:pPr>
              <w:pStyle w:val="TableContents"/>
              <w:spacing w:before="0" w:after="283"/>
              <w:rPr/>
            </w:pPr>
            <w:r>
              <w:rPr/>
              <w:t> </w:t>
            </w:r>
          </w:p>
        </w:tc>
      </w:tr>
      <w:tr>
        <w:trPr/>
        <w:tc>
          <w:tcPr>
            <w:tcW w:w="1316" w:type="dxa"/>
            <w:tcBorders/>
            <w:shd w:fill="auto" w:val="clear"/>
            <w:vAlign w:val="center"/>
          </w:tcPr>
          <w:p>
            <w:pPr>
              <w:pStyle w:val="TableContents"/>
              <w:spacing w:before="0" w:after="283"/>
              <w:jc w:val="both"/>
              <w:rPr/>
            </w:pPr>
            <w:r>
              <w:rPr/>
              <w:t> </w:t>
            </w:r>
          </w:p>
        </w:tc>
        <w:tc>
          <w:tcPr>
            <w:tcW w:w="8889" w:type="dxa"/>
            <w:tcBorders/>
            <w:shd w:fill="auto" w:val="clear"/>
            <w:vAlign w:val="center"/>
          </w:tcPr>
          <w:p>
            <w:pPr>
              <w:pStyle w:val="TableContents"/>
              <w:spacing w:before="0" w:after="0"/>
              <w:ind w:left="720" w:right="0" w:hanging="360"/>
              <w:jc w:val="both"/>
              <w:rPr>
                <w:rFonts w:ascii="Times New Roman;Times;Serif" w:hAnsi="Times New Roman;Times;Serif"/>
                <w:b w:val="false"/>
                <w:i w:val="false"/>
                <w:caps w:val="false"/>
                <w:smallCaps w:val="false"/>
                <w:sz w:val="20"/>
              </w:rPr>
            </w:pPr>
            <w:r>
              <w:rPr>
                <w:rFonts w:ascii="Wingdings" w:hAnsi="Wingdings"/>
                <w:b w:val="false"/>
                <w:i w:val="false"/>
                <w:caps w:val="false"/>
                <w:smallCaps w:val="false"/>
                <w:sz w:val="20"/>
              </w:rPr>
              <w:t xml:space="preserve">§ </w:t>
            </w:r>
            <w:r>
              <w:rPr>
                <w:rFonts w:ascii="Times New Roman;Times;Serif" w:hAnsi="Times New Roman;Times;Serif"/>
                <w:b w:val="false"/>
                <w:i w:val="false"/>
                <w:caps w:val="false"/>
                <w:smallCaps w:val="false"/>
                <w:sz w:val="20"/>
              </w:rPr>
              <w:t>  On or prior to the Utilisation Date, the aggregate commitments in respect of the Bridge Facility shall be automatically permanently terminated, and after the funding of the Bridge Facility on the Utilisation Date, loans outstanding under the Bridge Facility shall be prepaid in full, in each case, upon any occurrence of:</w:t>
            </w:r>
          </w:p>
        </w:tc>
      </w:tr>
      <w:tr>
        <w:trPr/>
        <w:tc>
          <w:tcPr>
            <w:tcW w:w="1316" w:type="dxa"/>
            <w:tcBorders/>
            <w:shd w:fill="auto" w:val="clear"/>
            <w:vAlign w:val="center"/>
          </w:tcPr>
          <w:p>
            <w:pPr>
              <w:pStyle w:val="TableContents"/>
              <w:spacing w:before="0" w:after="283"/>
              <w:jc w:val="both"/>
              <w:rPr/>
            </w:pPr>
            <w:r>
              <w:rPr/>
              <w:t> </w:t>
            </w:r>
          </w:p>
        </w:tc>
        <w:tc>
          <w:tcPr>
            <w:tcW w:w="8889" w:type="dxa"/>
            <w:tcBorders/>
            <w:shd w:fill="auto" w:val="clear"/>
            <w:vAlign w:val="center"/>
          </w:tcPr>
          <w:p>
            <w:pPr>
              <w:pStyle w:val="TableContents"/>
              <w:spacing w:before="0" w:after="283"/>
              <w:rPr/>
            </w:pPr>
            <w:r>
              <w:rPr/>
              <w:t> </w:t>
            </w:r>
          </w:p>
        </w:tc>
      </w:tr>
      <w:tr>
        <w:trPr/>
        <w:tc>
          <w:tcPr>
            <w:tcW w:w="1316" w:type="dxa"/>
            <w:tcBorders/>
            <w:shd w:fill="auto" w:val="clear"/>
            <w:vAlign w:val="center"/>
          </w:tcPr>
          <w:p>
            <w:pPr>
              <w:pStyle w:val="TableContents"/>
              <w:spacing w:before="0" w:after="283"/>
              <w:jc w:val="both"/>
              <w:rPr/>
            </w:pPr>
            <w:r>
              <w:rPr/>
              <w:t> </w:t>
            </w:r>
          </w:p>
        </w:tc>
        <w:tc>
          <w:tcPr>
            <w:tcW w:w="8889" w:type="dxa"/>
            <w:tcBorders/>
            <w:shd w:fill="auto" w:val="clear"/>
            <w:vAlign w:val="center"/>
          </w:tcPr>
          <w:p>
            <w:pPr>
              <w:pStyle w:val="TableContents"/>
              <w:spacing w:before="0" w:after="0"/>
              <w:ind w:left="1440" w:right="0" w:hanging="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 Change of Control (as defined below) or</w:t>
            </w:r>
          </w:p>
        </w:tc>
      </w:tr>
      <w:tr>
        <w:trPr/>
        <w:tc>
          <w:tcPr>
            <w:tcW w:w="1316" w:type="dxa"/>
            <w:tcBorders/>
            <w:shd w:fill="auto" w:val="clear"/>
            <w:vAlign w:val="center"/>
          </w:tcPr>
          <w:p>
            <w:pPr>
              <w:pStyle w:val="TableContents"/>
              <w:spacing w:before="0" w:after="283"/>
              <w:jc w:val="both"/>
              <w:rPr/>
            </w:pPr>
            <w:r>
              <w:rPr/>
              <w:t> </w:t>
            </w:r>
          </w:p>
        </w:tc>
        <w:tc>
          <w:tcPr>
            <w:tcW w:w="8889" w:type="dxa"/>
            <w:tcBorders/>
            <w:shd w:fill="auto" w:val="clear"/>
            <w:vAlign w:val="center"/>
          </w:tcPr>
          <w:p>
            <w:pPr>
              <w:pStyle w:val="TableContents"/>
              <w:spacing w:before="0" w:after="283"/>
              <w:rPr/>
            </w:pPr>
            <w:r>
              <w:rPr/>
              <w:t> </w:t>
            </w:r>
          </w:p>
        </w:tc>
      </w:tr>
      <w:tr>
        <w:trPr/>
        <w:tc>
          <w:tcPr>
            <w:tcW w:w="1316" w:type="dxa"/>
            <w:tcBorders/>
            <w:shd w:fill="auto" w:val="clear"/>
            <w:vAlign w:val="center"/>
          </w:tcPr>
          <w:p>
            <w:pPr>
              <w:pStyle w:val="TableContents"/>
              <w:spacing w:before="0" w:after="283"/>
              <w:jc w:val="both"/>
              <w:rPr/>
            </w:pPr>
            <w:r>
              <w:rPr/>
              <w:t> </w:t>
            </w:r>
          </w:p>
        </w:tc>
        <w:tc>
          <w:tcPr>
            <w:tcW w:w="8889" w:type="dxa"/>
            <w:tcBorders/>
            <w:shd w:fill="auto" w:val="clear"/>
            <w:vAlign w:val="center"/>
          </w:tcPr>
          <w:p>
            <w:pPr>
              <w:pStyle w:val="TableContents"/>
              <w:spacing w:before="0" w:after="0"/>
              <w:ind w:left="1440" w:right="0" w:hanging="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Illegality</w:t>
            </w:r>
          </w:p>
        </w:tc>
      </w:tr>
      <w:tr>
        <w:trPr/>
        <w:tc>
          <w:tcPr>
            <w:tcW w:w="1316" w:type="dxa"/>
            <w:tcBorders/>
            <w:shd w:fill="auto" w:val="clear"/>
            <w:vAlign w:val="center"/>
          </w:tcPr>
          <w:p>
            <w:pPr>
              <w:pStyle w:val="TableContents"/>
              <w:spacing w:before="0" w:after="283"/>
              <w:jc w:val="both"/>
              <w:rPr/>
            </w:pPr>
            <w:r>
              <w:rPr/>
              <w:t> </w:t>
            </w:r>
          </w:p>
        </w:tc>
        <w:tc>
          <w:tcPr>
            <w:tcW w:w="8889" w:type="dxa"/>
            <w:tcBorders/>
            <w:shd w:fill="auto" w:val="clear"/>
            <w:vAlign w:val="center"/>
          </w:tcPr>
          <w:p>
            <w:pPr>
              <w:pStyle w:val="TableContents"/>
              <w:spacing w:before="0" w:after="283"/>
              <w:rPr/>
            </w:pPr>
            <w:r>
              <w:rPr/>
              <w:t> </w:t>
            </w:r>
          </w:p>
        </w:tc>
      </w:tr>
      <w:tr>
        <w:trPr/>
        <w:tc>
          <w:tcPr>
            <w:tcW w:w="1316" w:type="dxa"/>
            <w:tcBorders/>
            <w:shd w:fill="auto" w:val="clear"/>
            <w:vAlign w:val="center"/>
          </w:tcPr>
          <w:p>
            <w:pPr>
              <w:pStyle w:val="TableContents"/>
              <w:spacing w:before="0" w:after="283"/>
              <w:jc w:val="both"/>
              <w:rPr/>
            </w:pPr>
            <w:r>
              <w:rPr/>
              <w:t> </w:t>
            </w:r>
          </w:p>
        </w:tc>
        <w:tc>
          <w:tcPr>
            <w:tcW w:w="8889" w:type="dxa"/>
            <w:tcBorders/>
            <w:shd w:fill="auto" w:val="clear"/>
            <w:vAlign w:val="center"/>
          </w:tcPr>
          <w:p>
            <w:pPr>
              <w:pStyle w:val="TableContents"/>
              <w:spacing w:before="0" w:after="0"/>
              <w:ind w:left="720" w:right="0" w:hanging="360"/>
              <w:jc w:val="both"/>
              <w:rPr>
                <w:rFonts w:ascii="Times New Roman;Times;Serif" w:hAnsi="Times New Roman;Times;Serif"/>
                <w:b w:val="false"/>
                <w:i w:val="false"/>
                <w:caps w:val="false"/>
                <w:smallCaps w:val="false"/>
                <w:sz w:val="20"/>
              </w:rPr>
            </w:pPr>
            <w:r>
              <w:rPr>
                <w:rFonts w:ascii="Wingdings" w:hAnsi="Wingdings"/>
                <w:b w:val="false"/>
                <w:i w:val="false"/>
                <w:caps w:val="false"/>
                <w:smallCaps w:val="false"/>
                <w:sz w:val="20"/>
              </w:rPr>
              <w:t xml:space="preserve">§ </w:t>
            </w:r>
            <w:r>
              <w:rPr>
                <w:rFonts w:ascii="Times New Roman;Times;Serif" w:hAnsi="Times New Roman;Times;Serif"/>
                <w:b w:val="false"/>
                <w:i w:val="false"/>
                <w:caps w:val="false"/>
                <w:smallCaps w:val="false"/>
                <w:sz w:val="20"/>
              </w:rPr>
              <w:t>  On or prior to the Utilisation Date, the aggregate commitments in respect of the Bridge Facility shall be automatically permanently reduced, and after the funding of the Bridge Facility on the Utilisation Date, loans outstanding under the Bridge Facility shall be prepaid, in each case, by:</w:t>
            </w:r>
          </w:p>
        </w:tc>
      </w:tr>
      <w:tr>
        <w:trPr/>
        <w:tc>
          <w:tcPr>
            <w:tcW w:w="1316" w:type="dxa"/>
            <w:tcBorders/>
            <w:shd w:fill="auto" w:val="clear"/>
            <w:vAlign w:val="center"/>
          </w:tcPr>
          <w:p>
            <w:pPr>
              <w:pStyle w:val="TableContents"/>
              <w:spacing w:before="0" w:after="283"/>
              <w:jc w:val="both"/>
              <w:rPr/>
            </w:pPr>
            <w:r>
              <w:rPr/>
              <w:t> </w:t>
            </w:r>
          </w:p>
        </w:tc>
        <w:tc>
          <w:tcPr>
            <w:tcW w:w="8889" w:type="dxa"/>
            <w:tcBorders/>
            <w:shd w:fill="auto" w:val="clear"/>
            <w:vAlign w:val="center"/>
          </w:tcPr>
          <w:p>
            <w:pPr>
              <w:pStyle w:val="TableContents"/>
              <w:spacing w:before="0" w:after="283"/>
              <w:rPr/>
            </w:pPr>
            <w:r>
              <w:rPr/>
              <w:t> </w:t>
            </w:r>
          </w:p>
        </w:tc>
      </w:tr>
      <w:tr>
        <w:trPr/>
        <w:tc>
          <w:tcPr>
            <w:tcW w:w="1316" w:type="dxa"/>
            <w:tcBorders/>
            <w:shd w:fill="auto" w:val="clear"/>
            <w:vAlign w:val="center"/>
          </w:tcPr>
          <w:p>
            <w:pPr>
              <w:pStyle w:val="TableContents"/>
              <w:spacing w:before="0" w:after="283"/>
              <w:ind w:left="0" w:right="0" w:hanging="360"/>
              <w:jc w:val="both"/>
              <w:rPr/>
            </w:pPr>
            <w:r>
              <w:rPr/>
              <w:t> </w:t>
            </w:r>
          </w:p>
        </w:tc>
        <w:tc>
          <w:tcPr>
            <w:tcW w:w="8889"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o    in the case of any sale or total loss insurance proceeds in respect of any Vessel (including pursuant to a sale and leaseback transaction), any net proceeds released to the Group over and above proceeds payable to (a) the first mortgagees of the relevant Vessel (and/or the lessor in case of a leased Vessel) and (b) to the noteholders under that certain Note Purchase Agreement dated as of September 24, 2021 (the “Note Purchase Agreement”), by and among the Guarantor, each purchaser party thereto and Wilmington Trust (London) Limited, as administrative agent and collateral agent; and</w:t>
            </w:r>
          </w:p>
        </w:tc>
      </w:tr>
    </w:tbl>
    <w:p>
      <w:pPr>
        <w:pStyle w:val="TextBody"/>
        <w:rPr/>
      </w:pPr>
      <w:r>
        <w:rPr/>
        <w:t> </w:t>
      </w:r>
    </w:p>
    <w:p>
      <w:pPr>
        <w:pStyle w:val="TextBody"/>
        <w:spacing w:before="0" w:after="0"/>
        <w:jc w:val="center"/>
        <w:rPr>
          <w:sz w:val="20"/>
          <w:bdr w:val="single" w:sz="8" w:space="1" w:color="000000"/>
        </w:rPr>
      </w:pPr>
      <w:r>
        <w:rPr>
          <w:sz w:val="20"/>
          <w:bdr w:val="single" w:sz="8" w:space="1" w:color="000000"/>
        </w:rPr>
        <w:t>17</w:t>
      </w:r>
    </w:p>
    <w:p>
      <w:pPr>
        <w:pStyle w:val="TextBody"/>
        <w:spacing w:before="0" w:after="0"/>
        <w:ind w:left="0" w:right="0" w:hanging="0"/>
        <w:rPr/>
      </w:pPr>
      <w:r>
        <w:rPr/>
        <w:t> </w:t>
      </w:r>
    </w:p>
    <w:p>
      <w:pPr>
        <w:pStyle w:val="TextBody"/>
        <w:rPr/>
      </w:pPr>
      <w:r>
        <w:rPr/>
        <w:t> </w:t>
      </w:r>
    </w:p>
    <w:p>
      <w:pPr>
        <w:pStyle w:val="TextBody"/>
        <w:jc w:val="right"/>
        <w:rPr/>
      </w:pPr>
      <w:r>
        <w:rPr/>
        <w:drawing>
          <wp:inline distT="0" distB="0" distL="0" distR="0">
            <wp:extent cx="1181100" cy="6096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2"/>
                    <a:stretch>
                      <a:fillRect/>
                    </a:stretch>
                  </pic:blipFill>
                  <pic:spPr bwMode="auto">
                    <a:xfrm>
                      <a:off x="0" y="0"/>
                      <a:ext cx="1181100" cy="609600"/>
                    </a:xfrm>
                    <a:prstGeom prst="rect">
                      <a:avLst/>
                    </a:prstGeom>
                  </pic:spPr>
                </pic:pic>
              </a:graphicData>
            </a:graphic>
          </wp:inline>
        </w:drawing>
      </w:r>
      <w:r>
        <w:rPr/>
        <w:t> </w:t>
      </w:r>
    </w:p>
    <w:p>
      <w:pPr>
        <w:pStyle w:val="TextBody"/>
        <w:rPr/>
      </w:pPr>
      <w:r>
        <w:rPr/>
        <w:t> </w:t>
      </w:r>
    </w:p>
    <w:tbl>
      <w:tblPr>
        <w:tblW w:w="10205" w:type="dxa"/>
        <w:jc w:val="left"/>
        <w:tblInd w:w="0" w:type="dxa"/>
        <w:tblCellMar>
          <w:top w:w="0" w:type="dxa"/>
          <w:left w:w="0" w:type="dxa"/>
          <w:bottom w:w="0" w:type="dxa"/>
          <w:right w:w="0" w:type="dxa"/>
        </w:tblCellMar>
      </w:tblPr>
      <w:tblGrid>
        <w:gridCol w:w="1262"/>
        <w:gridCol w:w="8943"/>
      </w:tblGrid>
      <w:tr>
        <w:trPr/>
        <w:tc>
          <w:tcPr>
            <w:tcW w:w="1262" w:type="dxa"/>
            <w:tcBorders/>
            <w:shd w:fill="auto" w:val="clear"/>
            <w:vAlign w:val="center"/>
          </w:tcPr>
          <w:p>
            <w:pPr>
              <w:pStyle w:val="TableContents"/>
              <w:spacing w:before="0" w:after="283"/>
              <w:ind w:left="0" w:right="0" w:hanging="540"/>
              <w:jc w:val="both"/>
              <w:rPr/>
            </w:pPr>
            <w:r>
              <w:rPr/>
              <w:t> </w:t>
            </w:r>
          </w:p>
        </w:tc>
        <w:tc>
          <w:tcPr>
            <w:tcW w:w="8943" w:type="dxa"/>
            <w:tcBorders/>
            <w:shd w:fill="auto" w:val="clear"/>
            <w:vAlign w:val="center"/>
          </w:tcPr>
          <w:p>
            <w:pPr>
              <w:pStyle w:val="TableContents"/>
              <w:spacing w:before="0" w:after="283"/>
              <w:jc w:val="both"/>
              <w:rPr>
                <w:sz w:val="20"/>
              </w:rPr>
            </w:pPr>
            <w:r>
              <w:rPr>
                <w:sz w:val="20"/>
              </w:rPr>
              <w:t>o         the net proceeds received by either Obligor resulting from any debt or equity capital market transactions.</w:t>
            </w:r>
          </w:p>
        </w:tc>
      </w:tr>
      <w:tr>
        <w:trPr/>
        <w:tc>
          <w:tcPr>
            <w:tcW w:w="1262" w:type="dxa"/>
            <w:tcBorders/>
            <w:shd w:fill="auto" w:val="clear"/>
            <w:vAlign w:val="center"/>
          </w:tcPr>
          <w:p>
            <w:pPr>
              <w:pStyle w:val="TableContents"/>
              <w:spacing w:before="0" w:after="283"/>
              <w:jc w:val="both"/>
              <w:rPr/>
            </w:pPr>
            <w:r>
              <w:rPr/>
              <w:t> </w:t>
            </w:r>
          </w:p>
        </w:tc>
        <w:tc>
          <w:tcPr>
            <w:tcW w:w="8943" w:type="dxa"/>
            <w:tcBorders/>
            <w:shd w:fill="auto" w:val="clear"/>
            <w:vAlign w:val="center"/>
          </w:tcPr>
          <w:p>
            <w:pPr>
              <w:pStyle w:val="TableContents"/>
              <w:spacing w:before="0" w:after="283"/>
              <w:rPr/>
            </w:pPr>
            <w:r>
              <w:rPr/>
              <w:t> </w:t>
            </w:r>
          </w:p>
        </w:tc>
      </w:tr>
      <w:tr>
        <w:trPr/>
        <w:tc>
          <w:tcPr>
            <w:tcW w:w="1262" w:type="dxa"/>
            <w:tcBorders/>
            <w:shd w:fill="auto" w:val="clear"/>
            <w:vAlign w:val="center"/>
          </w:tcPr>
          <w:p>
            <w:pPr>
              <w:pStyle w:val="TableContents"/>
              <w:spacing w:before="0" w:after="283"/>
              <w:rPr/>
            </w:pPr>
            <w:r>
              <w:rPr/>
              <w:t> </w:t>
            </w:r>
          </w:p>
        </w:tc>
        <w:tc>
          <w:tcPr>
            <w:tcW w:w="8943"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Any mandatory prepayment to include all accrued and unpaid interest, accrued and unpaid fees and customary break costs to the prepayment date, and amounts prepaid may not be re-borrowed. Any mandatory commitment reduction to include all accrued and unpaid fees to the reduction date.</w:t>
            </w:r>
          </w:p>
        </w:tc>
      </w:tr>
      <w:tr>
        <w:trPr/>
        <w:tc>
          <w:tcPr>
            <w:tcW w:w="1262" w:type="dxa"/>
            <w:tcBorders/>
            <w:shd w:fill="auto" w:val="clear"/>
            <w:vAlign w:val="center"/>
          </w:tcPr>
          <w:p>
            <w:pPr>
              <w:pStyle w:val="TableContents"/>
              <w:spacing w:before="0" w:after="283"/>
              <w:rPr/>
            </w:pPr>
            <w:r>
              <w:rPr/>
              <w:t> </w:t>
            </w:r>
          </w:p>
        </w:tc>
        <w:tc>
          <w:tcPr>
            <w:tcW w:w="8943" w:type="dxa"/>
            <w:tcBorders/>
            <w:shd w:fill="auto" w:val="clear"/>
            <w:vAlign w:val="center"/>
          </w:tcPr>
          <w:p>
            <w:pPr>
              <w:pStyle w:val="TableContents"/>
              <w:spacing w:before="0" w:after="283"/>
              <w:jc w:val="both"/>
              <w:rPr/>
            </w:pPr>
            <w:r>
              <w:rPr/>
              <w:t> </w:t>
            </w:r>
          </w:p>
        </w:tc>
      </w:tr>
      <w:tr>
        <w:trPr/>
        <w:tc>
          <w:tcPr>
            <w:tcW w:w="1262" w:type="dxa"/>
            <w:tcBorders/>
            <w:shd w:fill="auto" w:val="clear"/>
            <w:vAlign w:val="center"/>
          </w:tcPr>
          <w:p>
            <w:pPr>
              <w:pStyle w:val="TableContents"/>
              <w:spacing w:before="0" w:after="283"/>
              <w:rPr/>
            </w:pPr>
            <w:r>
              <w:rPr/>
              <w:t> </w:t>
            </w:r>
          </w:p>
        </w:tc>
        <w:tc>
          <w:tcPr>
            <w:tcW w:w="8943" w:type="dxa"/>
            <w:tcBorders/>
            <w:shd w:fill="auto" w:val="clear"/>
            <w:vAlign w:val="center"/>
          </w:tcPr>
          <w:p>
            <w:pPr>
              <w:pStyle w:val="TableContents"/>
              <w:spacing w:before="0" w:after="283"/>
              <w:rPr>
                <w:sz w:val="20"/>
                <w:u w:val="single"/>
              </w:rPr>
            </w:pPr>
            <w:r>
              <w:rPr>
                <w:sz w:val="20"/>
                <w:u w:val="single"/>
              </w:rPr>
              <w:t>Voluntary Prepayment/Cancellation:</w:t>
            </w:r>
          </w:p>
        </w:tc>
      </w:tr>
      <w:tr>
        <w:trPr/>
        <w:tc>
          <w:tcPr>
            <w:tcW w:w="1262" w:type="dxa"/>
            <w:tcBorders/>
            <w:shd w:fill="auto" w:val="clear"/>
            <w:vAlign w:val="center"/>
          </w:tcPr>
          <w:p>
            <w:pPr>
              <w:pStyle w:val="TableContents"/>
              <w:spacing w:before="0" w:after="283"/>
              <w:rPr/>
            </w:pPr>
            <w:r>
              <w:rPr/>
              <w:t> </w:t>
            </w:r>
          </w:p>
        </w:tc>
        <w:tc>
          <w:tcPr>
            <w:tcW w:w="8943" w:type="dxa"/>
            <w:tcBorders/>
            <w:shd w:fill="auto" w:val="clear"/>
            <w:vAlign w:val="center"/>
          </w:tcPr>
          <w:p>
            <w:pPr>
              <w:pStyle w:val="TableContents"/>
              <w:spacing w:before="0" w:after="283"/>
              <w:rPr/>
            </w:pPr>
            <w:r>
              <w:rPr/>
              <w:t> </w:t>
            </w:r>
          </w:p>
        </w:tc>
      </w:tr>
      <w:tr>
        <w:trPr/>
        <w:tc>
          <w:tcPr>
            <w:tcW w:w="1262" w:type="dxa"/>
            <w:tcBorders/>
            <w:shd w:fill="auto" w:val="clear"/>
            <w:vAlign w:val="center"/>
          </w:tcPr>
          <w:p>
            <w:pPr>
              <w:pStyle w:val="TableContents"/>
              <w:spacing w:before="0" w:after="283"/>
              <w:rPr/>
            </w:pPr>
            <w:r>
              <w:rPr/>
              <w:t> </w:t>
            </w:r>
          </w:p>
        </w:tc>
        <w:tc>
          <w:tcPr>
            <w:tcW w:w="8943" w:type="dxa"/>
            <w:tcBorders/>
            <w:shd w:fill="auto" w:val="clear"/>
            <w:vAlign w:val="center"/>
          </w:tcPr>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outstanding under the Bridge Facility may be prepaid, in whole or in part, without premium or penalty (but including customary break costs for prepayments prior to the last day of an interest period), at par together with accrued and unpaid interest owed on amounts so prepaid to the prepayment date upon not less than one (1) business days’ written notice, at the option of the Borrower, at any time. Amounts prepaid may not be re-borrowed and shall be applied to the outstanding Facility Amount as directed by the Borrower. The commitments under the Bridge Facility may be terminated in whole or in part by the Borrower at any time upon not less than five (5) business days’ written notice without premium or penalty.</w:t>
            </w:r>
          </w:p>
        </w:tc>
      </w:tr>
      <w:tr>
        <w:trPr/>
        <w:tc>
          <w:tcPr>
            <w:tcW w:w="1262" w:type="dxa"/>
            <w:tcBorders/>
            <w:shd w:fill="auto" w:val="clear"/>
            <w:vAlign w:val="center"/>
          </w:tcPr>
          <w:p>
            <w:pPr>
              <w:pStyle w:val="TableContents"/>
              <w:spacing w:before="0" w:after="283"/>
              <w:rPr/>
            </w:pPr>
            <w:r>
              <w:rPr/>
              <w:t> </w:t>
            </w:r>
          </w:p>
        </w:tc>
        <w:tc>
          <w:tcPr>
            <w:tcW w:w="8943" w:type="dxa"/>
            <w:tcBorders/>
            <w:shd w:fill="auto" w:val="clear"/>
            <w:vAlign w:val="center"/>
          </w:tcPr>
          <w:p>
            <w:pPr>
              <w:pStyle w:val="TableContents"/>
              <w:spacing w:before="0" w:after="283"/>
              <w:rPr/>
            </w:pPr>
            <w:r>
              <w:rPr/>
              <w:t> </w:t>
            </w:r>
          </w:p>
        </w:tc>
      </w:tr>
      <w:tr>
        <w:trPr/>
        <w:tc>
          <w:tcPr>
            <w:tcW w:w="1262"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Interest Periods:</w:t>
            </w:r>
          </w:p>
        </w:tc>
        <w:tc>
          <w:tcPr>
            <w:tcW w:w="8943"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3 months or 1 month at Borrower’s option or any other period as may be agreed between the Borrower and the Lender.</w:t>
            </w:r>
          </w:p>
        </w:tc>
      </w:tr>
      <w:tr>
        <w:trPr/>
        <w:tc>
          <w:tcPr>
            <w:tcW w:w="1262" w:type="dxa"/>
            <w:tcBorders/>
            <w:shd w:fill="auto" w:val="clear"/>
            <w:vAlign w:val="center"/>
          </w:tcPr>
          <w:p>
            <w:pPr>
              <w:pStyle w:val="TableContents"/>
              <w:spacing w:before="0" w:after="283"/>
              <w:rPr/>
            </w:pPr>
            <w:r>
              <w:rPr/>
              <w:t> </w:t>
            </w:r>
          </w:p>
        </w:tc>
        <w:tc>
          <w:tcPr>
            <w:tcW w:w="8943" w:type="dxa"/>
            <w:tcBorders/>
            <w:shd w:fill="auto" w:val="clear"/>
            <w:vAlign w:val="center"/>
          </w:tcPr>
          <w:p>
            <w:pPr>
              <w:pStyle w:val="TableContents"/>
              <w:spacing w:before="0" w:after="283"/>
              <w:jc w:val="both"/>
              <w:rPr/>
            </w:pPr>
            <w:r>
              <w:rPr/>
              <w:t> </w:t>
            </w:r>
          </w:p>
        </w:tc>
      </w:tr>
      <w:tr>
        <w:trPr/>
        <w:tc>
          <w:tcPr>
            <w:tcW w:w="1262"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Margin:</w:t>
            </w:r>
          </w:p>
        </w:tc>
        <w:tc>
          <w:tcPr>
            <w:tcW w:w="8943" w:type="dxa"/>
            <w:tcBorders/>
            <w:shd w:fill="auto" w:val="clear"/>
            <w:vAlign w:val="center"/>
          </w:tcPr>
          <w:p>
            <w:pPr>
              <w:pStyle w:val="TableContents"/>
              <w:spacing w:before="0" w:after="283"/>
              <w:rPr>
                <w:sz w:val="20"/>
              </w:rPr>
            </w:pPr>
            <w:r>
              <w:rPr>
                <w:sz w:val="20"/>
              </w:rPr>
              <w:t>400 bps, increasing 50 bps each quarter commencing 3 months after the Utilisation Date.</w:t>
            </w:r>
          </w:p>
        </w:tc>
      </w:tr>
      <w:tr>
        <w:trPr/>
        <w:tc>
          <w:tcPr>
            <w:tcW w:w="1262" w:type="dxa"/>
            <w:tcBorders/>
            <w:shd w:fill="auto" w:val="clear"/>
            <w:vAlign w:val="center"/>
          </w:tcPr>
          <w:p>
            <w:pPr>
              <w:pStyle w:val="TableContents"/>
              <w:spacing w:before="0" w:after="283"/>
              <w:rPr/>
            </w:pPr>
            <w:r>
              <w:rPr/>
              <w:t> </w:t>
            </w:r>
          </w:p>
        </w:tc>
        <w:tc>
          <w:tcPr>
            <w:tcW w:w="8943" w:type="dxa"/>
            <w:tcBorders/>
            <w:shd w:fill="auto" w:val="clear"/>
            <w:vAlign w:val="center"/>
          </w:tcPr>
          <w:p>
            <w:pPr>
              <w:pStyle w:val="TableContents"/>
              <w:spacing w:before="0" w:after="283"/>
              <w:rPr/>
            </w:pPr>
            <w:r>
              <w:rPr/>
              <w:t> </w:t>
            </w:r>
          </w:p>
        </w:tc>
      </w:tr>
      <w:tr>
        <w:trPr/>
        <w:tc>
          <w:tcPr>
            <w:tcW w:w="1262"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Interest Rate:</w:t>
            </w:r>
          </w:p>
        </w:tc>
        <w:tc>
          <w:tcPr>
            <w:tcW w:w="8943"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of:</w:t>
            </w:r>
          </w:p>
        </w:tc>
      </w:tr>
      <w:tr>
        <w:trPr/>
        <w:tc>
          <w:tcPr>
            <w:tcW w:w="1262" w:type="dxa"/>
            <w:tcBorders/>
            <w:shd w:fill="auto" w:val="clear"/>
            <w:vAlign w:val="center"/>
          </w:tcPr>
          <w:p>
            <w:pPr>
              <w:pStyle w:val="TableContents"/>
              <w:spacing w:before="0" w:after="283"/>
              <w:rPr/>
            </w:pPr>
            <w:r>
              <w:rPr/>
              <w:t> </w:t>
            </w:r>
          </w:p>
        </w:tc>
        <w:tc>
          <w:tcPr>
            <w:tcW w:w="8943" w:type="dxa"/>
            <w:tcBorders/>
            <w:shd w:fill="auto" w:val="clear"/>
            <w:vAlign w:val="center"/>
          </w:tcPr>
          <w:p>
            <w:pPr>
              <w:pStyle w:val="TableContents"/>
              <w:spacing w:before="0" w:after="283"/>
              <w:rPr/>
            </w:pPr>
            <w:r>
              <w:rPr/>
              <w:t> </w:t>
            </w:r>
          </w:p>
        </w:tc>
      </w:tr>
      <w:tr>
        <w:trPr/>
        <w:tc>
          <w:tcPr>
            <w:tcW w:w="1262" w:type="dxa"/>
            <w:tcBorders/>
            <w:shd w:fill="auto" w:val="clear"/>
            <w:vAlign w:val="center"/>
          </w:tcPr>
          <w:p>
            <w:pPr>
              <w:pStyle w:val="TableContents"/>
              <w:spacing w:before="0" w:after="283"/>
              <w:rPr/>
            </w:pPr>
            <w:r>
              <w:rPr/>
              <w:t> </w:t>
            </w:r>
          </w:p>
        </w:tc>
        <w:tc>
          <w:tcPr>
            <w:tcW w:w="8943" w:type="dxa"/>
            <w:tcBorders/>
            <w:shd w:fill="auto" w:val="clear"/>
            <w:vAlign w:val="center"/>
          </w:tcPr>
          <w:p>
            <w:pPr>
              <w:pStyle w:val="TableContents"/>
              <w:spacing w:before="0" w:after="283"/>
              <w:rPr>
                <w:sz w:val="20"/>
              </w:rPr>
            </w:pPr>
            <w:r>
              <w:rPr>
                <w:sz w:val="20"/>
              </w:rPr>
              <w:t>a)           the Margin</w:t>
            </w:r>
          </w:p>
        </w:tc>
      </w:tr>
      <w:tr>
        <w:trPr/>
        <w:tc>
          <w:tcPr>
            <w:tcW w:w="1262" w:type="dxa"/>
            <w:tcBorders/>
            <w:shd w:fill="auto" w:val="clear"/>
            <w:vAlign w:val="center"/>
          </w:tcPr>
          <w:p>
            <w:pPr>
              <w:pStyle w:val="TableContents"/>
              <w:spacing w:before="0" w:after="283"/>
              <w:rPr/>
            </w:pPr>
            <w:r>
              <w:rPr/>
              <w:t> </w:t>
            </w:r>
          </w:p>
        </w:tc>
        <w:tc>
          <w:tcPr>
            <w:tcW w:w="8943" w:type="dxa"/>
            <w:tcBorders/>
            <w:shd w:fill="auto" w:val="clear"/>
            <w:vAlign w:val="center"/>
          </w:tcPr>
          <w:p>
            <w:pPr>
              <w:pStyle w:val="TableContents"/>
              <w:spacing w:before="0" w:after="283"/>
              <w:rPr/>
            </w:pPr>
            <w:r>
              <w:rPr/>
              <w:t> </w:t>
            </w:r>
          </w:p>
        </w:tc>
      </w:tr>
      <w:tr>
        <w:trPr/>
        <w:tc>
          <w:tcPr>
            <w:tcW w:w="1262" w:type="dxa"/>
            <w:tcBorders/>
            <w:shd w:fill="auto" w:val="clear"/>
            <w:vAlign w:val="center"/>
          </w:tcPr>
          <w:p>
            <w:pPr>
              <w:pStyle w:val="TableContents"/>
              <w:spacing w:before="0" w:after="283"/>
              <w:rPr/>
            </w:pPr>
            <w:r>
              <w:rPr/>
              <w:t> </w:t>
            </w:r>
          </w:p>
        </w:tc>
        <w:tc>
          <w:tcPr>
            <w:tcW w:w="8943" w:type="dxa"/>
            <w:tcBorders/>
            <w:shd w:fill="auto" w:val="clear"/>
            <w:vAlign w:val="center"/>
          </w:tcPr>
          <w:p>
            <w:pPr>
              <w:pStyle w:val="TableContents"/>
              <w:spacing w:before="0" w:after="283"/>
              <w:rPr>
                <w:sz w:val="20"/>
              </w:rPr>
            </w:pPr>
            <w:r>
              <w:rPr>
                <w:sz w:val="20"/>
              </w:rPr>
              <w:t>b)           Term SOFR for the Interest Period.</w:t>
            </w:r>
          </w:p>
        </w:tc>
      </w:tr>
      <w:tr>
        <w:trPr/>
        <w:tc>
          <w:tcPr>
            <w:tcW w:w="1262" w:type="dxa"/>
            <w:tcBorders/>
            <w:shd w:fill="auto" w:val="clear"/>
            <w:vAlign w:val="center"/>
          </w:tcPr>
          <w:p>
            <w:pPr>
              <w:pStyle w:val="TableContents"/>
              <w:spacing w:before="0" w:after="283"/>
              <w:rPr/>
            </w:pPr>
            <w:r>
              <w:rPr/>
              <w:t> </w:t>
            </w:r>
          </w:p>
        </w:tc>
        <w:tc>
          <w:tcPr>
            <w:tcW w:w="8943" w:type="dxa"/>
            <w:tcBorders/>
            <w:shd w:fill="auto" w:val="clear"/>
            <w:vAlign w:val="center"/>
          </w:tcPr>
          <w:p>
            <w:pPr>
              <w:pStyle w:val="TableContents"/>
              <w:spacing w:before="0" w:after="283"/>
              <w:rPr/>
            </w:pPr>
            <w:r>
              <w:rPr/>
              <w:t> </w:t>
            </w:r>
          </w:p>
        </w:tc>
      </w:tr>
      <w:tr>
        <w:trPr/>
        <w:tc>
          <w:tcPr>
            <w:tcW w:w="1262" w:type="dxa"/>
            <w:tcBorders/>
            <w:shd w:fill="auto" w:val="clear"/>
            <w:vAlign w:val="center"/>
          </w:tcPr>
          <w:p>
            <w:pPr>
              <w:pStyle w:val="TableContents"/>
              <w:spacing w:before="0" w:after="283"/>
              <w:rPr/>
            </w:pPr>
            <w:r>
              <w:rPr/>
              <w:t> </w:t>
            </w:r>
          </w:p>
        </w:tc>
        <w:tc>
          <w:tcPr>
            <w:tcW w:w="8943" w:type="dxa"/>
            <w:tcBorders/>
            <w:shd w:fill="auto" w:val="clear"/>
            <w:vAlign w:val="center"/>
          </w:tcPr>
          <w:p>
            <w:pPr>
              <w:pStyle w:val="TableContents"/>
              <w:spacing w:before="0" w:after="283"/>
              <w:jc w:val="both"/>
              <w:rPr>
                <w:sz w:val="20"/>
              </w:rPr>
            </w:pPr>
            <w:r>
              <w:rPr>
                <w:sz w:val="20"/>
              </w:rPr>
              <w:t>If such rate b) is quoted at below zero (0), Term SOFR will be deemed to be zero (0).</w:t>
            </w:r>
          </w:p>
        </w:tc>
      </w:tr>
      <w:tr>
        <w:trPr/>
        <w:tc>
          <w:tcPr>
            <w:tcW w:w="1262" w:type="dxa"/>
            <w:tcBorders/>
            <w:shd w:fill="auto" w:val="clear"/>
            <w:vAlign w:val="center"/>
          </w:tcPr>
          <w:p>
            <w:pPr>
              <w:pStyle w:val="TableContents"/>
              <w:spacing w:before="0" w:after="283"/>
              <w:rPr/>
            </w:pPr>
            <w:r>
              <w:rPr/>
              <w:t> </w:t>
            </w:r>
          </w:p>
        </w:tc>
        <w:tc>
          <w:tcPr>
            <w:tcW w:w="8943" w:type="dxa"/>
            <w:tcBorders/>
            <w:shd w:fill="auto" w:val="clear"/>
            <w:vAlign w:val="center"/>
          </w:tcPr>
          <w:p>
            <w:pPr>
              <w:pStyle w:val="TableContents"/>
              <w:spacing w:before="0" w:after="283"/>
              <w:jc w:val="both"/>
              <w:rPr/>
            </w:pPr>
            <w:r>
              <w:rPr/>
              <w:t> </w:t>
            </w:r>
          </w:p>
        </w:tc>
      </w:tr>
      <w:tr>
        <w:trPr/>
        <w:tc>
          <w:tcPr>
            <w:tcW w:w="1262"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Default Interest:</w:t>
            </w:r>
          </w:p>
        </w:tc>
        <w:tc>
          <w:tcPr>
            <w:tcW w:w="8943"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 xml:space="preserve">Overdue principal, interest and other amounts shall accrue interest at a rate per annum of 200 basis points above the applicable Interest Rate, calculated from the due date. </w:t>
            </w:r>
          </w:p>
        </w:tc>
      </w:tr>
      <w:tr>
        <w:trPr/>
        <w:tc>
          <w:tcPr>
            <w:tcW w:w="1262" w:type="dxa"/>
            <w:tcBorders/>
            <w:shd w:fill="auto" w:val="clear"/>
            <w:vAlign w:val="center"/>
          </w:tcPr>
          <w:p>
            <w:pPr>
              <w:pStyle w:val="TableContents"/>
              <w:spacing w:before="0" w:after="283"/>
              <w:rPr/>
            </w:pPr>
            <w:r>
              <w:rPr/>
              <w:t> </w:t>
            </w:r>
          </w:p>
        </w:tc>
        <w:tc>
          <w:tcPr>
            <w:tcW w:w="8943" w:type="dxa"/>
            <w:tcBorders/>
            <w:shd w:fill="auto" w:val="clear"/>
            <w:vAlign w:val="center"/>
          </w:tcPr>
          <w:p>
            <w:pPr>
              <w:pStyle w:val="TableContents"/>
              <w:spacing w:before="0" w:after="283"/>
              <w:jc w:val="both"/>
              <w:rPr/>
            </w:pPr>
            <w:r>
              <w:rPr/>
              <w:t> </w:t>
            </w:r>
          </w:p>
        </w:tc>
      </w:tr>
      <w:tr>
        <w:trPr/>
        <w:tc>
          <w:tcPr>
            <w:tcW w:w="1262"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Arrangement Fee:</w:t>
            </w:r>
          </w:p>
        </w:tc>
        <w:tc>
          <w:tcPr>
            <w:tcW w:w="894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[REDACTED]</w:t>
            </w:r>
          </w:p>
        </w:tc>
      </w:tr>
      <w:tr>
        <w:trPr/>
        <w:tc>
          <w:tcPr>
            <w:tcW w:w="1262" w:type="dxa"/>
            <w:tcBorders/>
            <w:shd w:fill="auto" w:val="clear"/>
            <w:vAlign w:val="center"/>
          </w:tcPr>
          <w:p>
            <w:pPr>
              <w:pStyle w:val="TableContents"/>
              <w:spacing w:before="0" w:after="283"/>
              <w:rPr/>
            </w:pPr>
            <w:r>
              <w:rPr/>
              <w:t> </w:t>
            </w:r>
          </w:p>
        </w:tc>
        <w:tc>
          <w:tcPr>
            <w:tcW w:w="8943" w:type="dxa"/>
            <w:tcBorders/>
            <w:shd w:fill="auto" w:val="clear"/>
            <w:vAlign w:val="center"/>
          </w:tcPr>
          <w:p>
            <w:pPr>
              <w:pStyle w:val="TableContents"/>
              <w:spacing w:before="0" w:after="283"/>
              <w:rPr/>
            </w:pPr>
            <w:r>
              <w:rPr/>
              <w:t> </w:t>
            </w:r>
          </w:p>
        </w:tc>
      </w:tr>
      <w:tr>
        <w:trPr/>
        <w:tc>
          <w:tcPr>
            <w:tcW w:w="1262"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[REDACTED]:</w:t>
            </w:r>
          </w:p>
        </w:tc>
        <w:tc>
          <w:tcPr>
            <w:tcW w:w="894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[REDACTED]</w:t>
            </w:r>
          </w:p>
        </w:tc>
      </w:tr>
      <w:tr>
        <w:trPr/>
        <w:tc>
          <w:tcPr>
            <w:tcW w:w="1262" w:type="dxa"/>
            <w:tcBorders/>
            <w:shd w:fill="auto" w:val="clear"/>
            <w:vAlign w:val="center"/>
          </w:tcPr>
          <w:p>
            <w:pPr>
              <w:pStyle w:val="TableContents"/>
              <w:spacing w:before="0" w:after="283"/>
              <w:rPr/>
            </w:pPr>
            <w:r>
              <w:rPr/>
              <w:t> </w:t>
            </w:r>
          </w:p>
        </w:tc>
        <w:tc>
          <w:tcPr>
            <w:tcW w:w="8943" w:type="dxa"/>
            <w:tcBorders/>
            <w:shd w:fill="auto" w:val="clear"/>
            <w:vAlign w:val="center"/>
          </w:tcPr>
          <w:p>
            <w:pPr>
              <w:pStyle w:val="TableContents"/>
              <w:spacing w:before="0" w:after="283"/>
              <w:rPr/>
            </w:pPr>
            <w:r>
              <w:rPr/>
              <w:t> </w:t>
            </w:r>
          </w:p>
        </w:tc>
      </w:tr>
      <w:tr>
        <w:trPr/>
        <w:tc>
          <w:tcPr>
            <w:tcW w:w="1262"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Commitment Fee:</w:t>
            </w:r>
          </w:p>
        </w:tc>
        <w:tc>
          <w:tcPr>
            <w:tcW w:w="8943"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20% of applicable Margin payable on the undrawn Facility Amount, commencing 1 month after Commitment Date, increasing to 30% after 3 months and 40% after 4 months.</w:t>
            </w:r>
          </w:p>
        </w:tc>
      </w:tr>
      <w:tr>
        <w:trPr/>
        <w:tc>
          <w:tcPr>
            <w:tcW w:w="1262" w:type="dxa"/>
            <w:tcBorders/>
            <w:shd w:fill="auto" w:val="clear"/>
            <w:vAlign w:val="center"/>
          </w:tcPr>
          <w:p>
            <w:pPr>
              <w:pStyle w:val="TableContents"/>
              <w:spacing w:before="0" w:after="283"/>
              <w:rPr/>
            </w:pPr>
            <w:r>
              <w:rPr/>
              <w:t> </w:t>
            </w:r>
          </w:p>
        </w:tc>
        <w:tc>
          <w:tcPr>
            <w:tcW w:w="8943" w:type="dxa"/>
            <w:tcBorders/>
            <w:shd w:fill="auto" w:val="clear"/>
            <w:vAlign w:val="center"/>
          </w:tcPr>
          <w:p>
            <w:pPr>
              <w:pStyle w:val="TableContents"/>
              <w:spacing w:before="0" w:after="283"/>
              <w:jc w:val="both"/>
              <w:rPr/>
            </w:pPr>
            <w:r>
              <w:rPr/>
              <w:t> </w:t>
            </w:r>
          </w:p>
        </w:tc>
      </w:tr>
      <w:tr>
        <w:trPr/>
        <w:tc>
          <w:tcPr>
            <w:tcW w:w="1262" w:type="dxa"/>
            <w:tcBorders/>
            <w:shd w:fill="auto" w:val="clear"/>
            <w:vAlign w:val="center"/>
          </w:tcPr>
          <w:p>
            <w:pPr>
              <w:pStyle w:val="TableContents"/>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Guarantee:</w:t>
            </w:r>
          </w:p>
          <w:p>
            <w:pPr>
              <w:pStyle w:val="TableContents"/>
              <w:spacing w:before="0" w:after="0"/>
              <w:ind w:left="0" w:right="0" w:hanging="0"/>
              <w:rPr>
                <w:caps w:val="false"/>
                <w:smallCaps w:val="false"/>
              </w:rPr>
            </w:pPr>
            <w:r>
              <w:rPr>
                <w:caps w:val="false"/>
                <w:smallCaps w:val="false"/>
              </w:rPr>
              <w:t> </w:t>
            </w:r>
          </w:p>
        </w:tc>
        <w:tc>
          <w:tcPr>
            <w:tcW w:w="8943" w:type="dxa"/>
            <w:tcBorders/>
            <w:shd w:fill="auto" w:val="clear"/>
            <w:vAlign w:val="center"/>
          </w:tcPr>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Unconditional and irrevocable on demand guarantee and indemnity of the Guarantor in respect of the obligations of the Borrower.</w:t>
            </w:r>
          </w:p>
        </w:tc>
      </w:tr>
      <w:tr>
        <w:trPr/>
        <w:tc>
          <w:tcPr>
            <w:tcW w:w="1262" w:type="dxa"/>
            <w:tcBorders/>
            <w:shd w:fill="auto" w:val="clear"/>
            <w:vAlign w:val="center"/>
          </w:tcPr>
          <w:p>
            <w:pPr>
              <w:pStyle w:val="TableContents"/>
              <w:spacing w:before="0" w:after="283"/>
              <w:rPr/>
            </w:pPr>
            <w:r>
              <w:rPr/>
              <w:t> </w:t>
            </w:r>
          </w:p>
        </w:tc>
        <w:tc>
          <w:tcPr>
            <w:tcW w:w="8943" w:type="dxa"/>
            <w:tcBorders/>
            <w:shd w:fill="auto" w:val="clear"/>
            <w:vAlign w:val="center"/>
          </w:tcPr>
          <w:p>
            <w:pPr>
              <w:pStyle w:val="TableContents"/>
              <w:spacing w:before="0" w:after="283"/>
              <w:rPr/>
            </w:pPr>
            <w:r>
              <w:rPr/>
              <w:t> </w:t>
            </w:r>
          </w:p>
        </w:tc>
      </w:tr>
      <w:tr>
        <w:trPr/>
        <w:tc>
          <w:tcPr>
            <w:tcW w:w="1262" w:type="dxa"/>
            <w:tcBorders/>
            <w:shd w:fill="auto" w:val="clear"/>
            <w:vAlign w:val="center"/>
          </w:tcPr>
          <w:p>
            <w:pPr>
              <w:pStyle w:val="TableContents"/>
              <w:spacing w:before="0" w:after="283"/>
              <w:rPr>
                <w:b/>
                <w:sz w:val="20"/>
              </w:rPr>
            </w:pPr>
            <w:r>
              <w:rPr>
                <w:b/>
                <w:sz w:val="20"/>
              </w:rPr>
              <w:t>Financial Covenants:</w:t>
            </w:r>
          </w:p>
        </w:tc>
        <w:tc>
          <w:tcPr>
            <w:tcW w:w="8943" w:type="dxa"/>
            <w:tcBorders/>
            <w:shd w:fill="auto" w:val="clear"/>
            <w:vAlign w:val="center"/>
          </w:tcPr>
          <w:p>
            <w:pPr>
              <w:pStyle w:val="TableContents"/>
              <w:spacing w:before="0" w:after="283"/>
              <w:rPr>
                <w:sz w:val="20"/>
              </w:rPr>
            </w:pPr>
            <w:r>
              <w:rPr>
                <w:sz w:val="20"/>
              </w:rPr>
              <w:t>Standard GasLog Ltd. covenants, consistent with the Existing Facility:</w:t>
            </w:r>
          </w:p>
        </w:tc>
      </w:tr>
      <w:tr>
        <w:trPr/>
        <w:tc>
          <w:tcPr>
            <w:tcW w:w="1262" w:type="dxa"/>
            <w:tcBorders/>
            <w:shd w:fill="auto" w:val="clear"/>
            <w:vAlign w:val="center"/>
          </w:tcPr>
          <w:p>
            <w:pPr>
              <w:pStyle w:val="TableContents"/>
              <w:spacing w:before="0" w:after="283"/>
              <w:rPr/>
            </w:pPr>
            <w:r>
              <w:rPr/>
              <w:t> </w:t>
            </w:r>
          </w:p>
        </w:tc>
        <w:tc>
          <w:tcPr>
            <w:tcW w:w="8943" w:type="dxa"/>
            <w:tcBorders/>
            <w:shd w:fill="auto" w:val="clear"/>
            <w:vAlign w:val="center"/>
          </w:tcPr>
          <w:p>
            <w:pPr>
              <w:pStyle w:val="TableContents"/>
              <w:spacing w:before="0" w:after="283"/>
              <w:rPr/>
            </w:pPr>
            <w:r>
              <w:rPr/>
              <w:t> </w:t>
            </w:r>
          </w:p>
        </w:tc>
      </w:tr>
      <w:tr>
        <w:trPr/>
        <w:tc>
          <w:tcPr>
            <w:tcW w:w="1262" w:type="dxa"/>
            <w:tcBorders/>
            <w:shd w:fill="auto" w:val="clear"/>
            <w:vAlign w:val="center"/>
          </w:tcPr>
          <w:p>
            <w:pPr>
              <w:pStyle w:val="TableContents"/>
              <w:spacing w:before="0" w:after="283"/>
              <w:rPr/>
            </w:pPr>
            <w:r>
              <w:rPr/>
              <w:t> </w:t>
            </w:r>
          </w:p>
        </w:tc>
        <w:tc>
          <w:tcPr>
            <w:tcW w:w="8943" w:type="dxa"/>
            <w:tcBorders/>
            <w:shd w:fill="auto" w:val="clear"/>
            <w:vAlign w:val="center"/>
          </w:tcPr>
          <w:p>
            <w:pPr>
              <w:pStyle w:val="TableContents"/>
              <w:spacing w:before="0" w:after="283"/>
              <w:rPr>
                <w:sz w:val="20"/>
              </w:rPr>
            </w:pPr>
            <w:r>
              <w:rPr>
                <w:sz w:val="20"/>
              </w:rPr>
              <w:t>i)             Market value adjusted net worth ≥ USD 350m</w:t>
            </w:r>
          </w:p>
        </w:tc>
      </w:tr>
      <w:tr>
        <w:trPr/>
        <w:tc>
          <w:tcPr>
            <w:tcW w:w="1262" w:type="dxa"/>
            <w:tcBorders/>
            <w:shd w:fill="auto" w:val="clear"/>
            <w:vAlign w:val="center"/>
          </w:tcPr>
          <w:p>
            <w:pPr>
              <w:pStyle w:val="TableContents"/>
              <w:spacing w:before="0" w:after="283"/>
              <w:rPr/>
            </w:pPr>
            <w:r>
              <w:rPr/>
              <w:t> </w:t>
            </w:r>
          </w:p>
        </w:tc>
        <w:tc>
          <w:tcPr>
            <w:tcW w:w="8943" w:type="dxa"/>
            <w:tcBorders/>
            <w:shd w:fill="auto" w:val="clear"/>
            <w:vAlign w:val="center"/>
          </w:tcPr>
          <w:p>
            <w:pPr>
              <w:pStyle w:val="TableContents"/>
              <w:spacing w:before="0" w:after="283"/>
              <w:rPr/>
            </w:pPr>
            <w:r>
              <w:rPr/>
              <w:t> </w:t>
            </w:r>
          </w:p>
        </w:tc>
      </w:tr>
    </w:tbl>
    <w:p>
      <w:pPr>
        <w:pStyle w:val="TextBody"/>
        <w:spacing w:before="0" w:after="0"/>
        <w:jc w:val="center"/>
        <w:rPr>
          <w:sz w:val="20"/>
          <w:bdr w:val="single" w:sz="8" w:space="1" w:color="000000"/>
        </w:rPr>
      </w:pPr>
      <w:r>
        <w:rPr>
          <w:sz w:val="20"/>
          <w:bdr w:val="single" w:sz="8" w:space="1" w:color="000000"/>
        </w:rPr>
        <w:t>18</w:t>
      </w:r>
    </w:p>
    <w:p>
      <w:pPr>
        <w:pStyle w:val="TextBody"/>
        <w:spacing w:before="0" w:after="0"/>
        <w:ind w:left="0" w:right="0" w:hanging="0"/>
        <w:rPr/>
      </w:pPr>
      <w:r>
        <w:rPr/>
        <w:t> </w:t>
      </w:r>
    </w:p>
    <w:p>
      <w:pPr>
        <w:pStyle w:val="TextBody"/>
        <w:rPr/>
      </w:pPr>
      <w:r>
        <w:rPr/>
        <w:t> </w:t>
      </w:r>
    </w:p>
    <w:p>
      <w:pPr>
        <w:pStyle w:val="TextBody"/>
        <w:jc w:val="right"/>
        <w:rPr/>
      </w:pPr>
      <w:r>
        <w:rPr/>
        <w:drawing>
          <wp:inline distT="0" distB="0" distL="0" distR="0">
            <wp:extent cx="1181100" cy="6096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3"/>
                    <a:stretch>
                      <a:fillRect/>
                    </a:stretch>
                  </pic:blipFill>
                  <pic:spPr bwMode="auto">
                    <a:xfrm>
                      <a:off x="0" y="0"/>
                      <a:ext cx="1181100" cy="609600"/>
                    </a:xfrm>
                    <a:prstGeom prst="rect">
                      <a:avLst/>
                    </a:prstGeom>
                  </pic:spPr>
                </pic:pic>
              </a:graphicData>
            </a:graphic>
          </wp:inline>
        </w:drawing>
      </w:r>
      <w:r>
        <w:rPr/>
        <w:t> </w:t>
      </w:r>
    </w:p>
    <w:p>
      <w:pPr>
        <w:pStyle w:val="TextBody"/>
        <w:rPr/>
      </w:pPr>
      <w:r>
        <w:rPr/>
        <w:t> </w:t>
      </w:r>
    </w:p>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10130" w:type="dxa"/>
            <w:tcBorders/>
            <w:shd w:fill="auto" w:val="clear"/>
            <w:vAlign w:val="center"/>
          </w:tcPr>
          <w:p>
            <w:pPr>
              <w:pStyle w:val="TableContents"/>
              <w:spacing w:before="0" w:after="0"/>
              <w:ind w:left="720" w:right="0" w:hanging="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Current assets : current liabilities ≥ 1.0x</w:t>
            </w:r>
          </w:p>
          <w:p>
            <w:pPr>
              <w:pStyle w:val="TableContents"/>
              <w:spacing w:before="0" w:after="0"/>
              <w:ind w:left="720" w:right="0" w:hanging="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Maximum leverage (total debt : total assets) &lt; 75%</w:t>
            </w:r>
          </w:p>
          <w:p>
            <w:pPr>
              <w:pStyle w:val="TableContents"/>
              <w:spacing w:before="0" w:after="0"/>
              <w:ind w:left="720" w:right="0" w:hanging="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Free cash and cash equivalents of min. USD75m</w:t>
            </w:r>
          </w:p>
          <w:p>
            <w:pPr>
              <w:pStyle w:val="TableContents"/>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If free cash and cash equivalents is below USD110m, EBITDA : debt service ≥ 1.1x (debt service excl. non-recurring and upfront fees up to USD30m).</w:t>
            </w:r>
          </w:p>
        </w:tc>
      </w:tr>
    </w:tbl>
    <w:p>
      <w:pPr>
        <w:pStyle w:val="TextBody"/>
        <w:rPr/>
      </w:pPr>
      <w:r>
        <w:rPr/>
        <w:t> </w:t>
      </w:r>
    </w:p>
    <w:tbl>
      <w:tblPr>
        <w:tblW w:w="10205" w:type="dxa"/>
        <w:jc w:val="left"/>
        <w:tblInd w:w="0" w:type="dxa"/>
        <w:tblCellMar>
          <w:top w:w="0" w:type="dxa"/>
          <w:left w:w="0" w:type="dxa"/>
          <w:bottom w:w="0" w:type="dxa"/>
          <w:right w:w="0" w:type="dxa"/>
        </w:tblCellMar>
      </w:tblPr>
      <w:tblGrid>
        <w:gridCol w:w="2028"/>
        <w:gridCol w:w="8177"/>
      </w:tblGrid>
      <w:tr>
        <w:trPr/>
        <w:tc>
          <w:tcPr>
            <w:tcW w:w="2028"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Financial Statements:</w:t>
            </w:r>
          </w:p>
        </w:tc>
        <w:tc>
          <w:tcPr>
            <w:tcW w:w="8177"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i)</w:t>
              <w:tab/>
              <w:t>Delivery of the annual audited, consolidated financial statements of the Group as soon as available and within 150 days of the end of the Guarantor’s financial year;</w:t>
            </w:r>
          </w:p>
        </w:tc>
      </w:tr>
      <w:tr>
        <w:trPr/>
        <w:tc>
          <w:tcPr>
            <w:tcW w:w="2028" w:type="dxa"/>
            <w:tcBorders/>
            <w:shd w:fill="auto" w:val="clear"/>
            <w:vAlign w:val="center"/>
          </w:tcPr>
          <w:p>
            <w:pPr>
              <w:pStyle w:val="TableContents"/>
              <w:spacing w:before="0" w:after="283"/>
              <w:rPr/>
            </w:pPr>
            <w:r>
              <w:rPr/>
              <w:t> </w:t>
            </w:r>
          </w:p>
        </w:tc>
        <w:tc>
          <w:tcPr>
            <w:tcW w:w="8177" w:type="dxa"/>
            <w:tcBorders/>
            <w:shd w:fill="auto" w:val="clear"/>
            <w:vAlign w:val="center"/>
          </w:tcPr>
          <w:p>
            <w:pPr>
              <w:pStyle w:val="TableContents"/>
              <w:spacing w:before="0" w:after="283"/>
              <w:jc w:val="both"/>
              <w:rPr/>
            </w:pPr>
            <w:r>
              <w:rPr/>
              <w:t> </w:t>
            </w:r>
          </w:p>
        </w:tc>
      </w:tr>
      <w:tr>
        <w:trPr/>
        <w:tc>
          <w:tcPr>
            <w:tcW w:w="2028" w:type="dxa"/>
            <w:tcBorders/>
            <w:shd w:fill="auto" w:val="clear"/>
            <w:vAlign w:val="center"/>
          </w:tcPr>
          <w:p>
            <w:pPr>
              <w:pStyle w:val="TableContents"/>
              <w:spacing w:before="0" w:after="283"/>
              <w:rPr/>
            </w:pPr>
            <w:r>
              <w:rPr/>
              <w:t> </w:t>
            </w:r>
          </w:p>
        </w:tc>
        <w:tc>
          <w:tcPr>
            <w:tcW w:w="8177"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ii)</w:t>
              <w:tab/>
              <w:t>Delivery of the semi-annual unaudited consolidated financial statements of the Group within 120 days after the end of each half of each of the Guarantor’s financial years; and</w:t>
            </w:r>
          </w:p>
        </w:tc>
      </w:tr>
      <w:tr>
        <w:trPr/>
        <w:tc>
          <w:tcPr>
            <w:tcW w:w="2028" w:type="dxa"/>
            <w:tcBorders/>
            <w:shd w:fill="auto" w:val="clear"/>
            <w:vAlign w:val="center"/>
          </w:tcPr>
          <w:p>
            <w:pPr>
              <w:pStyle w:val="TableContents"/>
              <w:spacing w:before="0" w:after="283"/>
              <w:rPr/>
            </w:pPr>
            <w:r>
              <w:rPr/>
              <w:t> </w:t>
            </w:r>
          </w:p>
        </w:tc>
        <w:tc>
          <w:tcPr>
            <w:tcW w:w="8177" w:type="dxa"/>
            <w:tcBorders/>
            <w:shd w:fill="auto" w:val="clear"/>
            <w:vAlign w:val="center"/>
          </w:tcPr>
          <w:p>
            <w:pPr>
              <w:pStyle w:val="TableContents"/>
              <w:spacing w:before="0" w:after="283"/>
              <w:jc w:val="both"/>
              <w:rPr/>
            </w:pPr>
            <w:r>
              <w:rPr/>
              <w:t> </w:t>
            </w:r>
          </w:p>
        </w:tc>
      </w:tr>
      <w:tr>
        <w:trPr/>
        <w:tc>
          <w:tcPr>
            <w:tcW w:w="2028"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Representations and Warranties:</w:t>
            </w:r>
          </w:p>
        </w:tc>
        <w:tc>
          <w:tcPr>
            <w:tcW w:w="8177"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Borrower and Guarantor to make representations usual for financings of this nature and in line with the Existing Facility (where relevant) and, in each case, subject to materiality thresholds and customary exceptions and qualifications to be agreed. In any event, Borrower and Guarantor to represent that the Transaction (including the de-listing of the shares of GasLog Partners LP) does not constitute an event of default, termination event, early termination event, or other similar event (howsoever defined) under any credit or loan facility (including any finance lease), any bond or note issuance, any contract for derivatives or any other contract in respect of financial indebtedness, of or by any member of the Group (the “Relevant Agreements”).</w:t>
            </w:r>
          </w:p>
        </w:tc>
      </w:tr>
      <w:tr>
        <w:trPr/>
        <w:tc>
          <w:tcPr>
            <w:tcW w:w="2028" w:type="dxa"/>
            <w:tcBorders/>
            <w:shd w:fill="auto" w:val="clear"/>
            <w:vAlign w:val="center"/>
          </w:tcPr>
          <w:p>
            <w:pPr>
              <w:pStyle w:val="TableContents"/>
              <w:spacing w:before="0" w:after="283"/>
              <w:rPr/>
            </w:pPr>
            <w:r>
              <w:rPr/>
              <w:t> </w:t>
            </w:r>
          </w:p>
        </w:tc>
        <w:tc>
          <w:tcPr>
            <w:tcW w:w="8177" w:type="dxa"/>
            <w:tcBorders/>
            <w:shd w:fill="auto" w:val="clear"/>
            <w:vAlign w:val="center"/>
          </w:tcPr>
          <w:p>
            <w:pPr>
              <w:pStyle w:val="TableContents"/>
              <w:spacing w:before="0" w:after="283"/>
              <w:jc w:val="both"/>
              <w:rPr/>
            </w:pPr>
            <w:r>
              <w:rPr/>
              <w:t> </w:t>
            </w:r>
          </w:p>
        </w:tc>
      </w:tr>
      <w:tr>
        <w:trPr/>
        <w:tc>
          <w:tcPr>
            <w:tcW w:w="2028"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Anti-Money Laundering / KYC Requirements:</w:t>
            </w:r>
          </w:p>
        </w:tc>
        <w:tc>
          <w:tcPr>
            <w:tcW w:w="8177"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Lender to be provided with such documents and any other information necessary to satisfy their Anti-Money Laundering/Know Your Customer/FATCA/CRS procedures either in force at the Signing Date or subsequently introduced prior to the signing of the Bridge Facility documentation and from time to time thereafter.</w:t>
            </w:r>
          </w:p>
        </w:tc>
      </w:tr>
      <w:tr>
        <w:trPr/>
        <w:tc>
          <w:tcPr>
            <w:tcW w:w="2028" w:type="dxa"/>
            <w:tcBorders/>
            <w:shd w:fill="auto" w:val="clear"/>
            <w:vAlign w:val="center"/>
          </w:tcPr>
          <w:p>
            <w:pPr>
              <w:pStyle w:val="TableContents"/>
              <w:spacing w:before="0" w:after="283"/>
              <w:rPr/>
            </w:pPr>
            <w:r>
              <w:rPr/>
              <w:t> </w:t>
            </w:r>
          </w:p>
        </w:tc>
        <w:tc>
          <w:tcPr>
            <w:tcW w:w="8177" w:type="dxa"/>
            <w:tcBorders/>
            <w:shd w:fill="auto" w:val="clear"/>
            <w:vAlign w:val="center"/>
          </w:tcPr>
          <w:p>
            <w:pPr>
              <w:pStyle w:val="TableContents"/>
              <w:spacing w:before="0" w:after="283"/>
              <w:jc w:val="both"/>
              <w:rPr/>
            </w:pPr>
            <w:r>
              <w:rPr/>
              <w:t> </w:t>
            </w:r>
          </w:p>
        </w:tc>
      </w:tr>
      <w:tr>
        <w:trPr/>
        <w:tc>
          <w:tcPr>
            <w:tcW w:w="2028"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 xml:space="preserve">Change of Control </w:t>
            </w:r>
          </w:p>
        </w:tc>
        <w:tc>
          <w:tcPr>
            <w:tcW w:w="8177"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Change of Control to be consistent with the Existing Facility but also to include if any of the issued and outstanding shares (including the voting shares) of the Borrower cease to be legally and beneficially owned by the Guarantor.</w:t>
            </w:r>
          </w:p>
        </w:tc>
      </w:tr>
      <w:tr>
        <w:trPr/>
        <w:tc>
          <w:tcPr>
            <w:tcW w:w="2028" w:type="dxa"/>
            <w:tcBorders/>
            <w:shd w:fill="auto" w:val="clear"/>
            <w:vAlign w:val="center"/>
          </w:tcPr>
          <w:p>
            <w:pPr>
              <w:pStyle w:val="TableContents"/>
              <w:spacing w:before="0" w:after="283"/>
              <w:rPr/>
            </w:pPr>
            <w:r>
              <w:rPr/>
              <w:t> </w:t>
            </w:r>
          </w:p>
        </w:tc>
        <w:tc>
          <w:tcPr>
            <w:tcW w:w="8177" w:type="dxa"/>
            <w:tcBorders/>
            <w:shd w:fill="auto" w:val="clear"/>
            <w:vAlign w:val="center"/>
          </w:tcPr>
          <w:p>
            <w:pPr>
              <w:pStyle w:val="TableContents"/>
              <w:spacing w:before="0" w:after="283"/>
              <w:jc w:val="both"/>
              <w:rPr/>
            </w:pPr>
            <w:r>
              <w:rPr/>
              <w:t> </w:t>
            </w:r>
          </w:p>
        </w:tc>
      </w:tr>
      <w:tr>
        <w:trPr/>
        <w:tc>
          <w:tcPr>
            <w:tcW w:w="2028"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Conditions precedent to Utilisation:</w:t>
            </w:r>
          </w:p>
        </w:tc>
        <w:tc>
          <w:tcPr>
            <w:tcW w:w="8177"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Conditions precedent to be completed to the satisfaction of the Facility Agent by the Utilisation Date as per Exhibit 1.</w:t>
            </w:r>
          </w:p>
        </w:tc>
      </w:tr>
      <w:tr>
        <w:trPr/>
        <w:tc>
          <w:tcPr>
            <w:tcW w:w="2028" w:type="dxa"/>
            <w:tcBorders/>
            <w:shd w:fill="auto" w:val="clear"/>
            <w:vAlign w:val="center"/>
          </w:tcPr>
          <w:p>
            <w:pPr>
              <w:pStyle w:val="TableContents"/>
              <w:spacing w:before="0" w:after="283"/>
              <w:rPr/>
            </w:pPr>
            <w:r>
              <w:rPr/>
              <w:t> </w:t>
            </w:r>
          </w:p>
        </w:tc>
        <w:tc>
          <w:tcPr>
            <w:tcW w:w="8177" w:type="dxa"/>
            <w:tcBorders/>
            <w:shd w:fill="auto" w:val="clear"/>
            <w:vAlign w:val="center"/>
          </w:tcPr>
          <w:p>
            <w:pPr>
              <w:pStyle w:val="TableContents"/>
              <w:spacing w:before="0" w:after="283"/>
              <w:jc w:val="both"/>
              <w:rPr/>
            </w:pPr>
            <w:r>
              <w:rPr/>
              <w:t> </w:t>
            </w:r>
          </w:p>
        </w:tc>
      </w:tr>
      <w:tr>
        <w:trPr/>
        <w:tc>
          <w:tcPr>
            <w:tcW w:w="2028"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Events of Default:</w:t>
            </w:r>
          </w:p>
        </w:tc>
        <w:tc>
          <w:tcPr>
            <w:tcW w:w="8177"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Standard and customary, including inter alia non-payment, covenant breaches, misrepresentation, cross default, insolvency / insolvency proceedings, creditors’ process, winding up, cessation of business, unlawfulness, Material Adverse Effect, etc. in each case, subject to materiality thresholds and customary exceptions and qualifications to be agreed between the parties and consistent with the Existing Facility (where relevant).</w:t>
            </w:r>
          </w:p>
        </w:tc>
      </w:tr>
      <w:tr>
        <w:trPr/>
        <w:tc>
          <w:tcPr>
            <w:tcW w:w="2028" w:type="dxa"/>
            <w:tcBorders/>
            <w:shd w:fill="auto" w:val="clear"/>
            <w:vAlign w:val="center"/>
          </w:tcPr>
          <w:p>
            <w:pPr>
              <w:pStyle w:val="TableContents"/>
              <w:spacing w:before="0" w:after="283"/>
              <w:rPr/>
            </w:pPr>
            <w:r>
              <w:rPr/>
              <w:t> </w:t>
            </w:r>
          </w:p>
        </w:tc>
        <w:tc>
          <w:tcPr>
            <w:tcW w:w="8177" w:type="dxa"/>
            <w:tcBorders/>
            <w:shd w:fill="auto" w:val="clear"/>
            <w:vAlign w:val="center"/>
          </w:tcPr>
          <w:p>
            <w:pPr>
              <w:pStyle w:val="TableContents"/>
              <w:spacing w:before="0" w:after="283"/>
              <w:jc w:val="both"/>
              <w:rPr/>
            </w:pPr>
            <w:r>
              <w:rPr/>
              <w:t> </w:t>
            </w:r>
          </w:p>
        </w:tc>
      </w:tr>
      <w:tr>
        <w:trPr/>
        <w:tc>
          <w:tcPr>
            <w:tcW w:w="2028"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Material Adverse Effect:</w:t>
            </w:r>
          </w:p>
        </w:tc>
        <w:tc>
          <w:tcPr>
            <w:tcW w:w="8177"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Means a material adverse effect on: (a) the consolidated business, operations or financial condition of the Group, taken as a whole; (b) the ability of any Obligor to perform its payment obligations under the finance documents; or (c) the validity or enforceability of, or the effectiveness of, the finance documents or the rights or remedies of the Lender under any of the finance documents.</w:t>
            </w:r>
          </w:p>
        </w:tc>
      </w:tr>
    </w:tbl>
    <w:p>
      <w:pPr>
        <w:pStyle w:val="TextBody"/>
        <w:rPr/>
      </w:pPr>
      <w:r>
        <w:rPr/>
        <w:t> </w:t>
      </w:r>
    </w:p>
    <w:p>
      <w:pPr>
        <w:pStyle w:val="TextBody"/>
        <w:spacing w:before="0" w:after="0"/>
        <w:jc w:val="center"/>
        <w:rPr>
          <w:sz w:val="20"/>
          <w:bdr w:val="single" w:sz="8" w:space="1" w:color="000000"/>
        </w:rPr>
      </w:pPr>
      <w:r>
        <w:rPr>
          <w:sz w:val="20"/>
          <w:bdr w:val="single" w:sz="8" w:space="1" w:color="000000"/>
        </w:rPr>
        <w:t>19</w:t>
      </w:r>
    </w:p>
    <w:p>
      <w:pPr>
        <w:pStyle w:val="TextBody"/>
        <w:spacing w:before="0" w:after="0"/>
        <w:ind w:left="0" w:right="0" w:hanging="0"/>
        <w:rPr/>
      </w:pPr>
      <w:r>
        <w:rPr/>
        <w:t> </w:t>
      </w:r>
    </w:p>
    <w:p>
      <w:pPr>
        <w:pStyle w:val="TextBody"/>
        <w:rPr/>
      </w:pPr>
      <w:r>
        <w:rPr/>
        <w:t> </w:t>
      </w:r>
    </w:p>
    <w:p>
      <w:pPr>
        <w:pStyle w:val="TextBody"/>
        <w:jc w:val="right"/>
        <w:rPr/>
      </w:pPr>
      <w:r>
        <w:rPr/>
        <w:drawing>
          <wp:inline distT="0" distB="0" distL="0" distR="0">
            <wp:extent cx="1181100" cy="6096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4"/>
                    <a:stretch>
                      <a:fillRect/>
                    </a:stretch>
                  </pic:blipFill>
                  <pic:spPr bwMode="auto">
                    <a:xfrm>
                      <a:off x="0" y="0"/>
                      <a:ext cx="1181100" cy="609600"/>
                    </a:xfrm>
                    <a:prstGeom prst="rect">
                      <a:avLst/>
                    </a:prstGeom>
                  </pic:spPr>
                </pic:pic>
              </a:graphicData>
            </a:graphic>
          </wp:inline>
        </w:drawing>
      </w:r>
      <w:r>
        <w:rPr/>
        <w:t> </w:t>
      </w:r>
    </w:p>
    <w:p>
      <w:pPr>
        <w:pStyle w:val="TextBody"/>
        <w:rPr/>
      </w:pPr>
      <w:r>
        <w:rPr/>
        <w:t> </w:t>
      </w:r>
    </w:p>
    <w:tbl>
      <w:tblPr>
        <w:tblW w:w="10205" w:type="dxa"/>
        <w:jc w:val="left"/>
        <w:tblInd w:w="0" w:type="dxa"/>
        <w:tblCellMar>
          <w:top w:w="0" w:type="dxa"/>
          <w:left w:w="0" w:type="dxa"/>
          <w:bottom w:w="0" w:type="dxa"/>
          <w:right w:w="0" w:type="dxa"/>
        </w:tblCellMar>
      </w:tblPr>
      <w:tblGrid>
        <w:gridCol w:w="1688"/>
        <w:gridCol w:w="8517"/>
      </w:tblGrid>
      <w:tr>
        <w:trPr/>
        <w:tc>
          <w:tcPr>
            <w:tcW w:w="1688"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Transferability:</w:t>
            </w:r>
          </w:p>
        </w:tc>
        <w:tc>
          <w:tcPr>
            <w:tcW w:w="8517"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The Underwriter has the right to sell its commitments or loans under the Bridge Facility, as applicable, without consent to any counterparty on a white list as per Exhibit 2, from 9 months after Commitment Date.</w:t>
            </w:r>
          </w:p>
        </w:tc>
      </w:tr>
      <w:tr>
        <w:trPr/>
        <w:tc>
          <w:tcPr>
            <w:tcW w:w="1688" w:type="dxa"/>
            <w:tcBorders/>
            <w:shd w:fill="auto" w:val="clear"/>
            <w:vAlign w:val="center"/>
          </w:tcPr>
          <w:p>
            <w:pPr>
              <w:pStyle w:val="TableContents"/>
              <w:spacing w:before="0" w:after="283"/>
              <w:rPr/>
            </w:pPr>
            <w:r>
              <w:rPr/>
              <w:t> </w:t>
            </w:r>
          </w:p>
        </w:tc>
        <w:tc>
          <w:tcPr>
            <w:tcW w:w="8517" w:type="dxa"/>
            <w:tcBorders/>
            <w:shd w:fill="auto" w:val="clear"/>
            <w:vAlign w:val="center"/>
          </w:tcPr>
          <w:p>
            <w:pPr>
              <w:pStyle w:val="TableContents"/>
              <w:spacing w:before="0" w:after="283"/>
              <w:jc w:val="both"/>
              <w:rPr/>
            </w:pPr>
            <w:r>
              <w:rPr/>
              <w:t> </w:t>
            </w:r>
          </w:p>
        </w:tc>
      </w:tr>
      <w:tr>
        <w:trPr/>
        <w:tc>
          <w:tcPr>
            <w:tcW w:w="1688"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Protective provisions/General Indemnities:</w:t>
            </w:r>
          </w:p>
        </w:tc>
        <w:tc>
          <w:tcPr>
            <w:tcW w:w="8517"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Facility Agreement to include customary protective provisions for lenders that are substantially consistent with those set forth in the Existing Facility, including, without limitation, increased costs (including Basel III, CRR and CRD IV and related costs), sanctions, set-off, market disruption (in connection with lenders whose participation exceeds 50%), SOFR replacement, breakage costs, no tax deduction/withholding, tax gross up, FATCA, security over Lender's rights and bail in and illegality.</w:t>
            </w:r>
          </w:p>
        </w:tc>
      </w:tr>
      <w:tr>
        <w:trPr/>
        <w:tc>
          <w:tcPr>
            <w:tcW w:w="1688" w:type="dxa"/>
            <w:tcBorders/>
            <w:shd w:fill="auto" w:val="clear"/>
            <w:vAlign w:val="center"/>
          </w:tcPr>
          <w:p>
            <w:pPr>
              <w:pStyle w:val="TableContents"/>
              <w:spacing w:before="0" w:after="283"/>
              <w:rPr/>
            </w:pPr>
            <w:r>
              <w:rPr/>
              <w:t> </w:t>
            </w:r>
          </w:p>
        </w:tc>
        <w:tc>
          <w:tcPr>
            <w:tcW w:w="8517" w:type="dxa"/>
            <w:tcBorders/>
            <w:shd w:fill="auto" w:val="clear"/>
            <w:vAlign w:val="center"/>
          </w:tcPr>
          <w:p>
            <w:pPr>
              <w:pStyle w:val="TableContents"/>
              <w:spacing w:before="0" w:after="283"/>
              <w:jc w:val="both"/>
              <w:rPr/>
            </w:pPr>
            <w:r>
              <w:rPr/>
              <w:t> </w:t>
            </w:r>
          </w:p>
        </w:tc>
      </w:tr>
      <w:tr>
        <w:trPr/>
        <w:tc>
          <w:tcPr>
            <w:tcW w:w="1688"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Facility Agent's Counsel:</w:t>
            </w:r>
          </w:p>
        </w:tc>
        <w:tc>
          <w:tcPr>
            <w:tcW w:w="851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Norton Rose Fulbright.</w:t>
            </w:r>
          </w:p>
        </w:tc>
      </w:tr>
      <w:tr>
        <w:trPr/>
        <w:tc>
          <w:tcPr>
            <w:tcW w:w="1688" w:type="dxa"/>
            <w:tcBorders/>
            <w:shd w:fill="auto" w:val="clear"/>
            <w:vAlign w:val="center"/>
          </w:tcPr>
          <w:p>
            <w:pPr>
              <w:pStyle w:val="TableContents"/>
              <w:spacing w:before="0" w:after="283"/>
              <w:rPr/>
            </w:pPr>
            <w:r>
              <w:rPr/>
              <w:t> </w:t>
            </w:r>
          </w:p>
        </w:tc>
        <w:tc>
          <w:tcPr>
            <w:tcW w:w="8517" w:type="dxa"/>
            <w:tcBorders/>
            <w:shd w:fill="auto" w:val="clear"/>
            <w:vAlign w:val="center"/>
          </w:tcPr>
          <w:p>
            <w:pPr>
              <w:pStyle w:val="TableContents"/>
              <w:spacing w:before="0" w:after="283"/>
              <w:rPr/>
            </w:pPr>
            <w:r>
              <w:rPr/>
              <w:t> </w:t>
            </w:r>
          </w:p>
        </w:tc>
      </w:tr>
      <w:tr>
        <w:trPr/>
        <w:tc>
          <w:tcPr>
            <w:tcW w:w="1688"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Costs and Expenses:</w:t>
            </w:r>
          </w:p>
        </w:tc>
        <w:tc>
          <w:tcPr>
            <w:tcW w:w="8517"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All reasonable and properly documented out-of-pocket expenses (including the reasonable and properly documented expenses for one firm of outside legal counsel to the finance parties on matters of English law and one local counsel in any relevant jurisdiction) in respect of negotiation, preparation, execution, filing and registration of the loan and security documents and any other document referred to in the Facility Agreement are for the Borrower’s account (inclusive of any VAT suffered by the finance parties related to those expenses) and to be paid promptly on demand whether or not the Facility Agreement is signed.</w:t>
            </w:r>
          </w:p>
        </w:tc>
      </w:tr>
      <w:tr>
        <w:trPr/>
        <w:tc>
          <w:tcPr>
            <w:tcW w:w="1688" w:type="dxa"/>
            <w:tcBorders/>
            <w:shd w:fill="auto" w:val="clear"/>
            <w:vAlign w:val="center"/>
          </w:tcPr>
          <w:p>
            <w:pPr>
              <w:pStyle w:val="TableContents"/>
              <w:spacing w:before="0" w:after="283"/>
              <w:rPr/>
            </w:pPr>
            <w:r>
              <w:rPr/>
              <w:t> </w:t>
            </w:r>
          </w:p>
        </w:tc>
        <w:tc>
          <w:tcPr>
            <w:tcW w:w="8517" w:type="dxa"/>
            <w:tcBorders/>
            <w:shd w:fill="auto" w:val="clear"/>
            <w:vAlign w:val="center"/>
          </w:tcPr>
          <w:p>
            <w:pPr>
              <w:pStyle w:val="TableContents"/>
              <w:spacing w:before="0" w:after="283"/>
              <w:jc w:val="both"/>
              <w:rPr/>
            </w:pPr>
            <w:r>
              <w:rPr/>
              <w:t> </w:t>
            </w:r>
          </w:p>
        </w:tc>
      </w:tr>
      <w:tr>
        <w:trPr/>
        <w:tc>
          <w:tcPr>
            <w:tcW w:w="1688"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Governing Law and Jurisdiction:</w:t>
            </w:r>
          </w:p>
        </w:tc>
        <w:tc>
          <w:tcPr>
            <w:tcW w:w="8517"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English Law. Courts of England to have exclusive jurisdiction in respect of those finance documents subject to English law.</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20</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right"/>
        <w:rPr>
          <w:caps w:val="false"/>
          <w:smallCaps w:val="false"/>
        </w:rPr>
      </w:pPr>
      <w:r>
        <w:rPr>
          <w:caps w:val="false"/>
          <w:smallCaps w:val="false"/>
        </w:rPr>
        <w:drawing>
          <wp:inline distT="0" distB="0" distL="0" distR="0">
            <wp:extent cx="1181100" cy="6096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5"/>
                    <a:stretch>
                      <a:fillRect/>
                    </a:stretch>
                  </pic:blipFill>
                  <pic:spPr bwMode="auto">
                    <a:xfrm>
                      <a:off x="0" y="0"/>
                      <a:ext cx="1181100" cy="609600"/>
                    </a:xfrm>
                    <a:prstGeom prst="rect">
                      <a:avLst/>
                    </a:prstGeom>
                  </pic:spPr>
                </pic:pic>
              </a:graphicData>
            </a:graphic>
          </wp:inline>
        </w:drawing>
      </w: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Conditions Precedent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funding of the Bridge Facility on the Utilisation Date shall be subject to conditions customary for this type of facility, including, without limitation, the following conditions precedent in relation to each Obligor in form and substance satisfactory to the Facility Agent: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45"/>
        <w:gridCol w:w="9985"/>
      </w:tblGrid>
      <w:tr>
        <w:trPr/>
        <w:tc>
          <w:tcPr>
            <w:tcW w:w="75"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98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constitutional documents of each Obligor (including the Merger Agreement and any other merger, joint venture, partnership agreement, shareholders agreements or similar contracts or agreements in respect of the Guarantor and/or GasLog Partners LP);</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49"/>
        <w:gridCol w:w="9981"/>
      </w:tblGrid>
      <w:tr>
        <w:trPr/>
        <w:tc>
          <w:tcPr>
            <w:tcW w:w="75"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981"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resolutions of the relevant governing body of each Obligor approving the execution, delivery and performance of the Facility Agreement and any other finance document, including the guarantee by the Guarantor;</w:t>
            </w:r>
          </w:p>
        </w:tc>
      </w:tr>
    </w:tbl>
    <w:p>
      <w:pPr>
        <w:pStyle w:val="TextBody"/>
        <w:spacing w:before="0" w:after="0"/>
        <w:ind w:left="0" w:right="0" w:hanging="0"/>
        <w:jc w:val="both"/>
        <w:rPr>
          <w:caps w:val="false"/>
          <w:smallCaps w:val="false"/>
        </w:rPr>
      </w:pPr>
      <w:r>
        <w:rPr>
          <w:caps w:val="false"/>
          <w:smallCaps w:val="false"/>
        </w:rPr>
        <w:t> </w:t>
      </w:r>
    </w:p>
    <w:tbl>
      <w:tblPr>
        <w:tblW w:w="5020" w:type="dxa"/>
        <w:jc w:val="left"/>
        <w:tblInd w:w="0" w:type="dxa"/>
        <w:tblCellMar>
          <w:top w:w="0" w:type="dxa"/>
          <w:left w:w="0" w:type="dxa"/>
          <w:bottom w:w="0" w:type="dxa"/>
          <w:right w:w="0" w:type="dxa"/>
        </w:tblCellMar>
      </w:tblPr>
      <w:tblGrid>
        <w:gridCol w:w="75"/>
        <w:gridCol w:w="170"/>
        <w:gridCol w:w="477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477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receipt of all necessary third party consents and approvals;</w:t>
            </w:r>
          </w:p>
        </w:tc>
      </w:tr>
    </w:tbl>
    <w:p>
      <w:pPr>
        <w:pStyle w:val="TextBody"/>
        <w:spacing w:before="0" w:after="0"/>
        <w:ind w:left="0" w:right="0" w:hanging="0"/>
        <w:jc w:val="both"/>
        <w:rPr>
          <w:caps w:val="false"/>
          <w:smallCaps w:val="false"/>
        </w:rPr>
      </w:pPr>
      <w:r>
        <w:rPr>
          <w:caps w:val="false"/>
          <w:smallCaps w:val="false"/>
        </w:rPr>
        <w:t> </w:t>
      </w:r>
    </w:p>
    <w:tbl>
      <w:tblPr>
        <w:tblW w:w="7465" w:type="dxa"/>
        <w:jc w:val="left"/>
        <w:tblInd w:w="0" w:type="dxa"/>
        <w:tblCellMar>
          <w:top w:w="0" w:type="dxa"/>
          <w:left w:w="0" w:type="dxa"/>
          <w:bottom w:w="0" w:type="dxa"/>
          <w:right w:w="0" w:type="dxa"/>
        </w:tblCellMar>
      </w:tblPr>
      <w:tblGrid>
        <w:gridCol w:w="75"/>
        <w:gridCol w:w="170"/>
        <w:gridCol w:w="722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w:t>
            </w:r>
          </w:p>
        </w:tc>
        <w:tc>
          <w:tcPr>
            <w:tcW w:w="722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legal opinions from lawyers appointed by the Facility Agent in all relevant jurisdictions;</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43"/>
        <w:gridCol w:w="9987"/>
      </w:tblGrid>
      <w:tr>
        <w:trPr/>
        <w:tc>
          <w:tcPr>
            <w:tcW w:w="75"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5.</w:t>
            </w:r>
          </w:p>
        </w:tc>
        <w:tc>
          <w:tcPr>
            <w:tcW w:w="9987"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legal due diligence report in a form and substance acceptable to the Facility Agent including reviewing the Merger Agreement and liaising with Marshall Islands counsel (to the extent relevant) to confirm that the transactions contemplated by this Term Sheet can be implemented;</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49"/>
        <w:gridCol w:w="9981"/>
      </w:tblGrid>
      <w:tr>
        <w:trPr/>
        <w:tc>
          <w:tcPr>
            <w:tcW w:w="75"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6.</w:t>
            </w:r>
          </w:p>
        </w:tc>
        <w:tc>
          <w:tcPr>
            <w:tcW w:w="9981"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evidence that either on or before utilization all outstanding Target Units not owned by the Guarantor have been, or substantially concurrently with the funding of the Bridge Facility will be, acquired by the Guarantor;</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44"/>
        <w:gridCol w:w="9986"/>
      </w:tblGrid>
      <w:tr>
        <w:trPr/>
        <w:tc>
          <w:tcPr>
            <w:tcW w:w="75"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rPr>
                <w:rFonts w:ascii="Times New Roman;Times;Serif" w:hAnsi="Times New Roman;Times;Serif"/>
                <w:color w:val="333333"/>
                <w:sz w:val="20"/>
              </w:rPr>
            </w:pPr>
            <w:r>
              <w:rPr>
                <w:rFonts w:ascii="Times New Roman;Times;Serif" w:hAnsi="Times New Roman;Times;Serif"/>
                <w:color w:val="333333"/>
                <w:sz w:val="20"/>
              </w:rPr>
              <w:t>7.</w:t>
            </w:r>
          </w:p>
        </w:tc>
        <w:tc>
          <w:tcPr>
            <w:tcW w:w="9986"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evidence in a form and substance acceptable to the Facility Agent of a m</w:t>
            </w:r>
            <w:r>
              <w:rPr>
                <w:rFonts w:ascii="Times New Roman;Times;Serif" w:hAnsi="Times New Roman;Times;Serif"/>
                <w:color w:val="333333"/>
                <w:sz w:val="20"/>
              </w:rPr>
              <w:t>inimum of pro forma post acquisition consolidated cash on balance sheet of an aggregate equal to $75,000,000 plus the amounts drawn under the Bridge Facility upon completion of the Transaction;</w:t>
            </w:r>
          </w:p>
        </w:tc>
      </w:tr>
    </w:tbl>
    <w:p>
      <w:pPr>
        <w:pStyle w:val="TextBody"/>
        <w:spacing w:before="0" w:after="0"/>
        <w:ind w:left="0" w:right="0" w:hanging="0"/>
        <w:jc w:val="both"/>
        <w:rPr>
          <w:caps w:val="false"/>
          <w:smallCaps w:val="false"/>
        </w:rPr>
      </w:pPr>
      <w:r>
        <w:rPr>
          <w:caps w:val="false"/>
          <w:smallCaps w:val="false"/>
        </w:rPr>
        <w:t> </w:t>
      </w:r>
    </w:p>
    <w:tbl>
      <w:tblPr>
        <w:tblW w:w="5065" w:type="dxa"/>
        <w:jc w:val="left"/>
        <w:tblInd w:w="0" w:type="dxa"/>
        <w:tblCellMar>
          <w:top w:w="0" w:type="dxa"/>
          <w:left w:w="0" w:type="dxa"/>
          <w:bottom w:w="0" w:type="dxa"/>
          <w:right w:w="0" w:type="dxa"/>
        </w:tblCellMar>
      </w:tblPr>
      <w:tblGrid>
        <w:gridCol w:w="75"/>
        <w:gridCol w:w="170"/>
        <w:gridCol w:w="482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8.</w:t>
            </w:r>
          </w:p>
        </w:tc>
        <w:tc>
          <w:tcPr>
            <w:tcW w:w="482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evidence of the appointment of a process agent, if relevant;</w:t>
            </w:r>
          </w:p>
        </w:tc>
      </w:tr>
    </w:tbl>
    <w:p>
      <w:pPr>
        <w:pStyle w:val="TextBody"/>
        <w:spacing w:before="0" w:after="0"/>
        <w:ind w:left="0" w:right="0" w:hanging="0"/>
        <w:jc w:val="both"/>
        <w:rPr>
          <w:caps w:val="false"/>
          <w:smallCaps w:val="false"/>
        </w:rPr>
      </w:pPr>
      <w:r>
        <w:rPr>
          <w:caps w:val="false"/>
          <w:smallCaps w:val="false"/>
        </w:rPr>
        <w:t> </w:t>
      </w:r>
    </w:p>
    <w:tbl>
      <w:tblPr>
        <w:tblW w:w="9985" w:type="dxa"/>
        <w:jc w:val="left"/>
        <w:tblInd w:w="0" w:type="dxa"/>
        <w:tblCellMar>
          <w:top w:w="0" w:type="dxa"/>
          <w:left w:w="0" w:type="dxa"/>
          <w:bottom w:w="0" w:type="dxa"/>
          <w:right w:w="0" w:type="dxa"/>
        </w:tblCellMar>
      </w:tblPr>
      <w:tblGrid>
        <w:gridCol w:w="75"/>
        <w:gridCol w:w="170"/>
        <w:gridCol w:w="974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9.</w:t>
            </w:r>
          </w:p>
        </w:tc>
        <w:tc>
          <w:tcPr>
            <w:tcW w:w="974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evidence of payment of all fees, costs and expenses due on or prior to the Utilisation Date under the Facility Agreement;</w:t>
            </w:r>
          </w:p>
        </w:tc>
      </w:tr>
    </w:tbl>
    <w:p>
      <w:pPr>
        <w:pStyle w:val="TextBody"/>
        <w:spacing w:before="0" w:after="0"/>
        <w:ind w:left="0" w:right="0" w:hanging="0"/>
        <w:jc w:val="both"/>
        <w:rPr>
          <w:caps w:val="false"/>
          <w:smallCaps w:val="false"/>
        </w:rPr>
      </w:pPr>
      <w:r>
        <w:rPr>
          <w:caps w:val="false"/>
          <w:smallCaps w:val="false"/>
        </w:rPr>
        <w:t> </w:t>
      </w:r>
    </w:p>
    <w:tbl>
      <w:tblPr>
        <w:tblW w:w="7600" w:type="dxa"/>
        <w:jc w:val="left"/>
        <w:tblInd w:w="0" w:type="dxa"/>
        <w:tblCellMar>
          <w:top w:w="0" w:type="dxa"/>
          <w:left w:w="0" w:type="dxa"/>
          <w:bottom w:w="0" w:type="dxa"/>
          <w:right w:w="0" w:type="dxa"/>
        </w:tblCellMar>
      </w:tblPr>
      <w:tblGrid>
        <w:gridCol w:w="75"/>
        <w:gridCol w:w="275"/>
        <w:gridCol w:w="7250"/>
      </w:tblGrid>
      <w:tr>
        <w:trPr/>
        <w:tc>
          <w:tcPr>
            <w:tcW w:w="7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w:t>
            </w:r>
          </w:p>
        </w:tc>
        <w:tc>
          <w:tcPr>
            <w:tcW w:w="725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annual audited financial statements for the Group for the year ending 31 December 2022;</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274"/>
        <w:gridCol w:w="9856"/>
      </w:tblGrid>
      <w:tr>
        <w:trPr/>
        <w:tc>
          <w:tcPr>
            <w:tcW w:w="75" w:type="dxa"/>
            <w:tcBorders/>
            <w:shd w:fill="auto" w:val="clear"/>
            <w:vAlign w:val="center"/>
          </w:tcPr>
          <w:p>
            <w:pPr>
              <w:pStyle w:val="TableContents"/>
              <w:spacing w:before="0" w:after="283"/>
              <w:rPr/>
            </w:pPr>
            <w:r>
              <w:rPr/>
              <w:t> </w:t>
            </w:r>
          </w:p>
        </w:tc>
        <w:tc>
          <w:tcPr>
            <w:tcW w:w="27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11.</w:t>
            </w:r>
          </w:p>
        </w:tc>
        <w:tc>
          <w:tcPr>
            <w:tcW w:w="9856"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all relevant "Know Your Customer" documentation (including in respect of the Borrower), including specimen signatures;</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267"/>
        <w:gridCol w:w="9863"/>
      </w:tblGrid>
      <w:tr>
        <w:trPr/>
        <w:tc>
          <w:tcPr>
            <w:tcW w:w="75" w:type="dxa"/>
            <w:tcBorders/>
            <w:shd w:fill="auto" w:val="clear"/>
            <w:vAlign w:val="center"/>
          </w:tcPr>
          <w:p>
            <w:pPr>
              <w:pStyle w:val="TableContents"/>
              <w:spacing w:before="0" w:after="283"/>
              <w:rPr/>
            </w:pPr>
            <w:r>
              <w:rPr/>
              <w:t> </w:t>
            </w:r>
          </w:p>
        </w:tc>
        <w:tc>
          <w:tcPr>
            <w:tcW w:w="26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w:t>
            </w:r>
          </w:p>
        </w:tc>
        <w:tc>
          <w:tcPr>
            <w:tcW w:w="9863"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the delivery by the Borrower to the Facility Agent of a duly executed drawdown notice giving not less than 3 business days’ notice of drawdown;</w:t>
            </w:r>
          </w:p>
        </w:tc>
      </w:tr>
    </w:tbl>
    <w:p>
      <w:pPr>
        <w:pStyle w:val="TextBody"/>
        <w:spacing w:before="0" w:after="0"/>
        <w:ind w:left="0" w:right="0" w:hanging="0"/>
        <w:jc w:val="both"/>
        <w:rPr>
          <w:caps w:val="false"/>
          <w:smallCaps w:val="false"/>
        </w:rPr>
      </w:pPr>
      <w:r>
        <w:rPr>
          <w:caps w:val="false"/>
          <w:smallCaps w:val="false"/>
        </w:rPr>
        <w:t> </w:t>
      </w:r>
    </w:p>
    <w:tbl>
      <w:tblPr>
        <w:tblW w:w="5200" w:type="dxa"/>
        <w:jc w:val="left"/>
        <w:tblInd w:w="0" w:type="dxa"/>
        <w:tblCellMar>
          <w:top w:w="0" w:type="dxa"/>
          <w:left w:w="0" w:type="dxa"/>
          <w:bottom w:w="0" w:type="dxa"/>
          <w:right w:w="0" w:type="dxa"/>
        </w:tblCellMar>
      </w:tblPr>
      <w:tblGrid>
        <w:gridCol w:w="75"/>
        <w:gridCol w:w="275"/>
        <w:gridCol w:w="4850"/>
      </w:tblGrid>
      <w:tr>
        <w:trPr/>
        <w:tc>
          <w:tcPr>
            <w:tcW w:w="7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13.</w:t>
            </w:r>
          </w:p>
        </w:tc>
        <w:tc>
          <w:tcPr>
            <w:tcW w:w="485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no Event of Default having occurred and being continuing;</w:t>
            </w:r>
          </w:p>
        </w:tc>
      </w:tr>
    </w:tbl>
    <w:p>
      <w:pPr>
        <w:pStyle w:val="TextBody"/>
        <w:spacing w:before="0" w:after="0"/>
        <w:ind w:left="0" w:right="0" w:hanging="0"/>
        <w:jc w:val="both"/>
        <w:rPr>
          <w:caps w:val="false"/>
          <w:smallCaps w:val="false"/>
        </w:rPr>
      </w:pPr>
      <w:r>
        <w:rPr>
          <w:caps w:val="false"/>
          <w:smallCaps w:val="false"/>
        </w:rPr>
        <w:t> </w:t>
      </w:r>
    </w:p>
    <w:tbl>
      <w:tblPr>
        <w:tblW w:w="7855" w:type="dxa"/>
        <w:jc w:val="left"/>
        <w:tblInd w:w="0" w:type="dxa"/>
        <w:tblCellMar>
          <w:top w:w="0" w:type="dxa"/>
          <w:left w:w="0" w:type="dxa"/>
          <w:bottom w:w="0" w:type="dxa"/>
          <w:right w:w="0" w:type="dxa"/>
        </w:tblCellMar>
      </w:tblPr>
      <w:tblGrid>
        <w:gridCol w:w="75"/>
        <w:gridCol w:w="275"/>
        <w:gridCol w:w="7505"/>
      </w:tblGrid>
      <w:tr>
        <w:trPr/>
        <w:tc>
          <w:tcPr>
            <w:tcW w:w="7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14.</w:t>
            </w:r>
          </w:p>
        </w:tc>
        <w:tc>
          <w:tcPr>
            <w:tcW w:w="750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any other document, authorization, opinion or assurance required by the Facility Agent; and</w:t>
            </w:r>
          </w:p>
        </w:tc>
      </w:tr>
      <w:tr>
        <w:trPr/>
        <w:tc>
          <w:tcPr>
            <w:tcW w:w="7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rPr/>
            </w:pPr>
            <w:r>
              <w:rPr/>
              <w:t> </w:t>
            </w:r>
          </w:p>
        </w:tc>
        <w:tc>
          <w:tcPr>
            <w:tcW w:w="7505" w:type="dxa"/>
            <w:tcBorders/>
            <w:shd w:fill="auto" w:val="clear"/>
            <w:vAlign w:val="center"/>
          </w:tcPr>
          <w:p>
            <w:pPr>
              <w:pStyle w:val="TableContents"/>
              <w:spacing w:before="0" w:after="283"/>
              <w:jc w:val="both"/>
              <w:rPr/>
            </w:pPr>
            <w:r>
              <w:rPr/>
              <w:t> </w:t>
            </w:r>
          </w:p>
        </w:tc>
      </w:tr>
    </w:tbl>
    <w:tbl>
      <w:tblPr>
        <w:tblW w:w="10205" w:type="dxa"/>
        <w:jc w:val="left"/>
        <w:tblInd w:w="0" w:type="dxa"/>
        <w:tblCellMar>
          <w:top w:w="0" w:type="dxa"/>
          <w:left w:w="0" w:type="dxa"/>
          <w:bottom w:w="0" w:type="dxa"/>
          <w:right w:w="0" w:type="dxa"/>
        </w:tblCellMar>
      </w:tblPr>
      <w:tblGrid>
        <w:gridCol w:w="75"/>
        <w:gridCol w:w="243"/>
        <w:gridCol w:w="9887"/>
      </w:tblGrid>
      <w:tr>
        <w:trPr/>
        <w:tc>
          <w:tcPr>
            <w:tcW w:w="75" w:type="dxa"/>
            <w:tcBorders/>
            <w:shd w:fill="auto" w:val="clear"/>
            <w:vAlign w:val="center"/>
          </w:tcPr>
          <w:p>
            <w:pPr>
              <w:pStyle w:val="TableContents"/>
              <w:spacing w:before="0" w:after="283"/>
              <w:rPr/>
            </w:pPr>
            <w:r>
              <w:rPr/>
              <w:t> </w:t>
            </w:r>
          </w:p>
        </w:tc>
        <w:tc>
          <w:tcPr>
            <w:tcW w:w="24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15.</w:t>
            </w:r>
          </w:p>
        </w:tc>
        <w:tc>
          <w:tcPr>
            <w:tcW w:w="9887"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the Facility Agent being reasonably satisfied (following review by its legal counsel of all Relevant Agreements) that the de-listing of the shares of GasLog Partners LP and the Transaction do not constitute an event of default, termination event, early termination event, potential event of default or other credit or similar event (howsoever defined) under any Relevant Agreement.</w:t>
            </w:r>
          </w:p>
        </w:tc>
      </w:tr>
    </w:tbl>
    <w:p>
      <w:pPr>
        <w:pStyle w:val="TextBody"/>
        <w:spacing w:before="0" w:after="0"/>
        <w:ind w:left="0" w:right="0" w:hanging="0"/>
        <w:jc w:val="center"/>
        <w:rPr>
          <w:sz w:val="20"/>
          <w:bdr w:val="single" w:sz="8" w:space="1" w:color="000000"/>
        </w:rPr>
      </w:pPr>
      <w:r>
        <w:rPr>
          <w:sz w:val="20"/>
          <w:bdr w:val="single" w:sz="8" w:space="1" w:color="000000"/>
        </w:rPr>
        <w:t>21</w:t>
      </w:r>
    </w:p>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right"/>
        <w:rPr>
          <w:caps w:val="false"/>
          <w:smallCaps w:val="false"/>
        </w:rPr>
      </w:pPr>
      <w:r>
        <w:rPr>
          <w:caps w:val="false"/>
          <w:smallCaps w:val="false"/>
        </w:rPr>
        <w:drawing>
          <wp:inline distT="0" distB="0" distL="0" distR="0">
            <wp:extent cx="1181100" cy="6096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6"/>
                    <a:stretch>
                      <a:fillRect/>
                    </a:stretch>
                  </pic:blipFill>
                  <pic:spPr bwMode="auto">
                    <a:xfrm>
                      <a:off x="0" y="0"/>
                      <a:ext cx="1181100" cy="609600"/>
                    </a:xfrm>
                    <a:prstGeom prst="rect">
                      <a:avLst/>
                    </a:prstGeom>
                  </pic:spPr>
                </pic:pic>
              </a:graphicData>
            </a:graphic>
          </wp:inline>
        </w:drawing>
      </w: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White List - Approved Lenders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Banks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Approved banks shall include the banks and bank groups listed below as well as all their local branches and affiliates: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[REDACTED]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right"/>
        <w:rPr>
          <w:caps w:val="false"/>
          <w:smallCaps w:val="false"/>
        </w:rPr>
      </w:pPr>
      <w:r>
        <w:rPr>
          <w:caps w:val="false"/>
          <w:smallCaps w:val="false"/>
        </w:rPr>
        <w:drawing>
          <wp:inline distT="0" distB="0" distL="0" distR="0">
            <wp:extent cx="1181100" cy="6096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7"/>
                    <a:stretch>
                      <a:fillRect/>
                    </a:stretch>
                  </pic:blipFill>
                  <pic:spPr bwMode="auto">
                    <a:xfrm>
                      <a:off x="0" y="0"/>
                      <a:ext cx="1181100" cy="609600"/>
                    </a:xfrm>
                    <a:prstGeom prst="rect">
                      <a:avLst/>
                    </a:prstGeom>
                  </pic:spPr>
                </pic:pic>
              </a:graphicData>
            </a:graphic>
          </wp:inline>
        </w:drawing>
      </w: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Covenants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general covenants (in each case, (i) subject to such carve-outs, grace periods, baskets, thresholds and other qualifications and exceptions as may be agreed to reflect the business, structure and growth of the Group and as is customary for these types of transactions or as otherwise evidenced by the Group to be necessary for the purposes of compliance with the terms of the Note Purchase Agreement, and (ii) otherwise to be to be substantially consistent with the covenants set forth in the Existing Facility) shall apply in respect of the Group and its members: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Authorisations and compliance with laws</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authorisations (subject to Material Adverse Effect (as defined in this Bridge Facility Term Sheet) qualifier (“MAE Qualifier”));</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compliance with laws (subject to MAE Qualifier);</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environmental compliance (subject to MAE Qualifier);</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environmental claims (subject to MAE Qualifier);</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anti-corruption law and sanctions (subject to materiality qualifier);</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taxation (subject to materiality qualifier)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Restrictions on business</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restriction on merger (other than in connection with the Transaction);</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 change of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Restrictions on dealing with assets and security</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preservation of assets;</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pari passu ranking;</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negative pledge (meaning no new liens, including second liens over assets with a first lien and first liens on assets which have no liens) except for replacement liens on a like for like basis for replacement/refinancing of facilities for financial indebtedness permitted to be incurred under the Facility Agreement) and no charge, pledge or any security of any kind over any of the shares and membership interests of or in GasLog Partners LP;</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restriction on disposal of any Vessels (including any disposal pursuant to a sale and leaseback transaction);</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transactions with affiliates (other than intra-Group loans) must be on an arm's length basis;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Restrictions on movements of cash – cash out</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no dividends and share redemptions (applicable to the Guarantor and Borrower);</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no voluntary payments of principal under any shareholder loans or any other subordinated debt, and no voluntary redemptions of preferred equity (applicable to the Guarantor);</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no payment of principal under the Note Purchase Agreement other than as required thereunder;</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no further investments other than newbuilds and FSRU conversions that are contracted as of the Commitment Date and other customary exceptions;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Restrictions on movements of cash – cash in</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restriction on new financial indebtedness (applicable to the Guarantor and any other member of the Group; “financial indebtedness” as used in this Bridge Facility Term Sheet includes amounts owing, incurred or payable under lease transactions for Vessels), save for financial indebtedness:</w:t>
      </w:r>
    </w:p>
    <w:tbl>
      <w:tblPr>
        <w:tblW w:w="5000" w:type="pct"/>
        <w:jc w:val="left"/>
        <w:tblInd w:w="0" w:type="dxa"/>
        <w:tblCellMar>
          <w:top w:w="0" w:type="dxa"/>
          <w:left w:w="0" w:type="dxa"/>
          <w:bottom w:w="0" w:type="dxa"/>
          <w:right w:w="0" w:type="dxa"/>
        </w:tblCellMar>
      </w:tblPr>
      <w:tblGrid>
        <w:gridCol w:w="73"/>
        <w:gridCol w:w="269"/>
        <w:gridCol w:w="9863"/>
      </w:tblGrid>
      <w:tr>
        <w:trPr/>
        <w:tc>
          <w:tcPr>
            <w:tcW w:w="73"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pPr>
            <w:r>
              <w:rPr/>
              <w:t>i.</w:t>
            </w:r>
          </w:p>
        </w:tc>
        <w:tc>
          <w:tcPr>
            <w:tcW w:w="9863" w:type="dxa"/>
            <w:tcBorders/>
            <w:shd w:fill="auto" w:val="clear"/>
            <w:vAlign w:val="center"/>
          </w:tcPr>
          <w:p>
            <w:pPr>
              <w:pStyle w:val="TableContents"/>
              <w:spacing w:before="0" w:after="283"/>
              <w:jc w:val="both"/>
              <w:rPr/>
            </w:pPr>
            <w:r>
              <w:rPr/>
              <w:t>Incurred and/or outstanding under the Bridge Facility;</w:t>
            </w:r>
          </w:p>
        </w:tc>
      </w:tr>
    </w:tbl>
    <w:tbl>
      <w:tblPr>
        <w:tblW w:w="5000" w:type="pct"/>
        <w:jc w:val="left"/>
        <w:tblInd w:w="0" w:type="dxa"/>
        <w:tblCellMar>
          <w:top w:w="0" w:type="dxa"/>
          <w:left w:w="0" w:type="dxa"/>
          <w:bottom w:w="0" w:type="dxa"/>
          <w:right w:w="0" w:type="dxa"/>
        </w:tblCellMar>
      </w:tblPr>
      <w:tblGrid>
        <w:gridCol w:w="75"/>
        <w:gridCol w:w="400"/>
        <w:gridCol w:w="9730"/>
      </w:tblGrid>
      <w:tr>
        <w:trPr/>
        <w:tc>
          <w:tcPr>
            <w:tcW w:w="75"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pPr>
            <w:r>
              <w:rPr/>
              <w:t>ii.</w:t>
            </w:r>
          </w:p>
        </w:tc>
        <w:tc>
          <w:tcPr>
            <w:tcW w:w="9730" w:type="dxa"/>
            <w:tcBorders/>
            <w:shd w:fill="auto" w:val="clear"/>
            <w:vAlign w:val="center"/>
          </w:tcPr>
          <w:p>
            <w:pPr>
              <w:pStyle w:val="TableContents"/>
              <w:spacing w:before="0" w:after="283"/>
              <w:jc w:val="both"/>
              <w:rPr/>
            </w:pPr>
            <w:r>
              <w:rPr/>
              <w:t>Incurred and/or outstanding as of the Signing Date;</w:t>
            </w:r>
          </w:p>
        </w:tc>
      </w:tr>
    </w:tbl>
    <w:tbl>
      <w:tblPr>
        <w:tblW w:w="5000" w:type="pct"/>
        <w:jc w:val="left"/>
        <w:tblInd w:w="0" w:type="dxa"/>
        <w:tblCellMar>
          <w:top w:w="0" w:type="dxa"/>
          <w:left w:w="0" w:type="dxa"/>
          <w:bottom w:w="0" w:type="dxa"/>
          <w:right w:w="0" w:type="dxa"/>
        </w:tblCellMar>
      </w:tblPr>
      <w:tblGrid>
        <w:gridCol w:w="37"/>
        <w:gridCol w:w="260"/>
        <w:gridCol w:w="9908"/>
      </w:tblGrid>
      <w:tr>
        <w:trPr/>
        <w:tc>
          <w:tcPr>
            <w:tcW w:w="37"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pPr>
            <w:r>
              <w:rPr/>
              <w:t>iii.</w:t>
            </w:r>
          </w:p>
        </w:tc>
        <w:tc>
          <w:tcPr>
            <w:tcW w:w="9908" w:type="dxa"/>
            <w:tcBorders/>
            <w:shd w:fill="auto" w:val="clear"/>
            <w:vAlign w:val="center"/>
          </w:tcPr>
          <w:p>
            <w:pPr>
              <w:pStyle w:val="TableContents"/>
              <w:spacing w:before="0" w:after="283"/>
              <w:jc w:val="both"/>
              <w:rPr/>
            </w:pPr>
            <w:r>
              <w:rPr/>
              <w:t>Incurred and/or outstanding under any existing credit facilities of subsidiaries of the Guarantor as well as any financial indebtedness of subsidiaries refinancing or replacing such facilities, provided any such replacement facility (A) has the same borrowers and guarantors as the facility it is replacing, (B) does not increase the amount of financial indebtedness (including capitalized costs) outstanding under the existing credit facility as at the refinancing/replacement date and (C) is not secured by any collateral other than the collateral securing the facility it is replacing;</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right"/>
        <w:rPr>
          <w:caps w:val="false"/>
          <w:smallCaps w:val="false"/>
        </w:rPr>
      </w:pPr>
      <w:r>
        <w:rPr>
          <w:caps w:val="false"/>
          <w:smallCaps w:val="false"/>
        </w:rPr>
        <w:drawing>
          <wp:inline distT="0" distB="0" distL="0" distR="0">
            <wp:extent cx="1181100" cy="6096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8"/>
                    <a:stretch>
                      <a:fillRect/>
                    </a:stretch>
                  </pic:blipFill>
                  <pic:spPr bwMode="auto">
                    <a:xfrm>
                      <a:off x="0" y="0"/>
                      <a:ext cx="1181100" cy="609600"/>
                    </a:xfrm>
                    <a:prstGeom prst="rect">
                      <a:avLst/>
                    </a:prstGeom>
                  </pic:spPr>
                </pic:pic>
              </a:graphicData>
            </a:graphic>
          </wp:inline>
        </w:drawing>
      </w: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8"/>
        <w:gridCol w:w="263"/>
        <w:gridCol w:w="9904"/>
      </w:tblGrid>
      <w:tr>
        <w:trPr/>
        <w:tc>
          <w:tcPr>
            <w:tcW w:w="38"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pPr>
            <w:r>
              <w:rPr/>
              <w:t>iv.</w:t>
            </w:r>
          </w:p>
        </w:tc>
        <w:tc>
          <w:tcPr>
            <w:tcW w:w="9904" w:type="dxa"/>
            <w:tcBorders/>
            <w:shd w:fill="auto" w:val="clear"/>
            <w:vAlign w:val="center"/>
          </w:tcPr>
          <w:p>
            <w:pPr>
              <w:pStyle w:val="TableContents"/>
              <w:spacing w:before="0" w:after="283"/>
              <w:jc w:val="both"/>
              <w:rPr/>
            </w:pPr>
            <w:r>
              <w:rPr/>
              <w:t>Incurred by subsidiaries of the Guarantor for already contracted newbuilds and FSRU conversions; and</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further assurance; 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restrictions contained in the above provisions shall not prohibit the following transactions which can take place at any time subject to any provisions of this Bridge Facility Term Sheet as to mandatory prepayments.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[REDACTED]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Restrictions on ship recycling</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the Obligors shall ensure that any vessel owned or controlled by the Obligors or sold to an intermediary with the intention of being scrapped is recycled at a recycling yard which conducts it recycling business in a socially and environmentally responsible manner in accordance with the Hong Kong International Convention for the Safe and Environmentally Sound Recycling of Ships, 2009 and/or EU Ship Recycling Regulation, 2013.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4185" w:type="dxa"/>
        <w:jc w:val="left"/>
        <w:tblInd w:w="0" w:type="dxa"/>
        <w:tblCellMar>
          <w:top w:w="0" w:type="dxa"/>
          <w:left w:w="0" w:type="dxa"/>
          <w:bottom w:w="0" w:type="dxa"/>
          <w:right w:w="0" w:type="dxa"/>
        </w:tblCellMar>
      </w:tblPr>
      <w:tblGrid>
        <w:gridCol w:w="560"/>
        <w:gridCol w:w="1775"/>
        <w:gridCol w:w="60"/>
        <w:gridCol w:w="1790"/>
      </w:tblGrid>
      <w:tr>
        <w:trPr/>
        <w:tc>
          <w:tcPr>
            <w:tcW w:w="2335" w:type="dxa"/>
            <w:gridSpan w:val="2"/>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tc>
        <w:tc>
          <w:tcPr>
            <w:tcW w:w="60" w:type="dxa"/>
            <w:tcBorders/>
            <w:shd w:fill="auto" w:val="clear"/>
            <w:vAlign w:val="center"/>
          </w:tcPr>
          <w:p>
            <w:pPr>
              <w:pStyle w:val="TableContents"/>
              <w:spacing w:before="0" w:after="283"/>
              <w:rPr/>
            </w:pPr>
            <w:r>
              <w:rPr/>
              <w:t> </w:t>
            </w:r>
          </w:p>
        </w:tc>
        <w:tc>
          <w:tcPr>
            <w:tcW w:w="1790" w:type="dxa"/>
            <w:tcBorders/>
            <w:shd w:fill="auto" w:val="clear"/>
            <w:vAlign w:val="center"/>
          </w:tcPr>
          <w:p>
            <w:pPr>
              <w:pStyle w:val="TableContents"/>
              <w:spacing w:before="0" w:after="283"/>
              <w:jc w:val="left"/>
              <w:rPr/>
            </w:pPr>
            <w:r>
              <w:rPr/>
              <w:t> </w:t>
            </w:r>
          </w:p>
        </w:tc>
      </w:tr>
      <w:tr>
        <w:trPr/>
        <w:tc>
          <w:tcPr>
            <w:tcW w:w="2335"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pPr>
            <w:r>
              <w:rPr/>
              <w:t> </w:t>
            </w:r>
          </w:p>
        </w:tc>
        <w:tc>
          <w:tcPr>
            <w:tcW w:w="1790" w:type="dxa"/>
            <w:tcBorders/>
            <w:shd w:fill="auto" w:val="clear"/>
            <w:vAlign w:val="center"/>
          </w:tcPr>
          <w:p>
            <w:pPr>
              <w:pStyle w:val="TableContents"/>
              <w:spacing w:before="0" w:after="283"/>
              <w:jc w:val="left"/>
              <w:rPr/>
            </w:pPr>
            <w:r>
              <w:rPr/>
              <w:t> </w:t>
            </w:r>
          </w:p>
        </w:tc>
      </w:tr>
      <w:tr>
        <w:trPr/>
        <w:tc>
          <w:tcPr>
            <w:tcW w:w="2335" w:type="dxa"/>
            <w:gridSpan w:val="2"/>
            <w:tcBorders>
              <w:bottom w:val="single" w:sz="8" w:space="0" w:color="000000"/>
            </w:tcBorders>
            <w:shd w:fill="auto"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Gemma Darney</w:t>
            </w:r>
          </w:p>
        </w:tc>
        <w:tc>
          <w:tcPr>
            <w:tcW w:w="60" w:type="dxa"/>
            <w:tcBorders/>
            <w:shd w:fill="auto" w:val="clear"/>
            <w:vAlign w:val="center"/>
          </w:tcPr>
          <w:p>
            <w:pPr>
              <w:pStyle w:val="TableContents"/>
              <w:spacing w:before="0" w:after="283"/>
              <w:rPr/>
            </w:pPr>
            <w:r>
              <w:rPr/>
              <w:t> </w:t>
            </w:r>
          </w:p>
        </w:tc>
        <w:tc>
          <w:tcPr>
            <w:tcW w:w="1790" w:type="dxa"/>
            <w:tcBorders>
              <w:bottom w:val="single" w:sz="8" w:space="0" w:color="000000"/>
            </w:tcBorders>
            <w:shd w:fill="auto" w:val="clear"/>
            <w:tcMar>
              <w:bottom w:w="28" w:type="dxa"/>
            </w:tcMar>
            <w:vAlign w:val="center"/>
          </w:tcPr>
          <w:p>
            <w:pPr>
              <w:pStyle w:val="TableContents"/>
              <w:spacing w:before="0" w:after="283"/>
              <w:jc w:val="left"/>
              <w:rPr>
                <w:sz w:val="20"/>
              </w:rPr>
            </w:pPr>
            <w:r>
              <w:rPr>
                <w:sz w:val="20"/>
              </w:rPr>
              <w:t>/s/ Kay Newman</w:t>
            </w:r>
          </w:p>
        </w:tc>
      </w:tr>
      <w:tr>
        <w:trPr/>
        <w:tc>
          <w:tcPr>
            <w:tcW w:w="2335" w:type="dxa"/>
            <w:gridSpan w:val="2"/>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and on behalf of</w:t>
            </w:r>
          </w:p>
        </w:tc>
        <w:tc>
          <w:tcPr>
            <w:tcW w:w="60" w:type="dxa"/>
            <w:tcBorders/>
            <w:shd w:fill="auto" w:val="clear"/>
            <w:vAlign w:val="center"/>
          </w:tcPr>
          <w:p>
            <w:pPr>
              <w:pStyle w:val="TableContents"/>
              <w:spacing w:before="0" w:after="283"/>
              <w:rPr/>
            </w:pPr>
            <w:r>
              <w:rPr/>
              <w:t> </w:t>
            </w:r>
          </w:p>
        </w:tc>
        <w:tc>
          <w:tcPr>
            <w:tcW w:w="1790" w:type="dxa"/>
            <w:tcBorders/>
            <w:shd w:fill="auto" w:val="clear"/>
            <w:vAlign w:val="center"/>
          </w:tcPr>
          <w:p>
            <w:pPr>
              <w:pStyle w:val="TableContents"/>
              <w:spacing w:before="0" w:after="283"/>
              <w:jc w:val="left"/>
              <w:rPr/>
            </w:pPr>
            <w:r>
              <w:rPr/>
              <w:t> </w:t>
            </w:r>
          </w:p>
        </w:tc>
      </w:tr>
      <w:tr>
        <w:trPr/>
        <w:tc>
          <w:tcPr>
            <w:tcW w:w="2335" w:type="dxa"/>
            <w:gridSpan w:val="2"/>
            <w:tcBorders/>
            <w:shd w:fill="auto"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DNB (UK) Ltd.</w:t>
            </w:r>
          </w:p>
        </w:tc>
        <w:tc>
          <w:tcPr>
            <w:tcW w:w="60" w:type="dxa"/>
            <w:tcBorders/>
            <w:shd w:fill="auto" w:val="clear"/>
            <w:vAlign w:val="center"/>
          </w:tcPr>
          <w:p>
            <w:pPr>
              <w:pStyle w:val="TableContents"/>
              <w:spacing w:before="0" w:after="283"/>
              <w:rPr/>
            </w:pPr>
            <w:r>
              <w:rPr/>
              <w:t> </w:t>
            </w:r>
          </w:p>
        </w:tc>
        <w:tc>
          <w:tcPr>
            <w:tcW w:w="1790" w:type="dxa"/>
            <w:tcBorders/>
            <w:shd w:fill="auto" w:val="clear"/>
            <w:vAlign w:val="center"/>
          </w:tcPr>
          <w:p>
            <w:pPr>
              <w:pStyle w:val="TableContents"/>
              <w:spacing w:before="0" w:after="283"/>
              <w:jc w:val="left"/>
              <w:rPr/>
            </w:pPr>
            <w:r>
              <w:rPr/>
              <w:t> </w:t>
            </w:r>
          </w:p>
        </w:tc>
      </w:tr>
      <w:tr>
        <w:trPr/>
        <w:tc>
          <w:tcPr>
            <w:tcW w:w="2335" w:type="dxa"/>
            <w:gridSpan w:val="2"/>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Arranger</w:t>
            </w:r>
          </w:p>
        </w:tc>
        <w:tc>
          <w:tcPr>
            <w:tcW w:w="60" w:type="dxa"/>
            <w:tcBorders/>
            <w:shd w:fill="auto" w:val="clear"/>
            <w:vAlign w:val="center"/>
          </w:tcPr>
          <w:p>
            <w:pPr>
              <w:pStyle w:val="TableContents"/>
              <w:spacing w:before="0" w:after="283"/>
              <w:rPr/>
            </w:pPr>
            <w:r>
              <w:rPr/>
              <w:t> </w:t>
            </w:r>
          </w:p>
        </w:tc>
        <w:tc>
          <w:tcPr>
            <w:tcW w:w="1790" w:type="dxa"/>
            <w:tcBorders/>
            <w:shd w:fill="auto" w:val="clear"/>
            <w:vAlign w:val="center"/>
          </w:tcPr>
          <w:p>
            <w:pPr>
              <w:pStyle w:val="TableContents"/>
              <w:spacing w:before="0" w:after="283"/>
              <w:jc w:val="left"/>
              <w:rPr/>
            </w:pPr>
            <w:r>
              <w:rPr/>
              <w:t> </w:t>
            </w:r>
          </w:p>
        </w:tc>
      </w:tr>
      <w:tr>
        <w:trPr/>
        <w:tc>
          <w:tcPr>
            <w:tcW w:w="2335" w:type="dxa"/>
            <w:gridSpan w:val="2"/>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pPr>
            <w:r>
              <w:rPr/>
              <w:t> </w:t>
            </w:r>
          </w:p>
        </w:tc>
        <w:tc>
          <w:tcPr>
            <w:tcW w:w="1790" w:type="dxa"/>
            <w:tcBorders/>
            <w:shd w:fill="auto" w:val="clear"/>
            <w:vAlign w:val="center"/>
          </w:tcPr>
          <w:p>
            <w:pPr>
              <w:pStyle w:val="TableContents"/>
              <w:spacing w:before="0" w:after="283"/>
              <w:jc w:val="left"/>
              <w:rPr/>
            </w:pPr>
            <w:r>
              <w:rPr/>
              <w:t> </w:t>
            </w:r>
          </w:p>
        </w:tc>
      </w:tr>
      <w:tr>
        <w:trPr/>
        <w:tc>
          <w:tcPr>
            <w:tcW w:w="56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bottom w:val="single" w:sz="8" w:space="0" w:color="000000"/>
            </w:tcBorders>
            <w:shd w:fill="auto"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Gemma Darney</w:t>
            </w:r>
          </w:p>
        </w:tc>
        <w:tc>
          <w:tcPr>
            <w:tcW w:w="60" w:type="dxa"/>
            <w:tcBorders/>
            <w:shd w:fill="auto" w:val="clear"/>
            <w:vAlign w:val="center"/>
          </w:tcPr>
          <w:p>
            <w:pPr>
              <w:pStyle w:val="TableContents"/>
              <w:spacing w:before="0" w:after="283"/>
              <w:rPr/>
            </w:pPr>
            <w:r>
              <w:rPr/>
              <w:t> </w:t>
            </w:r>
          </w:p>
        </w:tc>
        <w:tc>
          <w:tcPr>
            <w:tcW w:w="1790" w:type="dxa"/>
            <w:tcBorders>
              <w:bottom w:val="single" w:sz="8" w:space="0" w:color="000000"/>
            </w:tcBorders>
            <w:shd w:fill="auto" w:val="clear"/>
            <w:tcMar>
              <w:bottom w:w="28" w:type="dxa"/>
            </w:tcMar>
            <w:vAlign w:val="center"/>
          </w:tcPr>
          <w:p>
            <w:pPr>
              <w:pStyle w:val="TableContents"/>
              <w:spacing w:before="0" w:after="283"/>
              <w:jc w:val="left"/>
              <w:rPr>
                <w:sz w:val="20"/>
              </w:rPr>
            </w:pPr>
            <w:r>
              <w:rPr>
                <w:sz w:val="20"/>
              </w:rPr>
              <w:t>Kay Newman</w:t>
            </w:r>
          </w:p>
        </w:tc>
      </w:tr>
      <w:tr>
        <w:trPr/>
        <w:tc>
          <w:tcPr>
            <w:tcW w:w="2335" w:type="dxa"/>
            <w:gridSpan w:val="2"/>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pPr>
            <w:r>
              <w:rPr/>
              <w:t> </w:t>
            </w:r>
          </w:p>
        </w:tc>
        <w:tc>
          <w:tcPr>
            <w:tcW w:w="1790" w:type="dxa"/>
            <w:tcBorders/>
            <w:shd w:fill="auto" w:val="clear"/>
            <w:vAlign w:val="center"/>
          </w:tcPr>
          <w:p>
            <w:pPr>
              <w:pStyle w:val="TableContents"/>
              <w:spacing w:before="0" w:after="283"/>
              <w:jc w:val="left"/>
              <w:rPr/>
            </w:pPr>
            <w:r>
              <w:rPr/>
              <w:t> </w:t>
            </w:r>
          </w:p>
        </w:tc>
      </w:tr>
      <w:tr>
        <w:trPr/>
        <w:tc>
          <w:tcPr>
            <w:tcW w:w="56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1775" w:type="dxa"/>
            <w:tcBorders>
              <w:bottom w:val="single" w:sz="8" w:space="0" w:color="000000"/>
            </w:tcBorders>
            <w:shd w:fill="auto"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60" w:type="dxa"/>
            <w:tcBorders/>
            <w:shd w:fill="auto" w:val="clear"/>
            <w:vAlign w:val="center"/>
          </w:tcPr>
          <w:p>
            <w:pPr>
              <w:pStyle w:val="TableContents"/>
              <w:spacing w:before="0" w:after="283"/>
              <w:rPr/>
            </w:pPr>
            <w:r>
              <w:rPr/>
              <w:t> </w:t>
            </w:r>
          </w:p>
        </w:tc>
        <w:tc>
          <w:tcPr>
            <w:tcW w:w="1790" w:type="dxa"/>
            <w:tcBorders>
              <w:bottom w:val="single" w:sz="8" w:space="0" w:color="000000"/>
            </w:tcBorders>
            <w:shd w:fill="auto" w:val="clear"/>
            <w:tcMar>
              <w:bottom w:w="28" w:type="dxa"/>
            </w:tcMar>
            <w:vAlign w:val="center"/>
          </w:tcPr>
          <w:p>
            <w:pPr>
              <w:pStyle w:val="TableContents"/>
              <w:spacing w:before="0" w:after="283"/>
              <w:jc w:val="left"/>
              <w:rPr>
                <w:sz w:val="20"/>
              </w:rPr>
            </w:pPr>
            <w:r>
              <w:rPr>
                <w:sz w:val="20"/>
              </w:rPr>
              <w:t>Authorized Signatory</w:t>
            </w:r>
          </w:p>
        </w:tc>
      </w:tr>
      <w:tr>
        <w:trPr/>
        <w:tc>
          <w:tcPr>
            <w:tcW w:w="2335" w:type="dxa"/>
            <w:gridSpan w:val="2"/>
            <w:tcBorders/>
            <w:shd w:fill="auto"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br/>
            </w:r>
          </w:p>
        </w:tc>
        <w:tc>
          <w:tcPr>
            <w:tcW w:w="60" w:type="dxa"/>
            <w:tcBorders/>
            <w:shd w:fill="auto" w:val="clear"/>
            <w:vAlign w:val="center"/>
          </w:tcPr>
          <w:p>
            <w:pPr>
              <w:pStyle w:val="TableContents"/>
              <w:spacing w:before="0" w:after="283"/>
              <w:rPr/>
            </w:pPr>
            <w:r>
              <w:rPr/>
              <w:t> </w:t>
            </w:r>
          </w:p>
        </w:tc>
        <w:tc>
          <w:tcPr>
            <w:tcW w:w="1790" w:type="dxa"/>
            <w:tcBorders/>
            <w:shd w:fill="auto" w:val="clear"/>
            <w:vAlign w:val="center"/>
          </w:tcPr>
          <w:p>
            <w:pPr>
              <w:pStyle w:val="TableContents"/>
              <w:spacing w:before="0" w:after="283"/>
              <w:jc w:val="left"/>
              <w:rPr/>
            </w:pPr>
            <w:r>
              <w:rPr/>
              <w:t> </w:t>
            </w:r>
          </w:p>
        </w:tc>
      </w:tr>
    </w:tbl>
    <w:p>
      <w:pPr>
        <w:pStyle w:val="TextBody"/>
        <w:rPr/>
      </w:pPr>
      <w:r>
        <w:rPr/>
        <w:t> </w:t>
      </w:r>
    </w:p>
    <w:tbl>
      <w:tblPr>
        <w:tblW w:w="3595" w:type="dxa"/>
        <w:jc w:val="left"/>
        <w:tblInd w:w="0" w:type="dxa"/>
        <w:tblCellMar>
          <w:top w:w="0" w:type="dxa"/>
          <w:left w:w="0" w:type="dxa"/>
          <w:bottom w:w="0" w:type="dxa"/>
          <w:right w:w="0" w:type="dxa"/>
        </w:tblCellMar>
      </w:tblPr>
      <w:tblGrid>
        <w:gridCol w:w="875"/>
        <w:gridCol w:w="2585"/>
        <w:gridCol w:w="60"/>
        <w:gridCol w:w="75"/>
      </w:tblGrid>
      <w:tr>
        <w:trPr/>
        <w:tc>
          <w:tcPr>
            <w:tcW w:w="3460" w:type="dxa"/>
            <w:gridSpan w:val="2"/>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Notice Details</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jc w:val="left"/>
              <w:rPr/>
            </w:pPr>
            <w:r>
              <w:rPr/>
              <w:t> </w:t>
            </w:r>
          </w:p>
        </w:tc>
      </w:tr>
      <w:tr>
        <w:trPr/>
        <w:tc>
          <w:tcPr>
            <w:tcW w:w="3460" w:type="dxa"/>
            <w:gridSpan w:val="2"/>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jc w:val="left"/>
              <w:rPr/>
            </w:pPr>
            <w:r>
              <w:rPr/>
              <w:t> </w:t>
            </w:r>
          </w:p>
        </w:tc>
      </w:tr>
      <w:tr>
        <w:trPr/>
        <w:tc>
          <w:tcPr>
            <w:tcW w:w="87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258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8th Floor</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jc w:val="left"/>
              <w:rPr/>
            </w:pPr>
            <w:r>
              <w:rPr/>
              <w:t> </w:t>
            </w:r>
          </w:p>
        </w:tc>
      </w:tr>
      <w:tr>
        <w:trPr/>
        <w:tc>
          <w:tcPr>
            <w:tcW w:w="87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58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Walbrook Building</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jc w:val="left"/>
              <w:rPr/>
            </w:pPr>
            <w:r>
              <w:rPr/>
              <w:t> </w:t>
            </w:r>
          </w:p>
        </w:tc>
      </w:tr>
      <w:tr>
        <w:trPr/>
        <w:tc>
          <w:tcPr>
            <w:tcW w:w="875" w:type="dxa"/>
            <w:tcBorders/>
            <w:shd w:fill="auto" w:val="clear"/>
            <w:vAlign w:val="center"/>
          </w:tcPr>
          <w:p>
            <w:pPr>
              <w:pStyle w:val="TableContents"/>
              <w:spacing w:before="0" w:after="283"/>
              <w:rPr>
                <w:caps w:val="false"/>
                <w:smallCaps w:val="false"/>
              </w:rPr>
            </w:pPr>
            <w:r>
              <w:rPr>
                <w:caps w:val="false"/>
                <w:smallCaps w:val="false"/>
              </w:rPr>
              <w:t> </w:t>
            </w:r>
          </w:p>
        </w:tc>
        <w:tc>
          <w:tcPr>
            <w:tcW w:w="258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Walbrook</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jc w:val="left"/>
              <w:rPr/>
            </w:pPr>
            <w:r>
              <w:rPr/>
              <w:t> </w:t>
            </w:r>
          </w:p>
        </w:tc>
      </w:tr>
      <w:tr>
        <w:trPr/>
        <w:tc>
          <w:tcPr>
            <w:tcW w:w="875" w:type="dxa"/>
            <w:tcBorders/>
            <w:shd w:fill="auto" w:val="clear"/>
            <w:vAlign w:val="center"/>
          </w:tcPr>
          <w:p>
            <w:pPr>
              <w:pStyle w:val="TableContents"/>
              <w:spacing w:before="0" w:after="283"/>
              <w:rPr>
                <w:caps w:val="false"/>
                <w:smallCaps w:val="false"/>
              </w:rPr>
            </w:pPr>
            <w:r>
              <w:rPr>
                <w:caps w:val="false"/>
                <w:smallCaps w:val="false"/>
              </w:rPr>
              <w:t> </w:t>
            </w:r>
          </w:p>
        </w:tc>
        <w:tc>
          <w:tcPr>
            <w:tcW w:w="258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London EC4N 8AF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jc w:val="left"/>
              <w:rPr/>
            </w:pPr>
            <w:r>
              <w:rPr/>
              <w:t> </w:t>
            </w:r>
          </w:p>
        </w:tc>
      </w:tr>
      <w:tr>
        <w:trPr/>
        <w:tc>
          <w:tcPr>
            <w:tcW w:w="875" w:type="dxa"/>
            <w:tcBorders/>
            <w:shd w:fill="auto" w:val="clear"/>
            <w:vAlign w:val="center"/>
          </w:tcPr>
          <w:p>
            <w:pPr>
              <w:pStyle w:val="TableContents"/>
              <w:spacing w:before="0" w:after="283"/>
              <w:rPr>
                <w:caps w:val="false"/>
                <w:smallCaps w:val="false"/>
              </w:rPr>
            </w:pPr>
            <w:r>
              <w:rPr>
                <w:caps w:val="false"/>
                <w:smallCaps w:val="false"/>
              </w:rPr>
              <w:t> </w:t>
            </w:r>
          </w:p>
        </w:tc>
        <w:tc>
          <w:tcPr>
            <w:tcW w:w="258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jc w:val="left"/>
              <w:rPr/>
            </w:pPr>
            <w:r>
              <w:rPr/>
              <w:t> </w:t>
            </w:r>
          </w:p>
        </w:tc>
      </w:tr>
      <w:tr>
        <w:trPr/>
        <w:tc>
          <w:tcPr>
            <w:tcW w:w="87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r>
          </w:p>
        </w:tc>
        <w:tc>
          <w:tcPr>
            <w:tcW w:w="258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Middle Office &amp; Agency</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jc w:val="left"/>
              <w:rPr/>
            </w:pPr>
            <w:r>
              <w:rPr/>
              <w:t> </w:t>
            </w:r>
          </w:p>
        </w:tc>
      </w:tr>
      <w:tr>
        <w:trPr/>
        <w:tc>
          <w:tcPr>
            <w:tcW w:w="87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58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jc w:val="left"/>
              <w:rPr/>
            </w:pPr>
            <w:r>
              <w:rPr/>
              <w:t> </w:t>
            </w:r>
          </w:p>
        </w:tc>
      </w:tr>
      <w:tr>
        <w:trPr/>
        <w:tc>
          <w:tcPr>
            <w:tcW w:w="87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258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cmoalondon@dnb.no</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Project Saturn - Signature Page to Commitment Letter</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4185" w:type="dxa"/>
        <w:jc w:val="left"/>
        <w:tblInd w:w="0" w:type="dxa"/>
        <w:tblCellMar>
          <w:top w:w="0" w:type="dxa"/>
          <w:left w:w="0" w:type="dxa"/>
          <w:bottom w:w="28" w:type="dxa"/>
          <w:right w:w="0" w:type="dxa"/>
        </w:tblCellMar>
      </w:tblPr>
      <w:tblGrid>
        <w:gridCol w:w="560"/>
        <w:gridCol w:w="1775"/>
        <w:gridCol w:w="60"/>
        <w:gridCol w:w="1790"/>
      </w:tblGrid>
      <w:tr>
        <w:trPr/>
        <w:tc>
          <w:tcPr>
            <w:tcW w:w="2335" w:type="dxa"/>
            <w:gridSpan w:val="2"/>
            <w:tcBorders>
              <w:bottom w:val="single" w:sz="8" w:space="0" w:color="000000"/>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Gemma Darney</w:t>
            </w:r>
          </w:p>
        </w:tc>
        <w:tc>
          <w:tcPr>
            <w:tcW w:w="60" w:type="dxa"/>
            <w:tcBorders/>
            <w:shd w:fill="auto" w:val="clear"/>
            <w:tcMar>
              <w:bottom w:w="0" w:type="dxa"/>
            </w:tcMar>
            <w:vAlign w:val="center"/>
          </w:tcPr>
          <w:p>
            <w:pPr>
              <w:pStyle w:val="TableContents"/>
              <w:spacing w:before="0" w:after="283"/>
              <w:rPr/>
            </w:pPr>
            <w:r>
              <w:rPr/>
              <w:t> </w:t>
            </w:r>
          </w:p>
        </w:tc>
        <w:tc>
          <w:tcPr>
            <w:tcW w:w="1790" w:type="dxa"/>
            <w:tcBorders>
              <w:bottom w:val="single" w:sz="8" w:space="0" w:color="000000"/>
            </w:tcBorders>
            <w:shd w:fill="auto" w:val="clear"/>
            <w:vAlign w:val="center"/>
          </w:tcPr>
          <w:p>
            <w:pPr>
              <w:pStyle w:val="TableContents"/>
              <w:spacing w:before="0" w:after="283"/>
              <w:jc w:val="left"/>
              <w:rPr>
                <w:sz w:val="20"/>
              </w:rPr>
            </w:pPr>
            <w:r>
              <w:rPr>
                <w:sz w:val="20"/>
              </w:rPr>
              <w:t>/s/ Kay Newman</w:t>
            </w:r>
          </w:p>
        </w:tc>
      </w:tr>
      <w:tr>
        <w:trPr/>
        <w:tc>
          <w:tcPr>
            <w:tcW w:w="2335" w:type="dxa"/>
            <w:gridSpan w:val="2"/>
            <w:tcBorders/>
            <w:shd w:fill="auto"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and on behalf of</w:t>
            </w:r>
          </w:p>
        </w:tc>
        <w:tc>
          <w:tcPr>
            <w:tcW w:w="60" w:type="dxa"/>
            <w:tcBorders/>
            <w:shd w:fill="auto" w:val="clear"/>
            <w:tcMar>
              <w:bottom w:w="0" w:type="dxa"/>
            </w:tcMar>
            <w:vAlign w:val="center"/>
          </w:tcPr>
          <w:p>
            <w:pPr>
              <w:pStyle w:val="TableContents"/>
              <w:spacing w:before="0" w:after="283"/>
              <w:rPr/>
            </w:pPr>
            <w:r>
              <w:rPr/>
              <w:t> </w:t>
            </w:r>
          </w:p>
        </w:tc>
        <w:tc>
          <w:tcPr>
            <w:tcW w:w="1790" w:type="dxa"/>
            <w:tcBorders/>
            <w:shd w:fill="auto" w:val="clear"/>
            <w:tcMar>
              <w:bottom w:w="0" w:type="dxa"/>
            </w:tcMar>
            <w:vAlign w:val="center"/>
          </w:tcPr>
          <w:p>
            <w:pPr>
              <w:pStyle w:val="TableContents"/>
              <w:spacing w:before="0" w:after="283"/>
              <w:jc w:val="left"/>
              <w:rPr/>
            </w:pPr>
            <w:r>
              <w:rPr/>
              <w:t> </w:t>
            </w:r>
          </w:p>
        </w:tc>
      </w:tr>
      <w:tr>
        <w:trPr/>
        <w:tc>
          <w:tcPr>
            <w:tcW w:w="2335" w:type="dxa"/>
            <w:gridSpan w:val="2"/>
            <w:tcBorders/>
            <w:shd w:fill="auto" w:val="clear"/>
            <w:tcMar>
              <w:bottom w:w="0"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DNB (UK) Ltd.</w:t>
            </w:r>
          </w:p>
        </w:tc>
        <w:tc>
          <w:tcPr>
            <w:tcW w:w="60" w:type="dxa"/>
            <w:tcBorders/>
            <w:shd w:fill="auto" w:val="clear"/>
            <w:tcMar>
              <w:bottom w:w="0" w:type="dxa"/>
            </w:tcMar>
            <w:vAlign w:val="center"/>
          </w:tcPr>
          <w:p>
            <w:pPr>
              <w:pStyle w:val="TableContents"/>
              <w:spacing w:before="0" w:after="283"/>
              <w:rPr/>
            </w:pPr>
            <w:r>
              <w:rPr/>
              <w:t> </w:t>
            </w:r>
          </w:p>
        </w:tc>
        <w:tc>
          <w:tcPr>
            <w:tcW w:w="1790" w:type="dxa"/>
            <w:tcBorders/>
            <w:shd w:fill="auto" w:val="clear"/>
            <w:tcMar>
              <w:bottom w:w="0" w:type="dxa"/>
            </w:tcMar>
            <w:vAlign w:val="center"/>
          </w:tcPr>
          <w:p>
            <w:pPr>
              <w:pStyle w:val="TableContents"/>
              <w:spacing w:before="0" w:after="283"/>
              <w:jc w:val="left"/>
              <w:rPr/>
            </w:pPr>
            <w:r>
              <w:rPr/>
              <w:t> </w:t>
            </w:r>
          </w:p>
        </w:tc>
      </w:tr>
      <w:tr>
        <w:trPr/>
        <w:tc>
          <w:tcPr>
            <w:tcW w:w="2335" w:type="dxa"/>
            <w:gridSpan w:val="2"/>
            <w:tcBorders/>
            <w:shd w:fill="auto"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Arranger</w:t>
            </w:r>
          </w:p>
        </w:tc>
        <w:tc>
          <w:tcPr>
            <w:tcW w:w="60" w:type="dxa"/>
            <w:tcBorders/>
            <w:shd w:fill="auto" w:val="clear"/>
            <w:tcMar>
              <w:bottom w:w="0" w:type="dxa"/>
            </w:tcMar>
            <w:vAlign w:val="center"/>
          </w:tcPr>
          <w:p>
            <w:pPr>
              <w:pStyle w:val="TableContents"/>
              <w:spacing w:before="0" w:after="283"/>
              <w:rPr/>
            </w:pPr>
            <w:r>
              <w:rPr/>
              <w:t> </w:t>
            </w:r>
          </w:p>
        </w:tc>
        <w:tc>
          <w:tcPr>
            <w:tcW w:w="1790" w:type="dxa"/>
            <w:tcBorders/>
            <w:shd w:fill="auto" w:val="clear"/>
            <w:tcMar>
              <w:bottom w:w="0" w:type="dxa"/>
            </w:tcMar>
            <w:vAlign w:val="center"/>
          </w:tcPr>
          <w:p>
            <w:pPr>
              <w:pStyle w:val="TableContents"/>
              <w:spacing w:before="0" w:after="283"/>
              <w:jc w:val="left"/>
              <w:rPr/>
            </w:pPr>
            <w:r>
              <w:rPr/>
              <w:t> </w:t>
            </w:r>
          </w:p>
        </w:tc>
      </w:tr>
      <w:tr>
        <w:trPr/>
        <w:tc>
          <w:tcPr>
            <w:tcW w:w="2335" w:type="dxa"/>
            <w:gridSpan w:val="2"/>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pPr>
            <w:r>
              <w:rPr/>
              <w:t> </w:t>
            </w:r>
          </w:p>
        </w:tc>
        <w:tc>
          <w:tcPr>
            <w:tcW w:w="1790" w:type="dxa"/>
            <w:tcBorders/>
            <w:shd w:fill="auto" w:val="clear"/>
            <w:tcMar>
              <w:bottom w:w="0" w:type="dxa"/>
            </w:tcMar>
            <w:vAlign w:val="center"/>
          </w:tcPr>
          <w:p>
            <w:pPr>
              <w:pStyle w:val="TableContents"/>
              <w:spacing w:before="0" w:after="283"/>
              <w:jc w:val="left"/>
              <w:rPr/>
            </w:pPr>
            <w:r>
              <w:rPr/>
              <w:t> </w:t>
            </w:r>
          </w:p>
        </w:tc>
      </w:tr>
      <w:tr>
        <w:trPr/>
        <w:tc>
          <w:tcPr>
            <w:tcW w:w="560" w:type="dxa"/>
            <w:tcBorders/>
            <w:shd w:fill="auto"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Gemma Darney</w:t>
            </w:r>
          </w:p>
        </w:tc>
        <w:tc>
          <w:tcPr>
            <w:tcW w:w="60" w:type="dxa"/>
            <w:tcBorders/>
            <w:shd w:fill="auto" w:val="clear"/>
            <w:tcMar>
              <w:bottom w:w="0" w:type="dxa"/>
            </w:tcMar>
            <w:vAlign w:val="center"/>
          </w:tcPr>
          <w:p>
            <w:pPr>
              <w:pStyle w:val="TableContents"/>
              <w:spacing w:before="0" w:after="283"/>
              <w:rPr/>
            </w:pPr>
            <w:r>
              <w:rPr/>
              <w:t> </w:t>
            </w:r>
          </w:p>
        </w:tc>
        <w:tc>
          <w:tcPr>
            <w:tcW w:w="1790" w:type="dxa"/>
            <w:tcBorders>
              <w:bottom w:val="single" w:sz="8" w:space="0" w:color="000000"/>
            </w:tcBorders>
            <w:shd w:fill="auto" w:val="clear"/>
            <w:vAlign w:val="center"/>
          </w:tcPr>
          <w:p>
            <w:pPr>
              <w:pStyle w:val="TableContents"/>
              <w:spacing w:before="0" w:after="283"/>
              <w:jc w:val="left"/>
              <w:rPr>
                <w:sz w:val="20"/>
              </w:rPr>
            </w:pPr>
            <w:r>
              <w:rPr>
                <w:sz w:val="20"/>
              </w:rPr>
              <w:t>Kay Newman</w:t>
            </w:r>
          </w:p>
        </w:tc>
      </w:tr>
      <w:tr>
        <w:trPr/>
        <w:tc>
          <w:tcPr>
            <w:tcW w:w="2335" w:type="dxa"/>
            <w:gridSpan w:val="2"/>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pPr>
            <w:r>
              <w:rPr/>
              <w:t> </w:t>
            </w:r>
          </w:p>
        </w:tc>
        <w:tc>
          <w:tcPr>
            <w:tcW w:w="1790" w:type="dxa"/>
            <w:tcBorders/>
            <w:shd w:fill="auto" w:val="clear"/>
            <w:tcMar>
              <w:bottom w:w="0" w:type="dxa"/>
            </w:tcMar>
            <w:vAlign w:val="center"/>
          </w:tcPr>
          <w:p>
            <w:pPr>
              <w:pStyle w:val="TableContents"/>
              <w:spacing w:before="0" w:after="283"/>
              <w:jc w:val="left"/>
              <w:rPr/>
            </w:pPr>
            <w:r>
              <w:rPr/>
              <w:t> </w:t>
            </w:r>
          </w:p>
        </w:tc>
      </w:tr>
      <w:tr>
        <w:trPr/>
        <w:tc>
          <w:tcPr>
            <w:tcW w:w="560" w:type="dxa"/>
            <w:tcBorders/>
            <w:shd w:fill="auto"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1775"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60" w:type="dxa"/>
            <w:tcBorders/>
            <w:shd w:fill="auto" w:val="clear"/>
            <w:tcMar>
              <w:bottom w:w="0" w:type="dxa"/>
            </w:tcMar>
            <w:vAlign w:val="center"/>
          </w:tcPr>
          <w:p>
            <w:pPr>
              <w:pStyle w:val="TableContents"/>
              <w:spacing w:before="0" w:after="283"/>
              <w:rPr/>
            </w:pPr>
            <w:r>
              <w:rPr/>
              <w:t> </w:t>
            </w:r>
          </w:p>
        </w:tc>
        <w:tc>
          <w:tcPr>
            <w:tcW w:w="1790" w:type="dxa"/>
            <w:tcBorders>
              <w:bottom w:val="single" w:sz="8" w:space="0" w:color="000000"/>
            </w:tcBorders>
            <w:shd w:fill="auto" w:val="clear"/>
            <w:vAlign w:val="center"/>
          </w:tcPr>
          <w:p>
            <w:pPr>
              <w:pStyle w:val="TableContents"/>
              <w:spacing w:before="0" w:after="283"/>
              <w:jc w:val="left"/>
              <w:rPr>
                <w:sz w:val="20"/>
              </w:rPr>
            </w:pPr>
            <w:r>
              <w:rPr>
                <w:sz w:val="20"/>
              </w:rPr>
              <w:t>Authorized Signatory</w:t>
            </w:r>
          </w:p>
        </w:tc>
      </w:tr>
      <w:tr>
        <w:trPr/>
        <w:tc>
          <w:tcPr>
            <w:tcW w:w="2335" w:type="dxa"/>
            <w:gridSpan w:val="2"/>
            <w:tcBorders/>
            <w:shd w:fill="auto" w:val="clear"/>
            <w:tcMar>
              <w:bottom w:w="0"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br/>
            </w:r>
          </w:p>
        </w:tc>
        <w:tc>
          <w:tcPr>
            <w:tcW w:w="60" w:type="dxa"/>
            <w:tcBorders/>
            <w:shd w:fill="auto" w:val="clear"/>
            <w:tcMar>
              <w:bottom w:w="0" w:type="dxa"/>
            </w:tcMar>
            <w:vAlign w:val="center"/>
          </w:tcPr>
          <w:p>
            <w:pPr>
              <w:pStyle w:val="TableContents"/>
              <w:spacing w:before="0" w:after="283"/>
              <w:rPr/>
            </w:pPr>
            <w:r>
              <w:rPr/>
              <w:t> </w:t>
            </w:r>
          </w:p>
        </w:tc>
        <w:tc>
          <w:tcPr>
            <w:tcW w:w="1790" w:type="dxa"/>
            <w:tcBorders/>
            <w:shd w:fill="auto" w:val="clear"/>
            <w:tcMar>
              <w:bottom w:w="0" w:type="dxa"/>
            </w:tcM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tbl>
      <w:tblPr>
        <w:tblW w:w="3595" w:type="dxa"/>
        <w:jc w:val="left"/>
        <w:tblInd w:w="0" w:type="dxa"/>
        <w:tblCellMar>
          <w:top w:w="0" w:type="dxa"/>
          <w:left w:w="0" w:type="dxa"/>
          <w:bottom w:w="0" w:type="dxa"/>
          <w:right w:w="0" w:type="dxa"/>
        </w:tblCellMar>
      </w:tblPr>
      <w:tblGrid>
        <w:gridCol w:w="875"/>
        <w:gridCol w:w="2585"/>
        <w:gridCol w:w="60"/>
        <w:gridCol w:w="75"/>
      </w:tblGrid>
      <w:tr>
        <w:trPr/>
        <w:tc>
          <w:tcPr>
            <w:tcW w:w="3460" w:type="dxa"/>
            <w:gridSpan w:val="2"/>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Notice Details</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jc w:val="left"/>
              <w:rPr/>
            </w:pPr>
            <w:r>
              <w:rPr/>
              <w:t> </w:t>
            </w:r>
          </w:p>
        </w:tc>
      </w:tr>
      <w:tr>
        <w:trPr/>
        <w:tc>
          <w:tcPr>
            <w:tcW w:w="3460" w:type="dxa"/>
            <w:gridSpan w:val="2"/>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jc w:val="left"/>
              <w:rPr/>
            </w:pPr>
            <w:r>
              <w:rPr/>
              <w:t> </w:t>
            </w:r>
          </w:p>
        </w:tc>
      </w:tr>
      <w:tr>
        <w:trPr/>
        <w:tc>
          <w:tcPr>
            <w:tcW w:w="87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258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8th Floor</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jc w:val="left"/>
              <w:rPr/>
            </w:pPr>
            <w:r>
              <w:rPr/>
              <w:t> </w:t>
            </w:r>
          </w:p>
        </w:tc>
      </w:tr>
      <w:tr>
        <w:trPr/>
        <w:tc>
          <w:tcPr>
            <w:tcW w:w="87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58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Walbrook Building</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jc w:val="left"/>
              <w:rPr/>
            </w:pPr>
            <w:r>
              <w:rPr/>
              <w:t> </w:t>
            </w:r>
          </w:p>
        </w:tc>
      </w:tr>
      <w:tr>
        <w:trPr/>
        <w:tc>
          <w:tcPr>
            <w:tcW w:w="875" w:type="dxa"/>
            <w:tcBorders/>
            <w:shd w:fill="auto" w:val="clear"/>
            <w:vAlign w:val="center"/>
          </w:tcPr>
          <w:p>
            <w:pPr>
              <w:pStyle w:val="TableContents"/>
              <w:spacing w:before="0" w:after="283"/>
              <w:rPr>
                <w:caps w:val="false"/>
                <w:smallCaps w:val="false"/>
              </w:rPr>
            </w:pPr>
            <w:r>
              <w:rPr>
                <w:caps w:val="false"/>
                <w:smallCaps w:val="false"/>
              </w:rPr>
              <w:t> </w:t>
            </w:r>
          </w:p>
        </w:tc>
        <w:tc>
          <w:tcPr>
            <w:tcW w:w="258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Walbrook</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jc w:val="left"/>
              <w:rPr/>
            </w:pPr>
            <w:r>
              <w:rPr/>
              <w:t> </w:t>
            </w:r>
          </w:p>
        </w:tc>
      </w:tr>
      <w:tr>
        <w:trPr/>
        <w:tc>
          <w:tcPr>
            <w:tcW w:w="875" w:type="dxa"/>
            <w:tcBorders/>
            <w:shd w:fill="auto" w:val="clear"/>
            <w:vAlign w:val="center"/>
          </w:tcPr>
          <w:p>
            <w:pPr>
              <w:pStyle w:val="TableContents"/>
              <w:spacing w:before="0" w:after="283"/>
              <w:rPr>
                <w:caps w:val="false"/>
                <w:smallCaps w:val="false"/>
              </w:rPr>
            </w:pPr>
            <w:r>
              <w:rPr>
                <w:caps w:val="false"/>
                <w:smallCaps w:val="false"/>
              </w:rPr>
              <w:t> </w:t>
            </w:r>
          </w:p>
        </w:tc>
        <w:tc>
          <w:tcPr>
            <w:tcW w:w="258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London EC4N 8AF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jc w:val="left"/>
              <w:rPr/>
            </w:pPr>
            <w:r>
              <w:rPr/>
              <w:t> </w:t>
            </w:r>
          </w:p>
        </w:tc>
      </w:tr>
      <w:tr>
        <w:trPr/>
        <w:tc>
          <w:tcPr>
            <w:tcW w:w="875" w:type="dxa"/>
            <w:tcBorders/>
            <w:shd w:fill="auto" w:val="clear"/>
            <w:vAlign w:val="center"/>
          </w:tcPr>
          <w:p>
            <w:pPr>
              <w:pStyle w:val="TableContents"/>
              <w:spacing w:before="0" w:after="283"/>
              <w:rPr>
                <w:caps w:val="false"/>
                <w:smallCaps w:val="false"/>
              </w:rPr>
            </w:pPr>
            <w:r>
              <w:rPr>
                <w:caps w:val="false"/>
                <w:smallCaps w:val="false"/>
              </w:rPr>
              <w:t> </w:t>
            </w:r>
          </w:p>
        </w:tc>
        <w:tc>
          <w:tcPr>
            <w:tcW w:w="258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jc w:val="left"/>
              <w:rPr/>
            </w:pPr>
            <w:r>
              <w:rPr/>
              <w:t> </w:t>
            </w:r>
          </w:p>
        </w:tc>
      </w:tr>
      <w:tr>
        <w:trPr/>
        <w:tc>
          <w:tcPr>
            <w:tcW w:w="87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r>
          </w:p>
        </w:tc>
        <w:tc>
          <w:tcPr>
            <w:tcW w:w="258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Middle Office &amp; Agency</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jc w:val="left"/>
              <w:rPr/>
            </w:pPr>
            <w:r>
              <w:rPr/>
              <w:t> </w:t>
            </w:r>
          </w:p>
        </w:tc>
      </w:tr>
      <w:tr>
        <w:trPr/>
        <w:tc>
          <w:tcPr>
            <w:tcW w:w="87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58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jc w:val="left"/>
              <w:rPr/>
            </w:pPr>
            <w:r>
              <w:rPr/>
              <w:t> </w:t>
            </w:r>
          </w:p>
        </w:tc>
      </w:tr>
      <w:tr>
        <w:trPr/>
        <w:tc>
          <w:tcPr>
            <w:tcW w:w="87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258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cmoalondon@dnb.no</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sz w:val="4"/>
                <w:szCs w:val="4"/>
              </w:rPr>
            </w:pPr>
            <w:r>
              <w:rPr>
                <w:sz w:val="4"/>
                <w:szCs w:val="4"/>
              </w:rPr>
            </w:r>
          </w:p>
        </w:tc>
      </w:tr>
    </w:tbl>
    <w:p>
      <w:pPr>
        <w:pStyle w:val="TextBody"/>
        <w:rPr/>
      </w:pPr>
      <w:r>
        <w:rPr/>
        <w:t> </w:t>
      </w:r>
    </w:p>
    <w:p>
      <w:pPr>
        <w:pStyle w:val="TextBody"/>
        <w:jc w:val="center"/>
        <w:rPr/>
      </w:pPr>
      <w:r>
        <w:rPr/>
        <w:t>[</w:t>
      </w:r>
      <w:r>
        <w:rPr>
          <w:i/>
        </w:rPr>
        <w:t>Project Saturn - Signature Page to Commitment Letter</w:t>
      </w:r>
      <w:r>
        <w:rPr/>
        <w:t>]</w:t>
      </w:r>
    </w:p>
    <w:p>
      <w:pPr>
        <w:pStyle w:val="TextBody"/>
        <w:rPr/>
      </w:pPr>
      <w:r>
        <w:rPr/>
        <w:t> </w:t>
      </w:r>
    </w:p>
    <w:p>
      <w:pPr>
        <w:pStyle w:val="TextBody"/>
        <w:spacing w:before="0" w:after="0"/>
        <w:jc w:val="center"/>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pPr>
      <w:r>
        <w:rPr/>
        <w:t> </w:t>
      </w:r>
    </w:p>
    <w:p>
      <w:pPr>
        <w:pStyle w:val="TextBody"/>
        <w:rPr/>
      </w:pPr>
      <w:r>
        <w:rPr/>
        <w:t> </w:t>
      </w:r>
    </w:p>
    <w:tbl>
      <w:tblPr>
        <w:tblW w:w="3484" w:type="dxa"/>
        <w:jc w:val="left"/>
        <w:tblInd w:w="0" w:type="dxa"/>
        <w:tblCellMar>
          <w:top w:w="0" w:type="dxa"/>
          <w:left w:w="0" w:type="dxa"/>
          <w:bottom w:w="0" w:type="dxa"/>
          <w:right w:w="0" w:type="dxa"/>
        </w:tblCellMar>
      </w:tblPr>
      <w:tblGrid>
        <w:gridCol w:w="784"/>
        <w:gridCol w:w="2565"/>
        <w:gridCol w:w="60"/>
        <w:gridCol w:w="75"/>
      </w:tblGrid>
      <w:tr>
        <w:trPr/>
        <w:tc>
          <w:tcPr>
            <w:tcW w:w="3349" w:type="dxa"/>
            <w:gridSpan w:val="2"/>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acknowledge and agree to the above.</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349"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349" w:type="dxa"/>
            <w:gridSpan w:val="2"/>
            <w:tcBorders>
              <w:bottom w:val="single" w:sz="8" w:space="0" w:color="000000"/>
            </w:tcBorders>
            <w:shd w:fill="auto"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Achilleas Tasioulas</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349" w:type="dxa"/>
            <w:gridSpan w:val="2"/>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and on behalf of</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349" w:type="dxa"/>
            <w:gridSpan w:val="2"/>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GasLog Ltd.</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349" w:type="dxa"/>
            <w:gridSpan w:val="2"/>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Company</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349" w:type="dxa"/>
            <w:gridSpan w:val="2"/>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784"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565" w:type="dxa"/>
            <w:tcBorders>
              <w:bottom w:val="single" w:sz="8" w:space="0" w:color="000000"/>
            </w:tcBorders>
            <w:shd w:fill="auto"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Achilleas Tasioulas</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349" w:type="dxa"/>
            <w:gridSpan w:val="2"/>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784"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w:t>
            </w:r>
          </w:p>
        </w:tc>
        <w:tc>
          <w:tcPr>
            <w:tcW w:w="2565" w:type="dxa"/>
            <w:tcBorders>
              <w:bottom w:val="single" w:sz="8" w:space="0" w:color="000000"/>
            </w:tcBorders>
            <w:shd w:fill="auto"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rPr/>
      </w:pPr>
      <w:r>
        <w:rPr/>
        <w:t> </w:t>
      </w:r>
    </w:p>
    <w:tbl>
      <w:tblPr>
        <w:tblW w:w="3265" w:type="dxa"/>
        <w:jc w:val="left"/>
        <w:tblInd w:w="0" w:type="dxa"/>
        <w:tblCellMar>
          <w:top w:w="0" w:type="dxa"/>
          <w:left w:w="0" w:type="dxa"/>
          <w:bottom w:w="0" w:type="dxa"/>
          <w:right w:w="0" w:type="dxa"/>
        </w:tblCellMar>
      </w:tblPr>
      <w:tblGrid>
        <w:gridCol w:w="875"/>
        <w:gridCol w:w="2255"/>
        <w:gridCol w:w="60"/>
        <w:gridCol w:w="75"/>
      </w:tblGrid>
      <w:tr>
        <w:trPr/>
        <w:tc>
          <w:tcPr>
            <w:tcW w:w="3130" w:type="dxa"/>
            <w:gridSpan w:val="2"/>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130" w:type="dxa"/>
            <w:gridSpan w:val="2"/>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Notice Details</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130" w:type="dxa"/>
            <w:gridSpan w:val="2"/>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87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225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69 Akti Miaouli</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875" w:type="dxa"/>
            <w:tcBorders/>
            <w:shd w:fill="auto" w:val="clear"/>
            <w:vAlign w:val="center"/>
          </w:tcPr>
          <w:p>
            <w:pPr>
              <w:pStyle w:val="TableContents"/>
              <w:spacing w:before="0" w:after="283"/>
              <w:rPr>
                <w:caps w:val="false"/>
                <w:smallCaps w:val="false"/>
              </w:rPr>
            </w:pPr>
            <w:r>
              <w:rPr>
                <w:caps w:val="false"/>
                <w:smallCaps w:val="false"/>
              </w:rPr>
              <w:t> </w:t>
            </w:r>
          </w:p>
        </w:tc>
        <w:tc>
          <w:tcPr>
            <w:tcW w:w="225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Piraeus 185 37</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875" w:type="dxa"/>
            <w:tcBorders/>
            <w:shd w:fill="auto" w:val="clear"/>
            <w:vAlign w:val="center"/>
          </w:tcPr>
          <w:p>
            <w:pPr>
              <w:pStyle w:val="TableContents"/>
              <w:spacing w:before="0" w:after="283"/>
              <w:rPr>
                <w:caps w:val="false"/>
                <w:smallCaps w:val="false"/>
              </w:rPr>
            </w:pPr>
            <w:r>
              <w:rPr>
                <w:caps w:val="false"/>
                <w:smallCaps w:val="false"/>
              </w:rPr>
              <w:t> </w:t>
            </w:r>
          </w:p>
        </w:tc>
        <w:tc>
          <w:tcPr>
            <w:tcW w:w="225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Greece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130"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87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225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atasioulas@gaslogltd.com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130" w:type="dxa"/>
            <w:gridSpan w:val="2"/>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87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r>
          </w:p>
        </w:tc>
        <w:tc>
          <w:tcPr>
            <w:tcW w:w="225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Achilleas Tasioulas</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Project Saturn - Signature Page to Commitment Letter</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br w:type="page"/>
      </w:r>
    </w:p>
    <w:p>
      <w:pPr>
        <w:pStyle w:val="TextBody"/>
        <w:jc w:val="right"/>
        <w:rPr>
          <w:rFonts w:ascii="Times New Roman" w:hAnsi="Times New Roman"/>
          <w:b/>
          <w:i w:val="false"/>
          <w:caps w:val="false"/>
          <w:smallCaps w:val="false"/>
          <w:sz w:val="20"/>
        </w:rPr>
      </w:pPr>
      <w:bookmarkStart w:id="13" w:name="tm2314213d1_ex99-c2.htm"/>
      <w:bookmarkStart w:id="14" w:name="kstm2314213d1_ex99c2"/>
      <w:bookmarkEnd w:id="13"/>
      <w:bookmarkEnd w:id="14"/>
      <w:r>
        <w:rPr>
          <w:rFonts w:ascii="Times New Roman" w:hAnsi="Times New Roman"/>
          <w:b/>
          <w:i w:val="false"/>
          <w:caps w:val="false"/>
          <w:smallCaps w:val="false"/>
          <w:sz w:val="20"/>
        </w:rPr>
        <w:t>Exhibit 99.(c)(2)</w:t>
        <w:br/>
      </w:r>
    </w:p>
    <w:tbl>
      <w:tblPr>
        <w:tblW w:w="16610" w:type="dxa"/>
        <w:jc w:val="right"/>
        <w:tblInd w:w="0" w:type="dxa"/>
        <w:tblCellMar>
          <w:top w:w="0" w:type="dxa"/>
          <w:left w:w="0" w:type="dxa"/>
          <w:bottom w:w="0" w:type="dxa"/>
          <w:right w:w="0" w:type="dxa"/>
        </w:tblCellMar>
      </w:tblPr>
      <w:tblGrid>
        <w:gridCol w:w="16500"/>
        <w:gridCol w:w="11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9"/>
                          <a:stretch>
                            <a:fillRect/>
                          </a:stretch>
                        </pic:blipFill>
                        <pic:spPr bwMode="auto">
                          <a:xfrm>
                            <a:off x="0" y="0"/>
                            <a:ext cx="10477500" cy="8086725"/>
                          </a:xfrm>
                          <a:prstGeom prst="rect">
                            <a:avLst/>
                          </a:prstGeom>
                        </pic:spPr>
                      </pic:pic>
                    </a:graphicData>
                  </a:graphic>
                </wp:inline>
              </w:drawing>
            </w:r>
          </w:p>
        </w:tc>
        <w:tc>
          <w:tcPr>
            <w:tcW w:w="11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The Conflicts Committee of the Board of Directors of GasLog Partners LP February 2023</w:t>
            </w:r>
          </w:p>
        </w:tc>
      </w:tr>
    </w:tbl>
    <w:tbl>
      <w:tblPr>
        <w:tblW w:w="16685" w:type="dxa"/>
        <w:jc w:val="center"/>
        <w:tblInd w:w="0" w:type="dxa"/>
        <w:tblCellMar>
          <w:top w:w="0" w:type="dxa"/>
          <w:left w:w="0" w:type="dxa"/>
          <w:bottom w:w="0" w:type="dxa"/>
          <w:right w:w="0" w:type="dxa"/>
        </w:tblCellMar>
      </w:tblPr>
      <w:tblGrid>
        <w:gridCol w:w="16500"/>
        <w:gridCol w:w="18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20"/>
                          <a:stretch>
                            <a:fillRect/>
                          </a:stretch>
                        </pic:blipFill>
                        <pic:spPr bwMode="auto">
                          <a:xfrm>
                            <a:off x="0" y="0"/>
                            <a:ext cx="10477500" cy="8086725"/>
                          </a:xfrm>
                          <a:prstGeom prst="rect">
                            <a:avLst/>
                          </a:prstGeom>
                        </pic:spPr>
                      </pic:pic>
                    </a:graphicData>
                  </a:graphic>
                </wp:inline>
              </w:drawing>
            </w:r>
          </w:p>
        </w:tc>
        <w:tc>
          <w:tcPr>
            <w:tcW w:w="18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These materials have been prepared by Evercore Group L.L.C. (“Evercore”) for the Conflicts Committee (the “Conflicts Committee”) of the Board of Directors of GasLog Partners GP LLC, the general partner of GasLog Partners LP (“GLOP,” or the “Partnership”), to whom such materials are directly addressed and delivered and may not be used or relied upon for any purpose other than as specifically contemplated by a written agreement with Evercore. These materials are based on information provided by or on behalf of the Conflicts Committee, from public sources or otherwise reviewed by Evercore. Evercore assumes no responsibility for independent investigation or verification of such information and has relied on such information being complete and accurate in all material respects. To the extent such information includes estimates and forecasts of future financial or operating performance prepared by or reviewed with the management of GLOP and/or other potential transaction participants or obtained from public sources, Evercore has assumed that such estimates and forecasts have been reasonably prepared on bases reflecting the best currently available estimates and good faith judgments of such management (or, with respect to estimates and forecasts obtained from public sources, represent reasonable estimates). No representation or warranty, express or implied, is made as to the accuracy or completeness of such information and nothing contained herein is, or shall be relied upon as, a representation, whether as to the past, the present or the future. These materials were designed for use by specific persons familiar with the business and affairs of GLOP. These materials are not intended to provide the sole basis for evaluating, and should not be considered a recommendation with respect to, any transaction or other matter. These materials have been developed by and are proprietary to Evercore and were prepared exclusively for the benefit and internal use of the Conflicts Committee. These materials were compiled on a confidential basis for use by the Conflicts Committee and not with a view to public disclosure or filing thereof under state or federal securities laws, and may not be reproduced, disseminated, quoted or referred to, in whole or in part, without the prior written consent of Evercore. These materials do not constitute an offer or solicitation to sell or purchase any securities and are not a commitment by Evercore or any of its affiliates to provide or arrange any financing for any transaction or to purchase any security in connection therewith. Evercore assumes no obligation to update or otherwise revise these materials. These materials may not reflect information known to other professionals in other business areas of Evercore and its affiliates. Evercore and its affiliates do not provide legal, regulatory, accounting or tax advice. Accordingly, any statements contained herein as to legal, regulatory, accounting or tax matters were neither written nor intended by Evercore or its affiliates to be used and cannot be used by any person, including for the purpose of avoiding tax penalties that may be imposed on such person. Each person should seek legal, regulatory, accounting and tax advice based on his, her or its particular circumstances from independent advisors regarding the impact of the transactions or matters described herein.</w:t>
            </w:r>
          </w:p>
        </w:tc>
      </w:tr>
    </w:tbl>
    <w:tbl>
      <w:tblPr>
        <w:tblW w:w="16670" w:type="dxa"/>
        <w:jc w:val="center"/>
        <w:tblInd w:w="0" w:type="dxa"/>
        <w:tblCellMar>
          <w:top w:w="0" w:type="dxa"/>
          <w:left w:w="0" w:type="dxa"/>
          <w:bottom w:w="0" w:type="dxa"/>
          <w:right w:w="0" w:type="dxa"/>
        </w:tblCellMar>
      </w:tblPr>
      <w:tblGrid>
        <w:gridCol w:w="16500"/>
        <w:gridCol w:w="17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21"/>
                          <a:stretch>
                            <a:fillRect/>
                          </a:stretch>
                        </pic:blipFill>
                        <pic:spPr bwMode="auto">
                          <a:xfrm>
                            <a:off x="0" y="0"/>
                            <a:ext cx="10477500" cy="8086725"/>
                          </a:xfrm>
                          <a:prstGeom prst="rect">
                            <a:avLst/>
                          </a:prstGeom>
                        </pic:spPr>
                      </pic:pic>
                    </a:graphicData>
                  </a:graphic>
                </wp:inline>
              </w:drawing>
            </w:r>
          </w:p>
        </w:tc>
        <w:tc>
          <w:tcPr>
            <w:tcW w:w="17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Table of Contents Executive Summary and Evercore Credentials Situation Overview Conflicts Committee Considerations Appendix A. Evercore Transportation and Energy Team Bios B. Additional Special Committee Credentials C. Additional Case Studies D. Additional Detail Regarding GasLog Partners Section I II III</w:t>
            </w:r>
          </w:p>
        </w:tc>
      </w:tr>
    </w:tbl>
    <w:tbl>
      <w:tblPr>
        <w:tblW w:w="16625" w:type="dxa"/>
        <w:jc w:val="center"/>
        <w:tblInd w:w="0" w:type="dxa"/>
        <w:tblCellMar>
          <w:top w:w="0" w:type="dxa"/>
          <w:left w:w="0" w:type="dxa"/>
          <w:bottom w:w="0" w:type="dxa"/>
          <w:right w:w="0" w:type="dxa"/>
        </w:tblCellMar>
      </w:tblPr>
      <w:tblGrid>
        <w:gridCol w:w="16500"/>
        <w:gridCol w:w="12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22"/>
                          <a:stretch>
                            <a:fillRect/>
                          </a:stretch>
                        </pic:blipFill>
                        <pic:spPr bwMode="auto">
                          <a:xfrm>
                            <a:off x="0" y="0"/>
                            <a:ext cx="10477500" cy="8086725"/>
                          </a:xfrm>
                          <a:prstGeom prst="rect">
                            <a:avLst/>
                          </a:prstGeom>
                        </pic:spPr>
                      </pic:pic>
                    </a:graphicData>
                  </a:graphic>
                </wp:inline>
              </w:drawing>
            </w:r>
          </w:p>
        </w:tc>
        <w:tc>
          <w:tcPr>
            <w:tcW w:w="12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I. Executive Summary and Evercore Credentials</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23"/>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 Evercore Group LLC (“Evercore”) is pleased to present to the Conflicts Committee of the Board of Directors (the “Conflicts Committee”) of GasLog Partners GP LLC, the general partner of GasLog Partners LP (the “Partnership”, “GasLog Partners” or “GLOP”) ◼ In this presentation we provide an overview of Evercore, its Maritime and Energy groups and their Special / Conflicts Committee advisory experience as well as how we would work with the Conflicts Committee in response to the unsolicited, non-binding proposal from GasLog Ltd. (the “Sponsor” or “GLOG”) to acquire all outstanding common units not owned by GLOG in exchange for the right to receive $7.70 in cash per unit, consisting in part of a special distribution by the Partnership of $2.33 per common unit (“Proposed Transaction”) ◼ Evercore is uniquely positioned to serve as financial advisor to the Conflicts Committee given its Maritime and MLP experience and significant experience advising Conflicts Committees on similar situations The Evercore team is comprised of dedicated senior professional resources to ensure that the Conflicts Committee is in a position to respond efficiently and effectively to the Transaction Our team has vast shipping, energy and MLP knowledge and M&amp;A expertise We understand the GasLog Partners’ business well and Conflicts Committee and have worked effectively with the Committee in the past Our team has worked on the most relevant comparable transactions and we have recent Conflicts Committee experience managing complex process dynamics We are independent and have no conflicts of interest Introduction Evercore is one of the leading firms advising Conflicts Committees – we deliver independent, senior judgment and high-quality execution drawing on decades of relevant experience 1</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4"/>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Mark Friedman Senior Managing Director ◼ Evercore (’09 – Present) ◼ Merrill Lynch (’05 – ’09) ◼ Goldman Sachs (’93 – ’05) ◼ Previously Head of U.S. Transportation &amp; Infrastructure at Merrill Lynch and Global Head of its Shipping Investment Banking business ◼ New York University (J.D. with Honors), Rutgers University (B.S. with Honors) John McGraw Managing Director ◼ Evercore (’13 – Present) ◼ Barclays (’11 – ’13) ◼ Advised on 50+ successful transactions, primarily focused on energy, midstream and MLPs ◼ Columbia (M.B.A.), Cornell (B.A.) This Team is Senior, Experienced and Prepared to Assist the Conflicts Committee in All Aspects of the Assignment Ray Strong Senior Managing Director ◼ Evercore (’11 – Present) ◼ Goldman Sachs (’99 – ’11) ◼ Credit Suisse First Boston (‘94 – ‘99) ◼ Previously head of midstream and downstream energy at Goldman Sachs ◼ Advised on 100+ successful transactions aggregating more than $200 billion in transaction value, primarily focused on energy and midstream ◼ Middlebury College (B.A.) Jack Eshelman Managing Director ◼ Evercore (’17 – Present) ◼ Credit Suisse (’15 – ’17) ◼ University of Virginia (M.B.A. and B.A. with Distinction) Senior Leadership Our Team’s Conflicts Committee Experience In Shipping and Energy Transactions Enbridge Energy, Partners L.P. 2</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5"/>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$130 $51 $46 $44 $44 $43 $38 $36 $34 $33 #1 Advisor to Special Committees on M&amp;A (2018 – 2022 YTD, $ in Billion) Leading Advisor to Special Committees and Boards of Directors Source: Deal Point Data as of 1/27/23 Note: Special committee assignments only includes M&amp;A transactions Experience Advising Special Committees in Some of the Largest, Most Complex Deals The leading Special Committee advisor every year since 2018 based on number of situations and/or transaction volume on its $22.6 billion sale to Michael Dell &amp; Advised The Special Committee of the Board of Directors of 2013 on its conversion to a C-Corporation and sunset of dual class structure Advised The Conflicts Committee of the Board of Directors of 2021 / 2018 on its ~$59 billion acquisition of Advised The Independent Committee of the Board of Directors of 2021 \ on its $11.6 billion sale to Advised The Special Committee of the Board of Directors of 2021 Advised on the execution of a new stockholder rights agreement The Special Committee of the Board of Directors of 2021 on its $4.3 billion take-private by Advised The Special Committee of the Board of Directors of 2022 Harold Hamm on its $7.3 billion take-private to &amp; Advised The Special Committee of the Board of Directors of 2021 2020 on its $5.0 billion sale to Global Energy &amp; Power Infrastructure Fund Advised The Special Committee of the Board of Directors of 2023 on its $7.3 billion sale to Advised The Special Committee of the Board of Directors of 3</w:t>
            </w:r>
          </w:p>
        </w:tc>
      </w:tr>
    </w:tbl>
    <w:tbl>
      <w:tblPr>
        <w:tblW w:w="16670" w:type="dxa"/>
        <w:jc w:val="center"/>
        <w:tblInd w:w="0" w:type="dxa"/>
        <w:tblCellMar>
          <w:top w:w="0" w:type="dxa"/>
          <w:left w:w="0" w:type="dxa"/>
          <w:bottom w:w="0" w:type="dxa"/>
          <w:right w:w="0" w:type="dxa"/>
        </w:tblCellMar>
      </w:tblPr>
      <w:tblGrid>
        <w:gridCol w:w="16500"/>
        <w:gridCol w:w="17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6"/>
                          <a:stretch>
                            <a:fillRect/>
                          </a:stretch>
                        </pic:blipFill>
                        <pic:spPr bwMode="auto">
                          <a:xfrm>
                            <a:off x="0" y="0"/>
                            <a:ext cx="10477500" cy="8086725"/>
                          </a:xfrm>
                          <a:prstGeom prst="rect">
                            <a:avLst/>
                          </a:prstGeom>
                        </pic:spPr>
                      </pic:pic>
                    </a:graphicData>
                  </a:graphic>
                </wp:inline>
              </w:drawing>
            </w:r>
          </w:p>
        </w:tc>
        <w:tc>
          <w:tcPr>
            <w:tcW w:w="17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Preeminent Shipping M&amp;A Advisor Evercore is the most active shipping advisor and 70% of our M&amp;A mandates have been Special Committee work 2022 Special / Conflicts Committee Assignments Special Committee on an MR dropdown from Sole Advisor 2016 Advised Special Committee on 51% FSRU dropdown from Sponsor Sole Advisor 2016 Advised Special Committee on Strategic Alternatives Sole Advisor 2016 Advised Sole Advisor 2017 on the acquisition of 9 Ultramax vessels from Greenship Bulk Trust Advised Special Committee on an Aframax dropdown from Sole Advisor 2018 Advised Special Committee on dropdown of 25% interest in FLNG Hilli from Sole Advisor 2017 Advised Special Committee on sale to Sole Advisor 2017 Advised Special Committee on 49% FSRU dropdown from Sponsor Sole Advisor 2017 Advised Conflicts Committee on GP IDR buy-in and modification Sole Advisor 2018 Advised Conflicts Committee on GP IDR elimination Sole Advisor 2019 Advised Joint Advisor 2019 on its $330mm sale of to Advised 2018 on the sale of to Advised Joint Advisor 2018 on its $1.65bn spin merger with Advised Sole Advisor 2018 on its merger with Advised Sole Advisor 2018 on its Unsolicited Proposal from Advised Joint Advisor 2018 on its acquisition of 6 VLCCs from Advised Ongoing 2022 Confidential Financial Sponsor on the sale of its Tanker Portfolio Advising Special Committee on its ~$770mm take-private transaction with Sponsor Sole Advisor Advised Special Committee on the transfer of 3 LNG carriers for ~$625mm from the Sponsor to the Partnership 2021 Advised Special Committee on the transfer of 1 LNG carrier and 3 Containerships for ~$600mm from the Sponsor to the Partnership 2022 Advised on its exploration of strategic alternatives Advised Sole Advisor 2022 on its $330mm sale of 9 Ultramax dry bulk vessels to Advised 2022 on its ~$600mm Voluntary General Offer for Sole Advisor Advised Special Committee on the transfer of 3 LNG carriers for ~$600mm from the Sponsor to the Partnership 2021 Advised Special Committee on its Unsolicited $717mm Take-Private Proposal from SPHI Holdings Sole Advisors 2019 Advised 2021 On its exploration of strategic alternatives Advised 2021 on the sale of to Advised Joint Advisor 2019 on its $127mm sale of to Advised Sole Advisor 2019 on the acquisition of 4 Ultramax vessels from Nautical Bulk Holding &amp; Funds Affiliated with Solus Asset Management Advised Conflicts Committee on its Unsolicited $4.4bn Take-Private Proposal from Sole Advisor 2019 Advised Special Committee of the Board of Directors of GasLog Ltd. on its ~$5 billion take-private transaction with 2021 Advised Conflicts Committee of the Board of Directors on its IDR elimination 2021 Advised 4</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7"/>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Total Number of Rank Firm Value Transactions 1 Citi $689 236 2 Barclays 656 198 3 Goldman Sachs 576 223 4 JP Morgan 490 215 5 Evercore 414 296 6 Morgan Stanley 342 157 7 Jefferies 314 219 8 BofA Merrill Lynch 308 144 9 Credit Suisse 282 119 10 RBC 183 215 11 Tudor Pickering 149 143 12 Lazard 147 129 Number of Total Rank Firm Transactions Value 1 Evercore 296 $414 2 Citi 236 689 3 Goldman Sachs 223 576 4 Jefferies 219 314 5 JP Morgan 215 490 6 RBC 215 183 7 Barclays 198 656 8 Morgan Stanley 157 342 9 BofA Merrill Lynch 144 308 10 Tudor Pickering 143 149 11 Piper Sandler 130 30 12 Lazard 129 147 Best-in-Class Energy Advisory Franchise 2013 – Current U.S. Energy M&amp;A Transactions 2013 – Current U.S. Energy M&amp;A Transactions Source: Bloomberg as of December 31, 2022 the Conflicts Committee of the Board of Directors of Rattler Midstream GP LLC on its merger with Advised 2022 the Conflicts Committee of Williams Partners on the acquisition of the public's 26.2% interest by 2018 Advised Second Largest 2018 U.S. Energy Transaction the Conflicts Committee of EnLink Midstream Partners on its $13.1 billion merger with EnLink Midstream, LLC 2018 Advised Fourth Largest 2018 U.S. Energy Transaction on its $1.6 billion acquisition of 2018 Advised Sixth Largest 2018 U.S. Upstream Transaction Largest 2019 Energy Transaction on its $57 billion sale to 2019 Advised on its $10.3 billion take-private acquisition of 2019 Advised Third Largest 2019 Energy Transaction the Conflicts Committee of Tallgrass Energy GP, LLC on its $9.8 billion take-private by Advised 2019 Fifth Largest 2019 Energy Transaction on its $3.55 billion acquisition of Advised 2022 Largest 2022 Midstream Transaction 2022 Advised on its $1.3bn combination with to form publicly traded the Conflicts Committee of EQM on its $11.2 billion acquisition by Advised 2020 on its $2.2 billion sale to 2021 Advised on its acquisition of restructured 2021 Advised on its $900 million sale of Williston Basin assets to 2021 Advised on its $20 billion all-stock combination with Advised 2021 Second Largest 2021 Energy Transaction the Conflicts Committee of the Board of Directors of Phillips 66 GP LLC on its $3.4 billion merger with 2022 Advised on its $190 million acquisition of Advised 2022 on its $2.0 billion acquisition of the remaining publicly-traded units of Advised 2022 on its $3.0 billion sale of Eagle Ford assets to Advised 2022 the Special Committee of the Board of Directors of Continental Resources Inc. on its $33.1 billion take-private acquisition by Advised 2022 The Hamm Family on its $165 million sale of gathering and processing assets in the DJ Basin to Advised 2022 the Special Committee of the Board of Directors of DCP Midstream GP, LLC on its merger with 2023 Advising on its acquisition of the remaining publicly-traded units of Advised 2022 the Conflicts Committee of the Board of Directors of NextEra Energy Partners LP on its $805 million acquisition of assets from 2022 Advised on their Spin-Off from 2023 Advised ($ in billions) 5</w:t>
            </w:r>
          </w:p>
        </w:tc>
      </w:tr>
    </w:tbl>
    <w:tbl>
      <w:tblPr>
        <w:tblW w:w="16670" w:type="dxa"/>
        <w:jc w:val="center"/>
        <w:tblInd w:w="0" w:type="dxa"/>
        <w:tblCellMar>
          <w:top w:w="0" w:type="dxa"/>
          <w:left w:w="0" w:type="dxa"/>
          <w:bottom w:w="0" w:type="dxa"/>
          <w:right w:w="0" w:type="dxa"/>
        </w:tblCellMar>
      </w:tblPr>
      <w:tblGrid>
        <w:gridCol w:w="16500"/>
        <w:gridCol w:w="17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8"/>
                          <a:stretch>
                            <a:fillRect/>
                          </a:stretch>
                        </pic:blipFill>
                        <pic:spPr bwMode="auto">
                          <a:xfrm>
                            <a:off x="0" y="0"/>
                            <a:ext cx="10477500" cy="8086725"/>
                          </a:xfrm>
                          <a:prstGeom prst="rect">
                            <a:avLst/>
                          </a:prstGeom>
                        </pic:spPr>
                      </pic:pic>
                    </a:graphicData>
                  </a:graphic>
                </wp:inline>
              </w:drawing>
            </w:r>
          </w:p>
        </w:tc>
        <w:tc>
          <w:tcPr>
            <w:tcW w:w="17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Leading MLP Advisor for Buy-Ins, Mergers and Take-Privates Note: Highlighted transactions indicate Evercore involvement Evercore has Advised on Approximately 70% of Announced MLP Buy-ins / Take-Privates Since 2019 Date Acquiror(s) Target Evercore's Role Jan-23 Phillips 66 DCP Midstream, LP Evercore advised DCP committee Oct-22 The Hamm Family Continental Resources, Inc. Evercore advised CLR committee Jul-22 PBF Energy, Inc. PBF Logistics LP None Jul-22 Shell USA, Inc. Shell Midstream Partners, L.P. Evercore advised Shell USA, Inc. Jun-22 Hartree Partners, LP Sprague Resources LP Evercore advised Hartree Partners, LP May-22 Höegh LNG Holdings Ltd Höegh LNG Partners LP Evercore advised HMLP committee May-22 Diamondback Energy Rattler Midstream LP Evercore advised RTLR committee Apr-22 Ergon, Inc. Blueknight Energy Partners, L.P. Evercore advised BKEP committee Dec-21 BP p.l.c. BP Midstream Partners LP None Oct-21 Phillips 66 Phillips 66 Partners LP Evercore advised PSXP committee Oct-21 Stonepeak Infrastructure Partners Teekay LNG Partners LP None Aug-21 Landmark Dividend LLC Landmark Infrastructure Partners LP Evercore advised LMRK committee Mar-21 Chevron Corporation Noble Midstream Partners LP None Feb-21 BlackRock Global Energy &amp; Power Infrastructure Fund GasLog Ltd. Evercore advised GLOG committee Dec-20 TC Energy Corporation TC PipeLines, LP Evercore advised TCP committee Jul-20 CNX Resources Corporation CNX Midstream Partners LP None Feb-20 Equitrans Midstream Corporation EQM Midstream Partners, LP Evercore advised EQM committee Dec-19 Blackstone Infrastructure Partners, Enagas, GIC, NPS and USS Tallgrass Energy LP Evercore advised TGE committee May-19 IFM Investors Pty Ltd Buckeye Partners LP Evercore advised IFM Apr-19 UGI Corporation AmeriGas Partners LP None Mar-19 ArcLight Energy Partners Fund VI, L.P. American Midstream Partners LP Evercore advised AMID committee Feb-19 SunCoke Energy, Inc. SunCoke Energy Partners LP Evercore advised SXC 6</w:t>
            </w:r>
          </w:p>
        </w:tc>
      </w:tr>
    </w:tbl>
    <w:tbl>
      <w:tblPr>
        <w:tblW w:w="16685" w:type="dxa"/>
        <w:jc w:val="center"/>
        <w:tblInd w:w="0" w:type="dxa"/>
        <w:tblCellMar>
          <w:top w:w="0" w:type="dxa"/>
          <w:left w:w="0" w:type="dxa"/>
          <w:bottom w:w="0" w:type="dxa"/>
          <w:right w:w="0" w:type="dxa"/>
        </w:tblCellMar>
      </w:tblPr>
      <w:tblGrid>
        <w:gridCol w:w="16500"/>
        <w:gridCol w:w="18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9"/>
                          <a:stretch>
                            <a:fillRect/>
                          </a:stretch>
                        </pic:blipFill>
                        <pic:spPr bwMode="auto">
                          <a:xfrm>
                            <a:off x="0" y="0"/>
                            <a:ext cx="10477500" cy="8086725"/>
                          </a:xfrm>
                          <a:prstGeom prst="rect">
                            <a:avLst/>
                          </a:prstGeom>
                        </pic:spPr>
                      </pic:pic>
                    </a:graphicData>
                  </a:graphic>
                </wp:inline>
              </w:drawing>
            </w:r>
          </w:p>
        </w:tc>
        <w:tc>
          <w:tcPr>
            <w:tcW w:w="18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Cross-Functional and Collaborative Team with Robust Experience Across the LNG Value Chain 1. In affiliation with Luminis Partners Advising Special Committee on its ~$770mm take-private transaction with Sponsor on its $471 million debt financing Advised the Special Committee of the Board of Directors of GasLog Ltd. on its ~$4.9 billion take private transaction with Advised the Conflicts Committee of the Board of Directors of Capital Product Partners L.P. on exercising its option to acquire $625mm of LNG carriers Advised the Conflicts Committee of the Board of Directors of Capital Product Partners L.P. on its $600mm acquisition of LNG carriers Advised the Conflicts Committee of the Board of Directors of Höegh LNG Partners on the re-chartering of the Gallant FSRU Advised the Board of Directors of Cheniere Energy, Inc Advised New Fortress Energy on its $250mm Senior Secured Notes Re-Tap Advised New Fortress Energy on its $1.0bn Senior Secured Notes Offering Conflicts Committee of the Board of Directors on its $36 million private placement purchased by GasLog’s directors and affiliates Conflicts Committee on GP IDR elimination Advised Anadarko on its $57 billion sale to Occidental Petroleum including Anadarko’s Mozambique LNG Project Advised New Fortress Energy on its $297 million Initial Public Offering Advised the Conflicts Committee of the Board of Directors of GasLog Partners LP on its modification of incentive distribution rights for $25 million Advised the Special Committee of Höegh LNG Partners LP on the acquisition of a 49% stake in the Hoegh Grace, an FSRU Advised the Conflicts Committee of Golar LNG on the acquisition of a 50% interest in Hilli Episeyo, floating liquefied natural gas facility for $658 million Advised Kosmos on the $916m farm-out of its Mauritania and Senegal assets to BP (pre FID FLNG project) Advised the Special Committee of Höegh LNG Partners LP on the acquisition of a 51% stake in the Höegh Grace, an FSRU Advised the Conflicts Committee of Cheniere Energy Partners GP, LLC with respect to Certain Liquefaction Contracts with Cheniere Marketing Conflicts Committee of the Board of Directors on the modification of the incentive distribution rights Advised NewAge on its $425m debt capital raise, arranged with EIG, Africa Finance Corp &amp; ADIC (multiple potential FLNG developments) Advised Oil Search on its defense of an unsolicited $8 bn offer from Woodside Energy1 Advised NYK Line on a strategic LNG project investment Advised Gas Log Partners as Co-structuring advisor / joint Bookrunner on its $176 million Initial Public Offering Advised Ophir on the $1.3bn sale of a 20% stake in Tanzanian Blocks 1, 3 &amp; 4 to Pavilion Energy (pre FID onshore LNG project) Broussard, Doornbos and Hebert Families Advised the Broussard, Doornbos and Hebert families with respect to the sale of approximately 280 acres in Sabine Pass, Texas to ExxonMobil for Conversion of Golden Pass LNG Import Terminal to a Liquefaction Facility Advised the Conflicts Committee of the General Partner of Energy Transfer Partners, L.L.C. and rendered a fairness opinion on ETE’s acquisition of Trunkline LNG Company in exchange for 18.71 million ETP common units owned by ETE Advised IFM on its investment of approximately $1.3 billion of equity funding for Freeport LNG’s proposed natural gas liquefaction and LNG loading facility Advised Excelerate Energy with respect to its Port Lavaca Floating LNG Facility Advised the Conflicts Committee of Cheniere Energy Partners on the $480 million acquisition of Cheniere Creole Trail Pipeline, and the issuance of 33.3 million Class B PIK Units to Cheniere Energy, Inc. for $500 million Strategic alternatives review for Golar LNG resulting in structuring advisor role for $311 million IPO of Golar LNG Partners LP Advised the Conflicts Committee of Cheniere with respect to transfer of a 2.0 Bcfd Terminal Use Agreement from Cheniere Energy, Inc. 2022 2022 2021 2021 2021 2021 2020 2020 2020 2020 2019 2019 2019 2018 2017 2017 2016 2016 2016 2016 2016 2016 2015 2014 2014 2014 2013 2013 2012 2012 2011 2010 Special / Conflicts Committee Assignments 7</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30"/>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Evercore Has Proven Results as Conflicts Committee Advisor Demonstrated record of improving offer price $4.25 $9.25 Initial Final $3.32 $5.80 Initial Final $4.00 $5.25 Initial Final $1.05 $1.55 Initial Final $34.75 $41.75 Initial Final $70.00 $74.28 Initial Final $3.25 $4.65 Initial Final $13.00 $16.50 Initial Final 118% 75% 31% 48% 20% 6% 43% 27% Other Relevant Transactions (100% Cash) Relevant Shipping Transactions % Initial to Final Improvement 135% % Premium to Unaffected 17% 66% 28% 20% 15% 52% 38% SPII Holdings Harald Hamm 8</w:t>
            </w:r>
          </w:p>
        </w:tc>
      </w:tr>
    </w:tbl>
    <w:tbl>
      <w:tblPr>
        <w:tblW w:w="16685" w:type="dxa"/>
        <w:jc w:val="center"/>
        <w:tblInd w:w="0" w:type="dxa"/>
        <w:tblCellMar>
          <w:top w:w="0" w:type="dxa"/>
          <w:left w:w="0" w:type="dxa"/>
          <w:bottom w:w="0" w:type="dxa"/>
          <w:right w:w="0" w:type="dxa"/>
        </w:tblCellMar>
      </w:tblPr>
      <w:tblGrid>
        <w:gridCol w:w="16500"/>
        <w:gridCol w:w="18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31"/>
                          <a:stretch>
                            <a:fillRect/>
                          </a:stretch>
                        </pic:blipFill>
                        <pic:spPr bwMode="auto">
                          <a:xfrm>
                            <a:off x="0" y="0"/>
                            <a:ext cx="10477500" cy="8086725"/>
                          </a:xfrm>
                          <a:prstGeom prst="rect">
                            <a:avLst/>
                          </a:prstGeom>
                        </pic:spPr>
                      </pic:pic>
                    </a:graphicData>
                  </a:graphic>
                </wp:inline>
              </w:drawing>
            </w:r>
          </w:p>
        </w:tc>
        <w:tc>
          <w:tcPr>
            <w:tcW w:w="18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Höegh LNG Partners LP Take-Private by Höegh LNG Holdings ◼ On 7/27/21, Höegh LNG Partners LP (“HMLP”) announced an arbitration dispute regarding the FSRU Lampung’s charter with PGN and slashed quarterly distributions from $0.44 to $0.01 per common unit The partnership’s common unit price dropped 65% ◼ On 12/3/21, following a $3.93, all-time low common unit closing price, Höegh LNG Holdings (“HLNG” or the “Sponsor”) submits a non-binding offer to acquire all remaining common units at a $4.25 offer price Given the tenuous base for PGN’s claims, this opportunistic offer followed months of inadequate investor communication on the Lampung, which comprised 36% of appraised fleet value1 ◼ Evercore intermediated negotiations with the Sponsor and on 5/25/22, HMLP announced that it had reached an agreement to be taken private by HLNG for $9.25 per unit The $9.25 consideration represents a 118% increase over HLNG’s initial offer, a 135% premium to the unaffected unit price, a 35% premium to HMLP’s closing unit price on May 24, 2022 and a 39% premium to the 30-day volume-weighted average price per unit Source: Partnership materials, FactSet (as of 5/25/22), Bloomberg (as of 5/25/22) 1. Based on May 2022 charter-free appraisals per Fearnleys and Breamar Transaction Summary Evercore’s Role in Driving Transaction Value Unit Performance From Initial Offer to Final Agreement $8.99 $2.00 $4.00 $6.00 $8.00 $10.00 12/3/21 12/31/21 1/29/22 2/27/22 3/28/22 4/26/22 5/25/22 $4.25 Initial Offer (12/6/21) $9.25 Merger Consideration (12/6/21) Evercore served as exclusive financial advisor to the Conflicts Committee of the Board of Directors of HMLP Originally, the Sponsor and Management team forecasted a base case but had a number of sensitivity cases which had significant downside. The Sponsor placed equal weightings across the various cases which produced low values In conducting diligence, Management placed lower weight on some of the more severe downside cases. As we negotiated for greater value for unitholders, we successfully argued that more weight should be placed on the base case, which enhanced the value of the DCF and other metrics Following the beginning of the Ukraine war, the Sponsor and Management team did not materially modify their cases despite changes in the market Evercore requested that the Special Committee engage an expert that provided a report on charter rates upon remarketing or rechartering the vessels The Sponsor’s initial proposal represented a low Transaction Value multiple relative to key precedent transactions The agreed price was more in line with key maritime MLP precedent transactions 9</w:t>
            </w:r>
          </w:p>
        </w:tc>
      </w:tr>
    </w:tbl>
    <w:tbl>
      <w:tblPr>
        <w:tblW w:w="16685" w:type="dxa"/>
        <w:jc w:val="center"/>
        <w:tblInd w:w="0" w:type="dxa"/>
        <w:tblCellMar>
          <w:top w:w="0" w:type="dxa"/>
          <w:left w:w="0" w:type="dxa"/>
          <w:bottom w:w="0" w:type="dxa"/>
          <w:right w:w="0" w:type="dxa"/>
        </w:tblCellMar>
      </w:tblPr>
      <w:tblGrid>
        <w:gridCol w:w="16500"/>
        <w:gridCol w:w="18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32"/>
                          <a:stretch>
                            <a:fillRect/>
                          </a:stretch>
                        </pic:blipFill>
                        <pic:spPr bwMode="auto">
                          <a:xfrm>
                            <a:off x="0" y="0"/>
                            <a:ext cx="10477500" cy="8086725"/>
                          </a:xfrm>
                          <a:prstGeom prst="rect">
                            <a:avLst/>
                          </a:prstGeom>
                        </pic:spPr>
                      </pic:pic>
                    </a:graphicData>
                  </a:graphic>
                </wp:inline>
              </w:drawing>
            </w:r>
          </w:p>
        </w:tc>
        <w:tc>
          <w:tcPr>
            <w:tcW w:w="18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Why Evercore? Evercore is uniquely positioned to assist the Conflicts Committee of GasLog Partners, bringing together extensive experience advising Committees on complex transactions and extensive MLP capabilities Areas of Interest Evercore Delivers Extensive Experience Advising Committees Unmatched Experience in Representing Conflicts Committees ■ Provided unconflicted and independent opinions on over 450 transactions with aggregate transaction value of over $1.8 trillion since 2012 ■ Specific team of senior bankers within Evercore with decades of M&amp;A experience provide Conflicts Committee process oversight and discipline Leading Energy and Maritime MLP Advisor Strong Dedicated Energy and Maritime MLP Team and Franchise ■ Leading energy advisory practice having completed 296 transactions totaling $414 billion since January 1, 2013 ■ In the Maritime sector, Evercore has advised over 17 Special / Conflicts Committees since 2009, including, most recently, Höegh LNG Partners, Teekay Offshore Partners, Capital Products Partners, GasLog Partners, DryShips, Global Ship Lease and Tanker Investments Ltd ■ Leading energy industry fairness opinion experience, having delivered 145 MLP fairness opinions in transactions representing over $225 billion in value since 2012 alone ■ 70% market share in MLP Buy-ins / Take-Private transactions since 2019 Process Considerations Understanding of Process and Required Thoroughness of Deliberations ■ Large, highly-experienced team with senior dedication and leading MLP expertise ■ Flexibility in form of fairness opinion ■ Transparent communication with Conflicts Committee Evercore can be eyes and ears, with early and often communication regarding findings, valuation and negotiation ■ Understanding of process: requirement for diligence, analysis and documentation Independence No Conflicts of Interest ■ Independent team, no conflicts Dedicated Senior Team Experienced Core Team Able to Draw on the Full Capabilities of the Firm ■ Fully committed team, with extensive experience with the GLOP Conflicts Committee, involved in all aspects of the transaction Members of this team have advised the independent committees on the following MLP buy-in transactions: DCP Midstream, Phillips 66 Partners, Höegh LNG Partners, Teekay Offshore Partners and Blueknight Energy Partners, among others ■ Senior level focus to ensure high level of execution 10</w:t>
            </w:r>
          </w:p>
        </w:tc>
      </w:tr>
    </w:tbl>
    <w:tbl>
      <w:tblPr>
        <w:tblW w:w="16625" w:type="dxa"/>
        <w:jc w:val="center"/>
        <w:tblInd w:w="0" w:type="dxa"/>
        <w:tblCellMar>
          <w:top w:w="0" w:type="dxa"/>
          <w:left w:w="0" w:type="dxa"/>
          <w:bottom w:w="0" w:type="dxa"/>
          <w:right w:w="0" w:type="dxa"/>
        </w:tblCellMar>
      </w:tblPr>
      <w:tblGrid>
        <w:gridCol w:w="16500"/>
        <w:gridCol w:w="12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33"/>
                          <a:stretch>
                            <a:fillRect/>
                          </a:stretch>
                        </pic:blipFill>
                        <pic:spPr bwMode="auto">
                          <a:xfrm>
                            <a:off x="0" y="0"/>
                            <a:ext cx="10477500" cy="8086725"/>
                          </a:xfrm>
                          <a:prstGeom prst="rect">
                            <a:avLst/>
                          </a:prstGeom>
                        </pic:spPr>
                      </pic:pic>
                    </a:graphicData>
                  </a:graphic>
                </wp:inline>
              </w:drawing>
            </w:r>
          </w:p>
        </w:tc>
        <w:tc>
          <w:tcPr>
            <w:tcW w:w="12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II. Situation Overview</w:t>
            </w:r>
          </w:p>
        </w:tc>
      </w:tr>
    </w:tbl>
    <w:tbl>
      <w:tblPr>
        <w:tblW w:w="16685" w:type="dxa"/>
        <w:jc w:val="center"/>
        <w:tblInd w:w="0" w:type="dxa"/>
        <w:tblCellMar>
          <w:top w:w="0" w:type="dxa"/>
          <w:left w:w="0" w:type="dxa"/>
          <w:bottom w:w="0" w:type="dxa"/>
          <w:right w:w="0" w:type="dxa"/>
        </w:tblCellMar>
      </w:tblPr>
      <w:tblGrid>
        <w:gridCol w:w="16500"/>
        <w:gridCol w:w="18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4"/>
                          <a:stretch>
                            <a:fillRect/>
                          </a:stretch>
                        </pic:blipFill>
                        <pic:spPr bwMode="auto">
                          <a:xfrm>
                            <a:off x="0" y="0"/>
                            <a:ext cx="10477500" cy="8086725"/>
                          </a:xfrm>
                          <a:prstGeom prst="rect">
                            <a:avLst/>
                          </a:prstGeom>
                        </pic:spPr>
                      </pic:pic>
                    </a:graphicData>
                  </a:graphic>
                </wp:inline>
              </w:drawing>
            </w:r>
          </w:p>
        </w:tc>
        <w:tc>
          <w:tcPr>
            <w:tcW w:w="18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$6.78 $6.79 $7.51 $7.51 $7.15 $5.56 Unaffected Price (1/24/23) 10-Day 30-Day 60-Day 90-Day 52-Week Offer Price: $7.70 Situation Overview Proposal Summary Key Terms Offer Price Analysis Volume-Weighted Average Price 10.3% 13.6% 13.4% 2.5% 6.1x 7.9x 6.2x 8.1x 2023E 2024E Unaffected Trading Multiple (as of 1/24/23) Implied Transaction Multiple 7.7% Premium / (Discount) Buyer ◼ GasLog Ltd. 31.9% Seller ◼ GasLog Partners LP’s unaffiliated unitholders Total Consideration ◼ $7.70 per Common Unit, consisting of $5.37 cash and $2.33 special distribution for each Common Unit not owned by GasLog Ltd. Other ◼ Subject to approval of Conflicts Committee ◼ Subject to approval of a simple majority of common unitholders No “majority of the minority” (we recommend asking for this provision) ◼ No financing contingency ◼ Class B units to be cancelled immediately prior to the transaction ◼ Other customary closing conditions Research Multiples and Commentary “At a ~6x EBITDA multiple, we see potential upside… but we think it likely caps out around $9 / unit. We don't see any other bidders coming in, but we don't see a reason to sell the company for $7.70/unit either” Source: Wall Street research Note: Figures based on Stifel (1/26/23) EBITDA estimates TEV / EBITDA1 Marginal multiple expansion at 10% offer premium Declining forecasted cash flows drive higher multiples 11</w:t>
            </w:r>
          </w:p>
        </w:tc>
      </w:tr>
    </w:tbl>
    <w:tbl>
      <w:tblPr>
        <w:tblW w:w="16670" w:type="dxa"/>
        <w:jc w:val="center"/>
        <w:tblInd w:w="0" w:type="dxa"/>
        <w:tblCellMar>
          <w:top w:w="0" w:type="dxa"/>
          <w:left w:w="0" w:type="dxa"/>
          <w:bottom w:w="0" w:type="dxa"/>
          <w:right w:w="0" w:type="dxa"/>
        </w:tblCellMar>
      </w:tblPr>
      <w:tblGrid>
        <w:gridCol w:w="16500"/>
        <w:gridCol w:w="17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5"/>
                          <a:stretch>
                            <a:fillRect/>
                          </a:stretch>
                        </pic:blipFill>
                        <pic:spPr bwMode="auto">
                          <a:xfrm>
                            <a:off x="0" y="0"/>
                            <a:ext cx="10477500" cy="8086725"/>
                          </a:xfrm>
                          <a:prstGeom prst="rect">
                            <a:avLst/>
                          </a:prstGeom>
                        </pic:spPr>
                      </pic:pic>
                    </a:graphicData>
                  </a:graphic>
                </wp:inline>
              </w:drawing>
            </w:r>
          </w:p>
        </w:tc>
        <w:tc>
          <w:tcPr>
            <w:tcW w:w="17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Source: Partnership website and filings, Wall Street research, FactSet and Bloomberg (as of 1/24/23) Note: GLOP EBITDA estimates represent Stifel (1/26/23) estimates ◼ Proposal appears low, all else equal, based on premium, precedent multiples and peer multiples ◼ Although outside-in valuation is difficult given S&amp;P illiquidity and recent sales of older vessels, the offer appears to represent a discount to NAV ◼ No “majority of the minority provision” (we recommend asking for this provision) ◼ Significant portion of equity consideration is funded by GLOP balance sheet cash How can cash be deployed on a go-forward basis ◼ No financing contingency ◼ Likely limited execution and diligence risk given GLOG insight into GLOP ◼ GLOP’s balance sheet has improved and industry fundamentals are stronger but Marine MLPs have underperformed with limited investor interest Situation Overview 13.4% 23.8% Proposal Precedent Transactions Observations Evaluation Process 6.2x 8.3x Proposal Precedent Transactions Observations and Initial Evaluation of Proposal ◼ DCF analysis based on management forecast and any sensitivity cases (with focus on appropriate cost of capital) ◼ NAV analysis based on recent appraisals (charter-free and charter-adjusted) ◼ Comparable trading multiples-based analysis utilizing management forecast and any sensitivity thereto Review of MLP and C-Corp peers ◼ Multiples paid in similar transactions ◼ Review of premiums paid in other similar transaction Proposal in Context 6.2x 8.1x 7.3x 6.9x 2023E Multiple 2024E Multiple Trading Multiples: TEV / EBITDA Precedents: LTM EBITDA Premiums Paid: 30-Day VWAP Proposal Peer / Precedent Average 12 ’24 Multiple likely overstated as rates and re-chartering activity expected to remain firm in 2024</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6"/>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Situation Overview GLOP trades at a discount to peers on a 2023 basis EV / EBITDA Multiples (as of 1/24/23 Unaffected Date) 6.10x 10.37x 9.07x 8.16x 7.05x 5.70x 3.29x 7.90x 10.20x 7.70x 8.49x 6.04x 5.09x 3.85x EV / 2023E EBITDA EV / 2024E EBITDA 2023E 2024E Mean 7.3x 6.9x Median 7.6x 6.9x Source: Partnership website and filings, Wall Street research, FactSet (as of 1/24/23) Note: GLOP EBITDA estimates represent Stifel (1/26/23) estimates 1. Undisclosed 2. Based on Stifel research (1/24/23) 1.7 N/A 1.8 8.0 6.6 1 3.8 6.6 Charter Duration (Yrs.) 2 ’24 Multiple likely overstated as rates and re-chartering activity expected to remain firm in 2024 13</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7"/>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Situation Overview Selected precedent transactions ($ in millions) Source: Public filings, press releases, investor presentations, FactSet, CapitalIQ, Wall Street research, Evercore estimates LNG Average: 8.3x All Transactions Average: 7.5x For Reference Only Target GCI Global Ship Lease CPLP DryShips Teekay Offshore Diamond S Shipping Golar LNG Partners GasLog Teekay LNG Partners Höegh LNG Holdings Ltd. Acquiror Seaspan Poseidon Containers Diamond S SPII Holdings Brookfield International Seaways New Fortress Energy BlackRock Stonepeak Limestone Höegh LNG Partners LP Transaction Value $1,600 $465 $525 $76 $171 $1,015 $1,918 $4,857 $6,160 $773 Consideration Structure Mixed Stock Stock Cash Cash Stock Mixed Cash Cash Cash 9.4x 4.2x 7.4x 10.8x 5.4x 5.0x 6.3x 10.6x 8.6x 7.7x 3/14/18 10/29/18 11/27/18 8/19/19 10/1/19 3/31/21 1/13/21 2/22/21 10/4/21 5/25/22 Shipping Transaction LNG Transaction 14</w:t>
            </w:r>
          </w:p>
        </w:tc>
      </w:tr>
    </w:tbl>
    <w:tbl>
      <w:tblPr>
        <w:tblW w:w="16685" w:type="dxa"/>
        <w:jc w:val="center"/>
        <w:tblInd w:w="0" w:type="dxa"/>
        <w:tblCellMar>
          <w:top w:w="0" w:type="dxa"/>
          <w:left w:w="0" w:type="dxa"/>
          <w:bottom w:w="0" w:type="dxa"/>
          <w:right w:w="0" w:type="dxa"/>
        </w:tblCellMar>
      </w:tblPr>
      <w:tblGrid>
        <w:gridCol w:w="16500"/>
        <w:gridCol w:w="18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8"/>
                          <a:stretch>
                            <a:fillRect/>
                          </a:stretch>
                        </pic:blipFill>
                        <pic:spPr bwMode="auto">
                          <a:xfrm>
                            <a:off x="0" y="0"/>
                            <a:ext cx="10477500" cy="8086725"/>
                          </a:xfrm>
                          <a:prstGeom prst="rect">
                            <a:avLst/>
                          </a:prstGeom>
                        </pic:spPr>
                      </pic:pic>
                    </a:graphicData>
                  </a:graphic>
                </wp:inline>
              </w:drawing>
            </w:r>
          </w:p>
        </w:tc>
        <w:tc>
          <w:tcPr>
            <w:tcW w:w="18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Situation Overview Source: Bloomberg, FactSet, Public filings 1. VWAP premiums paid are calculated by dividing the value of the offer, defined as the exchange ratio multiplied by the closing price of the acquiror’s shares / units on the last trading day prior to announcement plus any cash received, by the 30 VWAP of the target as calculated from the last undisturbed trading day prior to the announcement Premium1 Date 1-Day 30-Day Announced Acquiror / Target Consideration Prior Spot VWAP 01/06/23 Phillips 66 / DCP Midstream, LP Cash-for-Unit 20.1% 28.5% 07/28/22 PBF Energy, Inc. / PBF Logistics LP Cash/Stock-for-Unit (3.0%) 13.4% 07/25/22 Shell USA, Inc. / Shell Midstream Partners, L.P. Cash-for-Unit 23.0% 24.7% 06/02/22 Hartree Partners, LP / Sprague Resources LP Cash-for-Unit 25.2% 24.1% 05/25/22 Höegh LNG Holdings Ltd / Höegh LNG Partners LP Cash-for-Unit 35.0% 39.4% 05/16/22 Diamondback Energy / Rattler Midstream LP Stock-for-Unit 17.3% 8.7% 04/22/22 Ergon, Inc. / Blueknight Energy Partners, L.P. Cash-for-Unit 51.5% 46.8% 12/20/21 BP p.l.c / BP Midstream Partners LP Stock-for-Unit 10.8% 3.0% 10/27/21 Phillips 66 / Phillips 66 Partners LP Stock-for-Unit 4.8% 10.6% 10/04/21 Stonepeak Infrastructure Partners / Teekay LNG Partners LP Cash-for-Unit 8.3% 7.6% 08/23/21 Landmark Dividend / Landmark Infrastructure Partners LP Cash-for-Unit 38.4% 35.6% 03/05/21 Chevron Corporation / Noble Midstream Partners LP Stock-for-Unit 16.7% 23.5% 12/15/20 TC Energy Corporation / TC PipeLines, LP Stock-for-Unit 19.5% 10.0% 07/27/20 CNX Resources Corporation / CNX Midstream Partners Stock-for-Unit 28.1% 16.1% 02/27/20 Equitrans Midstream Corporation / EQM Midstream Partners, LP Stock-for-Unit (1.5%) (11.2%) 12/17/19 Blackstone Infrastructure Partners / Tallgrass Energy LP Cash-for-Unit 56.4% 22.7% 10/01/19 Brookfield Business Partners L.P. / Teekay Offshore Partners L.P. Cash-for-Unit 28.1% 9.8% 09/16/19 Energy Transfer LP / SemGroup Corporation Cash/Unit-for-Share 65.4% 80.9% 08/21/19 Pembina Pipeline Corporation / Kinder Morgan Canada Limited Share-for-Share 37.7% 32.5% 05/10/19 IFM Investors / Buckeye Partners, L.P. Cash-for-Unit 27.5% 22.9% 05/08/19 MPLX LP / Andeavor (Marathon Petroleum Corporation; Andeavor Logistics LP) Unit-for-Unit 1.8% 0.5% 04/02/19 UGI Corporation / AmeriGas Partners, L.P. Cash/Stock-for-Unit 13.5% 22.2% 03/18/19 ArcLight Energy Partners Fund V, L.P. / American Midstream, LP Cash-for-Unit 31.2% 32.0% 02/05/19 SunCoke Energy, Inc. / SunCoke Energy Partners, L.P. Stock-for-Unit 9.3% 29.9% 11/26/18 ArcLight Energy Partners Fund VI, L.P. / TransMontaigne Partners L.P. Cash-for-Unit 12.6% 8.6% 11/08/18 Western Gas Equity Partners, LP / Western Gas Partners, LP Unit-for-Unit 7.6% 13.8% 10/22/18 EnLink Midstream, LLC / EnLink Midstream Partners, LP Unit-for-Unit 1.1% (0.6%) 10/18/18 Valero Energy Corporation / Valero Energy Partners LP Cash-for-Unit 6.0% 11.9% 10/09/18 Antero Midstream GP LP / Antero Midstream Partners LP Cash/Stock-for-Unit 63.7% 6.6% Min (3.0%) (11.2%) Median 19.5% 15.0% Mean 22.6% 19.5% Max 65.4% 80.9% Min 6.0% 7.6% Median 27.5% 23.5% Mean 28.0% 23.8% Max 56.4% 46.8% All Transactions Cash-for-Unit Precedent MLP premiums paid 15</w:t>
            </w:r>
          </w:p>
        </w:tc>
      </w:tr>
    </w:tbl>
    <w:tbl>
      <w:tblPr>
        <w:tblW w:w="16670" w:type="dxa"/>
        <w:jc w:val="center"/>
        <w:tblInd w:w="0" w:type="dxa"/>
        <w:tblCellMar>
          <w:top w:w="0" w:type="dxa"/>
          <w:left w:w="0" w:type="dxa"/>
          <w:bottom w:w="0" w:type="dxa"/>
          <w:right w:w="0" w:type="dxa"/>
        </w:tblCellMar>
      </w:tblPr>
      <w:tblGrid>
        <w:gridCol w:w="16500"/>
        <w:gridCol w:w="17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9"/>
                          <a:stretch>
                            <a:fillRect/>
                          </a:stretch>
                        </pic:blipFill>
                        <pic:spPr bwMode="auto">
                          <a:xfrm>
                            <a:off x="0" y="0"/>
                            <a:ext cx="10477500" cy="8086725"/>
                          </a:xfrm>
                          <a:prstGeom prst="rect">
                            <a:avLst/>
                          </a:prstGeom>
                        </pic:spPr>
                      </pic:pic>
                    </a:graphicData>
                  </a:graphic>
                </wp:inline>
              </w:drawing>
            </w:r>
          </w:p>
        </w:tc>
        <w:tc>
          <w:tcPr>
            <w:tcW w:w="17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 Significant scale as a large LNGC owners ◼ Public listing ◼ Strong LNGC market backdrop and better prospects for the fleet ◼ Strong cash flow visibility through 2023 ◼ Charters expiring in 2023 largely rolling off in seasonally strong winter ◼ FSRU conversion for 145k cbm steam vessel as part of the Venice Energy project represents first meaningful growth project since onset of COVID-19 and provides meaningful long-term contracted cash flow Situation Overview Strengths Weaknesses ◼ Limited investor research ◼ Limited trading liquidity ◼ Nominal distribution (subject to diligence on balance sheet and cash flows to understand ability to reinstate meaningful distribution) ◼ Significant spot exposure after 2023 ◼ Older fleet with less attractive ESG characteristics Significant uncertainty on steam vessels Opportunities ◼ Significant projected near-term debt paydown and preferred unit repurchases through organic cash flow ◼ Utilize balance sheet cash to enhance scale of fleet through opportunistic vessel acquisitions ◼ Return capital to shareholders through buybacks or restoration of distribution ◼ Potential FSRU conversion of steam vessels Threats ◼ Increasing investor ESG focus pushes LNG out of favor ◼ Accelerating orderbook hurts spot market rates ◼ Dwindling investor interest and research coverage cause stock to languish, setting up potential takeover at less favorable price when industry conditions weaken GasLog Partners Strengths and Weaknesses 16</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40"/>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Situation Overview The LNGC market remains favorable as charterers seek cover amongst limited vessel availability Source: Clarksons LNGC Time Charter and Spot Rates $210,000 $94,750 $140,000 $62,500 $ - $100,000 $200,000 $300,000 $400,000 $500,000 $600,000 1/1/21 6/1/21 10/30/21 3/30/22 8/28/22 1/27/23 174K CBM 1YR TC 174K CBM Spot 160K CBM 1YR TC 160K CBM Spot ◼ Although charter and spot rates have come down from historical highs in fall, driven by concerns around European energy security, consensus is building around sustained strength in the market ◼ Fewer than 20 vessels available for term business in 2023 Charterers hesitant to release vessels, leading to significant option period pickup GasLog Partners vessels primarily rolling off in the strong winter quarter, leading to a favorable outlook for 2024 coverage at attractive rates Assessment of Market Conditions 17</w:t>
            </w:r>
          </w:p>
        </w:tc>
      </w:tr>
    </w:tbl>
    <w:tbl>
      <w:tblPr>
        <w:tblW w:w="16670" w:type="dxa"/>
        <w:jc w:val="center"/>
        <w:tblInd w:w="0" w:type="dxa"/>
        <w:tblCellMar>
          <w:top w:w="0" w:type="dxa"/>
          <w:left w:w="0" w:type="dxa"/>
          <w:bottom w:w="0" w:type="dxa"/>
          <w:right w:w="0" w:type="dxa"/>
        </w:tblCellMar>
      </w:tblPr>
      <w:tblGrid>
        <w:gridCol w:w="16500"/>
        <w:gridCol w:w="17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41"/>
                          <a:stretch>
                            <a:fillRect/>
                          </a:stretch>
                        </pic:blipFill>
                        <pic:spPr bwMode="auto">
                          <a:xfrm>
                            <a:off x="0" y="0"/>
                            <a:ext cx="10477500" cy="8086725"/>
                          </a:xfrm>
                          <a:prstGeom prst="rect">
                            <a:avLst/>
                          </a:prstGeom>
                        </pic:spPr>
                      </pic:pic>
                    </a:graphicData>
                  </a:graphic>
                </wp:inline>
              </w:drawing>
            </w:r>
          </w:p>
        </w:tc>
        <w:tc>
          <w:tcPr>
            <w:tcW w:w="17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III. Conflicts Committee Considerations</w:t>
            </w:r>
          </w:p>
        </w:tc>
      </w:tr>
    </w:tbl>
    <w:tbl>
      <w:tblPr>
        <w:tblW w:w="16670" w:type="dxa"/>
        <w:jc w:val="center"/>
        <w:tblInd w:w="0" w:type="dxa"/>
        <w:tblCellMar>
          <w:top w:w="0" w:type="dxa"/>
          <w:left w:w="0" w:type="dxa"/>
          <w:bottom w:w="0" w:type="dxa"/>
          <w:right w:w="0" w:type="dxa"/>
        </w:tblCellMar>
      </w:tblPr>
      <w:tblGrid>
        <w:gridCol w:w="16500"/>
        <w:gridCol w:w="17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42"/>
                          <a:stretch>
                            <a:fillRect/>
                          </a:stretch>
                        </pic:blipFill>
                        <pic:spPr bwMode="auto">
                          <a:xfrm>
                            <a:off x="0" y="0"/>
                            <a:ext cx="10477500" cy="8086725"/>
                          </a:xfrm>
                          <a:prstGeom prst="rect">
                            <a:avLst/>
                          </a:prstGeom>
                        </pic:spPr>
                      </pic:pic>
                    </a:graphicData>
                  </a:graphic>
                </wp:inline>
              </w:drawing>
            </w:r>
          </w:p>
        </w:tc>
        <w:tc>
          <w:tcPr>
            <w:tcW w:w="17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Key Questions for the Conflicts Committee to Consider ◼ How do we establish the right process and record? ◼ What does the current M&amp;A environment look like in the sector? ◼ What are the trends in LBOs in the sector? ◼ How is the market currently valuing the Partnership? ◼ How does research view the Partnership? ◼ How should the Conflicts Committee assess the Partnership’s unitholder base? 1 2 3 4 5 6 ◼ Is now the right time to sell the Partnership? ◼ How does the proposal compare to the Partnership’s standalone common unitholder value? ◼ What is the proper role of management in any process? ◼ What other constituencies could complicate the transaction? ◼ Should the Partnership seek majority of the minority approval for the transaction? ◼ What are implications of increased scrutiny under 13-e-3? Other Questions to Consider 18</w:t>
            </w:r>
          </w:p>
        </w:tc>
      </w:tr>
    </w:tbl>
    <w:tbl>
      <w:tblPr>
        <w:tblW w:w="16685" w:type="dxa"/>
        <w:jc w:val="center"/>
        <w:tblInd w:w="0" w:type="dxa"/>
        <w:tblCellMar>
          <w:top w:w="0" w:type="dxa"/>
          <w:left w:w="0" w:type="dxa"/>
          <w:bottom w:w="0" w:type="dxa"/>
          <w:right w:w="0" w:type="dxa"/>
        </w:tblCellMar>
      </w:tblPr>
      <w:tblGrid>
        <w:gridCol w:w="16500"/>
        <w:gridCol w:w="18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43"/>
                          <a:stretch>
                            <a:fillRect/>
                          </a:stretch>
                        </pic:blipFill>
                        <pic:spPr bwMode="auto">
                          <a:xfrm>
                            <a:off x="0" y="0"/>
                            <a:ext cx="10477500" cy="8086725"/>
                          </a:xfrm>
                          <a:prstGeom prst="rect">
                            <a:avLst/>
                          </a:prstGeom>
                        </pic:spPr>
                      </pic:pic>
                    </a:graphicData>
                  </a:graphic>
                </wp:inline>
              </w:drawing>
            </w:r>
          </w:p>
        </w:tc>
        <w:tc>
          <w:tcPr>
            <w:tcW w:w="18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The Role of the Conflicts Committee and Its Advisor ◼ The function of the Conflicts Committee is to act in the best interest of the unaffiliated unitholders The Conflicts Committee should be careful, thoughtful, deliberate and active in its decision-making process ● Decisions should be made only after directors have had a full opportunity to consider all material information ● The record of the Conflicts Committee’s deliberations should be documented carefully and completely Directors should be fully informed of all relevant factors and evaluate all appropriate information ● Directors should ask questions and actively consider all material information, judging its reliability and accuracy ◼ The Conflicts Committee is expected to receive advice from outside experts, including legal and financial advisors, that are competent, independent and can provide sound advice ◼ The Conflicts Committee’s financial advisor will evaluate the proposed transaction and will review with the Conflicts Committee certain relevant financial analyses as well as certain perspectives with respect to the other proposed terms of the transaction We believe no other advisor is better prepared than Evercore to handle the strategic nuances and anticipate the Sponsor playbook in the MLP buy-in process Communication and engagement are fundamental to the Evercore process ◼ Conflicts Committee assignments are critical to Evercore’s business Senior bankers involved in all aspects of the transaction Review all aspects of the transaction with the Conflicts Committee, acting as the Conflicts Committee’s full advisor Evercore’s Fairness Opinion Committee will thoroughly review all final work product ◼ Evercore is flexible in the form of opinion it would provide and agrees that a summary of Evercore’s analysis and fairness opinion may be included in the information statement or proxy to be filed in connection with the transaction and as a “going private” transaction subject to Rule 13e-3 under the Securities Exchange Act of 1934 Overview 19</w:t>
            </w:r>
          </w:p>
        </w:tc>
      </w:tr>
    </w:tbl>
    <w:tbl>
      <w:tblPr>
        <w:tblW w:w="16685" w:type="dxa"/>
        <w:jc w:val="center"/>
        <w:tblInd w:w="0" w:type="dxa"/>
        <w:tblCellMar>
          <w:top w:w="0" w:type="dxa"/>
          <w:left w:w="0" w:type="dxa"/>
          <w:bottom w:w="0" w:type="dxa"/>
          <w:right w:w="0" w:type="dxa"/>
        </w:tblCellMar>
      </w:tblPr>
      <w:tblGrid>
        <w:gridCol w:w="16500"/>
        <w:gridCol w:w="18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4"/>
                          <a:stretch>
                            <a:fillRect/>
                          </a:stretch>
                        </pic:blipFill>
                        <pic:spPr bwMode="auto">
                          <a:xfrm>
                            <a:off x="0" y="0"/>
                            <a:ext cx="10477500" cy="8086725"/>
                          </a:xfrm>
                          <a:prstGeom prst="rect">
                            <a:avLst/>
                          </a:prstGeom>
                        </pic:spPr>
                      </pic:pic>
                    </a:graphicData>
                  </a:graphic>
                </wp:inline>
              </w:drawing>
            </w:r>
          </w:p>
        </w:tc>
        <w:tc>
          <w:tcPr>
            <w:tcW w:w="18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Role of Evercore ◼ As an advisor to the Conflicts Committee, Evercore, working closely with legal counsel, will help the Conflicts Committee achieve its objectives and satisfy its obligations, and can assist with all aspects of the process: Coordinating with the Conflicts Committee’s legal counsel to design and implement an objective and appropriate review and evaluation process Conducting due diligence on GasLog Partners and assessing management’s business plan and the Partnership’s prospects Performing a comprehensive evaluation of GasLog Partners ● Discounted cash flow analysis ● Net asset value analysis ● Public market trading activity, including factors influencing price and general market conditions ● Precedent transactions ● Review of premiums paid in similar transactions Assisting the Conflicts Committee in identifying and evaluating all available strategic alternatives, including the status quo Working with the Conflicts Committee to determine the optimal course of action in light of available alternatives Partnering with the Conflicts Committee to manage interactions, if any, with external parties, including assisting in appropriate communications with investors, as necessary If appropriate, assisting the Conflicts Committee in negotiating the material terms of the transaction Rendering a fairness opinion to the Conflicts Committee, as appropriate 20</w:t>
            </w:r>
          </w:p>
        </w:tc>
      </w:tr>
    </w:tbl>
    <w:tbl>
      <w:tblPr>
        <w:tblW w:w="16685" w:type="dxa"/>
        <w:jc w:val="center"/>
        <w:tblInd w:w="0" w:type="dxa"/>
        <w:tblCellMar>
          <w:top w:w="0" w:type="dxa"/>
          <w:left w:w="0" w:type="dxa"/>
          <w:bottom w:w="0" w:type="dxa"/>
          <w:right w:w="0" w:type="dxa"/>
        </w:tblCellMar>
      </w:tblPr>
      <w:tblGrid>
        <w:gridCol w:w="16500"/>
        <w:gridCol w:w="18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5"/>
                          <a:stretch>
                            <a:fillRect/>
                          </a:stretch>
                        </pic:blipFill>
                        <pic:spPr bwMode="auto">
                          <a:xfrm>
                            <a:off x="0" y="0"/>
                            <a:ext cx="10477500" cy="8086725"/>
                          </a:xfrm>
                          <a:prstGeom prst="rect">
                            <a:avLst/>
                          </a:prstGeom>
                        </pic:spPr>
                      </pic:pic>
                    </a:graphicData>
                  </a:graphic>
                </wp:inline>
              </w:drawing>
            </w:r>
          </w:p>
        </w:tc>
        <w:tc>
          <w:tcPr>
            <w:tcW w:w="18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Why Evercore? Evercore is uniquely positioned to assist the Conflicts Committee of GasLog Partners, bringing together extensive experience advising Committees on complex transactions and extensive MLP capabilities Areas of Interest Evercore Delivers Extensive Experience Advising Committees Unmatched Experience in Representing Conflicts Committees ■ Provided unconflicted and independent opinions on over 450 transactions with aggregate transaction value of over $1.8 trillion since 2012 ■ Specific team of senior bankers within Evercore with decades of M&amp;A experience provide Conflicts Committee process oversight and discipline Leading Energy and Maritime MLP Advisor Strong Dedicated Energy and Maritime MLP Team and Franchise ■ Leading energy advisory practice having completed 296 transactions totaling $414 billion since January 1, 2013 ■ In the Maritime sector, Evercore has advised over 17 Special / Conflicts Committees since 2009, including, most recently, Höegh LNG Partners, Teekay Offshore Partners, Capital Products Partners, GasLog Partners, DryShips, Global Ship Lease and Tanker Investments Ltd ■ Leading energy industry fairness opinion experience, having delivered 145 MLP fairness opinions in transactions representing over $225 billion in value since 2012 alone ■ 70% market share in MLP Buy-ins / Take-Private transactions since 2019 Process Considerations Understanding of Process and Required Thoroughness of Deliberations ■ Large, highly-experienced team with senior dedication and leading MLP expertise ■ Flexibility in form of fairness opinion ■ Transparent communication with Conflicts Committee Evercore can be eyes and ears, with early and often communication regarding findings, valuation and negotiation ■ Understanding of process: requirement for diligence, analysis and documentation Independence No Conflicts of Interest ■ Independent team, no conflicts Dedicated Senior Team Experienced Core Team Able to Draw on the Full Capabilities of the Firm ■ Fully committed team, with extensive experience with the GLOP Conflicts Committee, involved in all aspects of the transaction Members of this team have advised the independent committees on the following MLP buy-in transactions: DCP Midstream, Phillips 66 Partners, Höegh LNG Partners, Teekay Offshore Partners and Blueknight Energy Partners, among others ■ Senior level focus to ensure high level of execution 21</w:t>
            </w:r>
          </w:p>
        </w:tc>
      </w:tr>
    </w:tbl>
    <w:tbl>
      <w:tblPr>
        <w:tblW w:w="16625" w:type="dxa"/>
        <w:jc w:val="center"/>
        <w:tblInd w:w="0" w:type="dxa"/>
        <w:tblCellMar>
          <w:top w:w="0" w:type="dxa"/>
          <w:left w:w="0" w:type="dxa"/>
          <w:bottom w:w="0" w:type="dxa"/>
          <w:right w:w="0" w:type="dxa"/>
        </w:tblCellMar>
      </w:tblPr>
      <w:tblGrid>
        <w:gridCol w:w="16500"/>
        <w:gridCol w:w="12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6"/>
                          <a:stretch>
                            <a:fillRect/>
                          </a:stretch>
                        </pic:blipFill>
                        <pic:spPr bwMode="auto">
                          <a:xfrm>
                            <a:off x="0" y="0"/>
                            <a:ext cx="10477500" cy="8086725"/>
                          </a:xfrm>
                          <a:prstGeom prst="rect">
                            <a:avLst/>
                          </a:prstGeom>
                        </pic:spPr>
                      </pic:pic>
                    </a:graphicData>
                  </a:graphic>
                </wp:inline>
              </w:drawing>
            </w:r>
          </w:p>
        </w:tc>
        <w:tc>
          <w:tcPr>
            <w:tcW w:w="12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Appendix</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7"/>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Evercore Transportation and Energy Team Bios</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8"/>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Mark Friedman Senior Managing Director, Transportation Mark Friedman is a Senior Managing Director at Evercore, leading the firm’s Global Shipping practice and is co-head of the firm’s Global Transportation practice. Previously he was the US Head of Transportation and Infrastructure and Global Head of Shipping at Bank of America Merrill Lynch from 2005 to 2009. Prior to his time at Merrill Lynch, Mark was an investment banker at Goldman, Sachs &amp; Co. for eleven years. Since joining Evercore in 2009, under Mark’s leadership, Evercore has been among the most active firms providing merger advisory, restructuring and underwriting services. As a restructuring advisor, we have advised some of the largest debtors (each of whom successfully restructured in consensual transactions) including Zim, PIL, Danaos and TORM. We have worked on numerous large maritime mergers including the combinations of StarBulk and OceanBulk, General Maritime and Navig8, Global Ship Lease and Poseidon Containers. In 2022, we advised the Conflicts Committee of the Board of Hoegh MLP on the privatization by Hoegh LNG and we advised the sellers of Sea Trade Holdings on the sale of its vessels to Diana Shipping. We are currently advising Taylor Maritime on its potential acquisition of Grindrod Shipping. Mr. Friedman began his career as an Attorney at Davis Polk &amp; Wardwell LLP. He holds a J.D. with Honors from the New York University, and a B.S. in Economics with Highest Honors from Rutgers University. Evercore’s Dedicated GasLog Partners Team 22</w:t>
            </w:r>
          </w:p>
        </w:tc>
      </w:tr>
    </w:tbl>
    <w:tbl>
      <w:tblPr>
        <w:tblW w:w="16670" w:type="dxa"/>
        <w:jc w:val="center"/>
        <w:tblInd w:w="0" w:type="dxa"/>
        <w:tblCellMar>
          <w:top w:w="0" w:type="dxa"/>
          <w:left w:w="0" w:type="dxa"/>
          <w:bottom w:w="0" w:type="dxa"/>
          <w:right w:w="0" w:type="dxa"/>
        </w:tblCellMar>
      </w:tblPr>
      <w:tblGrid>
        <w:gridCol w:w="16500"/>
        <w:gridCol w:w="17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9"/>
                          <a:stretch>
                            <a:fillRect/>
                          </a:stretch>
                        </pic:blipFill>
                        <pic:spPr bwMode="auto">
                          <a:xfrm>
                            <a:off x="0" y="0"/>
                            <a:ext cx="10477500" cy="8086725"/>
                          </a:xfrm>
                          <a:prstGeom prst="rect">
                            <a:avLst/>
                          </a:prstGeom>
                        </pic:spPr>
                      </pic:pic>
                    </a:graphicData>
                  </a:graphic>
                </wp:inline>
              </w:drawing>
            </w:r>
          </w:p>
        </w:tc>
        <w:tc>
          <w:tcPr>
            <w:tcW w:w="17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Raymond B. Strong lll Senior Managing Director, Energy Ray Strong is a Senior Managing Director in the firm’s Corporate Advisory business. He is a leading independent advisor to companies in the energy sector. He has more than 28 years of investment banking experience. While at Evercore Mr. Strong has advised: ■ The Conflicts Committee of Continental Resources, Inc, on its $35.1 billion take-private by the Hamm Family ■ Delaware Energy Services, LLC on its sale to Aris Water Solutions, Inc. ■ The Conflicts Committee of Rattler Midstream LP on the acquisition of all outstanding public common units by Diamondback Energy for $604 million ■ The Conflicts Committee of Blueknight Energy Partners G.P. L.L.C. regarding the take-private of Blueknight Energy Partners L.P. by Ergon, Inc. ■ The Conflicts Committee of Phillips 66 Partners on its sale to Phillips 66 for $14.4 billion ■ The Conflicts Committee of TC PipeLines GP, Inc., the General Partner of TC PipeLines, LP, on its merger with TC Energy Corporation ■ The Conflicts Committee of EQM Midstream Partners, LP on the acquisition of all outstanding public common units by Equitrans Midstream Corporation for $1.8 billion ■ Petrobras America Inc. (PAI) on its $562 million sale of Pasadena Refining System Inc. and additional related PAI subsidiaries to Chevron U.S.A., Inc. ■ Kinder Morgan, Inc. on its $38.5 billion merger with El Paso Corporation ■ Southern Union Company on its $10.3 billion merger with Energy Transfer Equity, L.P. ■ The Special Committee of DCP Midstream Partners, LP on its $11 billion combination with DCP Midstream, LLC ■ El Paso Corporation on it $7.2 billion sale of EP Energy, Inc. ■ The Conflicts Committee of Crestwood Gas Services GP LLC on the $7.0 billion merger of Crestwood Midstream Partners LP with Inergy Midstream ■ The Conflicts Committee of LinnCo, LLC on the $4.3 billion acquisition of Berry Petroleum Company and the subsequent contribution to Linn Energy, LLC ■ The Conflicts Committee of Energy Transfer Partners, L.P. on the acquisition of Energy Transfer Equity, L.P.’s 60% interest in ETP HoldCo for $3.75 billion ■ Suburban Propane Partners, L.P. on its $1.8 billion acquisition of the retail propane assets of Inergy, L.P. ■ TEAK Midstream, L.L.C. on its $1.0 billion sale to Atlas Pipeline Partners L.P ■ The Conflicts Committee of Access Midstream Partners GP, L.L.C. on the $50.0 billion merger of Access Midstream Partners and Williams Partners ■ Niska Gas Storage Partners LLC on its sale to Brookfield Infrastructure for $911.9 million ■ Bridger Logistics LLC on its $825.0 million sale to Ferrellgas Partners LP ■ U.S. Development Group LLC on the $500.0 million sale of its Crude-by-Rail Terminals to Plains All American Pipeline, L.P. ■ Calumet Specialty Products Partners, L.P. on its $120.0 million acquisition of Montana Refining Company, Inc. from Connacher Oil and Gas Limited ■ The Conflicts Committee of Western Gas Partners, LP on its $135.0 million acquisition of an additional 24% membership interest in Chipeta Processing LLC from Anadarko Petroleum Corporation ■ The Conflicts Committee of Tesoro Logistics, LP on its $75.0 million acquisition of the Martinez Crude Oil Marine Terminal from Tesoro Corp ■ The Conflicts Committee of the Board of Directors of the General Partner of Energy Transfer Partners, L.P. on the exchange of 50.2 million ETP common units owned by ETE for economics of 50% of SXL GP Interest/IDRs ■ The Conflicts Committee of the Board of Williams Partners L.P. on its $13.8 billion sale to The Williams Companies, Inc. ■ Andeavor on the sale of its incentive distribution rights and economic GP interest to Andeavor Logistics, LP ■ The Conflicts Committee of Transocean Partners LLC on the acquisition of Transocean Partners LLC by Transocean Ltd. ■ The Conflicts Committee of Midcoast Holdings, LLC on the acquisition of Midcoast Holdings, LLC by an indirect subsidiary of Enbridge Inc. ■ The Conflicts Committee of VTTI Energy Partners, LP on VTTI B.V.’s announced tender offer for its common units ■ The Conflicts Committee of PennTex Midstream on Energy Transfer Partners’ announced tender offer for its common units ■ The Conflicts Committee of World Point Terminals on World Point Inc’s announced tender offer for its common units ■ The Conflicts Committee of the Board of Directors of NextEra Energy Partners, LP on all of its dropdown transactions ■ The Conflicts Committee of Phillips 66 Partners LP on all of its dropdown transactions ■ The Conflicts Committee of Valero Energy Partners LP on all of its dropdown transactions ■ The Conflicts Committee of EnLink Midstream Partners, LP on its acquisition of the Tall Oak Midstream, LLC for $1.55 billion ■ The Conflicts Committee of MPLX LP on all of its dropdown transactions Prior to Evercore, Mr. Strong ran the midstream practice at Goldman, Sachs &amp; Co. Mr. Strong successfully executed 13 IPOs, numerous high yield offerings and worked on some of the most noteworthy domestic and international M&amp;A transactions in the energy industry, including advising: ■ Chevron Corporation on the acquisition of Atlas Energy, Inc. and on the sale of Chevron’s interest in Colonial Pipeline ■ Hess Corporation on its acquisition of American Oil &amp; Gas Inc. and on its acquisition of Triton Energy Limited ■ Kinder Morgan and a consortium of financial sponsors on Kinder Morgan’s $22 billion management buyout ■ Union Pacific Resources Group Inc. on its sale to Anadarko Petroleum Corporation Mr. Strong holds a B.A. from Middlebury College. Evercore’s Dedicated GasLog Partners Team (Cont’d) 23</w:t>
            </w:r>
          </w:p>
        </w:tc>
      </w:tr>
    </w:tbl>
    <w:tbl>
      <w:tblPr>
        <w:tblW w:w="16700" w:type="dxa"/>
        <w:jc w:val="center"/>
        <w:tblInd w:w="0" w:type="dxa"/>
        <w:tblCellMar>
          <w:top w:w="0" w:type="dxa"/>
          <w:left w:w="0" w:type="dxa"/>
          <w:bottom w:w="0" w:type="dxa"/>
          <w:right w:w="0" w:type="dxa"/>
        </w:tblCellMar>
      </w:tblPr>
      <w:tblGrid>
        <w:gridCol w:w="16500"/>
        <w:gridCol w:w="20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50"/>
                          <a:stretch>
                            <a:fillRect/>
                          </a:stretch>
                        </pic:blipFill>
                        <pic:spPr bwMode="auto">
                          <a:xfrm>
                            <a:off x="0" y="0"/>
                            <a:ext cx="10477500" cy="8086725"/>
                          </a:xfrm>
                          <a:prstGeom prst="rect">
                            <a:avLst/>
                          </a:prstGeom>
                        </pic:spPr>
                      </pic:pic>
                    </a:graphicData>
                  </a:graphic>
                </wp:inline>
              </w:drawing>
            </w:r>
          </w:p>
        </w:tc>
        <w:tc>
          <w:tcPr>
            <w:tcW w:w="20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Evercore’s Dedicated GasLog Partners Team (Cont’d) John McGraw Managing Director, Energy John McGraw is a Managing Director in the firm’s Corporate Advisory business. While at Evercore, Mr. McGraw has advised on the following selected transactions: ■ The Special Committee of DCP Midstream, LP on the acquisition of all outstanding public common units by Phillips 66 for $3.8 billion ■ Outrigger Energy II LLC on the $165 million sale of gathering and processing assets in the DJ Basin to Summit Midstream Partners, LP ■ Delaware Energy Services, LLC on its sale to Aris Water Solutions, Inc. ■ The Conflicts Committee of Rattler Midstream LP on the acquisition of all outstanding public common units by Diamondback Energy for $604 million ■ The Conflicts Committee of Blueknight Energy Partners G.P. L.L.C. regarding the take-private of Blueknight Energy Partners L.P. by Ergon, Inc. ■ Aka Energy Group, LLC on its sale of the Gilcrest System to Cureton Midstream, LLC ■ The Conflicts Committee of CSI Compressco LP on its acquisition of Spartan Energy Partners ■ The Conflicts Committee of Phillips 66 Partners on its sale to Phillips 66 for $14.4 billion ■ Aris Water Solutions on its $230 million initial public offering ■ The Conflicts Committee of Enviva Partners, LP on the elimination of its IDRs for $870 million ■ Easton Energy LLC on its up to $245 million preferred equity raise from Global Infrastructure Partners ■ The Conflicts Committee of Enviva Partners, LP on the acquisition of the Lucedale Plant and Pascagoula Terminal for $260 million ■ GasLog Ltd. regarding its $5 billion take-private by BlackRock Global Energy &amp; Power Infrastructure Fund ■ Seadrill Partners LLC on its $2.8 billion restructuring and entry into a new management services agreement ■ The Conflicts Committee of TC PipeLines GP, Inc., the General Partner of TC PipeLines, LP, on its merger with TC Energy Corporation ■ An ad hoc group of noteholders representing $1.8 billion of unsecured notes regarding Oasis Petroleum, Inc.’s chapter 11 bankruptcy ■ The Conflicts Committee of Phillips 66 Partners GP LLC regarding Phillips 66 Partners’ acquisition of a 50% interest in Liberty Pipeline from Phillips 66 for $75 million ■ The Conflicts Committee of CNX Midstream GP LLC regarding the elimination of CNXM’s Incentive Distribution Rights ■ Calumet Specialty Products Partners, L.P. regarding the sale of its San Antonio Refinery for $63 million ■ The Special Committee of DCP Midstream, LP regarding the elimination of DCP’s Incentive Distribution Rights for $1.5 billion ■ The Conflicts Committee of GasLog Partners regarding the elimination of GasLog Partners’ Incentive Distribution Rights ■ The Conflicts Committee of Enviva Partners GP, LLC regarding the acquisition of the Hamlet Plant for $165 million ■ The Conflicts Committee of American Midstream GP, LLC regarding the take-private of American Midstream Partners, LP by an affiliate of ArcLight Capital Partners, LLC ■ SunCoke Energy, Inc. regarding its acquisition of all publicly-owned common units of SunCoke Energy Partners, L.P. ■ SemGroup Corporation’s Board of Directors regarding SemGroup’s C$1.15 billion contribution of SemCAMS to a joint venture with KKR ■ The Conflicts Committee of GasLog Partners regarding the elimination of GasLog Partners’ 50% IDR tier for $25 million ■ The Conflicts Committee of InfraREIT, Inc. regarding the $2.2 billion acquisition of InfraREIT, Inc. by Oncor Electric Delivery Company LLC ■ The Special Committee of Enbridge Energy Partners, L.P. regarding Enbridge, Inc.’s $2.5 billion acquisition of Enbridge Energy Partners, L.P. ■ Caprock Midstream Holdings LLC and Energy Spectrum on the sale of Caprock to EagleClaw Midstream Ventures, LLC and Blackstone Energy Partners for $950 million ■ The Conflicts Committee of CNX Midstream GP LLC on CNX Midstream Partners LP’s acquisition of a 95% interest in the Shirley-Pennsboro gathering system $265 million ■ SemGroup Corporation’s private placement of $350.0 million 7% Series A Convertible Preferred Shares to Warburg Pincus, CIBC Atlantic Trust and Tortoise Capital Advisors ■ Discovery Midstream on its sale to TPG Growth, the middle market and growth equity platform of global alternative asset firm TPG ■ The Conflicts Committee of PennTex Midstream GP, LLC regarding Energy Transfer Partners’ Tender Offer to acquire PennTex Midstream Partners, LP for $1.0 billion ■ The Conflicts Committee of VTTI Energy Partners GP LLC regarding the acquisition of VTTI Energy Partners LP by VTTI B.V. for $1.3 billion ■ The Conflicts Committee of TC PipeLines GP, Inc., the General Partner of TC PipeLines, LP, on the $765 million acquisition of a 49.34% interest in Iroquois Gas Transmission System, L.P. and an 11.81% interest in Portland Natural Gas Transmission System ■ The Conflicts Committee of Dominion Midstream GP, LLC on Dominion Midstream Partners, LP’s $1.7 billion acquisition of Questar Pipeline, LLC from Dominion ■ SunCoke Energy, Inc. on its proposed acquisition of SunCoke Energy Partners, L.P. for $1.6 billion ■ CSI Compressco LP on its $80.0 million private placements of Series A Convertible Preferred Units ■ The Conflicts Committee of Rose Rock Midstream GP, LLC regarding the acquisition of Rose Rock Midstream, L.P. by SemGroup Corporation for $1.7 billion ■ The Conflicts Committee of American Midstream GP, LLC on the issuance of 8.6 million Series C convertible preferred units to ArcLight Capital Partners ■ Kellen-Wildcat Holdings, LLC on its sale of a 40.0% equity interest in Wildcat Midstream Holdings, LLC to affiliates of Highstar Capital ■ Cumberland Farms, Inc. on its sale of Gulf Oil, LP and its Assured Dealers business to affiliates of ArcLight Capital Partners, LLC ■ The Conflicts Committee of Northern Tier Energy GP LLC regarding Western Refining’s acquisition of the remaining 62% interest in Northern Tier Energy LP for $1.5 billion ■ Kinder Morgan, Inc. regarding Kinder Morgan, Inc.’s and Brookfield Asset Management Inc.’s joint acquisition from Myria Holdings, Inc. of the 53% equity interest in Natural Gas Pipeline Company of America LLC not already owned by them representing an enterprise value of $3.4 billion ■ The Audit Committee of Sanchez Energy regarding the sale certain pipeline, gathering and compression assets to Sanchez Production Partners LP for $345 million ■ The Conflicts Committee of American Midstream GP, LLC regarding $162 million acquisition of an interest in the Delta House semi-submersible floating production system ■ CONSOL Energy Inc. on the formation of CNX Coal Resources LP and CNX Coal Resources LP on its $75 million initial public offering ■ SunCoke Energy, Inc. on its contribution of a 75.0% interest in its Granite City Cokemaking Facility to SunCoke Energy Partners, L.P. for $245 million ■ USD Partners LP on its $155 million initial public offering ■ GasLog Partners LP on its $203 million initial public offering ■ Eagle Rock Energy Partners, L.P. regarding the $1.3 billion contribution of its Midstream Business to Regency Energy Partners LP ■ The Conflicts Committee of Spectra Energy Partners on the $12.3 billion acquisition of Spectra Energy Corp’s U.S. pipeline and storage assets Mr. McGraw began his investment banking career with Barclays in the Global Natural Resources group where he advised SunCoke Energy Partners, L.P. and KNOT Offshore Partners LP on their respective MLP IPOs and PBF Energy Inc. on its C-Corp IPO. Mr. McGraw graduated with a B.A. in Economics from Cornell University and received his MBA from Columbia Business School 24</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51"/>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Jack Eshelman Managing Director, Transportation Jack Eshelman is a Managing Director in the firm’s Corporate Advisory business covering clients across Transportation, Energy and Infrastructure. He began his investment banking career with Credit Suisse in the Mergers &amp; Acquisitions Group where he advised on various transactions including: Summit Partners’ acquisition of HealthSun, the sale of Arclin to Lone Star Funds, Kinder Morgan’s sale of a 50% equity interest in the Utopia Pipeline to Riverstone Holdings and Energy Transfer Partners’ acquisition of 100% of the privately held LP interests in PennTex Midstream Partners. Since joining Evercore in 2017, he has advised a wide range of clients in the Transportation, Energy and Infrastructure sectors on corporate M&amp;A transactions, restructurings, dropdowns, asset sales and capital structure solutions including: Scorpio Tankers, Höegh LNG Partners, U.S. Xpress, Union Pacific, Capital Product Partners, GasLog Partners, GasLog, Eaglebulk, General Ore, DryShips, Teekay Offshore, GOL Intelligent Airlines, American Commercial Lines, New Fortress Energy, Apollo, Sixth Street Partners, Frontier Airlines, ABN AMRO, Volaris Airlines, Canadian Pacific Railway, Sun Country Airlines and USA Truck. He was previously an Investment Analyst at AvalonBay Communities, a multi-family REIT based in Arlington, VA. He graduated with a B.A. in History with Distinction from The University of Virginia and received an M.B.A from the Darden School of Business at The University of Virginia. Evercore’s Dedicated GasLog Partners Team (Cont’d) 25</w:t>
            </w:r>
          </w:p>
        </w:tc>
      </w:tr>
    </w:tbl>
    <w:tbl>
      <w:tblPr>
        <w:tblW w:w="16625" w:type="dxa"/>
        <w:jc w:val="center"/>
        <w:tblInd w:w="0" w:type="dxa"/>
        <w:tblCellMar>
          <w:top w:w="0" w:type="dxa"/>
          <w:left w:w="0" w:type="dxa"/>
          <w:bottom w:w="0" w:type="dxa"/>
          <w:right w:w="0" w:type="dxa"/>
        </w:tblCellMar>
      </w:tblPr>
      <w:tblGrid>
        <w:gridCol w:w="16500"/>
        <w:gridCol w:w="12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52"/>
                          <a:stretch>
                            <a:fillRect/>
                          </a:stretch>
                        </pic:blipFill>
                        <pic:spPr bwMode="auto">
                          <a:xfrm>
                            <a:off x="0" y="0"/>
                            <a:ext cx="10477500" cy="8086725"/>
                          </a:xfrm>
                          <a:prstGeom prst="rect">
                            <a:avLst/>
                          </a:prstGeom>
                        </pic:spPr>
                      </pic:pic>
                    </a:graphicData>
                  </a:graphic>
                </wp:inline>
              </w:drawing>
            </w:r>
          </w:p>
        </w:tc>
        <w:tc>
          <w:tcPr>
            <w:tcW w:w="12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Additional Special Committee Credentials</w:t>
            </w:r>
          </w:p>
        </w:tc>
      </w:tr>
    </w:tbl>
    <w:tbl>
      <w:tblPr>
        <w:tblW w:w="16670" w:type="dxa"/>
        <w:jc w:val="center"/>
        <w:tblInd w:w="0" w:type="dxa"/>
        <w:tblCellMar>
          <w:top w:w="0" w:type="dxa"/>
          <w:left w:w="0" w:type="dxa"/>
          <w:bottom w:w="0" w:type="dxa"/>
          <w:right w:w="0" w:type="dxa"/>
        </w:tblCellMar>
      </w:tblPr>
      <w:tblGrid>
        <w:gridCol w:w="16500"/>
        <w:gridCol w:w="17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53"/>
                          <a:stretch>
                            <a:fillRect/>
                          </a:stretch>
                        </pic:blipFill>
                        <pic:spPr bwMode="auto">
                          <a:xfrm>
                            <a:off x="0" y="0"/>
                            <a:ext cx="10477500" cy="8086725"/>
                          </a:xfrm>
                          <a:prstGeom prst="rect">
                            <a:avLst/>
                          </a:prstGeom>
                        </pic:spPr>
                      </pic:pic>
                    </a:graphicData>
                  </a:graphic>
                </wp:inline>
              </w:drawing>
            </w:r>
          </w:p>
        </w:tc>
        <w:tc>
          <w:tcPr>
            <w:tcW w:w="17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Client Date Size ($bn) Transaction 1/6/2023 $3.8 Advising the Special Committee of DCP Midstream on Phillips 66’s Acquisition of the Public Common Units of DCP Midstream 10/17/2022 4.3 Advised the Special Committee of Continental Resources Inc. on its take-private acquisition by the Hamm Family 6/7/2022 0.6 Advising the Conflicts Committee of the Board of Directors of Capital Product Partners L.P. on exercising its option to acquire Container Vessels and an LNG Carrier from Capital Maritime &amp; Trading Corp 5/25/2022 0.8 Advised the Special Committee on its ~$770mm take-private transaction with Sponsor 9/23/2021 1.0 Advised the Special Committee of News Corp. on the termination of its poison pill and the authorisation of its stock repurchase program 8/19/2021 7.3 Advised the Special Committee of the Board of Directors of Inovalon Holdings Inc. on its sale to an equity consortium led by Nordic Capital, and joined by Insight Partners and other investors 3/21/2021 29.0 Advised the Board of Directors of Canadian Pacific on its acquisition of Kansas City Southern 3/7/2021 5.5 Advised Jardine Strategic on the recommended cash acquisition of Jardine Strategic by Jardine Matheson 2/22/2021 0.3 Advised the Special Committee of GasLog Ltd on its merger with BlackRock Global Energy &amp; Power Infrastructure Fund 2/4/2021 0.0 Advised the Special Committee of CorEnergy on the internalization of its external manager, Corridor InfraTrust Management, LLC 11/16/2020 1.4 Advised the Special Committee of Foundation Building Materials’ Board of Directors on its sale to American Securities 10/7/2020 0.8 Advised the Special Committee of GNC on the sale of substantially all of its assets to Harbin Pharmaceutical Group 8/6/2020 11.9 Advised the Special Committee of GCI Liberty on its sale to Liberty Broadband Corporation 2/12/2020 N/A Acquisition/Internalization of its external manager, Annaly Management Company LLC 11/4/2019 6.1 Take-private acquisition by Canada Pension Plan Investment Board 8/19/2019 0.7 Sale to SPII Holdings Inc. Selected Special Committee and Board Advisory Assignments Selected Shipping Special Committee and Board Advisory Assignments 26</w:t>
            </w:r>
          </w:p>
        </w:tc>
      </w:tr>
    </w:tbl>
    <w:tbl>
      <w:tblPr>
        <w:tblW w:w="16670" w:type="dxa"/>
        <w:jc w:val="center"/>
        <w:tblInd w:w="0" w:type="dxa"/>
        <w:tblCellMar>
          <w:top w:w="0" w:type="dxa"/>
          <w:left w:w="0" w:type="dxa"/>
          <w:bottom w:w="0" w:type="dxa"/>
          <w:right w:w="0" w:type="dxa"/>
        </w:tblCellMar>
      </w:tblPr>
      <w:tblGrid>
        <w:gridCol w:w="16500"/>
        <w:gridCol w:w="17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4"/>
                          <a:stretch>
                            <a:fillRect/>
                          </a:stretch>
                        </pic:blipFill>
                        <pic:spPr bwMode="auto">
                          <a:xfrm>
                            <a:off x="0" y="0"/>
                            <a:ext cx="10477500" cy="8086725"/>
                          </a:xfrm>
                          <a:prstGeom prst="rect">
                            <a:avLst/>
                          </a:prstGeom>
                        </pic:spPr>
                      </pic:pic>
                    </a:graphicData>
                  </a:graphic>
                </wp:inline>
              </w:drawing>
            </w:r>
          </w:p>
        </w:tc>
        <w:tc>
          <w:tcPr>
            <w:tcW w:w="17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Client Date Size ($bn) Transaction 6/7/2019 $0.7 Sale to Elliott Advisors (UK) Limited 5/30/2019 0.4 Unsolicited offer from Brookfield Business Partners and its certain affiliates 2/26/2019 N/A Elimination of Summit's GP/IDRs and prepayment of a portion of its deferred purchase price obligation 2/14/2019 3.7 Elimination of EQM's IDRs and restructuring of the economic GP interest held by Equitrans Midstream 1/16/2019 40.0 Merger with Fiserv 1/3/2019 1.6 Merger with Magnolia Infrastructure Holdings, an indirect subsidiary of Arclight 11/26/2018 0.5 Sale to Arclight 11/16/2018 0.0 GP IDR buy-in and modification 10/29/2018 0.8 Strategic combination with Poseidon Containers and K&amp;T Marine 10/22/2018 13.1 Merger with EnLink Midstream, LLC 9/18/2018 3.5 Acquisition of all public equity of Enbridge Energy Partners and Enbridge Energy Management 7/17/2018 3.7 Merger with Ply Gem 7/2/2018 25.9 Advising the Special Committee of Dell Technologies on the merger between Class V and Class C shares Selected Special Committee and Board Advisory Assignments (Cont’d) Selected Shipping Special Committee and Board Advisory Assignments 27</w:t>
            </w:r>
          </w:p>
        </w:tc>
      </w:tr>
    </w:tbl>
    <w:tbl>
      <w:tblPr>
        <w:tblW w:w="16685" w:type="dxa"/>
        <w:jc w:val="center"/>
        <w:tblInd w:w="0" w:type="dxa"/>
        <w:tblCellMar>
          <w:top w:w="0" w:type="dxa"/>
          <w:left w:w="0" w:type="dxa"/>
          <w:bottom w:w="0" w:type="dxa"/>
          <w:right w:w="0" w:type="dxa"/>
        </w:tblCellMar>
      </w:tblPr>
      <w:tblGrid>
        <w:gridCol w:w="16500"/>
        <w:gridCol w:w="18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5"/>
                          <a:stretch>
                            <a:fillRect/>
                          </a:stretch>
                        </pic:blipFill>
                        <pic:spPr bwMode="auto">
                          <a:xfrm>
                            <a:off x="0" y="0"/>
                            <a:ext cx="10477500" cy="8086725"/>
                          </a:xfrm>
                          <a:prstGeom prst="rect">
                            <a:avLst/>
                          </a:prstGeom>
                        </pic:spPr>
                      </pic:pic>
                    </a:graphicData>
                  </a:graphic>
                </wp:inline>
              </w:drawing>
            </w:r>
          </w:p>
        </w:tc>
        <w:tc>
          <w:tcPr>
            <w:tcW w:w="18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Client Date Size ($bn) Transaction 6/26/2018 $5.0 Merger with Tallgrass Energy 5/17/2018 N/A Sale of the public's 26.2% interest to Williams Company 5/3/2018 N/A Decision to approve the conversion from a partnership to a C-Corporation 4/29/2018 59.0 Advising the Independent Committee of the Board of Directors of T-Mobile on its acquisition of Sprint 2/21/2018 2.4 Dropdown and merger with RMP 1/11/2018 0.1 Aframax dropdown from Capital Ship Management Corp 1/1/2018 0.6 Sale to Archrock 12/3/2017 77.0 Sale to CVS 11/6/2017 0.3 49% FSRU dropdown from Sponsor Höegh LNG 10/27/2017 21.3 Takeover offer from Nesta Investment Holdings Limited 9/11/2017 1.3 Acquisition of Moy Park 8/16/2017 0.2 Dropdown of 25% interest in FLNG Hilli from Golar LNG 6/30/2017 N/A Sale to Energy Transfer 6/2/2017 N/A Commencement of a tender offer for WPT’s common units by World Point 5/31/2017 0.5 Sale to Teekay Tankers Selected Special Committee and Board Advisory Assignments (Cont’d) Selected Shipping Special Committee and Board Advisory Assignments 28</w:t>
            </w:r>
          </w:p>
        </w:tc>
      </w:tr>
    </w:tbl>
    <w:tbl>
      <w:tblPr>
        <w:tblW w:w="16670" w:type="dxa"/>
        <w:jc w:val="center"/>
        <w:tblInd w:w="0" w:type="dxa"/>
        <w:tblCellMar>
          <w:top w:w="0" w:type="dxa"/>
          <w:left w:w="0" w:type="dxa"/>
          <w:bottom w:w="0" w:type="dxa"/>
          <w:right w:w="0" w:type="dxa"/>
        </w:tblCellMar>
      </w:tblPr>
      <w:tblGrid>
        <w:gridCol w:w="16500"/>
        <w:gridCol w:w="17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6"/>
                          <a:stretch>
                            <a:fillRect/>
                          </a:stretch>
                        </pic:blipFill>
                        <pic:spPr bwMode="auto">
                          <a:xfrm>
                            <a:off x="0" y="0"/>
                            <a:ext cx="10477500" cy="8086725"/>
                          </a:xfrm>
                          <a:prstGeom prst="rect">
                            <a:avLst/>
                          </a:prstGeom>
                        </pic:spPr>
                      </pic:pic>
                    </a:graphicData>
                  </a:graphic>
                </wp:inline>
              </w:drawing>
            </w:r>
          </w:p>
        </w:tc>
        <w:tc>
          <w:tcPr>
            <w:tcW w:w="17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Client Date Size ($bn) Transaction 5/8/2017 $0.5 Sale to VTTI 3/22/2017 0.1 Acquisition of Sturgeon Acquisitions, LLC 2/28/2017 0.2 Acquisition of MBS Textbook Exchange, LLC 2/14/2017 3.3 Sale to SoftBank Group Corp 2/3/2017 N/A Sale to Enbridge 1/9/2017 11.4 Permanent IDR waiver and elimination of the economic GP interest held by Williams Company 1/4/2017 N/A Merger with DCP Midstream 12/1/2016 0.2 51% FSRU dropdown from Höegh LNG 10/24/2016 0.1 MR dropdown from Capital Ship Management Corp 10/24/2016 6.5 Sale of 25% interest to HNA by Blackstone 8/1/2016 N/A Merger with Transocean 6/3/2016 18.7 Merger of Equals with NorthStar Realty Finance Corp. and Colony Capital, Inc. 5/31/2016 1.7 Merger with SemGroup 4/27/2016 Withdrawn Recapitalization via Issuance of Class C Non-Voting Shares 3/31/2016 N/A Strategic Alternatives for Greater China Intermodal Investments Selected Special Committee and Board Advisory Assignments (Cont’d) Selected Shipping Special Committee and Board Advisory Assignments 29</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7"/>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Selected Special Committee and Board Advisory Assignments (Cont’d) Client Date Size ($bn) Transaction 2/24/2016 $0.8 Acquisition of Springfield Pipeline 2/1/2016 37.0 Sale to Avago 5/6/2015 7.5 Merger with Crestwood Midstream Partners LP 3/12/2015 0.3 Amendment of its Notes and Warrants 2/25/2015 3.0 Merger of equals with Navig8 Crude Tankers 10/13/2014 5.8 Acquisition of Atlas Pipeline Partners 9/23/2014 N/A Restructuring of interests in Alipay and Alibaba Financial businesses 6/16/2014 1.7 Acquisition of Oceanbulk 6/15/2014 38.4 Merger of Williams Partners L.P. and Access Midstream Partners L.P. 1/4/2014 11.7 Proposed sale to Liberty Media 1/2/2014 3.7 Sale to 41.5% of member interests to Fiat 10/22/2013 2.3 Merger with Plains All American Pipeline 8/12/2013 1.6 Merger with Pioneer Natural Resources 4/23/2013 1.2 Creation of new subsidiary capitalized via asset contribution and shareholder rights offering 2/5/2013 22.6 Take private by Michael Dell and Silver Lake Selected Shipping Special Committee and Board Advisory Assignments 30</w:t>
            </w:r>
          </w:p>
        </w:tc>
      </w:tr>
    </w:tbl>
    <w:tbl>
      <w:tblPr>
        <w:tblW w:w="16670" w:type="dxa"/>
        <w:jc w:val="center"/>
        <w:tblInd w:w="0" w:type="dxa"/>
        <w:tblCellMar>
          <w:top w:w="0" w:type="dxa"/>
          <w:left w:w="0" w:type="dxa"/>
          <w:bottom w:w="0" w:type="dxa"/>
          <w:right w:w="0" w:type="dxa"/>
        </w:tblCellMar>
      </w:tblPr>
      <w:tblGrid>
        <w:gridCol w:w="16500"/>
        <w:gridCol w:w="17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8"/>
                          <a:stretch>
                            <a:fillRect/>
                          </a:stretch>
                        </pic:blipFill>
                        <pic:spPr bwMode="auto">
                          <a:xfrm>
                            <a:off x="0" y="0"/>
                            <a:ext cx="10477500" cy="8086725"/>
                          </a:xfrm>
                          <a:prstGeom prst="rect">
                            <a:avLst/>
                          </a:prstGeom>
                        </pic:spPr>
                      </pic:pic>
                    </a:graphicData>
                  </a:graphic>
                </wp:inline>
              </w:drawing>
            </w:r>
          </w:p>
        </w:tc>
        <w:tc>
          <w:tcPr>
            <w:tcW w:w="17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Client Date Size ($bn) Transaction 12/20/2012 $0.5 Sale to EQT Infrastructure II 12/5/2012 3.4 Sale to Freeport 10/3/2012 6.3 Merger with T-Mobile USA 9/17/2012 36.1 Spin-off of North American Grocery businesses 5/15/2012 N/A Transfer of Terminal Use Agreement 3/28/2012 0.3 Acquisition of Wheatland Oil 3/14/2012 0.9 Sale to SS&amp;C Technologies 2/27/2012 0.3 Sale of 80% stake in Boardwalk HP Storage to Loews 9/30/2011 0.3 Merger with Crude Carriers Corp. 9/13/2011 2.5 Sale to MacAndrews &amp; Forbes 6/16/2011 9.3 Sale to Energy Transfer Equity, L.P. 6/5/2011 0.1 Sponsor to partnership asset transfer 4/21/2011 7.3 Recapitalization / Purchase of controlling interest by Fiat 8/9/2010 0.1 Acquisition of two product tankers Selected Special Committee and Board Advisory Assignments (Cont’d) Selected Shipping Special Committee and Board Advisory Assignments 31</w:t>
            </w:r>
          </w:p>
        </w:tc>
      </w:tr>
    </w:tbl>
    <w:tbl>
      <w:tblPr>
        <w:tblW w:w="16670" w:type="dxa"/>
        <w:jc w:val="center"/>
        <w:tblInd w:w="0" w:type="dxa"/>
        <w:tblCellMar>
          <w:top w:w="0" w:type="dxa"/>
          <w:left w:w="0" w:type="dxa"/>
          <w:bottom w:w="0" w:type="dxa"/>
          <w:right w:w="0" w:type="dxa"/>
        </w:tblCellMar>
      </w:tblPr>
      <w:tblGrid>
        <w:gridCol w:w="16500"/>
        <w:gridCol w:w="17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9"/>
                          <a:stretch>
                            <a:fillRect/>
                          </a:stretch>
                        </pic:blipFill>
                        <pic:spPr bwMode="auto">
                          <a:xfrm>
                            <a:off x="0" y="0"/>
                            <a:ext cx="10477500" cy="8086725"/>
                          </a:xfrm>
                          <a:prstGeom prst="rect">
                            <a:avLst/>
                          </a:prstGeom>
                        </pic:spPr>
                      </pic:pic>
                    </a:graphicData>
                  </a:graphic>
                </wp:inline>
              </w:drawing>
            </w:r>
          </w:p>
        </w:tc>
        <w:tc>
          <w:tcPr>
            <w:tcW w:w="17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Extensive Shipping Special Committee Experience Of the 32 shipping M&amp;A transactions since 2015, nearly 70% were Special Committee assignments Conflicts Committee on its Unsolicited $4.4bn Take-Private Proposal from Advised Sole Advisor 2019 Special Committee of the Board of Directors of GasLog Ltd. on its ~$5 billion take-private transaction with Advised 2021 Special Committee on its Unsolicited $717mm Take-Private Proposal from SPHI Holdings Advised Sole Advisors 2019 Special Committee on Strategic Alternatives Advised Sole Advisor 2016 Special Committee on its ~$770mm take-private transaction with Sponsor Advised Sole Advisor 2022 Special Committee on the transfer of 3 LNG carriers for ~$625mm from the Sponsor to the Partnership Advised 2021 Special Committee on the transfer of 1 LNG carrier and 3 Containerships for ~$600mm from the Sponsor to the Partnership Advised 2022 Special Committee on the transfer of 3 LNG carriers for ~$600mm from the Sponsor to the Partnership Advised 2021 Conflicts Committee on GP IDR elimination Advised Sole Advisor 2019 on its merger with Advised Sole Advisor 2018 Special Committee on an Aframax dropdown from Advised Sole Advisor 2018 Special Committee on 49% FSRU dropdown from Sponsor Advised Sole Advisor 2017 Conflicts Committee on GP IDR buy-in and modification Advised Sole Advisor 2018 Special Committee on sale to Advised Sole Advisor 2017 Special Committee on dropdown of 25% interest in FLNG Hilli from Advised Sole Advisor 2017 Special Committee on 51% FSRU dropdown from Advised Sole Advisor 2016 Special Committee on an MR dropdown from Advised Sole Advisor 2016 on the $3.0bn merger of equals with Advised Sole Advisor 2015 on the transfer of five vessels for $311.5 mm from the Sponsor to the Partnership and a restructuring of its Incentive Distribution Rights Advised Sole Advisor 2014 on its $1.7 billion acquisition of Oceanbulk Advised Sole Advisor 2014 on its $281 million 100% unit-for-stock merger with Advised Sole Advisor 2011 on the transfer of two MR product tankers for $86.5 million and a Capesize bulker for $98.5 million from the Sponsor to the Partnership Advised Sole Advisor 2010-2011 32</w:t>
            </w:r>
          </w:p>
        </w:tc>
      </w:tr>
    </w:tbl>
    <w:tbl>
      <w:tblPr>
        <w:tblW w:w="16625" w:type="dxa"/>
        <w:jc w:val="center"/>
        <w:tblInd w:w="0" w:type="dxa"/>
        <w:tblCellMar>
          <w:top w:w="0" w:type="dxa"/>
          <w:left w:w="0" w:type="dxa"/>
          <w:bottom w:w="0" w:type="dxa"/>
          <w:right w:w="0" w:type="dxa"/>
        </w:tblCellMar>
      </w:tblPr>
      <w:tblGrid>
        <w:gridCol w:w="16500"/>
        <w:gridCol w:w="12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60"/>
                          <a:stretch>
                            <a:fillRect/>
                          </a:stretch>
                        </pic:blipFill>
                        <pic:spPr bwMode="auto">
                          <a:xfrm>
                            <a:off x="0" y="0"/>
                            <a:ext cx="10477500" cy="8086725"/>
                          </a:xfrm>
                          <a:prstGeom prst="rect">
                            <a:avLst/>
                          </a:prstGeom>
                        </pic:spPr>
                      </pic:pic>
                    </a:graphicData>
                  </a:graphic>
                </wp:inline>
              </w:drawing>
            </w:r>
          </w:p>
        </w:tc>
        <w:tc>
          <w:tcPr>
            <w:tcW w:w="12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Additional Case Studies</w:t>
            </w:r>
          </w:p>
        </w:tc>
      </w:tr>
    </w:tbl>
    <w:tbl>
      <w:tblPr>
        <w:tblW w:w="16685" w:type="dxa"/>
        <w:jc w:val="center"/>
        <w:tblInd w:w="0" w:type="dxa"/>
        <w:tblCellMar>
          <w:top w:w="0" w:type="dxa"/>
          <w:left w:w="0" w:type="dxa"/>
          <w:bottom w:w="0" w:type="dxa"/>
          <w:right w:w="0" w:type="dxa"/>
        </w:tblCellMar>
      </w:tblPr>
      <w:tblGrid>
        <w:gridCol w:w="16500"/>
        <w:gridCol w:w="18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61"/>
                          <a:stretch>
                            <a:fillRect/>
                          </a:stretch>
                        </pic:blipFill>
                        <pic:spPr bwMode="auto">
                          <a:xfrm>
                            <a:off x="0" y="0"/>
                            <a:ext cx="10477500" cy="8086725"/>
                          </a:xfrm>
                          <a:prstGeom prst="rect">
                            <a:avLst/>
                          </a:prstGeom>
                        </pic:spPr>
                      </pic:pic>
                    </a:graphicData>
                  </a:graphic>
                </wp:inline>
              </w:drawing>
            </w:r>
          </w:p>
        </w:tc>
        <w:tc>
          <w:tcPr>
            <w:tcW w:w="18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Brookfield Acquires Teekay Offshore Partners L.P. in $4.4bn Take-Private ◼ On October 1, 2019 Teekay Offshore Partners L.P. (“TOO”), a Marshall Islands partnership, announced that it has entered into a definitive agreement and plan of merger (“Merger Agreement”) with Brookfield Business Partners L.P. and certain of its affiliates and institutional partners (“Brookfield”), under which Brookfield will acquire all of the outstanding common units of TOO not already held by Brookfield and its affiliates for cash consideration of $1.55 per common unit (the “Merger Consideration”) Transaction value of approximately $4.4 billion Each unaffiliated unitholder will have the option to forgo the right to receive the cash consideration in exchange for a rollover unit (the “Rollover Option”) ◼ The Merger Consideration represents a 28.1% premium to the unaffected closing unit price of $1.21 as of May 16, 2019 and a 47.6% increase over the initial offer of $1.05 from Brookfield extended on May 17, 2019 ◼ At the time the transaction was announced, Brookfield owned ~73.0% of the common units and 100.0% of the general partner As required under the Limited Partnership Agreement (the “LPA”), a Conflicts Committee was appointed to evaluate the transaction and negotiate on behalf of the unaffiliated unitholders The LPA provides a safe harbor for Conflicts Committee approved transactions (i.e. all Conflicts Committee approved transactions fall under Business Judgement) Shortly after announcement, Brookfield will act by written consent to approve the transaction ◼ Upon the closing of the merger, the common units will cease to be publicly traded, and the out-of-the-money Brookfield Transaction Warrants and Series D Warrants will be cancelled ◼ The Preferred Series A, B and E units are to remain unchanged, outstanding and publicly traded, and TOO will maintain SEC filing requirements, as required ◼ Evercore served as the exclusive financial advisor to the Conflicts Committee of the Board of Directors of Teekay Offshore GP L.L.C. and provided a fairness opinion in connection with the transaction The Conflicts Committee, Board of Directors and Evercore did not consider, evaluate, opine on or recommend the Rollover Option as part of the transaction Source: Partnership management, Partnership filings, FactSet as of October 1, 2019 Seller Unaffiliated unitholders of TOO Buyer Brookfield Vote No unitholder vote, Brookfield to act by written consent TOO not subject to proxy rules but 13E-3 information statement will be filed Transaction Consideration Unaffiliated unitholders receive $1.55 per common unit OR Unaffiliated unitholders forgo the right to receive cash consideration and instead receive a rollover unit for each common unit Transaction Results in: ◼ Brookfield acquisition of remaining 26.8% LP interest from unaffiliated unitholders ◼ Brookfield provides unaffiliated unitholders with an aggregate consideration of $170.6 million Overview Transaction Summary TOO Unit Price Performance 7/26/17: Strategic partnership announced (Brookfield initial investment) 7/3/18: Brookfield exercises option to assume controlling interest in GP from Teekay Corporation 4/29/19: Brookfield acquires Teekay Corporation’s remaining common units and GP ownership in TOO as well as out-of-the-money warrants 10/1/19: Brookfield and TOO announce transaction at $1.55 per common unit 5/17/19: Brookfield makes unsolicited initial offer at $1.05 per common unit $1.53 $ - $1.00 $2.00 $3.00 Jul-17 Dec-17 May-18 Nov-18 Apr-19 Oct-19 33</w:t>
            </w:r>
          </w:p>
        </w:tc>
      </w:tr>
    </w:tbl>
    <w:tbl>
      <w:tblPr>
        <w:tblW w:w="16670" w:type="dxa"/>
        <w:jc w:val="center"/>
        <w:tblInd w:w="0" w:type="dxa"/>
        <w:tblCellMar>
          <w:top w:w="0" w:type="dxa"/>
          <w:left w:w="0" w:type="dxa"/>
          <w:bottom w:w="0" w:type="dxa"/>
          <w:right w:w="0" w:type="dxa"/>
        </w:tblCellMar>
      </w:tblPr>
      <w:tblGrid>
        <w:gridCol w:w="16500"/>
        <w:gridCol w:w="17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62"/>
                          <a:stretch>
                            <a:fillRect/>
                          </a:stretch>
                        </pic:blipFill>
                        <pic:spPr bwMode="auto">
                          <a:xfrm>
                            <a:off x="0" y="0"/>
                            <a:ext cx="10477500" cy="8086725"/>
                          </a:xfrm>
                          <a:prstGeom prst="rect">
                            <a:avLst/>
                          </a:prstGeom>
                        </pic:spPr>
                      </pic:pic>
                    </a:graphicData>
                  </a:graphic>
                </wp:inline>
              </w:drawing>
            </w:r>
          </w:p>
        </w:tc>
        <w:tc>
          <w:tcPr>
            <w:tcW w:w="17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 DryShips Inc. (“DryShips”, formerly “DRYS” or “The Company”) is a diversified owner and operator of ocean going cargo vessels that operate worldwide through three segments: drybulk, offshore support and tanker ◼ SPII Holdings, owner of previously approximately 83.4% of the outstanding DryShips’ Common Shares, acquired all remaining publicly-owned Common Shares for 100% cash consideration 6/13/2019: SPII offered to take DryShips private at $4.00 / share, 26.6% above its unaffected price of $3.16 / share, valuing the Company at 0.60x P / NAV (0.66x P / Adj. NAV1 ) 8/8/2019: After five rounds of negotiations, SPII and DryShips settled on $5.25 / share, valuing the Company at 0.79x P / NAV (0.86x P / Adj. NAV1 ) ◼ No control premium was included, given that Unaffiliated Shareholders only owned 16.6% outstanding common interest in DryShips DryShips Take-Private by George Economou and SPII Holdings To Unaffiliated Shareholders ◼ Provided immediate liquidity and certain value for their shares at $5.25 per share ◼ Received a 66.1% premium to unaffected share price, which excludes any control premiums given their 16.6% ownership of the Company ◼ Eliminated risk of continued exposure to operational and legal risks in DRYS’ business and market risks, including minimal trading liquidity and lack of research coverage, inherent in remaining a public company ◼ Execution certainty with no financing contingency To SPII Holdings ◼ Elimination of public costs and disclosure requirements ◼ Ability to capture discount to NAV ◼ Full control of company and fleet Transaction Overview Share Price Performance Key Benefits and Considerations Negotiation Process Source: Company filings, FactSet 1. Adjusted for deduction of $0.58 per share for potential Management Agreement friction costs (costs under the TMS agreements are significantly higher than other drybulk public companies) $5.24 $0.00 $2.00 $4.00 $6.00 $8.00 Oct-18 Dec-18 Mar-19 May-19 Jul-19 Oct-19 6/13/19: Announced receipt of acquisition proposal from SPII Holdings for $4.00 / share 7/8/19: Announced Special Committee’s appointment of financial and legal advisors 8/19/19: Entered into definitive merger agreement with SPII for $5.25 / share in cash 10/9/19: Announces shareholders’ approval of merger 10/11/19: Announces completion of acquisition Date Party Price 6/13/19 SPII Holdings $4.00 7/31/19 DRYS Special Committee 6.00 8/5/19 SPII Holdings 4.50 8/5/19 DRYS Special Committee 5.50 8/7/19 SPII Holdings 5.00 8/8/19 DRYS Special Committee 5.25 Although the transaction was not conditioned on a “Majority of the Minority” vote, requested by the Special Committee, 82.5% of the unaffiliated shares voted in favor of this transaction 34</w:t>
            </w:r>
          </w:p>
        </w:tc>
      </w:tr>
    </w:tbl>
    <w:tbl>
      <w:tblPr>
        <w:tblW w:w="16625" w:type="dxa"/>
        <w:jc w:val="center"/>
        <w:tblInd w:w="0" w:type="dxa"/>
        <w:tblCellMar>
          <w:top w:w="0" w:type="dxa"/>
          <w:left w:w="0" w:type="dxa"/>
          <w:bottom w:w="0" w:type="dxa"/>
          <w:right w:w="0" w:type="dxa"/>
        </w:tblCellMar>
      </w:tblPr>
      <w:tblGrid>
        <w:gridCol w:w="16500"/>
        <w:gridCol w:w="12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63"/>
                          <a:stretch>
                            <a:fillRect/>
                          </a:stretch>
                        </pic:blipFill>
                        <pic:spPr bwMode="auto">
                          <a:xfrm>
                            <a:off x="0" y="0"/>
                            <a:ext cx="10477500" cy="8086725"/>
                          </a:xfrm>
                          <a:prstGeom prst="rect">
                            <a:avLst/>
                          </a:prstGeom>
                        </pic:spPr>
                      </pic:pic>
                    </a:graphicData>
                  </a:graphic>
                </wp:inline>
              </w:drawing>
            </w:r>
          </w:p>
        </w:tc>
        <w:tc>
          <w:tcPr>
            <w:tcW w:w="12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Additional Detail Regarding GasLog Partners</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4"/>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$8.26 $ - $2.00 $4.00 $6.00 $8.00 $10.00 $12.00 $14.00 $16.00 $18.00 Dec-19 Aug-20 Mar-21 Nov-21 Jun-22 Jan-23 $8.26 $6.50 $7.50 $8.50 1/24 1/25 1/27 1/29 1/31 February 2022: Russian Invasion of Ukraine Situation Overview Unit price performance has not rebounded after the COVID-19 driven declines of early 2020 despite improvement in LNG markets 3/31/20: Releases financial results and operational update, considering COVID-19 Outbreak 4/2/20: GasLog Partners takes delivery of the GasLog Windsor, a 180k cbm LNGC newbuild 6/15/21: Announces new charter agreement with Total and Shell 8/8/20: Announces appointment of CEO Paul Wogan and additional Director transitions 6/21/21: Announces new charter agreement with Cheniere Source: FactSet (as of 1/24/22) 7/8/21: Announces appointment of COO Paolo Enoizi as CEO and Director of GLOP 2/22/21: GasLog Ltd enters into agreement and plan of merger with BlackRock February 2020: Onset of Global COVID-19 Pandemic 11/10/20: Announces intention to pursue strategic alternatives and announces distribution cut $0.01 January 25 2022: GLOG makes proposal to acquire all outstanding units of GLOP not owned by LOG Performance Since Offer 18% increase since unaffected date / 7% premium to $7.70 offer price 35</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5"/>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(55.4%) 38.8% 24.3% (100.0%) (80.0%) (60.0%) (40.0%) (20.0%) 0.0% 20.0% 40.0% 60.0% 80.0% 100.0% Dec-19 Aug-20 Mar-21 Nov-21 Jun-22 Jan-23 GLOP Peer Index S&amp;P500 Situation Overview GLOP’s trading performance relative to benchmarks and its peers Source: FactSet (as of 1/24/22) 1. Includes CPLP, DLNG, FLNG and KNOP, weighted by market capitalization. EE and COOL excluded, as they had not yet been publicly traded as of 1/1/20 1 Indexed Common Unit Price Performance (1/1/20 to Unaffected Date) Since 1/1/20 Since 1/1/21 Since 1/1/22 GLOP (55.4%) 156.6% 57.6% Peer Index 38.8% 79.9% 5.3% S&amp;P 500 24.3% 6.9% (16.3%) 36</w:t>
            </w:r>
          </w:p>
        </w:tc>
      </w:tr>
    </w:tbl>
    <w:tbl>
      <w:tblPr>
        <w:tblW w:w="16625" w:type="dxa"/>
        <w:jc w:val="center"/>
        <w:tblInd w:w="0" w:type="dxa"/>
        <w:tblCellMar>
          <w:top w:w="0" w:type="dxa"/>
          <w:left w:w="0" w:type="dxa"/>
          <w:bottom w:w="0" w:type="dxa"/>
          <w:right w:w="0" w:type="dxa"/>
        </w:tblCellMar>
      </w:tblPr>
      <w:tblGrid>
        <w:gridCol w:w="16500"/>
        <w:gridCol w:w="12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6"/>
                          <a:stretch>
                            <a:fillRect/>
                          </a:stretch>
                        </pic:blipFill>
                        <pic:spPr bwMode="auto">
                          <a:xfrm>
                            <a:off x="0" y="0"/>
                            <a:ext cx="10477500" cy="8086725"/>
                          </a:xfrm>
                          <a:prstGeom prst="rect">
                            <a:avLst/>
                          </a:prstGeom>
                        </pic:spPr>
                      </pic:pic>
                    </a:graphicData>
                  </a:graphic>
                </wp:inline>
              </w:drawing>
            </w:r>
          </w:p>
        </w:tc>
        <w:tc>
          <w:tcPr>
            <w:tcW w:w="12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0.0% 5.7% 10.4% 33.2% 23.3% 19.1% 8.4% $2.00 - $3.00 $3.00 - $4.00 $4.00 - $5.00 $5.00 - $6.00 $6.00 - $7.00 $7.00 - $8.00 $8.00 - $9.00 13.3% 22.7% 16.5% 28.8% 8.6% 7.1% 3.1% $2.00 - $3.00 $3.00 - $4.00 $4.00 - $5.00 $5.00 - $6.00 $6.00 - $7.00 $7.00 - $8.00 $8.00 - $9.00 Situation Overview GLOP’s unit price has been largely range bound from $5-8 since the Russian invasion of Ukraine, and has remained below $8 for 90%+ of trading days since the invasion Historical Trading Prices (12/31/19 to Unaffected Date) Historical Trading Prices (2/25/22 to Unaffected Date)1 VWAP from 2/25/22-1/24/23: $5.99 VWAP from 12/31/19-1/24/23: $4.69 Source: FactSet (as of 1/24/23) Note: Based on closing price data. Public float defined as common units held by entities unaffiliated with the Sponsor 1. On 2/24/22, Russia launched its invasion of Ukraine Low Unit Price: $2.50 Date: 4/23/21 High Unit Price: $8.38 Date: 11/4/22 Low Unit Price: $3.30 Date: 3/3/22 High Unit Price: $8.38 Date: 11/4/22 37</w:t>
            </w:r>
          </w:p>
        </w:tc>
      </w:tr>
    </w:tbl>
    <w:tbl>
      <w:tblPr>
        <w:tblW w:w="16685" w:type="dxa"/>
        <w:jc w:val="center"/>
        <w:tblInd w:w="0" w:type="dxa"/>
        <w:tblCellMar>
          <w:top w:w="0" w:type="dxa"/>
          <w:left w:w="0" w:type="dxa"/>
          <w:bottom w:w="0" w:type="dxa"/>
          <w:right w:w="0" w:type="dxa"/>
        </w:tblCellMar>
      </w:tblPr>
      <w:tblGrid>
        <w:gridCol w:w="16500"/>
        <w:gridCol w:w="18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7"/>
                          <a:stretch>
                            <a:fillRect/>
                          </a:stretch>
                        </pic:blipFill>
                        <pic:spPr bwMode="auto">
                          <a:xfrm>
                            <a:off x="0" y="0"/>
                            <a:ext cx="10477500" cy="8086725"/>
                          </a:xfrm>
                          <a:prstGeom prst="rect">
                            <a:avLst/>
                          </a:prstGeom>
                        </pic:spPr>
                      </pic:pic>
                    </a:graphicData>
                  </a:graphic>
                </wp:inline>
              </w:drawing>
            </w:r>
          </w:p>
        </w:tc>
        <w:tc>
          <w:tcPr>
            <w:tcW w:w="18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$2.5 $18.8 $10.2 $4.4 $3.3 $0.8 $0.2 Median: $3.9 Mean: $6.3 Situation Overview Larger market cap LNG companies continue to see higher levels of trading liquidity Source: FactSet (as of 1/24/23) 1. Calculated as 90-day unit trading volume, multiplied by 90-day volume-weighted average price per unit ($ in millions) Equity Market Value (as of Unaffected Date) 90 Day Average $ Daily Trading Volume (as of Unaffected Date)1 $379 $2,534 $1,684 $552 $273 $197 $105 Median: $412.6 Mean: $890.9 38</w:t>
            </w:r>
          </w:p>
        </w:tc>
      </w:tr>
    </w:tbl>
    <w:tbl>
      <w:tblPr>
        <w:tblW w:w="16670" w:type="dxa"/>
        <w:jc w:val="center"/>
        <w:tblInd w:w="0" w:type="dxa"/>
        <w:tblCellMar>
          <w:top w:w="0" w:type="dxa"/>
          <w:left w:w="0" w:type="dxa"/>
          <w:bottom w:w="0" w:type="dxa"/>
          <w:right w:w="0" w:type="dxa"/>
        </w:tblCellMar>
      </w:tblPr>
      <w:tblGrid>
        <w:gridCol w:w="16500"/>
        <w:gridCol w:w="17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8"/>
                          <a:stretch>
                            <a:fillRect/>
                          </a:stretch>
                        </pic:blipFill>
                        <pic:spPr bwMode="auto">
                          <a:xfrm>
                            <a:off x="0" y="0"/>
                            <a:ext cx="10477500" cy="8086725"/>
                          </a:xfrm>
                          <a:prstGeom prst="rect">
                            <a:avLst/>
                          </a:prstGeom>
                        </pic:spPr>
                      </pic:pic>
                    </a:graphicData>
                  </a:graphic>
                </wp:inline>
              </w:drawing>
            </w:r>
          </w:p>
        </w:tc>
        <w:tc>
          <w:tcPr>
            <w:tcW w:w="17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Situation Overview Limited institutional or yield focused investor base Source: FactSet, Partnership filings Summary Institutional Ownership Institution Units (000's) Ownership % Cobas Asset Management 5,096 9.9% Invesco Advisers 2,366 4.6% Renaissance Technologies 767 1.5% Two Sigma Advisers 399 0.8% Forager Funds Management 282 0.5% Walleye Capital 277 0.5% Andbank Wealth Management 239 0.5% Acadian Asset Management 218 0.4% Goldman Sachs &amp; Co. LLC 202 0.4% Two Sigma Investments 189 0.4% Global X Management Co 189 0.4% Arrowstreet Capital 135 0.3% Russell Investment Management 128 0.2% Susquehanna Financial Group 124 0.2% Schonfeld Strategic Advisors 94 0.2% Top 15 Institutional 10,705 20.7% Insider Ownership Summary Holder Units (000's) Ownership % Holder Units (000's) Ownership % GasLog Ltd. 15,622 30.2% Institutional/Other (Net of Short Interest) 11,831 22.9% Total Insider 15,622 30.2% Insiders 15,622 30.2% Retail 24,235 46.9% Total Common Units Outstanding 51,688 100.0% Institutional 22.9% Insiders 30.2% Retail 46.9% 39</w:t>
            </w:r>
          </w:p>
        </w:tc>
      </w:tr>
    </w:tbl>
    <w:tbl>
      <w:tblPr>
        <w:tblW w:w="16640" w:type="dxa"/>
        <w:jc w:val="center"/>
        <w:tblInd w:w="0" w:type="dxa"/>
        <w:tblCellMar>
          <w:top w:w="0" w:type="dxa"/>
          <w:left w:w="0" w:type="dxa"/>
          <w:bottom w:w="0" w:type="dxa"/>
          <w:right w:w="0" w:type="dxa"/>
        </w:tblCellMar>
      </w:tblPr>
      <w:tblGrid>
        <w:gridCol w:w="16500"/>
        <w:gridCol w:w="14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9"/>
                          <a:stretch>
                            <a:fillRect/>
                          </a:stretch>
                        </pic:blipFill>
                        <pic:spPr bwMode="auto">
                          <a:xfrm>
                            <a:off x="0" y="0"/>
                            <a:ext cx="10477500" cy="8086725"/>
                          </a:xfrm>
                          <a:prstGeom prst="rect">
                            <a:avLst/>
                          </a:prstGeom>
                        </pic:spPr>
                      </pic:pic>
                    </a:graphicData>
                  </a:graphic>
                </wp:inline>
              </w:drawing>
            </w:r>
          </w:p>
        </w:tc>
        <w:tc>
          <w:tcPr>
            <w:tcW w:w="14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“The partnership said it has "agreed in principle" to convert an older, 145,000 cbm steamship into a floating storage and regasification unit (FSRU) for the Venice Energy project located at the Port of Adelaide in Australia. The partnership expects a ~10-year contract to materialize in the 2H-2023. The conversion is expected to take 8-10 months and should cost ~$100 million. This would be important as it is the first asset growth since the distribution cut.” “The Methane Becki Anne contract was extended with Shell for another five years that will continue through March 2029. We estimate that the contract rate would be roughly $80k/day. Cheniere extended its contract on the Methane Jane Elizabeth for an additional year until March 2024 which was at ~$39,000/day. Lastly, the GasLog Seattle was chartered for a year from March 2023 for ~$115,000/day. Given rates came in higher than we expected, we are moving our estimates up to account for the new charters.” Situation Overview Analyst Projections by Stifel (January 26, 2023) – Price Target of $9.50 Revenue Projections EBITDA Projections $273 $211 2023E 2024E $362 $301 2023E 2024E 3.5x 3.8x 2023E 2024E Debt / EBITDA Projections Source: Wall Street research Note: Projections included for select brokers with available data ($ in millions, except per unit data) (1/26/23) | Price Target: $9.50 40</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70"/>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10.5 12.8 12.4 8.5 3.2 1.6 1.7 8.0 6.6 3.8 1.8 N/A 14 18 13 10 7 6 Situation Overview Despite a sizeable fleet, GLOP’s average charter duration is limited relative to peers Fleet Count1 Weighted Average Charter Duration (Years)2 Source: Partnership / Company websites and filings, Clarksons Note: CPLP figures excluded its drybulk and containership vessels 1. Disclosed fleet count as of 1/24/23 Weighted Average Fleet Age (Years)3 Average TCE Rate ($ per Day)4 FSRU LNGC Shuttle Tanker $79,284 $75,941 $73,771 $59,917 N/A N/A 2. Figures as of 1/24/23, weighted by cbm; EE average charter duration not disclosed; KNOP figure represents 1.9yr value disclosed on 11/30/22, less the fractional year passed to present 3. Figures as of 1/24/23, weighted by cbm 4. GasLog figure calculated as disclosed 2024 contracted time charter revenue of $157.3mm, divided by 1,984 total contracted days. DLNG figure represents consolidated fleet Q3 TCE rate. CPLP figure based upon contracted rates disclosed as of 11/10/22. FLNG figure represents consolidated fleet Q3 TCE rate. 41</w:t>
            </w:r>
          </w:p>
        </w:tc>
      </w:tr>
    </w:tbl>
    <w:tbl>
      <w:tblPr>
        <w:tblW w:w="16640" w:type="dxa"/>
        <w:jc w:val="center"/>
        <w:tblInd w:w="0" w:type="dxa"/>
        <w:tblCellMar>
          <w:top w:w="0" w:type="dxa"/>
          <w:left w:w="0" w:type="dxa"/>
          <w:bottom w:w="0" w:type="dxa"/>
          <w:right w:w="0" w:type="dxa"/>
        </w:tblCellMar>
      </w:tblPr>
      <w:tblGrid>
        <w:gridCol w:w="16500"/>
        <w:gridCol w:w="14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71"/>
                          <a:stretch>
                            <a:fillRect/>
                          </a:stretch>
                        </pic:blipFill>
                        <pic:spPr bwMode="auto">
                          <a:xfrm>
                            <a:off x="0" y="0"/>
                            <a:ext cx="10477500" cy="8086725"/>
                          </a:xfrm>
                          <a:prstGeom prst="rect">
                            <a:avLst/>
                          </a:prstGeom>
                        </pic:spPr>
                      </pic:pic>
                    </a:graphicData>
                  </a:graphic>
                </wp:inline>
              </w:drawing>
            </w:r>
          </w:p>
        </w:tc>
        <w:tc>
          <w:tcPr>
            <w:tcW w:w="14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Based on Book Value Total Debt $1,141.7 (–) Cash and Equivalents (145.5) Net Debt $996.1 Book Value of Common Equity $681.6 Book Value of Preferred Equity 279.3 Enterprise Value (Book Value) $1,957.0 Net Debt / Enterprise Value (Book Value) 50.9% Net Debt / 2022E EBITDA 3.6x Net Debt / 2023E EBITDA 4.7x Situation Overview Summary Market Data Public Market Overview Capital Structure ($ in millions, except per unit data) Source: Partnership filings, FactSet (as of 1/24/23), Wall Street Research, Clarksons Note: Unaffected metrics based on (1/24/23) closing price of $6.98 per common unit 1. EBITDA, Distribution Yield and NAV estimates based on Stifel (1/24/23) Unit Price and Distribution per Unit Unaffected Offer GLOP Common Unit Price $6.98 $7.70 52-Week High 8.55 8.55 52-Week Low 3.24 3.24 Fully-Diluted Units Outstanding 54.285 54.285 Market Capitalization $378.9 $418.0 (+) Market Value of Preferred Units 289.3 289.3 (+) Total Debt Outstanding 1,141.7 1,141.7 (–) Cash and Cash Equivalents (145.5) (145.5) Enterprise Value $1,664.3 $1,703.4 Implied Multiples EV / EBITDA Metric1 Unaffected Offer 2023E $273.0 6.1x 6.2x 2024E 210.7 7.9x 8.1x Distribution Yields 2023E $0.04 0.6% 0.5% 2024E 0.04 0.6% 0.5% P / NAV1 $9.27 0.75x 0.83x $ - $2.00 $4.00 $6.00 $8.00 $10.00 $12.00 $ - $0.15 $0.30 $0.45 $0.60 Jan-20 Jul-20 Jan-21 Jul-21 Jan-22 Jul-22 Jan-23 Common Unit Price Distribution Distribution Price $0.125 ~$0.55 $0.01 $6.98 42</w:t>
            </w:r>
          </w:p>
        </w:tc>
      </w:tr>
    </w:tbl>
    <w:tbl>
      <w:tblPr>
        <w:tblW w:w="16670" w:type="dxa"/>
        <w:jc w:val="center"/>
        <w:tblInd w:w="0" w:type="dxa"/>
        <w:tblCellMar>
          <w:top w:w="0" w:type="dxa"/>
          <w:left w:w="0" w:type="dxa"/>
          <w:bottom w:w="0" w:type="dxa"/>
          <w:right w:w="0" w:type="dxa"/>
        </w:tblCellMar>
      </w:tblPr>
      <w:tblGrid>
        <w:gridCol w:w="16500"/>
        <w:gridCol w:w="17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72"/>
                          <a:stretch>
                            <a:fillRect/>
                          </a:stretch>
                        </pic:blipFill>
                        <pic:spPr bwMode="auto">
                          <a:xfrm>
                            <a:off x="0" y="0"/>
                            <a:ext cx="10477500" cy="8086725"/>
                          </a:xfrm>
                          <a:prstGeom prst="rect">
                            <a:avLst/>
                          </a:prstGeom>
                        </pic:spPr>
                      </pic:pic>
                    </a:graphicData>
                  </a:graphic>
                </wp:inline>
              </w:drawing>
            </w:r>
          </w:p>
        </w:tc>
        <w:tc>
          <w:tcPr>
            <w:tcW w:w="17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LNGC 160k cbm 5yr old Secondhand Prices: $200.0 LNGC 145k cbm 10yr old Secondhand Prices: $90.0 LNGC 145k cbm 15yr old Secondhand Prices: $53.0 4 1 4 1 2 2 $ - $50.0 $100.0 $150.0 $200.0 $250.0 - 5 10 15 20 GLOP Fleet Summary Situation Overview Source: Company filings, Clarksons ($ in millions) Fleet Valuation Methodology ◼ Limited vessel value data points from Clarksons necessitated an extrapolation to derive an estimate of GLOP NAV ◼ Vessel values assumed based on extrapolated Clarksons prices for the following: TFDE – 160k cbm 5yr old secondhand prices Steam – 145k cbm 10 &amp; 15yr old secondhand prices Full vessel valuation curve extrapolated assuming 3.0% annual depreciation Vessel Valuation Curve by Age TFDE Steam Clarksons Datapoint # Vessels Vessel Propulsion Built Capacity (cbm) Estimated Value GasLog Geneva TFDE 2016 174k $190.5 GasLog Gibraltar TFDE 2016 174k 190.5 GasLog Glasgow TFDE 2016 174k 190.5 GasLog Greece TFDE 2016 174k 190.5 Solaris TFDE 2014 155k 179.2 GasLog Santiago TFDE 2013 155k 173.9 GasLog Seattle TFDE 2013 155k 173.9 GasLog Shanghai TFDE 2013 155k 173.9 GasLog Sydney TFDE 2013 155k 173.9 Methane Becki Anne TFDE 2010 170k 158.7 Methane Alison Victoria Steam 2007 145k 52.0 Methane Heather Sally Steam 2007 145k 52.0 Methane Jane Elizabeth Steam 2006 145k 50.5 Methane Rita Andrea Steam 2006 145k 50.5 Charter Free Gross Asset Value $2,000.3 GLOP Fleet Valuation Detail 43</w:t>
            </w:r>
          </w:p>
        </w:tc>
      </w:tr>
    </w:tbl>
    <w:tbl>
      <w:tblPr>
        <w:tblW w:w="16625" w:type="dxa"/>
        <w:jc w:val="center"/>
        <w:tblInd w:w="0" w:type="dxa"/>
        <w:tblCellMar>
          <w:top w:w="0" w:type="dxa"/>
          <w:left w:w="0" w:type="dxa"/>
          <w:bottom w:w="0" w:type="dxa"/>
          <w:right w:w="0" w:type="dxa"/>
        </w:tblCellMar>
      </w:tblPr>
      <w:tblGrid>
        <w:gridCol w:w="16500"/>
        <w:gridCol w:w="12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73"/>
                          <a:stretch>
                            <a:fillRect/>
                          </a:stretch>
                        </pic:blipFill>
                        <pic:spPr bwMode="auto">
                          <a:xfrm>
                            <a:off x="0" y="0"/>
                            <a:ext cx="10477500" cy="8086725"/>
                          </a:xfrm>
                          <a:prstGeom prst="rect">
                            <a:avLst/>
                          </a:prstGeom>
                        </pic:spPr>
                      </pic:pic>
                    </a:graphicData>
                  </a:graphic>
                </wp:inline>
              </w:drawing>
            </w:r>
          </w:p>
        </w:tc>
        <w:tc>
          <w:tcPr>
            <w:tcW w:w="12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Situation Overview GLOP has 87% charter coverage for the remainder of 2023 but significant spot exposure thereafter Source: Public filings GasLog Partners LP’s Fleet Propulsion Built Capacity Charterer 2023 GasLog Glasgow TFDE 2016 174,000 GasLog Greece TFDE 2016 174,000 Methane Becki Anne TFDE 2010 170,000 GasLog Gibraltar TFDE 2016 174,000 GasLog Geneva TFDE 2016 174,000 GasLog Shanghai TFDE 2013 155,000 GasLog Santiago TFDE 2013 155,000 Solaris TFDE 2014 155,000 Energy Major GasLog Seattle TFDE 2013 155,000 Major Trading House GasLog Sydney TFDE 2013 155,000 Methane Heather Sally Steam 2007 145,000 SEA Charterer Methane Jane Elizabeth Steam 2006 145,000 Methane Rita Andrea Steam 2006 145,000 Energy Major Methane Alison Victoria Steam 2007 145,000 Firm Period Optional Period Available CMI 44</w:t>
            </w:r>
          </w:p>
        </w:tc>
      </w:tr>
    </w:tbl>
    <w:tbl>
      <w:tblPr>
        <w:tblW w:w="16625" w:type="dxa"/>
        <w:jc w:val="center"/>
        <w:tblInd w:w="0" w:type="dxa"/>
        <w:tblCellMar>
          <w:top w:w="0" w:type="dxa"/>
          <w:left w:w="0" w:type="dxa"/>
          <w:bottom w:w="0" w:type="dxa"/>
          <w:right w:w="0" w:type="dxa"/>
        </w:tblCellMar>
      </w:tblPr>
      <w:tblGrid>
        <w:gridCol w:w="16500"/>
        <w:gridCol w:w="12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4"/>
                          <a:stretch>
                            <a:fillRect/>
                          </a:stretch>
                        </pic:blipFill>
                        <pic:spPr bwMode="auto">
                          <a:xfrm>
                            <a:off x="0" y="0"/>
                            <a:ext cx="10477500" cy="8086725"/>
                          </a:xfrm>
                          <a:prstGeom prst="rect">
                            <a:avLst/>
                          </a:prstGeom>
                        </pic:spPr>
                      </pic:pic>
                    </a:graphicData>
                  </a:graphic>
                </wp:inline>
              </w:drawing>
            </w:r>
          </w:p>
        </w:tc>
        <w:tc>
          <w:tcPr>
            <w:tcW w:w="12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Situation Overview Since the beginning of 2021, GasLog Partners has reduced leverage by 44%, adding significant balance sheet flexibility Source: Partnership filings 45 5.0x 5.3x 4.9x 4.4x 4.3x 3.9x 3.3x 2.8x Q1 2021 Q2 2021 Q3 2021 Q4 2021 Q1 2022 Q2 2022 Q3 2022 Q4 2022 Net Debt / LTM Adjusted EBITDA</w:t>
            </w:r>
          </w:p>
        </w:tc>
      </w:tr>
    </w:tbl>
    <w:p>
      <w:pPr>
        <w:pStyle w:val="TextBody"/>
        <w:ind w:left="0" w:right="0" w:hanging="0"/>
        <w:jc w:val="right"/>
        <w:rPr>
          <w:rFonts w:ascii="Times New Roman" w:hAnsi="Times New Roman"/>
          <w:b/>
          <w:sz w:val="20"/>
        </w:rPr>
      </w:pPr>
      <w:r>
        <w:br w:type="page"/>
      </w:r>
      <w:bookmarkStart w:id="15" w:name="tm2314213d1_ex99-c3.htm"/>
      <w:bookmarkStart w:id="16" w:name="kstm2314213d1_ex99c3"/>
      <w:bookmarkEnd w:id="15"/>
      <w:bookmarkEnd w:id="16"/>
      <w:r>
        <w:rPr>
          <w:rFonts w:ascii="Times New Roman" w:hAnsi="Times New Roman"/>
          <w:b/>
          <w:sz w:val="20"/>
        </w:rPr>
        <w:t>Exhibit 99.(c)(3)</w:t>
        <w:br/>
      </w:r>
    </w:p>
    <w:tbl>
      <w:tblPr>
        <w:tblW w:w="16610" w:type="dxa"/>
        <w:jc w:val="right"/>
        <w:tblInd w:w="0" w:type="dxa"/>
        <w:tblCellMar>
          <w:top w:w="0" w:type="dxa"/>
          <w:left w:w="0" w:type="dxa"/>
          <w:bottom w:w="0" w:type="dxa"/>
          <w:right w:w="0" w:type="dxa"/>
        </w:tblCellMar>
      </w:tblPr>
      <w:tblGrid>
        <w:gridCol w:w="16500"/>
        <w:gridCol w:w="11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75"/>
                          <a:stretch>
                            <a:fillRect/>
                          </a:stretch>
                        </pic:blipFill>
                        <pic:spPr bwMode="auto">
                          <a:xfrm>
                            <a:off x="0" y="0"/>
                            <a:ext cx="10477500" cy="8086725"/>
                          </a:xfrm>
                          <a:prstGeom prst="rect">
                            <a:avLst/>
                          </a:prstGeom>
                        </pic:spPr>
                      </pic:pic>
                    </a:graphicData>
                  </a:graphic>
                </wp:inline>
              </w:drawing>
            </w:r>
          </w:p>
        </w:tc>
        <w:tc>
          <w:tcPr>
            <w:tcW w:w="11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The Conflicts Committee of the Board of Directors of GasLog Partners LP February 2023</w:t>
            </w:r>
          </w:p>
        </w:tc>
      </w:tr>
    </w:tbl>
    <w:tbl>
      <w:tblPr>
        <w:tblW w:w="16685" w:type="dxa"/>
        <w:jc w:val="center"/>
        <w:tblInd w:w="0" w:type="dxa"/>
        <w:tblCellMar>
          <w:top w:w="0" w:type="dxa"/>
          <w:left w:w="0" w:type="dxa"/>
          <w:bottom w:w="0" w:type="dxa"/>
          <w:right w:w="0" w:type="dxa"/>
        </w:tblCellMar>
      </w:tblPr>
      <w:tblGrid>
        <w:gridCol w:w="16500"/>
        <w:gridCol w:w="18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76"/>
                          <a:stretch>
                            <a:fillRect/>
                          </a:stretch>
                        </pic:blipFill>
                        <pic:spPr bwMode="auto">
                          <a:xfrm>
                            <a:off x="0" y="0"/>
                            <a:ext cx="10477500" cy="8086725"/>
                          </a:xfrm>
                          <a:prstGeom prst="rect">
                            <a:avLst/>
                          </a:prstGeom>
                        </pic:spPr>
                      </pic:pic>
                    </a:graphicData>
                  </a:graphic>
                </wp:inline>
              </w:drawing>
            </w:r>
          </w:p>
        </w:tc>
        <w:tc>
          <w:tcPr>
            <w:tcW w:w="18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These materials have been prepared by Evercore Group L.L.C. (“Evercore”) for the Conflicts Committee (the “Conflicts Committee”) of the Board of Directors of GasLog Partners GP LLC, the general partner of GasLog Partners LP (“GLOP,” or the “Partnership”), to whom such materials are directly addressed and delivered and may not be used or relied upon for any purpose other than as specifically contemplated by a written agreement with Evercore. These materials are based on information provided by or on behalf of the Conflicts Committee, from public sources or otherwise reviewed by Evercore. Evercore assumes no responsibility for independent investigation or verification of such information and has relied on such information being complete and accurate in all material respects. To the extent such information includes estimates and forecasts of future financial or operating performance prepared by or reviewed with the management of GLOP and/or other potential transaction participants or obtained from public sources, Evercore has assumed that such estimates and forecasts have been reasonably prepared on bases reflecting the best currently available estimates and good faith judgments of such management (or, with respect to estimates and forecasts obtained from public sources, represent reasonable estimates). No representation or warranty, express or implied, is made as to the accuracy or completeness of such information and nothing contained herein is, or shall be relied upon as, a representation, whether as to the past, the present or the future. These materials were designed for use by specific persons familiar with the business and affairs of GLOP. These materials are not intended to provide the sole basis for evaluating, and should not be considered a recommendation with respect to, any transaction or other matter. These materials have been developed by and are proprietary to Evercore and were prepared exclusively for the benefit and internal use of the Conflicts Committee. These materials were compiled on a confidential basis for use by the Conflicts Committee and not with a view to public disclosure or filing thereof under state or federal securities laws, and may not be reproduced, disseminated, quoted or referred to, in whole or in part, without the prior written consent of Evercore. These materials do not constitute an offer or solicitation to sell or purchase any securities and are not a commitment by Evercore or any of its affiliates to provide or arrange any financing for any transaction or to purchase any security in connection therewith. Evercore assumes no obligation to update or otherwise revise these materials. These materials may not reflect information known to other professionals in other business areas of Evercore and its affiliates. Evercore and its affiliates do not provide legal, regulatory, accounting or tax advice. Accordingly, any statements contained herein as to legal, regulatory, accounting or tax matters were neither written nor intended by Evercore or its affiliates to be used and cannot be used by any person, including for the purpose of avoiding tax penalties that may be imposed on such person. Each person should seek legal, regulatory, accounting and tax advice based on his, her or its particular circumstances from independent advisors regarding the impact of the transactions or matters described herein.</w:t>
            </w:r>
          </w:p>
        </w:tc>
      </w:tr>
    </w:tbl>
    <w:tbl>
      <w:tblPr>
        <w:tblW w:w="16820" w:type="dxa"/>
        <w:jc w:val="center"/>
        <w:tblInd w:w="0" w:type="dxa"/>
        <w:tblCellMar>
          <w:top w:w="0" w:type="dxa"/>
          <w:left w:w="0" w:type="dxa"/>
          <w:bottom w:w="0" w:type="dxa"/>
          <w:right w:w="0" w:type="dxa"/>
        </w:tblCellMar>
      </w:tblPr>
      <w:tblGrid>
        <w:gridCol w:w="16500"/>
        <w:gridCol w:w="32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77"/>
                          <a:stretch>
                            <a:fillRect/>
                          </a:stretch>
                        </pic:blipFill>
                        <pic:spPr bwMode="auto">
                          <a:xfrm>
                            <a:off x="0" y="0"/>
                            <a:ext cx="10477500" cy="8086725"/>
                          </a:xfrm>
                          <a:prstGeom prst="rect">
                            <a:avLst/>
                          </a:prstGeom>
                        </pic:spPr>
                      </pic:pic>
                    </a:graphicData>
                  </a:graphic>
                </wp:inline>
              </w:drawing>
            </w:r>
          </w:p>
        </w:tc>
        <w:tc>
          <w:tcPr>
            <w:tcW w:w="32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Agenda Items Introduction Strategy ◼ Align on procedures for negotiations and other interactions with GasLog Ltd. and its advisors Discuss appropriate points of contact 1 Timeline ◼ 1 st Meeting: ~2 weeks following receipt of financial model and other major diligence items ◼ 2 nd Meeting: To be determined subsequent to 1 st Meeting Diligence Items ◼ GasLog Partners Diligence Management forecasts and operating model (status quo and synergy projections) Charter-free and charter-attached vessel appraisals FSRU conversion of the Sponsor’s GasLog Chelsea and GLOP’s opportunity to convert its steam vessels ◼ Industry Diligence Projected rechartering rates Fleet positioning within LNGC market (Sent as a separate attachment) Working Group List ◼ Please direct any additions or revisions to Matthew.McGarry@Evercore.com (Sent as a separate attachment)</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78"/>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2.5% 24.1% 0.7% - 2.5 5.0 7.5 10.0 (10.0%) 0.0% 10.0% 20.0% 30.0% 1/24/23 1/27/23 1/30/23 2/2/23 2/5/23 2/8/23 Daily Unit Trading Volume (millions) Trading Performance Since Unaffected Date Situation Update GasLog Partners’ common unit price has traded up considerably since the $7.70 proposal from the Sponsor Source: FactSet (as of 2/8/23) 2 GasLog Partners Peer Index1 S&amp;P 500 GLOP Common Unit Volume (1/25/23) GLOP announces $7.70 proposal from its Sponsor. Units close at a price of $8.00 Offer Premium to Unaffected Price: 10.3% Common Unit Price Performance and Volume (Since 1/24/23 Unaffected Date) Average Daily Trading Volume (mm) Unit Price Since Unaffected Date 1.071 As of Unaffected Date (90-Day) 0.351 1. Includes COOL, CPLP, DLNG, EE, FLNG and KNOP, weighted by market capitalization Current Price: $8.66</w:t>
            </w:r>
          </w:p>
        </w:tc>
      </w:tr>
    </w:tbl>
    <w:p>
      <w:pPr>
        <w:pStyle w:val="TextBody"/>
        <w:ind w:left="0" w:right="0" w:hanging="0"/>
        <w:jc w:val="right"/>
        <w:rPr>
          <w:rFonts w:ascii="Times New Roman" w:hAnsi="Times New Roman"/>
          <w:b/>
          <w:sz w:val="20"/>
        </w:rPr>
      </w:pPr>
      <w:r>
        <w:br w:type="page"/>
      </w:r>
      <w:bookmarkStart w:id="17" w:name="tm2314213d1_ex99-c4.htm"/>
      <w:bookmarkStart w:id="18" w:name="kstm2314213d1_ex99c4"/>
      <w:bookmarkEnd w:id="17"/>
      <w:bookmarkEnd w:id="18"/>
      <w:r>
        <w:rPr>
          <w:rFonts w:ascii="Times New Roman" w:hAnsi="Times New Roman"/>
          <w:b/>
          <w:sz w:val="20"/>
        </w:rPr>
        <w:t>Exhibit 99.(c)(4)</w:t>
        <w:br/>
      </w:r>
    </w:p>
    <w:tbl>
      <w:tblPr>
        <w:tblW w:w="16655" w:type="dxa"/>
        <w:jc w:val="right"/>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embed="rId79"/>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Conflicts Committee of GasLog Partners LP February 2023 PRELIMINARY ANALYSIS SUBJECT TO MATERIAL CHANGES 2/26/2023 10:45 PM</w:t>
            </w:r>
          </w:p>
        </w:tc>
      </w:tr>
    </w:tbl>
    <w:tbl>
      <w:tblPr>
        <w:tblW w:w="16625" w:type="dxa"/>
        <w:jc w:val="center"/>
        <w:tblInd w:w="0" w:type="dxa"/>
        <w:tblCellMar>
          <w:top w:w="0" w:type="dxa"/>
          <w:left w:w="0" w:type="dxa"/>
          <w:bottom w:w="0" w:type="dxa"/>
          <w:right w:w="0" w:type="dxa"/>
        </w:tblCellMar>
      </w:tblPr>
      <w:tblGrid>
        <w:gridCol w:w="16500"/>
        <w:gridCol w:w="12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embed="rId80"/>
                          <a:stretch>
                            <a:fillRect/>
                          </a:stretch>
                        </pic:blipFill>
                        <pic:spPr bwMode="auto">
                          <a:xfrm>
                            <a:off x="0" y="0"/>
                            <a:ext cx="10477500" cy="8086725"/>
                          </a:xfrm>
                          <a:prstGeom prst="rect">
                            <a:avLst/>
                          </a:prstGeom>
                        </pic:spPr>
                      </pic:pic>
                    </a:graphicData>
                  </a:graphic>
                </wp:inline>
              </w:drawing>
            </w:r>
          </w:p>
        </w:tc>
        <w:tc>
          <w:tcPr>
            <w:tcW w:w="12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Table of Contents Introduction Situation Overview Preliminary Findings Appendix A. Weighted Average Cost of Capital B. Additional Detail Regarding GasLog Partners Section I II III</w:t>
            </w:r>
          </w:p>
        </w:tc>
      </w:tr>
    </w:tbl>
    <w:tbl>
      <w:tblPr>
        <w:tblW w:w="16625" w:type="dxa"/>
        <w:jc w:val="center"/>
        <w:tblInd w:w="0" w:type="dxa"/>
        <w:tblCellMar>
          <w:top w:w="0" w:type="dxa"/>
          <w:left w:w="0" w:type="dxa"/>
          <w:bottom w:w="0" w:type="dxa"/>
          <w:right w:w="0" w:type="dxa"/>
        </w:tblCellMar>
      </w:tblPr>
      <w:tblGrid>
        <w:gridCol w:w="16500"/>
        <w:gridCol w:w="12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embed="rId81"/>
                          <a:stretch>
                            <a:fillRect/>
                          </a:stretch>
                        </pic:blipFill>
                        <pic:spPr bwMode="auto">
                          <a:xfrm>
                            <a:off x="0" y="0"/>
                            <a:ext cx="10477500" cy="8086725"/>
                          </a:xfrm>
                          <a:prstGeom prst="rect">
                            <a:avLst/>
                          </a:prstGeom>
                        </pic:spPr>
                      </pic:pic>
                    </a:graphicData>
                  </a:graphic>
                </wp:inline>
              </w:drawing>
            </w:r>
          </w:p>
        </w:tc>
        <w:tc>
          <w:tcPr>
            <w:tcW w:w="12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I. Introduction</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embed="rId82"/>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 Evercore Group LLC (“Evercore”) is pleased to present its preliminary findings to the Conflicts Committee of the Board of Directors (the “Conflicts Committee”) of GasLog Partners GP LLC, the general partner of GasLog Partners LP (the “Partnership”, “GasLog Partners” or “GLOP”), regarding the non-binding proposal from GasLog Ltd. (the “Sponsor” or “GLOG”) to acquire all outstanding common units not owned by GLOG for cash consideration (the “Proposed Transaction”) GLOG proposes that the GLOP unaffiliated unitholders (the “Unaffiliated Unitholders”) exchange each owned common unit for the right to receive $7.70 in cash per common unit, consisting in part of a special distribution by the Partnership of $2.33 per common unit (the “Proposed Consideration”) ◼ Evercore has commenced its due diligence review as part of our evaluation process of the Proposed Transaction On February 13, 2023, Evercore was provided access to the virtual data room which included, among other items, GasLog Partners’ financial projections as provided by management (the “GLOP Financial Projections”), the 2023E budget, the most recent broker appraisals, key commercial agreements and recent materials prepared for the GLOP Board of Directors On February 14, 2023, Evercore attended a virtual presentation held by GLOP management which included an update on the business and key industry trends On February 21, 2023, Evercore held a call with management regarding GLOP Financial Projections that included continued discussion on industry trends, recent LNG vessel sales and the Venice FSRU Project ◼ We are pleased to present our preliminary perspectives based on our work so far, although further diligence is required Introduction Introduction 4</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embed="rId83"/>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$9.18 $ - $5.00 $10.00 $15.00 $20.00 $25.00 Dec-18 Oct-19 Aug-20 Jun-21 Apr-22 Feb-23 February 2022: Russian Invasion of Ukraine Unit Price Performance (Last 5 Years) Source: FactSet (as of 2/23/23) October 2020: Announces intention to pursue strategic alternatives and announces further distribution cut from $0.125 to $0.01 Introduction January 2025: GLOG proposes to acquire all outstanding public common units of GLOP for $7.70 in cash Feb 2021: GasLog Ltd. announces merger with BlackRock’s Global Energy &amp; Power Infrastructure Funds June 2019: Announces exchange / elimination of GP IDRs for new LP units February 2020: Onset of Global COVID-19 Pandemic, quarterly distribution reduced from $0.561 to $0.125 5</w:t>
            </w:r>
          </w:p>
        </w:tc>
      </w:tr>
    </w:tbl>
    <w:tbl>
      <w:tblPr>
        <w:tblW w:w="16640" w:type="dxa"/>
        <w:jc w:val="center"/>
        <w:tblInd w:w="0" w:type="dxa"/>
        <w:tblCellMar>
          <w:top w:w="0" w:type="dxa"/>
          <w:left w:w="0" w:type="dxa"/>
          <w:bottom w:w="0" w:type="dxa"/>
          <w:right w:w="0" w:type="dxa"/>
        </w:tblCellMar>
      </w:tblPr>
      <w:tblGrid>
        <w:gridCol w:w="16500"/>
        <w:gridCol w:w="14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embed="rId84"/>
                          <a:stretch>
                            <a:fillRect/>
                          </a:stretch>
                        </pic:blipFill>
                        <pic:spPr bwMode="auto">
                          <a:xfrm>
                            <a:off x="0" y="0"/>
                            <a:ext cx="10477500" cy="8086725"/>
                          </a:xfrm>
                          <a:prstGeom prst="rect">
                            <a:avLst/>
                          </a:prstGeom>
                        </pic:spPr>
                      </pic:pic>
                    </a:graphicData>
                  </a:graphic>
                </wp:inline>
              </w:drawing>
            </w:r>
          </w:p>
        </w:tc>
        <w:tc>
          <w:tcPr>
            <w:tcW w:w="14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$9.18 - 500.0 1,000.0 1,500.0 2,000.0 2,500.0 $6.00 $7.00 $8.00 $9.00 $10.00 1/24 1/30 2/5 2/11 2/17 2/23 GLOP Common Unit Price Unit Volume (thousands) Volume (000s) Unit Price Introduction Units Have Increased 32% Since the Unaffected Date, Equating to a 19% Premium to the $7.70 Offer Price Source: FactSet (as of 2/23/23) Average Total Volume Traded 21 Trading Days Since Offer 843k 17,698k 90-Day Unaffected 345k 31,069k % of Outstanding Common Units 21 Trading Days Since Offer 1.6% 32.6% 90-Day Unaffected 0.6% 57.2% % of Total Float 21 Trading Days Since Offer 2.4% 49.6% 6</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embed="rId85"/>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(41.3%) 215.2% 49.3% 8.4% (67.4%) (59.8%) (40.9%) 0.0% (150.0%) 0.0% 150.0% 300.0% 1/1/20 7/10/20 1/18/21 7/28/21 2/5/22 8/15/22 2/23/23 GasLog Partners (MLP) Flex LNG (C-Corp.) Dynagas (MLP) CPLP (MLP) Knot Offshore Partners (MLP) Golar LNG Partners LP (MLP) Höegh LNG Partners LP (MLP) Situation Overview GLOP’s Trading Performance Relative to its Peers Source: FactSet (as of 2/23/23) Note: COOL and EE excluded given that their IPOs occurred subsequent to 1/1/20 Indexed Common Unit Price Performance Non-Binding Proposal (1/25/23) Since 1/1/20 Since 1/1/21 Since 1/1/22 Returns Summary To Unaffected Date (1/24/22) GasLog Partners (MLP) (55.4%) 156.6% 63.8% Flex LNG (C-Corp.) 182.1% 251.3% 30.9% Dynagas (MLP) 34.6% 13.6% (1.7%) CPLP (MLP) 4.5% 72.9% (12.8%) Knot Offshore Partners (MLP) (71.5%) (62.5%) (57.8%) To Present (2/23/23) GasLog Partners (MLP) (41.3%) 237.5% 115.5% Flex LNG (C-Corp.) 215.2% 292.6% 46.2% Dynagas (MLP) 49.3% 26.0% 9.0% CPLP (MLP) 8.4% 79.4% (9.6%) Knot Offshore Partners (MLP) (67.4%) (57.2%) (51.7%) 7</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embed="rId86"/>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Introduction Proposal Summary Key Terms Buyer ◼ GasLog Ltd., (the “Sponsor”) which currently owns 30.2% of the GasLog Partners common units and the general partner units GasLog Ltd. is beneficially owned by Peters Livanos, the Onassis Foundation and BlackRock Global Energy and Infrastructure Funds Proposed Transaction Summary ◼ On January 25, 2023, GasLog Ltd. submitted a non-binding proposal to acquire each common unit it did not already owned (being ~36mm publicly owned units) Offer Price ◼ $7.70 per common unit, consisting of $5.37 in cash and a $2.33 special distribution from GLOP balance sheet for each common unit not owned by GasLog Ltd. Other Items ◼ Sponsor has stated that it is not interested in selling any of its equity position ◼ Subject to approval of Conflicts Committee and Board of Directors of GasLog Partners ◼ Subject to approval of a simple majority of common unitholders (as opposed to a “majority of the minority”) ◼ Preferred units to remain intact and not redeemed ◼ No financing contingency ◼ Class B units to be cancelled immediately prior to the transaction ◼ Other customary closing conditions Source: GasLog Partners management 8</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embed="rId87"/>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 in millions, except per unit data) Introduction Analysis at Various Prices Source: GasLog Partners management, public filings, FactSet (as of 2/23/23) GasLog Partners Common Unit Value $7.70 $8.00 $8.50 $9.00 $9.50 $10.00 $10.50 $11.00 Total Units Outstanding (MM) 54.285 54.285 54.285 54.285 54.285 54.285 54.285 54.285 Implied Equity Value $418 $434 $461 $489 $516 $543 $570 $597 Plus: Gross Debt as of December 31, 2022 985 985 985 985 985 985 985 985 Less: Cash and Cash Equivalents (223) (223) (223) (223) (223) (223) (223) (223) Plus: Liquidation Value of Preferred Equity 291 291 291 291 291 291 291 291 Implied Enterprise Value $1,470 $1,487 $1,514 $1,541 $1,568 $1,595 $1,622 $1,650 Metric Premiums Unaffected Unit Price as of January 24, 2023 $6.98 10.3% 14.6% 21.8% 28.9% 36.1% 43.3% 50.4% 57.6% Unaffected 10-Day VWAP 6.74 14.2% 18.7% 26.1% 33.5% 40.9% 48.3% 55.7% 63.1% Unaffected 30-Day VWAP 6.79 13.4% 17.8% 25.2% 32.6% 39.9% 47.3% 54.7% 62.0% Current Unit Price as of February 23, 2023 9.18 (16.1%) (12.9%) (7.4%) (2.0%) 3.5% 8.9% 14.4% 19.8% EBITDA Multiples (GLOP Mgmt.) Enterprise Value / 2022A EBITDA $274 5.4x 5.4x 5.5x 5.6x 5.7x 5.8x 5.9x 6.0x Enterprise Value / 2023E EBITDA 290 5.1 5.1 5.2 5.3 5.4 5.5 5.6 5.7 Enterprise Value / 2024E EBITDA 269 5.5 5.5 5.6 5.7 5.8 5.9 6.0 6.1 Enterprise Value / 2025E EBITDA 226 6.5 6.6 6.7 6.8 6.9 7.1 7.2 7.3 EBITDA Multiples (Stifel Research) Enterprise Value / 2023E EBITDA 273 5.4 5.4 5.5 5.6 5.7 5.8 5.9 6.0 Enterprise Value / 2024E EBITDA 211 7.0 7.1 7.2 7.3 7.4 7.6 7.7 7.8 Distribution Yield (GLOP Mgmt.) 2022A $0.04 0.5% 0.5% 0.5% 0.4% 0.4% 0.4% 0.4% 0.4% 2023E 0.04 0.5% 0.5% 0.5% 0.4% 0.4% 0.4% 0.4% 0.4% Proposed Consideration 9</w:t>
            </w:r>
          </w:p>
        </w:tc>
      </w:tr>
    </w:tbl>
    <w:tbl>
      <w:tblPr>
        <w:tblW w:w="16625" w:type="dxa"/>
        <w:jc w:val="center"/>
        <w:tblInd w:w="0" w:type="dxa"/>
        <w:tblCellMar>
          <w:top w:w="0" w:type="dxa"/>
          <w:left w:w="0" w:type="dxa"/>
          <w:bottom w:w="0" w:type="dxa"/>
          <w:right w:w="0" w:type="dxa"/>
        </w:tblCellMar>
      </w:tblPr>
      <w:tblGrid>
        <w:gridCol w:w="16500"/>
        <w:gridCol w:w="12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embed="rId88"/>
                          <a:stretch>
                            <a:fillRect/>
                          </a:stretch>
                        </pic:blipFill>
                        <pic:spPr bwMode="auto">
                          <a:xfrm>
                            <a:off x="0" y="0"/>
                            <a:ext cx="10477500" cy="8086725"/>
                          </a:xfrm>
                          <a:prstGeom prst="rect">
                            <a:avLst/>
                          </a:prstGeom>
                        </pic:spPr>
                      </pic:pic>
                    </a:graphicData>
                  </a:graphic>
                </wp:inline>
              </w:drawing>
            </w:r>
          </w:p>
        </w:tc>
        <w:tc>
          <w:tcPr>
            <w:tcW w:w="12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II. Situation Overview</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embed="rId89"/>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Situation Overview Public Market Data and Debt Overview Public Market Overview Capital Structure (As of 12/31/22) Source: Partnership filings, FactSet, Wall Street Research, Clarksons 1. EBITDA, Distribution Yield and NAV estimates based on Stifel (1/24/23), the only analyst with an updated, comprehensive perspective since the offer date 2. Represents average of Fearnley’s and Braemar appraised values as of December 31, 2022 Debt Overview Current Offer Unaffected GLOP Common Unit Price $9.18 $7.70 $6.98 52-Week High 9.20 9.20 9.20 52-Week Low 3.30 3.30 3.30 Fully-Diluted Units Outstanding 54.285 54.285 54.285 Market Capitalization $498 $418 $379 (+) Preferred Units 291 291 291 (+) Total Debt Outstanding 985 985 985 (–) Cash and Cash Equivalents (223) (223) (223) Enterprise Value $1,551 $1,470 $1,431 Implied Multiples Metric Current Offer Unaffected EV / EBITDA (Stifel)1 2022A $274 5.7x 5.4x 5.2x 2023E 273 5.7 5.4 5.2 2024E 211 7.4 7.0 6.8 EV / EBITDA (Mgmt) 2022A $274 5.7x 5.4x 5.2x 2023E 290 5.4 5.1 4.9 2024E 269 5.8 5.5 5.3 Distribution Yields (Mgmt) 2022A $0.04 0.4% 0.5% 0.6% 2023E 0.04 0.4% 0.5% 0.6% 2024E 0.04 0.4% 0.5% 0.6% P/ NAV (Broker Appraisal)2 $11.15 0.82x 0.69x 0.63x P / NAV (Stifel Research)1 9.27 0.99 0.83 0.75 Gross Cross-Collateral Facility Amount Maturity Rate with GLOG $450 Million Partnership Facility $250 Feb-24 L +2.10% No BNPP $260 Million Facility 194 Jul-25 L +2.70% No DNB $194 Million Facility 126 Jul-25 S +2.96% No $1.3 Billion GasLog ECA Facility 361 Mar-27 L +1.80% Yes GasLog Shanghai SLB 45 Oct-26 3.12% No Methane Heather Sally SLB 17 Jun-25 3.03% No Total $985 Based on Book Value Total Debt $985 (–) Cash and Equivalents (223) Net Debt $761 Book Value of Common Equity $682 Book Value of Preferred Equity 291 Enterprise Value (Book Value) $1,734 Net Debt / Enterprise Value (Book Value) 43.9% Net Debt / 2023E EBITDA 2.8x Net Debt + Preferred / 2023E EBITDA 3.9x Net Debt / 2024E EBITDA 3.6x Net Debt + Preferred / 2024E EBITDA 5.0x ($ in millions, except per unit data) 11</w:t>
            </w:r>
          </w:p>
        </w:tc>
      </w:tr>
    </w:tbl>
    <w:tbl>
      <w:tblPr>
        <w:tblW w:w="16700" w:type="dxa"/>
        <w:jc w:val="center"/>
        <w:tblInd w:w="0" w:type="dxa"/>
        <w:tblCellMar>
          <w:top w:w="0" w:type="dxa"/>
          <w:left w:w="0" w:type="dxa"/>
          <w:bottom w:w="0" w:type="dxa"/>
          <w:right w:w="0" w:type="dxa"/>
        </w:tblCellMar>
      </w:tblPr>
      <w:tblGrid>
        <w:gridCol w:w="16500"/>
        <w:gridCol w:w="20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embed="rId90"/>
                          <a:stretch>
                            <a:fillRect/>
                          </a:stretch>
                        </pic:blipFill>
                        <pic:spPr bwMode="auto">
                          <a:xfrm>
                            <a:off x="0" y="0"/>
                            <a:ext cx="10477500" cy="8086725"/>
                          </a:xfrm>
                          <a:prstGeom prst="rect">
                            <a:avLst/>
                          </a:prstGeom>
                        </pic:spPr>
                      </pic:pic>
                    </a:graphicData>
                  </a:graphic>
                </wp:inline>
              </w:drawing>
            </w:r>
          </w:p>
        </w:tc>
        <w:tc>
          <w:tcPr>
            <w:tcW w:w="20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Situation Overview Charter Overview Source: GasLog Partners management 1. Represents average of Fearnley’s and Braemar appraised values as of December 31, 2022 Propulsion Built Capacity Charter Free Appraisal1 Gross Charter Rate Charterer GasLog Glasgow TFDE 2016 174,000 $190 $85,926 GasLog Greece TFDE 2016 174,000 189 85,926 Methane Becki Anne TFDE 2010 170,000 154 82,500 GasLog Gibraltar TFDE 2016 174,000 191 81,000 GasLog Geneva TFDE 2016 174,000 191 81,000 GasLog Shanghai TFDE 2013 155,000 SLB 86,000 GasLog Santiago TFDE 2013 155,000 153 67,000 Solaris TFDE 2014 155,000 157 149,750 GasLog Seattle TFDE 2013 155,000 151 141,500 GasLog Sydney TFDE 2013 155,000 153 97,000 Methane Heather Sally Steam 2007 145,000 SLB 52,000 Methane Jane Elizabeth Steam 2006 145,000 58 32,600 Methane Rita Andrea Steam 2006 145,000 58 66,000 Methane Alison Victoria Steam 2007 145,000 62 29,500 2023 2024 2025 2026 2027 2028 2029 2030 2031 1 1 1 11 11 11 1 1 1 1 1 1 1 1 1 1 1 1 1 1 2 2 2 d 2 2 2 2 2 2 2 1 1 1 1 1 1 1 1 1 1 1 1 1 1 1 1 1 1 1 1 1 1 1 11 11 11 Firm Period Optional Period Available Out of fleet GasLog Partners has an average-revenue weighted charter duration of 1.7 years ($ in millions, except per day data) 12</w:t>
            </w:r>
          </w:p>
        </w:tc>
      </w:tr>
    </w:tbl>
    <w:tbl>
      <w:tblPr>
        <w:tblW w:w="16670" w:type="dxa"/>
        <w:jc w:val="center"/>
        <w:tblInd w:w="0" w:type="dxa"/>
        <w:tblCellMar>
          <w:top w:w="0" w:type="dxa"/>
          <w:left w:w="0" w:type="dxa"/>
          <w:bottom w:w="0" w:type="dxa"/>
          <w:right w:w="0" w:type="dxa"/>
        </w:tblCellMar>
      </w:tblPr>
      <w:tblGrid>
        <w:gridCol w:w="16500"/>
        <w:gridCol w:w="17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embed="rId91"/>
                          <a:stretch>
                            <a:fillRect/>
                          </a:stretch>
                        </pic:blipFill>
                        <pic:spPr bwMode="auto">
                          <a:xfrm>
                            <a:off x="0" y="0"/>
                            <a:ext cx="10477500" cy="8086725"/>
                          </a:xfrm>
                          <a:prstGeom prst="rect">
                            <a:avLst/>
                          </a:prstGeom>
                        </pic:spPr>
                      </pic:pic>
                    </a:graphicData>
                  </a:graphic>
                </wp:inline>
              </w:drawing>
            </w:r>
          </w:p>
        </w:tc>
        <w:tc>
          <w:tcPr>
            <w:tcW w:w="17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 The following sets forth key assumptions utilized in the GLOP Financial Projections as provided by GasLog Partners management: Revenue: ● All options are exercised by customers except (i) Woodside Energy’s option with respect to the GasLog Shanghai in March 2026, (ii) Shell’s option with GasLog Greece in March 2026 and (iii) GasLog Gasglow in June 2026 – these represent anticipated out-of-the-money options for the charterer ● Upon charter / option expiry, vessels are operated on the spot market thereafter based on forecast as set forth below: ● The Methane Jane Elizabeth begins operations as an FSRU for Venice Project in January 2026 at a charter rate of $116,800 / day ● The Methane Heather Sally and GasLog Shanghai are returned to their lessors in 2025 and 2026, respectively − There are no repurchase or obligations options for the Methane Heather Sally and GasLog Shanghai ● The vessels have a long-term utilization rate of 99.5% for both spot and TC operations1 Operating expenses of $11,000 / day for steam vessels, $14,700 / day for 155k TFDE vessels, $13,700 / day for 170k -174k TFDE vessels in 2023, escalated 1% annually thereafter G&amp;A expenses based on allocation from GasLog Ltd. consistent with contract with GasLog Ltd. Capital expenditures: ● Drydocking expenses of $5.7 million for steam vessels, $3.6 million for 155k TFDE vessels and $4.1 million for 170k – 174k TFDE vessels every five years ● EEXI/CII capital expenditures of $350,000 for TFDE vessels and $6.4 million for steam vessels at their next respective drydocking ● Total capital expenditures of $128.6 million (2023: $12.9 million, 2024: $51.4 million, 2025: $64.3 million) for Venice FSRU project Financing assumptions: ● $450 million facility due 2024 for the GasLog Santiago, GasLog Sydney, GasLog Seattle and Methane Jane Elizabeth to be refinanced in November 2023 with a new ~$196 million secured facility for GasLog Santiago, GasLog Sydney and GasLog Seattle − $107 million of debt funded in installments for Methane Jane Elizabeth from 2023 to 2025 and replaced with $130 million in debt funded on delivery as part of the Venice FSRU project ● Other secured debt maturities are assumed to be refinanced with similar terms as existing facilities ● $87.4 million balance of Series B preferred equity assumed fully redeemed in March 2023 and $76.5 million balance of Series C preferred equity assumed fully redeemed in March 2024 Situation Overview Source: GasLog Partners management 1. Represents 2 buffer days per year (.5 per quarter) divided by 365 days per year GLOP Financial Projections – Assumptions 2023E 2024E 2025E 2026E 2027E $000s/Day (Gross) TFDEs (155k) $85 $75 $65 $55 $65 TFDEs (170k - 174k) 105 95 85 75 85 Steams 52 50 40 35 40 13</w:t>
            </w:r>
          </w:p>
        </w:tc>
      </w:tr>
    </w:tbl>
    <w:tbl>
      <w:tblPr>
        <w:tblW w:w="16685" w:type="dxa"/>
        <w:jc w:val="center"/>
        <w:tblInd w:w="0" w:type="dxa"/>
        <w:tblCellMar>
          <w:top w:w="0" w:type="dxa"/>
          <w:left w:w="0" w:type="dxa"/>
          <w:bottom w:w="0" w:type="dxa"/>
          <w:right w:w="0" w:type="dxa"/>
        </w:tblCellMar>
      </w:tblPr>
      <w:tblGrid>
        <w:gridCol w:w="16500"/>
        <w:gridCol w:w="18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embed="rId92"/>
                          <a:stretch>
                            <a:fillRect/>
                          </a:stretch>
                        </pic:blipFill>
                        <pic:spPr bwMode="auto">
                          <a:xfrm>
                            <a:off x="0" y="0"/>
                            <a:ext cx="10477500" cy="8086725"/>
                          </a:xfrm>
                          <a:prstGeom prst="rect">
                            <a:avLst/>
                          </a:prstGeom>
                        </pic:spPr>
                      </pic:pic>
                    </a:graphicData>
                  </a:graphic>
                </wp:inline>
              </w:drawing>
            </w:r>
          </w:p>
        </w:tc>
        <w:tc>
          <w:tcPr>
            <w:tcW w:w="18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Situation Overview GasLog Partners Key Considerations for Further Diligence That Could Impact Forecast Key Considerations Commentary Utilization / Downtime in a Spot-Based Business ■ GLOP Financial Projections assumes 98% to 99.5% utilization rate1 ROI / Economics of FSRU Conversions ■ Project Venice commercial and financial risks Venice Project currently requires further progress on offtake agreements and financing to reach FID Potential for conversion cost increases given Project Venice delays which has resulted in need to negotiate new conversion contract (project cost has already increased as a result of delays) Evolving Regulatory Landscape / Vessel Compliance Costs ■ Certain regulations, which are not finalized or known, could increase capital expenditures in 2027+, which are not included in the GLOP Financial Projections Could further reduce useful life of steam and smaller / older TFDE vessels Expensive capital programs may be required every 1 – 3 years if more stringent regulatory standards to net-zero are enacted ■ More EU and US specific stringent regulations could result in older and smaller GLOP vessels being unable to serve those markets Commercial Discrimination / Obsolescence ■ Larger LNGC (170k+ CBM) with modern engine technology and other features command significant premium vs. older smaller TFDEs due to economic advantages (better boil off rate, faster offtake rate, more freight per trip, more efficient engine) ■ Large order book of new large, modern vessels to be delivered in the near-term could result in greater differentiation for our vessels Liquefaction projects could be delayed, creating an oversupply of vessels in the spot market Asset Values ■ Although not entirely comparable due to unique vessel specifications, two recent data points help contextualize broker appraised assets vs. achievable values in the S&amp;P market Potential sale leaseback of GasLog Sydney for $140 million (excludes value of cash flows retained by GLOP generated by strong near-term charter market) vs. average appraised $153 million Sale of Golar Seal (10-year-old 160k CBM TFDE) to Höegh LNG for $184.3 million ■ Depending on the assumed market rates, a mark-to-market on charter-free appraisals may indicate impairment Source: GasLog Partners management 1. Represents 2 buffer days per year (0.5 per quarter) divided by 365 days per year 14</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embed="rId93"/>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GLOP Financial Projections Situation Overview For the Years Ending December 31, 2022A 2023E 2024E 2025E 2026E 2027E Average Vessels On the Water 15 14 14 14 13 12 Number of Dry-docks -- 4 1 2 5 -- Number of Spot Vessels at the End of Period -- 3 4 7 7 7 Revenue $364.3 $376.6 $356.5 $310.6 $308.9 $319.8 Less: Direct Operating Expenses (72.4) (68.8) (69.2) (67.6) (70.4) (65.4) Less: G&amp;A (17.5) (18.3) (18.2) (17.3) (17.0) (16.8) EBITDA $274.4 $289.5 $269.0 $225.7 $221.5 $237.6 Less: Change in Working Capital 2.6 (15.3) (1.1) (0.7) (0.2) 0.0 Less: Net Capital Expenditures (2.5) (37.2) (50.9) (85.3) (28.0) -- Less: Other 0.2 -- -- -- -- -- Unlevered Free Cash Flow $274.6 $237.0 $217.0 $139.6 $193.4 $237.6 Less: Interest Expense (43.1) (58.9) (55.4) (50.5) (42.0) (36.4) Plus: Financial Income 2.0 4.4 -- -- -- -- Less: Preferred Equity Distribution (27.0) (19.8) (12.9) (11.0) (11.0) (11.8) Levered Free Cash Flow $206.5 $162.7 $148.7 $78.1 $140.4 $189.5 Less: Debt Amortization (115.7) (111.8) (108.2) (106.4) (110.3) (97.2) Levered Free Cash Flow After Debt Amortization $90.8 $50.9 $40.5 ($28.3) $30.1 $92.3 Total Distributions $2.1 $2.1 $2.1 $2.2 $2.2 $2.2 Levered FCF After Distributions Surplus / (Deficit) $88.7 $48.8 $38.4 ($30.5) $27.9 $90.1 Total Common Units Outstanding 52.768 53.183 53.598 54.013 54.013 54.013 Unlevered FCF per Unit $5.20 $4.46 $4.05 $2.58 $3.58 $4.40 Levered FCF per Unit 3.91 3.06 2.77 1.45 2.60 3.51 Levered FCF After Debt Amortization per Unit 1.72 0.96 0.76 (0.52) 0.56 1.71 Distribution Per Unit 0.04 0.04 0.04 0.04 0.04 0.04 Source: GasLog Partners management ($ in millions, except per unit data) 15</w:t>
            </w:r>
          </w:p>
        </w:tc>
      </w:tr>
    </w:tbl>
    <w:tbl>
      <w:tblPr>
        <w:tblW w:w="16670" w:type="dxa"/>
        <w:jc w:val="center"/>
        <w:tblInd w:w="0" w:type="dxa"/>
        <w:tblCellMar>
          <w:top w:w="0" w:type="dxa"/>
          <w:left w:w="0" w:type="dxa"/>
          <w:bottom w:w="0" w:type="dxa"/>
          <w:right w:w="0" w:type="dxa"/>
        </w:tblCellMar>
      </w:tblPr>
      <w:tblGrid>
        <w:gridCol w:w="16500"/>
        <w:gridCol w:w="17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embed="rId94"/>
                          <a:stretch>
                            <a:fillRect/>
                          </a:stretch>
                        </pic:blipFill>
                        <pic:spPr bwMode="auto">
                          <a:xfrm>
                            <a:off x="0" y="0"/>
                            <a:ext cx="10477500" cy="8086725"/>
                          </a:xfrm>
                          <a:prstGeom prst="rect">
                            <a:avLst/>
                          </a:prstGeom>
                        </pic:spPr>
                      </pic:pic>
                    </a:graphicData>
                  </a:graphic>
                </wp:inline>
              </w:drawing>
            </w:r>
          </w:p>
        </w:tc>
        <w:tc>
          <w:tcPr>
            <w:tcW w:w="17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For the Years Ending December 31, 2022A 2023E 2024E 2025E 2026E 2027E Sources Levered Free Cash Flow After Distributions Surplus / (Deficit) $88.7 $48.8 $38.4 ($30.5) $27.9 $90.1 Stock-Based Compensation 0.8 0.7 0.7 0.8 0.8 0.8 Proceeds from Refinancing - 210.4 30.9 291.9 251.4 - Proceeds from Sale of Steam Vessel 52.5 - - - - - Cash from Balance Sheet - 58.7 7.8 - - - Total Sources $141.9 $318.7 $77.8 $262.2 $280.1 $90.9 Uses Debt Refinanced $65.1 $227.1 $-- $245.6 $239.3 $-- Financing Fees 0.0 4.2 1.3 4.3 1.9 0.3 Preferred Repurchased 49.2 87.4 76.5 -- -- -- Cash to Balance Sheet 27.6 -- -- 12.3 38.9 90.6 Total Uses $141.9 $318.7 $77.8 $262.2 $280.1 $90.9 Capitalization Debt $984.5 $858.2 $782.9 $722.0 $624.2 $528.6 Less: Cash (223.1) (164.4) (156.6) (168.9) (207.8) (298.4) Net Debt $761.4 $693.8 $626.3 $553.1 $416.4 $230.2 Debt / EBITDA 3.6x 3.0x 2.9x 3.2x 2.8x 2.2x Net Debt / EBITDA 2.8 2.4 2.3 2.5 1.9 1.0 Situation Overview GLOP Financial Projections – Sources and Uses ($ in millions) Source: GasLog Partners management 16</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embed="rId95"/>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682 715 316 2021A 2022E 2023E +5% ◼ Energy security issues stemming from the Russia/Ukraine conflict led to record European LNG imports in the first part of 2022, supporting rising LNG and gas prices that has persisted for the second half of 2022 ◼ After a pandemic halt and market oversupply, new projects are now on the rise with Qatar and North America leading on production capacity increases The majority of projects under development (169million tonnes per year (“MTPA”)) will come online in 2026 or later Outside of Qatar, 3 – 4 project in the U.S. are likely to reach FID in 2023 ◼ Demand forecasted to increase to 400+ MTPa in 2023 ◼ Over 300 vessels in the orderbook to meet the expected increase in LNG supply in the next four years (over 40% of current fleet) While most of these vessels are contracted to specific projects, these vessels are delivered on schedule Expected delays in a number of projects could lead to capacity for these vessels being redeployed in the spot market, creating issues with oversupply (e.g. all three large liquefication projects expected to go on-line in 2023 were delayed at least 2 years) Liquefaction Overview Natural Gas and LNG Prices (Historical and Futures) Forecast LNG Vessel Supply and Demand Source: Webber, Clarksons Research (2/17/23), FactSet (2/23/23), CME Group (2/17/23) LNG Export (mm tons) LNG Fleet (# of Vessels) Situation Overview 380 398 413 2021 2022 2023 +5% +4% (Orderbook) 0 30 60 90 120 May-21 Nov-21 May-22 Nov-22 May-23 Nov-23 May-24 Nov-24 $ / MMBTU JKM JKM (Futures) TTF TTF (Futures) Mostly Delivered in Next 3 Years 17</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embed="rId96"/>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Situation Overview Liquefaction and Regasification Capacity Outlook Global Liquification Capacity (MTPA) Global Regasification Capacity Forecast (MTPA) Source: Clarksons (2/17/23) 213 220 235 269 285 88 88 88 88 93 77 77 77 85 108 86 86 105 125 138 464 471 505 567 624 2022 2023 2024 2025 2026+ Others Australia Qatar US 587 647 660 670 670 227 227 227 227 227 106 106 106 106 106 117 172 1,036 198 198 200 1,151 1,191 1,201 1,203 2022 2023 2024 2025 2026 China South Korea Japan Others 2022–2026E CAGR: 7.7% 2022–2026E CAGR: 3.8% 18</w:t>
            </w:r>
          </w:p>
        </w:tc>
      </w:tr>
    </w:tbl>
    <w:tbl>
      <w:tblPr>
        <w:tblW w:w="16670" w:type="dxa"/>
        <w:jc w:val="center"/>
        <w:tblInd w:w="0" w:type="dxa"/>
        <w:tblCellMar>
          <w:top w:w="0" w:type="dxa"/>
          <w:left w:w="0" w:type="dxa"/>
          <w:bottom w:w="0" w:type="dxa"/>
          <w:right w:w="0" w:type="dxa"/>
        </w:tblCellMar>
      </w:tblPr>
      <w:tblGrid>
        <w:gridCol w:w="16500"/>
        <w:gridCol w:w="17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embed="rId97"/>
                          <a:stretch>
                            <a:fillRect/>
                          </a:stretch>
                        </pic:blipFill>
                        <pic:spPr bwMode="auto">
                          <a:xfrm>
                            <a:off x="0" y="0"/>
                            <a:ext cx="10477500" cy="8086725"/>
                          </a:xfrm>
                          <a:prstGeom prst="rect">
                            <a:avLst/>
                          </a:prstGeom>
                        </pic:spPr>
                      </pic:pic>
                    </a:graphicData>
                  </a:graphic>
                </wp:inline>
              </w:drawing>
            </w:r>
          </w:p>
        </w:tc>
        <w:tc>
          <w:tcPr>
            <w:tcW w:w="17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Situation Overview $170 $170 $170 $170 $170 $170 $175 $175 $175 $180 $185 $185 $185 $195 $200 $200 $205 $235 $235 $235 174k cbm LNG Carrier Average Newbuild (X-DF / MEGI Propulsion) Source: Clarksons (2/17/23) Asset Values: Newbuild and Secondhand Prices 174k cbm LNG Carrier (5 Years) +31% $190 $195 $198 $202 $203 $205 $210 $214 $218 $220 $224 $227 $231 $236 $240 $244 $248 $248 $248 $248 +38% ($ in millions) 19</w:t>
            </w:r>
          </w:p>
        </w:tc>
      </w:tr>
    </w:tbl>
    <w:tbl>
      <w:tblPr>
        <w:tblW w:w="16640" w:type="dxa"/>
        <w:jc w:val="center"/>
        <w:tblInd w:w="0" w:type="dxa"/>
        <w:tblCellMar>
          <w:top w:w="0" w:type="dxa"/>
          <w:left w:w="0" w:type="dxa"/>
          <w:bottom w:w="0" w:type="dxa"/>
          <w:right w:w="0" w:type="dxa"/>
        </w:tblCellMar>
      </w:tblPr>
      <w:tblGrid>
        <w:gridCol w:w="16500"/>
        <w:gridCol w:w="14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embed="rId98"/>
                          <a:stretch>
                            <a:fillRect/>
                          </a:stretch>
                        </pic:blipFill>
                        <pic:spPr bwMode="auto">
                          <a:xfrm>
                            <a:off x="0" y="0"/>
                            <a:ext cx="10477500" cy="8086725"/>
                          </a:xfrm>
                          <a:prstGeom prst="rect">
                            <a:avLst/>
                          </a:prstGeom>
                        </pic:spPr>
                      </pic:pic>
                    </a:graphicData>
                  </a:graphic>
                </wp:inline>
              </w:drawing>
            </w:r>
          </w:p>
        </w:tc>
        <w:tc>
          <w:tcPr>
            <w:tcW w:w="14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Situation Overview 160k cbm LNG Carrier (5 years Old) Source: Clarksons (2/17/23) Note : Data beyond Dec ’22 was unavailable for 160k cbm 5-year and 145k cbm 10-year carriers Asset Values: Secondhand Sale Prices 160k cbm LNG Carrier (10 years Old) $145 $145 $145 $145 $145 $145 $145 $145 $150 $161 $165 $165 $165 $180 $180 $180 $183 $200 $200 $115 $115 $115 $115 $115 $115 $115 $115 $120 $126 $128 $128 $128 $135 $135 $135 $135 $135 $140 $140 $140 145k cbm LNG Carrier (10 years Old) 145k cbm LNG Carrier (15 years Old) $82 $82 $82 $82 $82 $82 $82 $82 $82 $82 $82 $82 $82 $90 $90 $90 $90 $90 $90 $48 $48 $48 $48 $48 $48 $48 $49 $49 $49 $49 $49 $49 $55 $55 $55 $55 $55 $53 $53 $53 +38% +22% +10% +10% ($ in millions) 20</w:t>
            </w:r>
          </w:p>
        </w:tc>
      </w:tr>
    </w:tbl>
    <w:tbl>
      <w:tblPr>
        <w:tblW w:w="16670" w:type="dxa"/>
        <w:jc w:val="center"/>
        <w:tblInd w:w="0" w:type="dxa"/>
        <w:tblCellMar>
          <w:top w:w="0" w:type="dxa"/>
          <w:left w:w="0" w:type="dxa"/>
          <w:bottom w:w="0" w:type="dxa"/>
          <w:right w:w="0" w:type="dxa"/>
        </w:tblCellMar>
      </w:tblPr>
      <w:tblGrid>
        <w:gridCol w:w="16500"/>
        <w:gridCol w:w="17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embed="rId99"/>
                          <a:stretch>
                            <a:fillRect/>
                          </a:stretch>
                        </pic:blipFill>
                        <pic:spPr bwMode="auto">
                          <a:xfrm>
                            <a:off x="0" y="0"/>
                            <a:ext cx="10477500" cy="8086725"/>
                          </a:xfrm>
                          <a:prstGeom prst="rect">
                            <a:avLst/>
                          </a:prstGeom>
                        </pic:spPr>
                      </pic:pic>
                    </a:graphicData>
                  </a:graphic>
                </wp:inline>
              </w:drawing>
            </w:r>
          </w:p>
        </w:tc>
        <w:tc>
          <w:tcPr>
            <w:tcW w:w="17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S&amp;P Activity (# of ships) Avg. 145k cbm Asset Value Avg. 160k cbm Asset Value 2016 4 $108 $166 2017 10 100 157 2018 12 85 156 2019 11 82 160 2020 4 82 152 1Q21 3 82 145 2Q21 1 82 145 3Q21 - 82 145 4Q21 11 82 145 1Q22 15 82 152 2Q22 11 82 165 3Q22 9 90 180 4Q22 7 90 194 - 5 10 15 $ - $50 $100 $150 $200 $250 Jan-16 Dec-16 Dec-17 Dec-18 Dec-19 Dec-20 Dec-21 Dec-22 Asset Value ($ millions) S&amp;P Activity (# of ships) S&amp;P Activity 10 Year Old Secondhand 145k cbm Values 5 Year Old Secondhand 160k cbm Values Situation Overview Source: Clarksons (2/17/23) Note: 145k cbm asset values relate to 10 Year Old Secondhand Vessel values; 160k cbm asset values relate to 5 Year Old Secondhand Vessel values 1. Represents YTD2022 LNG vessel sales per Clarksons Research with disclosed vessel pricing S&amp;P Overview LNG Asset Values and S&amp;P Activity (2016 to Present) Avg. LNG Asset Values and S&amp;P Activity (2016 to Present) Recent LNG Acquisitions1 Significant vessel sales in Q4 2021 and 1H 2022 Buyer Seller Date # of Ships Sold Avg. Age (Years) Avg. CBM Vessel Type Dual Fuel 7/7/22 1 9 160 LNG y 7/7/22 1 7 170 FSRU Y 6/1/22 1 7 170 FSRU Y 5/13/22 4 4.25 172 LNG Y 1/27/22 1 20 138 LNG N Chinese Interests ($ in millions) 21</w:t>
            </w:r>
          </w:p>
        </w:tc>
      </w:tr>
    </w:tbl>
    <w:tbl>
      <w:tblPr>
        <w:tblW w:w="16640" w:type="dxa"/>
        <w:jc w:val="center"/>
        <w:tblInd w:w="0" w:type="dxa"/>
        <w:tblCellMar>
          <w:top w:w="0" w:type="dxa"/>
          <w:left w:w="0" w:type="dxa"/>
          <w:bottom w:w="0" w:type="dxa"/>
          <w:right w:w="0" w:type="dxa"/>
        </w:tblCellMar>
      </w:tblPr>
      <w:tblGrid>
        <w:gridCol w:w="16500"/>
        <w:gridCol w:w="14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embed="rId100"/>
                          <a:stretch>
                            <a:fillRect/>
                          </a:stretch>
                        </pic:blipFill>
                        <pic:spPr bwMode="auto">
                          <a:xfrm>
                            <a:off x="0" y="0"/>
                            <a:ext cx="10477500" cy="8086725"/>
                          </a:xfrm>
                          <a:prstGeom prst="rect">
                            <a:avLst/>
                          </a:prstGeom>
                        </pic:spPr>
                      </pic:pic>
                    </a:graphicData>
                  </a:graphic>
                </wp:inline>
              </w:drawing>
            </w:r>
          </w:p>
        </w:tc>
        <w:tc>
          <w:tcPr>
            <w:tcW w:w="14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3.5x 3.8x 3.0x 2.9x 2023E 2024E “The partnership said it has "agreed in principle" to convert an older, 145,000 cbm steamship into a floating storage and regasification unit (FSRU) for the Venice Energy project located at the Port of Adelaide in Australia. The partnership expects a ~10-year contract to materialize in the 2H-2023. The conversion is expected to take 8-10 months and should cost ~$100 million. This would be important as it is the first asset growth since the distribution cut.” “More importantly, however, was the unsolicited takeout offer that came in yesterday from the parent company, GasLog Ltd., for $7.70/unit. At a ~6x EBITDA multiple, we see potential upside to the $7.70/unit number, but we think it likely caps out around $9/unit given our NAV estimate of $9.27/unit. With 30% ownership by the parent company, we don't see any other bidders coming in, but we don't see a reason to sell the company for $7.70/ unit either, so we expect the units to move higher through the take-private negotiations.” Situation Overview Analyst Projections by Stifel (January 26, 2023) – Price Target of $9.50 Revenue Projections $273 $211 $290 $269 2023E 2024E $362 $301 $377 $356 2023E 2024E EBITDA Projections Gross Debt / EBITDA Projections Source: Wall Street research (1/26/23) | Price Target: $9.50 Stifel GLOP Financial Projections ($ in millions, except per unit data) 22</w:t>
            </w:r>
          </w:p>
        </w:tc>
      </w:tr>
    </w:tbl>
    <w:tbl>
      <w:tblPr>
        <w:tblW w:w="16640" w:type="dxa"/>
        <w:jc w:val="center"/>
        <w:tblInd w:w="0" w:type="dxa"/>
        <w:tblCellMar>
          <w:top w:w="0" w:type="dxa"/>
          <w:left w:w="0" w:type="dxa"/>
          <w:bottom w:w="0" w:type="dxa"/>
          <w:right w:w="0" w:type="dxa"/>
        </w:tblCellMar>
      </w:tblPr>
      <w:tblGrid>
        <w:gridCol w:w="16500"/>
        <w:gridCol w:w="14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embed="rId101"/>
                          <a:stretch>
                            <a:fillRect/>
                          </a:stretch>
                        </pic:blipFill>
                        <pic:spPr bwMode="auto">
                          <a:xfrm>
                            <a:off x="0" y="0"/>
                            <a:ext cx="10477500" cy="8086725"/>
                          </a:xfrm>
                          <a:prstGeom prst="rect">
                            <a:avLst/>
                          </a:prstGeom>
                        </pic:spPr>
                      </pic:pic>
                    </a:graphicData>
                  </a:graphic>
                </wp:inline>
              </w:drawing>
            </w:r>
          </w:p>
        </w:tc>
        <w:tc>
          <w:tcPr>
            <w:tcW w:w="14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Situation Overview LNGC Time Charter and Spot Rates Source: Clarksons (2/17/23) Note: Data for 174k cbm carrier’s only available from 2019 onwards $70,000 $41,250 $ - $50,000 $100,000 $150,000 $200,000 $250,000 Jan-19 Sep-19 May-20 Jan-21 Sep-21 Jun-22 Feb-23 3 Year Average 10 Year Average $160,000 $62,500 $ - $150,000 $300,000 $450,000 $600,000 Jan-19 Sep-19 May-20 Jan-21 Sep-21 Jun-22 Feb-23 3 Year Average 10 Year Average $210,000 $90,000 $ - $150,000 $300,000 $450,000 $600,000 Jan-19 Sep-19 May-20 Jan-21 Sep-21 Jun-22 Feb-23 3 Year Average 10 Year Average Time Charter Spot 174k CBM 160k CBM 145k CBM 1YR TC Spot Current $220,000 $92,500 3 Year Average $146,231 $136,314 1YR TC Spot Current $160,000 $65,000 3 Year Average $115,019 $106,284 5 Year Average $89,374 $87,552 10 Year Average $70,816 $72,380 1YR TC Spot Current $70,000 $46,250 3 Year Average $61,052 $63,252 5 Year Average $52,326 $54,780 10 Year Average $32,353 $48,904 23</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embed="rId102"/>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$105.0 $95.0 $85.0 $75.0 $85.0 $124.5 $96.0 $96.0 N/A N/A $103.8 $80.0 $80.0 N/A N/A $83.0 $64.0 $64.0 N/A N/A 2023E 2024E 2025E 2026E 2027E 3yr Average: $136.3k ~4yr Average: $89.2k Situation Overview Management Forecast vs Stifel and Historical Spot Rates Source: GLOP management projections, Clarksons (2/17/23), Stifel (1/26/23) 1. Assumes 145k CBM is representative of Steam Historical spot pricing 2. Data for 174k cbm carrier’s only available from 2019 onwards 160K CBM Carrier Spot Rates 145K CBM Carrier Spot Rates1 174K CBM Carrier Spot Rates GLOP Financial Projections $52.0 $50.0 $40.0 $35.0 $40.0 $48.0 $42.0 $42.0 N/A N/A $40.0 $35.0 $35.0 N/A N/A $32.0 $28.0 $28.0 N/A N/A 2023E 2024E 2025E 2026E 2027E 3yr Average: $63.3k 5yr Average: $54.8k $85.0 $75.0 $65.0 $55.0 $65.0 $87.0 $72.0 $72.0 N/A N/A $72.5 $60.0 $60.0 N/A N/A $58.0 $48.0 $48.0 N/A N/A 2023E 2024E 2025E 2026E 2027E 3yr Average: $106.3k 5yr Average: $87.6kStifel (Bull Case) Stifel (Base Case) Stifel (Bear Case) Historical Averages 2 ($ in thousands) 24</w:t>
            </w:r>
          </w:p>
        </w:tc>
      </w:tr>
    </w:tbl>
    <w:tbl>
      <w:tblPr>
        <w:tblW w:w="16625" w:type="dxa"/>
        <w:jc w:val="center"/>
        <w:tblInd w:w="0" w:type="dxa"/>
        <w:tblCellMar>
          <w:top w:w="0" w:type="dxa"/>
          <w:left w:w="0" w:type="dxa"/>
          <w:bottom w:w="0" w:type="dxa"/>
          <w:right w:w="0" w:type="dxa"/>
        </w:tblCellMar>
      </w:tblPr>
      <w:tblGrid>
        <w:gridCol w:w="16500"/>
        <w:gridCol w:w="12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embed="rId103"/>
                          <a:stretch>
                            <a:fillRect/>
                          </a:stretch>
                        </pic:blipFill>
                        <pic:spPr bwMode="auto">
                          <a:xfrm>
                            <a:off x="0" y="0"/>
                            <a:ext cx="10477500" cy="8086725"/>
                          </a:xfrm>
                          <a:prstGeom prst="rect">
                            <a:avLst/>
                          </a:prstGeom>
                        </pic:spPr>
                      </pic:pic>
                    </a:graphicData>
                  </a:graphic>
                </wp:inline>
              </w:drawing>
            </w:r>
          </w:p>
        </w:tc>
        <w:tc>
          <w:tcPr>
            <w:tcW w:w="12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III. Preliminary Findings</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embed="rId104"/>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Preliminary Valuation Summary To Come Discounted Cash Flow Peer Trading Precedents Premium / (Discount) to Appraisal NAV: (10.0%) – 10.0% WACC: 8.5% – 9.5% WACC: 8.5% – 9.5% 2023E EBITDA Multiple: 4.5x - 6.5x 2024E EBITDA Multiple: 5.0x - 6.5x Apprasial P / NAV Multiple: 0.65x - 0.90x Apprasial P / NAV Multiple: 0.70x - 1.05x Based on on Low and High of Past 52 Weeks 2027E EBITDA Exit Multiple: 4.0x – 6.0x Based on 25th and 75th percentile of the One-Day and 30-Day Paid Price / Net Asset Value1 Price / Net Asset Value1 Analyst Price Target Premiums Paid 52-Week Share Price Range Based on Stifel Price Target EV / 2023E EBITDA EV / 2024E EBITDA Appraisal NAV1 EBITDA Exit Multiple Useful Life DCF $8.01 $6.95 $4.61 $5.39 $7.25 $7.81 $3.30 $7.52 $9.50 $14.29 $13.62 $15.28 $12.83 $10.04 $11.71 $9.20 $9.54 $9.50 $-- $10.00 $20.00 $30.00 Proposed Consideration: $7.70 Current Trading Price: $9.18 Preliminary Findings Note: This summary of certain analyses is provided for illustrative purposes. It does not represent all of the analyses performed by Evercore and should be considered with the information elsewhere in this presentation. As is customary in similar transactions, the valuation analysis contained herein assesses the Partnership on a standalone basis. 1. Based on an average of appraisals from Fearnleys and Braemar ACM as of December 2022 For Reference Only To Discuss Useful Life DCF / Sensitivities with Conflicts Committee 26</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embed="rId105"/>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$6.44 $8.01 $9.27 $9.58 $11.15 $12.72 $14.29 $15.86 (15.0%) (10.0%) WS Research (5.0%) 0.0% 5.0% 10.0% 15.0% Premium / (Discount) to Total Charter-Free Appraised Value GLOP Fleet Summary Preliminary Findings Source: Company filings, Fearnleys and Braemar 1. Preferred equity valued at liquidation preference of $25 per unit 2. Includes lease liabilities 3. Based on Stifel research (1/24/23) Vessel Propulsion Built Capacity (cbm) Fearnleys Value Braemar Value Average GasLog Geneva TFDE 2016 174k $201 $180 $191 GasLog Gibraltar TFDE 2016 174k 201 180 191 GasLog Glasgow TFDE 2016 174k 199 180 190 GasLog Greece TFDE 2016 174k 197 180 189 Solaris TFDE 2014 155k 160 154 157 Methane Becki Anne TFDE 2010 170k 145 163 154 GasLog Santiago TFDE 2013 155k 148 158 153 GasLog Sydney TFDE 2013 155k 148 158 153 GasLog Seattle TFDE 2013 155k 150 152 151 Methane Alison Victoria Steam 2007 145k 65 59 62 Methane Jane Elizabeth Steam 2006 145k 60 56 58 Methane Rita Andrea Steam 2006 145k 60 55 58 GasLog Shanghai TFDE 2013 155k SLB SLB NA Methane Heather Sally Steam 2007 145k SLB SLB NA Charter Free Gross Asset Value $1,734 $1,674 $1,704 GLOP Fleet Valuation Detail GasLog Partners NAV per Unit Applied Sensitivity Range For Reference Only -- $7.70 Proposed Consideration Sensitivity Analysis Charter Free Gross Asset Value (Broker Average) $1,704 (+) Cash and Cash Equivalents 223 (–) Net Working Capital (46) (–) Preferred Equity2 (291) (–) Total Debt Outstanding3 (985) Net Asset Value $605 (÷) Total Units Outstanding 54.285 NAV per Common Unit $11.15 Implied Price / NAV 0.82x ($ in millions) 27</w:t>
            </w:r>
          </w:p>
        </w:tc>
      </w:tr>
    </w:tbl>
    <w:tbl>
      <w:tblPr>
        <w:tblW w:w="16670" w:type="dxa"/>
        <w:jc w:val="center"/>
        <w:tblInd w:w="0" w:type="dxa"/>
        <w:tblCellMar>
          <w:top w:w="0" w:type="dxa"/>
          <w:left w:w="0" w:type="dxa"/>
          <w:bottom w:w="0" w:type="dxa"/>
          <w:right w:w="0" w:type="dxa"/>
        </w:tblCellMar>
      </w:tblPr>
      <w:tblGrid>
        <w:gridCol w:w="16500"/>
        <w:gridCol w:w="17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embed="rId106"/>
                          <a:stretch>
                            <a:fillRect/>
                          </a:stretch>
                        </pic:blipFill>
                        <pic:spPr bwMode="auto">
                          <a:xfrm>
                            <a:off x="0" y="0"/>
                            <a:ext cx="10477500" cy="8086725"/>
                          </a:xfrm>
                          <a:prstGeom prst="rect">
                            <a:avLst/>
                          </a:prstGeom>
                        </pic:spPr>
                      </pic:pic>
                    </a:graphicData>
                  </a:graphic>
                </wp:inline>
              </w:drawing>
            </w:r>
          </w:p>
        </w:tc>
        <w:tc>
          <w:tcPr>
            <w:tcW w:w="17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Discounted Cash Flow – Assumptions Preliminary Findings ◼ Evercore utilized the following assumptions to analyze GasLog Partners’ discounted cash flows: Discounted the projected cash flows to January 1, 2023 EBITDA and capital expenditures through December 31, 2027E per GasLog Partners Financial Projections Assumes GasLog Partners tax rate of 0.0% Mid-point discount rate of 9.0% for GasLog Partners utilizing WACC based on Capital Asset Pricing Model Terminal value based on a 4.0x to 6.0x EBITDA exit multiple 28</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embed="rId107"/>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EBITDA Exit Multiple Sensitivity Perpetuity Growth Rate Sensitivity EBITDA Exit Multiple Perpetuity Growth Rate 3.00x 4.00x 5.00x 6.00x 7.00x 8.0% $5.25 $8.23 $11.21 $14.19 $17.17 8.5% 4.88 7.80 10.71 13.62 16.53 9.0% 4.52 7.37 10.21 13.06 15.90 9.5% 4.17 6.95 9.73 12.51 15.29 10.0% 3.83 6.54 9.26 11.98 14.70 WACC Discounted Cash Flow of GasLog Partners For the Years Ending December 31, EBITDA 2023E 2024E 2025E 2026E 2027E Multiple EBITDA $290 $269 $226 $222 $238 $238 Less: Capital Expenditures (37) (51) (85) (28) - Less: Change in Working Capital (15) (1) (1) (0) 0 Plus / (Less): Other Items 0 - - - - Unlevered Free Cash Flow $237 $217 $140 $193 $238 Terminal Value Exit EBITDA Multiple 5.00x Terminal Value $1,188 PV of Terminal Value at 9.0% Discount Rate 772 Plus: PV of Unlevered Free Cash Flow at 9.0% Discount Rate 835 Implied Enterprise Value $1,607 Less: Total Debt Outstanding as of January 1, 20231 (985) Plus: Cash and Cash Equivalents as of January 1, 2023 223 Less: Preferred Equity2 (291) Implied Equity Value $554 Total Units as of January 1, 20233 54.285 Implied Value per Unit $10.21 Preliminary Findings Source: GasLog Partners management, public filings 1. Includes Financing Leases 2. Liquidation value as of January 1, 2023 3. Includes general partner, common and Class B units ($ in millions, except per unit data) 29</w:t>
            </w:r>
          </w:p>
        </w:tc>
      </w:tr>
    </w:tbl>
    <w:tbl>
      <w:tblPr>
        <w:tblW w:w="16670" w:type="dxa"/>
        <w:jc w:val="center"/>
        <w:tblInd w:w="0" w:type="dxa"/>
        <w:tblCellMar>
          <w:top w:w="0" w:type="dxa"/>
          <w:left w:w="0" w:type="dxa"/>
          <w:bottom w:w="0" w:type="dxa"/>
          <w:right w:w="0" w:type="dxa"/>
        </w:tblCellMar>
      </w:tblPr>
      <w:tblGrid>
        <w:gridCol w:w="16500"/>
        <w:gridCol w:w="17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embed="rId108"/>
                          <a:stretch>
                            <a:fillRect/>
                          </a:stretch>
                        </pic:blipFill>
                        <pic:spPr bwMode="auto">
                          <a:xfrm>
                            <a:off x="0" y="0"/>
                            <a:ext cx="10477500" cy="8086725"/>
                          </a:xfrm>
                          <a:prstGeom prst="rect">
                            <a:avLst/>
                          </a:prstGeom>
                        </pic:spPr>
                      </pic:pic>
                    </a:graphicData>
                  </a:graphic>
                </wp:inline>
              </w:drawing>
            </w:r>
          </w:p>
        </w:tc>
        <w:tc>
          <w:tcPr>
            <w:tcW w:w="17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2. Based on Clarksons 3. Given limited data for 5-yr old vessels, 2020 values extrapolated assuming same average relative percentage change in pricing between newbuild and 5-yr old vessels as in 2021 and 2022 4. Given limited data for 10-yr old vessels, 2018, 2019 and 2020 values extrapolated assuming same average relative percentage change in pricing between 5-yr old and 10-yr old vessels as in 2021 and 2022 5. Given limited data for 15-yr old vessels, 2018 and 2019 values extrapolated assuming same average relative percentage change in pricing between 10-yr old and 15-yr old vessels as in 2020, 2021 and 2022 Preliminary Findings Exit EV / EBITDA Considerations Based on Fleet Age and Type 145k CBM Steam Vessels Implied EV / EBITDA1 30 160k CBM TFDE Vessels Implied EV / EBITDA1 174k CBM TFDE Vessels Implied EV / EBITDA1 GLOP Fleet (2027) 3 4 5 12 GLOP Fleet (2027) Age (2023) Age (2027) 16 9 7 12 14 21 5.6x 3.3x 10-Yr Old 15-Yr Old 6.0x 4.5x 5-Yr Old 10-Yr Old 4.5x 4.0x Newbuild 5-Yr Old GAV2 $161 $132 $84 $52 4 $214 $1953 174k TFDE 160k TFDE Steam Vessel EBITDA $14.6 $26.4 $47.3 ($ in millions) Three Year Average Five Year Average Source: Clarksons, GLOP management 1. Assumes charter rates of ~$146,000, ~$89,000 and ~$52,000 per day for 174k TFDE, 160k TFDE and steam vessels respectively, based on average 1yr Time Charter for measurement period; Assumes operating expenses of ~$13,700, ~$14,700 and ~$11,000 per day for 174k TFDE, 160k TFDE and 145k steam vessels respectively, based on 2023 estimates from GLOP Financial Projections 5</w:t>
            </w:r>
          </w:p>
        </w:tc>
      </w:tr>
    </w:tbl>
    <w:tbl>
      <w:tblPr>
        <w:tblW w:w="16685" w:type="dxa"/>
        <w:jc w:val="center"/>
        <w:tblInd w:w="0" w:type="dxa"/>
        <w:tblCellMar>
          <w:top w:w="0" w:type="dxa"/>
          <w:left w:w="0" w:type="dxa"/>
          <w:bottom w:w="0" w:type="dxa"/>
          <w:right w:w="0" w:type="dxa"/>
        </w:tblCellMar>
      </w:tblPr>
      <w:tblGrid>
        <w:gridCol w:w="16500"/>
        <w:gridCol w:w="18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embed="rId109"/>
                          <a:stretch>
                            <a:fillRect/>
                          </a:stretch>
                        </pic:blipFill>
                        <pic:spPr bwMode="auto">
                          <a:xfrm>
                            <a:off x="0" y="0"/>
                            <a:ext cx="10477500" cy="8086725"/>
                          </a:xfrm>
                          <a:prstGeom prst="rect">
                            <a:avLst/>
                          </a:prstGeom>
                        </pic:spPr>
                      </pic:pic>
                    </a:graphicData>
                  </a:graphic>
                </wp:inline>
              </w:drawing>
            </w:r>
          </w:p>
        </w:tc>
        <w:tc>
          <w:tcPr>
            <w:tcW w:w="18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Preliminary Findings Peer Trading – Overview of Peers Company Remaining Charter Length Age of Fleet Overview of Business 1.7 10.7 ■ Pure-play LNGC with 14 vessels, including 4 steams, 5 155k CBM TFDEs and 5 170k+ TFDEs ■ Significant spot exposure in 2024+ ■ MLP structure 3.8 3.2 ■ Pure-play LNGC with 100% 174K+ CBM fleet TFDEs under long-term charters 6.01 13.1 ■ FSRU-focused business with long-term charters and limited spot exposure 6.2 12.5 ■ Pure-play LNGC with 3 steams vessels under long-term contract with Gazprom and 3 other 155k TFDE vessels ■ MLP structure 8.0 (LNGC only) 1.5 (LNGC Only) ■ Mixed fleet including 16 containers (majority of contracts expire 2025+) and 7 LNGC (2020+ builds with long term charters) ■ MLP structure NA 7.2 ■ Pure-play LNGC with 8 160k CMB TFDE vessels and 4 170k+ CBM TFDE vessels ■ Significant spot exposure ■ Listed on Norwegian exchange Source: Partnership website and filings, Wall Street research, FactSet (2/23/23) Note: GLOP EBITDA estimates represent Stifel (1/26/23) estimates 1. At time of IPO, as of December 31, 2021 31</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embed="rId110"/>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10.7 13.1 12.5 7.2 3.2 1.5 1.7 8.0 6.2 ~6.0 3.8 NA 0.6% 8.7% 4.1% 0.5% 0.0% NA Current Dividend Yield4 14 13 12 10 7 6 Preliminary Findings Peer Comparison Fleet Count1 Average Charter Duration (Years)2 Source: Partnership / Company websites and filings, Clarksons Note: CPLP figures excluded its drybulk and containership vessels 1. Disclosed fleet count as of 1/24/23 Average Fleet Age (Years)3 FSRU LNGC 2. Figures as of 1/24/23; EE avg charter duration as of time of IPO on December 31, 2021; COOL avg charter duration not disclosed 3. Figures as of 1/24/23 4. FactSet (2/23/23). Flex LNG excludes $0.25 special dividend paid in Q1 2023 . In November 2022, CoolCo announced its intention to instate a variable dividend, the first of which will be paid in Q1 2023. 32</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embed="rId111"/>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4.9x 5.2x 11.0x 8.4x 7.2x 6.5x 4.6x 5.3x 6.8x 11.0x 7.2x 6.1x 6.4x 5.1x EV / 2023E EBITDA EV / 2024E EBITDA Preliminary Findings Peer Trading – EV / EBITDA 2023E 2024E Mean 7.5x 7.2x Median 7.2x 6.4x Source: Partnership website and filings, Wall Street research, FactSet (2/23/23) Note: GLOP EBITDA estimates represent Stifel (1/26/23) estimates 1. At time of IPO on December 31, 2021 2. Based on Stifel research (1/24/23) 1.7 6.0 6.2 8.0 1 3.8 NA Charter Duration (Yrs.) 2 Management Wall Street Research 1 GLOP metrics based on GLOP’s unaffected unit price of $6.98 as of 1/24/23 33</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embed="rId112"/>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Preliminary Findings GLOP’s Trading Multiples Over Time Relative to Benchmarks and Its Peers Source: FactSet (as of 2/23/23) 1. Excelerate Energy IPO on 4/13/22 5.5x 7.0x 6.5x 8.2x 11.0x 0.0x 2.0x 4.0x 6.0x 8.0x 10.0x 12.0x 14.0x 16.0x Jan-18 Jul-18 Jan-19 Jul-19 Jan-20 Aug-20 Feb-21 Aug-21 Feb-22 Aug-22 Feb-23 Gaslog Partners Dynagas Capital Product Partners Excelerate Energy Flex LNG 0 1 Year Average 3 Year Average 5 Year Average Gaslog Partners 5.0x 5.9x 6.7x Dynagas 7.7x 8.1x 8.6x Capital Product Partners 7.0x 6.1x 5.6x Excelerate Energy 13.3x Flex LNG 10.4x 8.7x 8.7x 1 EV / NTM EBITDA 34</w:t>
            </w:r>
          </w:p>
        </w:tc>
      </w:tr>
    </w:tbl>
    <w:tbl>
      <w:tblPr>
        <w:tblW w:w="16625" w:type="dxa"/>
        <w:jc w:val="center"/>
        <w:tblInd w:w="0" w:type="dxa"/>
        <w:tblCellMar>
          <w:top w:w="0" w:type="dxa"/>
          <w:left w:w="0" w:type="dxa"/>
          <w:bottom w:w="0" w:type="dxa"/>
          <w:right w:w="0" w:type="dxa"/>
        </w:tblCellMar>
      </w:tblPr>
      <w:tblGrid>
        <w:gridCol w:w="16500"/>
        <w:gridCol w:w="12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embed="rId113"/>
                          <a:stretch>
                            <a:fillRect/>
                          </a:stretch>
                        </pic:blipFill>
                        <pic:spPr bwMode="auto">
                          <a:xfrm>
                            <a:off x="0" y="0"/>
                            <a:ext cx="10477500" cy="8086725"/>
                          </a:xfrm>
                          <a:prstGeom prst="rect">
                            <a:avLst/>
                          </a:prstGeom>
                        </pic:spPr>
                      </pic:pic>
                    </a:graphicData>
                  </a:graphic>
                </wp:inline>
              </w:drawing>
            </w:r>
          </w:p>
        </w:tc>
        <w:tc>
          <w:tcPr>
            <w:tcW w:w="12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0.63x 0.75x 1.14x 0.66x 0.39x NA NA Source: Partnership website and filings, Wall Street research, FactSet (2/23/23) 1. Based on the average of Fearnleys and Braemar 2. NAV on Stifel research (1/24/23) Preliminary Findings Peer Trading – P / NAV Wall Street Research Analyst NAV (as of 2/16/23) P / NAV Mean 0.73x Median 0.66x 2 Broker Appraisal Wall Street Research 1 GLOP metrics based on GLOP’s unaffected unit price of $6.98 as of 1/24/23 35</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embed="rId114"/>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Target GCI DryShips Teekay Offshore Grindrod Shipping Golar LNG Partners GasLog Teekay LNG Partners Höegh LNG Holdings Ltd. Acquiror Seaspan SPII Holdings Brookfield Taylor Maritime Investments New Fortress Energy BlackRock Stonepeak Limestone Höegh LNG Partners LP Business Type Term Mixed Mixed Mixed Mixed Term Term Term Transaction Value $1,600 $76 $171 $579 $1,918 $4,857 $6,160 $773 Consideration Structure Mixed Cash Cash Cash Mixed Cash Cash Cash Average Fleet Age 3 years 6 years 8 years 7 years 13 years 5 years 10 years 9 years 0.92x 0.79x NA 0.95x 1.10x 0.73x 1.03x 0.80x 3/14/18 8/19/19 10/1/19 10/13/22 1/13/21 2/22/21 10/4/21 5/25/22 Shipping Transaction LNG Transaction LNG Average: 0.91x All Transactions Average: 0.90x Preliminary Findings Selected Precedent Transactions – Cash / Partial Cash – P / NAV ($ in millions) Source: Public filings, press releases, investor presentations, FactSet, Capital IQ, Wall Street research, Evercore estimates 36</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embed="rId115"/>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Peer Group Trading: EV / EBITDA Metric Data Applied Multiple Range Implied Valuation Low - High Low - High EV / 2023E EBITDA $290 4.5x - 6.5x $1,303 - $1,882 Implied Enterprise Value $1,303 - $1,882 Less: Total Debt as of January 1, 20232 (985) Plus: Cash and Cash Equivalents as of January 1, 2023 223 Less: Preferred Equity3 (291) Implied Equity Value Range $250 $830 Total Units as of January 1, 20234 54.285 Implied Value per Unit $4.61 $15.28 Preliminary Findings 2023E EBITDA 2024E EBITDA Source: GasLog Partners management, public filings 1. Includes Financing Leases 2. Liquidation value as of January 1, 2023 3. Includes general partner, common and Class B units Metric Data Applied Multiple Range Implied Valuation Low - High Low - High EV / 2024E EBITDA $269 5.0x - 6.5x $1,345 - $1,749 Implied Enterprise Value $1,345 - $1,749 Less: Total Debt as of January 1, 20232 (985) Plus: Cash and Cash Equivalents as of January 1, 2023 223 Less: Preferred Equity3 (291) Implied Equity Value Range $293 $696 Total Units as of January 1, 20234 54.285 Implied Value per Unit $5.39 $12.83 ($ in millions, except per unit data) 37</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embed="rId116"/>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Preliminary Findings Peer Group Trading – P / NAV Metric Data Applied Multiple Range Implied Valuation Low - High Low - High Average Broker Appraised P / NAV1 $605 0.65x - 0.90x $393 - $545 Implied Equity Value Range $393 $545 Total Units as of January 1, 2023 54.285 Implied Value per Unit $7.25 $10.04 Source: GasLog Partners management, public filings 1. Based on average Clarkson and Fearneys 2. Includes Financing Leases 3. Liquidation value as of January 1, 2023 4. Includes general partner, common and Class B units Precedent Transaction Analysis – P / NAV Metric Data Applied Multiple Range Implied Valuation Low - High Low - High Average Broker Appraised P / NAV1 $605 0.70x - 1.05x $424 - $636 Implied Equity Value Range $424 $636 Total Units as of January 1, 2023 54.285 Implied Value per Unit $7.81 $11.71 ($ in millions, except per unit data) 38</w:t>
            </w:r>
          </w:p>
        </w:tc>
      </w:tr>
    </w:tbl>
    <w:tbl>
      <w:tblPr>
        <w:tblW w:w="16685" w:type="dxa"/>
        <w:jc w:val="center"/>
        <w:tblInd w:w="0" w:type="dxa"/>
        <w:tblCellMar>
          <w:top w:w="0" w:type="dxa"/>
          <w:left w:w="0" w:type="dxa"/>
          <w:bottom w:w="0" w:type="dxa"/>
          <w:right w:w="0" w:type="dxa"/>
        </w:tblCellMar>
      </w:tblPr>
      <w:tblGrid>
        <w:gridCol w:w="16500"/>
        <w:gridCol w:w="18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embed="rId117"/>
                          <a:stretch>
                            <a:fillRect/>
                          </a:stretch>
                        </pic:blipFill>
                        <pic:spPr bwMode="auto">
                          <a:xfrm>
                            <a:off x="0" y="0"/>
                            <a:ext cx="10477500" cy="8086725"/>
                          </a:xfrm>
                          <a:prstGeom prst="rect">
                            <a:avLst/>
                          </a:prstGeom>
                        </pic:spPr>
                      </pic:pic>
                    </a:graphicData>
                  </a:graphic>
                </wp:inline>
              </w:drawing>
            </w:r>
          </w:p>
        </w:tc>
        <w:tc>
          <w:tcPr>
            <w:tcW w:w="18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Preliminary Findings Source: Bloomberg, FactSet, Public filings 1. VWAP premiums paid are calculated by dividing the value of the offer, defined as the exchange ratio multiplied by the closing price of the acquiror’s shares / units on the last trading day prior to announcement plus any cash received, by the 30 VWAP of the target as calculated from the last undisturbed trading day prior to the announcement Premium1 Date 1-Day 30-Day Announced Acquiror / Target Consideration Prior Spot VWAP 01/06/23 Phillips 66 / DCP Midstream, LP Cash-for-Unit 20.1% 28.5% 07/28/22 PBF Energy, Inc. / PBF Logistics LP Cash/Stock-for-Unit (3.0%) 13.2% 07/25/22 Shell USA, Inc. / Shell Midstream Partners, L.P. Cash-for-Unit 23.0% 24.7% 06/02/22 Hartree Partners, LP / Sprague Resources LP Cash-for-Unit 27.3% 24.1% 05/25/22 Höegh LNG Holdings Ltd / Höegh LNG Partners LP Cash-for-Unit 35.0% 39.4% 05/16/22 Diamondback Energy / Rattler Midstream LP Stock-for-Unit 17.3% 8.7% 04/22/22 Ergon, Inc. / Blueknight Energy Partners, L.P. Cash-for-Unit 51.5% 46.8% 12/20/21 BP p.l.c / BP Midstream Partners LP Stock-for-Unit 10.8% 3.0% 10/27/21 Phillips 66 / Phillips 66 Partners LP Stock-for-Unit 4.8% 10.6% 10/04/21 Stonepeak Infrastructure Partners / Teekay LNG Partners LP Cash-for-Unit 8.3% 7.6% 08/23/21 Landmark Dividend / Landmark Infrastructure Partners LP Cash-for-Unit 38.4% 35.6% 03/05/21 Chevron Corporation / Noble Midstream Partners LP Stock-for-Unit 16.7% 23.5% 12/15/20 TC Energy Corporation / TC PipeLines, LP Stock-for-Unit 19.5% 10.0% 07/27/20 CNX Resources Corporation / CNX Midstream Partners Stock-for-Unit 28.1% 16.1% 02/27/20 Equitrans Midstream Corporation / EQM Midstream Partners, LP Stock-for-Unit (1.5%) (11.2%) 12/17/19 Blackstone Infrastructure Partners / Tallgrass Energy LP Cash-for-Unit 56.4% 22.7% 10/01/19 Brookfield Business Partners L.P. / Teekay Offshore Partners L.P. Cash-for-Unit 28.1% 9.8% 09/16/19 Energy Transfer LP / SemGroup Corporation Cash/Unit-for-Share 65.4% 80.9% 08/21/19 Pembina Pipeline Corporation / Kinder Morgan Canada Limited Share-for-Share 37.7% 32.5% 05/10/19 IFM Investors / Buckeye Partners, L.P. Cash-for-Unit 27.5% 22.9% 05/08/19 MPLX LP / Andeavor (Marathon Petroleum Corporation; Andeavor Logistics LP) Unit-for-Unit 1.8% 0.5% 04/02/19 UGI Corporation / AmeriGas Partners, L.P. Cash/Stock-for-Unit 13.5% 22.2% 03/18/19 ArcLight Energy Partners Fund V, L.P. / American Midstream, LP Cash-for-Unit 31.2% 32.0% 02/05/19 SunCoke Energy, Inc. / SunCoke Energy Partners, L.P. Stock-for-Unit 9.3% 29.9% 11/26/18 ArcLight Energy Partners Fund VI, L.P. / TransMontaigne Partners L.P. Cash-for-Unit 12.6% 8.6% 11/08/18 Western Gas Equity Partners, LP / Western Gas Partners, LP Unit-for-Unit 7.6% 13.8% 10/22/18 EnLink Midstream, LLC / EnLink Midstream Partners, LP Unit-for-Unit 1.1% (0.6%) 10/18/18 Valero Energy Corporation / Valero Energy Partners LP Cash-for-Unit 6.0% 11.9% 10/09/18 Antero Midstream GP LP / Antero Midstream Partners LP Cash/Stock-for-Unit 63.7% 6.6% 25th Quartile 8.0% 8.6% Median 19.5% 15.0% Mean 22.7% 19.5% 75th Quartile 33.1% 28.6% 25th Quartile 16.4% 10.8% Median 27.5% 23.5% Mean 28.1% 23.8% 75th Quartile 36.7% 33.8% All Transactions Cash-for-Unit Precedent MLP Premiums Paid 39</w:t>
            </w:r>
          </w:p>
        </w:tc>
      </w:tr>
    </w:tbl>
    <w:tbl>
      <w:tblPr>
        <w:tblW w:w="16625" w:type="dxa"/>
        <w:jc w:val="center"/>
        <w:tblInd w:w="0" w:type="dxa"/>
        <w:tblCellMar>
          <w:top w:w="0" w:type="dxa"/>
          <w:left w:w="0" w:type="dxa"/>
          <w:bottom w:w="0" w:type="dxa"/>
          <w:right w:w="0" w:type="dxa"/>
        </w:tblCellMar>
      </w:tblPr>
      <w:tblGrid>
        <w:gridCol w:w="16500"/>
        <w:gridCol w:w="12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embed="rId118"/>
                          <a:stretch>
                            <a:fillRect/>
                          </a:stretch>
                        </pic:blipFill>
                        <pic:spPr bwMode="auto">
                          <a:xfrm>
                            <a:off x="0" y="0"/>
                            <a:ext cx="10477500" cy="8086725"/>
                          </a:xfrm>
                          <a:prstGeom prst="rect">
                            <a:avLst/>
                          </a:prstGeom>
                        </pic:spPr>
                      </pic:pic>
                    </a:graphicData>
                  </a:graphic>
                </wp:inline>
              </w:drawing>
            </w:r>
          </w:p>
        </w:tc>
        <w:tc>
          <w:tcPr>
            <w:tcW w:w="12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Appendix</w:t>
            </w:r>
          </w:p>
        </w:tc>
      </w:tr>
    </w:tbl>
    <w:tbl>
      <w:tblPr>
        <w:tblW w:w="16625" w:type="dxa"/>
        <w:jc w:val="center"/>
        <w:tblInd w:w="0" w:type="dxa"/>
        <w:tblCellMar>
          <w:top w:w="0" w:type="dxa"/>
          <w:left w:w="0" w:type="dxa"/>
          <w:bottom w:w="0" w:type="dxa"/>
          <w:right w:w="0" w:type="dxa"/>
        </w:tblCellMar>
      </w:tblPr>
      <w:tblGrid>
        <w:gridCol w:w="16500"/>
        <w:gridCol w:w="12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embed="rId119"/>
                          <a:stretch>
                            <a:fillRect/>
                          </a:stretch>
                        </pic:blipFill>
                        <pic:spPr bwMode="auto">
                          <a:xfrm>
                            <a:off x="0" y="0"/>
                            <a:ext cx="10477500" cy="8086725"/>
                          </a:xfrm>
                          <a:prstGeom prst="rect">
                            <a:avLst/>
                          </a:prstGeom>
                        </pic:spPr>
                      </pic:pic>
                    </a:graphicData>
                  </a:graphic>
                </wp:inline>
              </w:drawing>
            </w:r>
          </w:p>
        </w:tc>
        <w:tc>
          <w:tcPr>
            <w:tcW w:w="12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Weighted Average Cost of Capital 41</w:t>
            </w:r>
          </w:p>
        </w:tc>
      </w:tr>
    </w:tbl>
    <w:tbl>
      <w:tblPr>
        <w:tblW w:w="16670" w:type="dxa"/>
        <w:jc w:val="center"/>
        <w:tblInd w:w="0" w:type="dxa"/>
        <w:tblCellMar>
          <w:top w:w="0" w:type="dxa"/>
          <w:left w:w="0" w:type="dxa"/>
          <w:bottom w:w="0" w:type="dxa"/>
          <w:right w:w="0" w:type="dxa"/>
        </w:tblCellMar>
      </w:tblPr>
      <w:tblGrid>
        <w:gridCol w:w="16500"/>
        <w:gridCol w:w="17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embed="rId120"/>
                          <a:stretch>
                            <a:fillRect/>
                          </a:stretch>
                        </pic:blipFill>
                        <pic:spPr bwMode="auto">
                          <a:xfrm>
                            <a:off x="0" y="0"/>
                            <a:ext cx="10477500" cy="8086725"/>
                          </a:xfrm>
                          <a:prstGeom prst="rect">
                            <a:avLst/>
                          </a:prstGeom>
                        </pic:spPr>
                      </pic:pic>
                    </a:graphicData>
                  </a:graphic>
                </wp:inline>
              </w:drawing>
            </w:r>
          </w:p>
        </w:tc>
        <w:tc>
          <w:tcPr>
            <w:tcW w:w="17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GasLog Partners: Weighted Average Cost of Capital Source: Partnership and Company Filings; FactSet as of 2/16/23; Duff and Phelps 2023 Valuation Handbook 1. Includes corporate debt, lease liabilities and preferred equity as of 12/31/22 2. Factset 5-year Beta against the S&amp;P 500, except for CoolCo which is against MSCI 3. Based on unaffected GasLog price and trading as 1/24/23 4. Based on current GLOP capital structure 5. Based on 20-year US treasury’s current yield to maturity 6. Based on low end of Duff &amp; Phelps’ long-horizon expected equity risk premium (supply-side), defined as historical equity risk premium minus price-to-earnings ratio calculated using three-year earnings; Based on high end of Duff &amp; Phelps’ long-horizon expected equity risk premium (historical), defined as large company stock total return minus long-term government bond income returns 7. Decile: Average of Low Cap (8) with equity value range of $377 million to $782 million and Low (9) with equity value range of $218 million to $373 million 8. Based on weighted average cost of debt and preferred, including: (i) GasLog Partners’ cost of secured bank debt (average of ~6%) and (ii) GasLog Partner’s average preferred equity yield of ~9% Cost of Equity Sensitivities Cost of Equity Sensitivities Market Risk Premium @ 6.4% Market Risk Premium @ 7.2% Adj. Unlevered Beta Adj. Unlevered Beta 0.20 0.30 0.35 0.40 0.50 0.20 0.30 0.35 0.40 0.50 60.0% 9.2% 10.0% 10.8% 11.6% 12.3% 60.0% 9.7% 10.6% 11.5% 12.4% 13.3% 65.0% 9.7% 10.6% 11.5% 12.4% 13.4% 65.0% 10.3% 11.3% 12.3% 13.4% 14.4% 70.0% 10.5% 11.5% 12.6% 13.6% 14.7% 70.0% 11.1% 12.3% 13.5% 14.7% 15.9% 75.0% 11.5% 12.7% 14.0% 15.3% 16.6% 75.0% 12.3% 13.7% 15.1% 16.6% 18.0% 80.0% 13.0% 14.6% 16.2% 17.8% 19.4% 80.0% 14.0% 15.8% 17.6% 19.4% 21.2% WACC Sensitivities WACC Sensitivities Market Risk Premium @ 6.4% Market Risk Premium @ 7.2% Adj. Unlevered Beta Adj. Unlevered Beta 0.20 0.30 0.35 0.40 0.50 0.20 0.30 0.35 0.40 0.50 60.0% 7.9% 8.2% 8.5% 8.8% 9.1% 60.0% 8.1% 8.4% 8.8% 9.1% 9.5% 65.0% 8.0% 8.3% 8.6% 8.9% 9.2% 65.0% 8.2% 8.5% 8.9% 9.2% 9.6% 70.0% 8.0% 8.4% 8.7% 9.0% 9.3% 70.0% 8.2% 8.6% 9.0% 9.3% 9.7% 75.0% 8.1% 8.4% 8.8% 9.1% 9.4% 75.0% 8.3% 8.7% 9.0% 9.4% 9.8% 80.0% 8.2% 8.5% 8.8% 9.2% 9.5% 80.0% 8.4% 8.8% 9.1% 9.5% 9.8% Total Debt / Total Cap Total Debt / Total Cap Total Debt / Total Cap Total Debt / Total Cap Equity Total Debt + Levered Tax Unlevered Company Value Total Debt (1) Perf / Total Cap Beta (2) Rate Beta LNG Peers Dynagas $114 $653 85.1% 0.77 0.0% 0.12 Capital Product Partners 281 1,289 82.1% 0.96 0.0% 0.17 Excelerate Energy 2,400 734 23.4% 0.90 24.0% 0.73 Flex LNG 1,901 1,694 47.1% 1.14 0.0% 0.60 CoolCo 652 769 54.1% 0.41 0.0% 0.19 Mean 58.4% 0.84 0.36 GasLog Partners $379 $1,275 77.1% 0.96 0.0% 0.22 GLOP Mean (All) Adj. Unlevered Beta 0.22 0.36 Total Debt / Total Capitalization (4) 77.1% 58.4% Tax Rate 0.0% 0.0% Adjusted Equity Beta 0.96 0.87 Risk-Free Rate (5) 3.7% 3.7% Market Risk Premium (6) 6.4% - 7.2% 6.4% - 7.2% Size Premium (7) 1.7% 1.7% Cost of Equity 11.4% - 12.2% 10.8% - 11.6% Pre-tax Cost of Debt (8) 7.0% After-Tax Cost of Debt 7.0% WACC 8.0% - 8.2% 8.6% - 8.9% (3) ($ in millions, except per unit data) 42</w:t>
            </w:r>
          </w:p>
        </w:tc>
      </w:tr>
    </w:tbl>
    <w:tbl>
      <w:tblPr>
        <w:tblW w:w="16625" w:type="dxa"/>
        <w:jc w:val="center"/>
        <w:tblInd w:w="0" w:type="dxa"/>
        <w:tblCellMar>
          <w:top w:w="0" w:type="dxa"/>
          <w:left w:w="0" w:type="dxa"/>
          <w:bottom w:w="0" w:type="dxa"/>
          <w:right w:w="0" w:type="dxa"/>
        </w:tblCellMar>
      </w:tblPr>
      <w:tblGrid>
        <w:gridCol w:w="16500"/>
        <w:gridCol w:w="12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embed="rId121"/>
                          <a:stretch>
                            <a:fillRect/>
                          </a:stretch>
                        </pic:blipFill>
                        <pic:spPr bwMode="auto">
                          <a:xfrm>
                            <a:off x="0" y="0"/>
                            <a:ext cx="10477500" cy="8086725"/>
                          </a:xfrm>
                          <a:prstGeom prst="rect">
                            <a:avLst/>
                          </a:prstGeom>
                        </pic:spPr>
                      </pic:pic>
                    </a:graphicData>
                  </a:graphic>
                </wp:inline>
              </w:drawing>
            </w:r>
          </w:p>
        </w:tc>
        <w:tc>
          <w:tcPr>
            <w:tcW w:w="12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Additional Detail Regarding GasLog Partners</w:t>
            </w:r>
          </w:p>
        </w:tc>
      </w:tr>
    </w:tbl>
    <w:tbl>
      <w:tblPr>
        <w:tblW w:w="16625" w:type="dxa"/>
        <w:jc w:val="center"/>
        <w:tblInd w:w="0" w:type="dxa"/>
        <w:tblCellMar>
          <w:top w:w="0" w:type="dxa"/>
          <w:left w:w="0" w:type="dxa"/>
          <w:bottom w:w="0" w:type="dxa"/>
          <w:right w:w="0" w:type="dxa"/>
        </w:tblCellMar>
      </w:tblPr>
      <w:tblGrid>
        <w:gridCol w:w="16500"/>
        <w:gridCol w:w="12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embed="rId122"/>
                          <a:stretch>
                            <a:fillRect/>
                          </a:stretch>
                        </pic:blipFill>
                        <pic:spPr bwMode="auto">
                          <a:xfrm>
                            <a:off x="0" y="0"/>
                            <a:ext cx="10477500" cy="8086725"/>
                          </a:xfrm>
                          <a:prstGeom prst="rect">
                            <a:avLst/>
                          </a:prstGeom>
                        </pic:spPr>
                      </pic:pic>
                    </a:graphicData>
                  </a:graphic>
                </wp:inline>
              </w:drawing>
            </w:r>
          </w:p>
        </w:tc>
        <w:tc>
          <w:tcPr>
            <w:tcW w:w="12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0.0% 5.7% 10.4% 33.2% 23.3% 19.1% 8.4% $2.00 - $3.00 $3.00 - $4.00 $4.00 - $5.00 $5.00 - $6.00 $6.00 - $7.00 $7.00 - $8.00 $8.00 - $9.00 13.3% 22.7% 16.5% 28.8% 8.6% 7.1% 3.1% $2.00 - $3.00 $3.00 - $4.00 $4.00 - $5.00 $5.00 - $6.00 $6.00 - $7.00 $7.00 - $8.00 $8.00 - $9.00 Situation Overview Trading Histogram Historical Trading Prices (12/31/19 to Unaffected Date) Historical Trading Prices (2/25/22 to Unaffected Date)1 VWAP from 2/25/22-1/24/23: $5.99 VWAP from 12/31/19-1/24/23: $4.69 Source: FactSet (as of 1/24/23) Note: Based on closing price data. Public float defined as common units held by entities unaffiliated with the Sponsor 1. On 2/24/22, Russia launched its invasion of Ukraine Low Unit Price: $2.50 Date: 4/23/21 High Unit Price: $8.38 Date: 11/4/22 Low Unit Price: $3.30 Date: 3/3/22 High Unit Price: $8.38 Date: 11/4/22 44</w:t>
            </w:r>
          </w:p>
        </w:tc>
      </w:tr>
    </w:tbl>
    <w:tbl>
      <w:tblPr>
        <w:tblW w:w="16670" w:type="dxa"/>
        <w:jc w:val="center"/>
        <w:tblInd w:w="0" w:type="dxa"/>
        <w:tblCellMar>
          <w:top w:w="0" w:type="dxa"/>
          <w:left w:w="0" w:type="dxa"/>
          <w:bottom w:w="0" w:type="dxa"/>
          <w:right w:w="0" w:type="dxa"/>
        </w:tblCellMar>
      </w:tblPr>
      <w:tblGrid>
        <w:gridCol w:w="16500"/>
        <w:gridCol w:w="17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embed="rId123"/>
                          <a:stretch>
                            <a:fillRect/>
                          </a:stretch>
                        </pic:blipFill>
                        <pic:spPr bwMode="auto">
                          <a:xfrm>
                            <a:off x="0" y="0"/>
                            <a:ext cx="10477500" cy="8086725"/>
                          </a:xfrm>
                          <a:prstGeom prst="rect">
                            <a:avLst/>
                          </a:prstGeom>
                        </pic:spPr>
                      </pic:pic>
                    </a:graphicData>
                  </a:graphic>
                </wp:inline>
              </w:drawing>
            </w:r>
          </w:p>
        </w:tc>
        <w:tc>
          <w:tcPr>
            <w:tcW w:w="17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Situation Overview Unitholder Summary Source: FactSet, Partnership filings Summary Institutional Ownership Institution Units (000's) Ownership % Cobas Asset Management 5,096 9.9% Invesco Advisers 2,366 4.6% Renaissance Technologies 767 1.5% Two Sigma Advisers 399 0.8% Forager Funds Management 282 0.5% Walleye Capital 277 0.5% Andbank Wealth Management 239 0.5% Acadian Asset Management 218 0.4% Goldman Sachs &amp; Co. LLC 202 0.4% Two Sigma Investments 189 0.4% Global X Management Co 189 0.4% Arrowstreet Capital 135 0.3% Russell Investment Management 128 0.2% Susquehanna Financial Group 124 0.2% Schonfeld Strategic Advisors 94 0.2% Top 15 Institutional 10,705 20.7% Insider Ownership Summary Holder Units (000's) Ownership % Holder Units (000's) Ownership % GasLog Ltd. 15,622 30.2% Institutional/Other (Net of Short Interest) 11,831 22.9% Total Insider 15,622 30.2% Insiders 15,622 30.2% Retail 24,235 46.9% Total Common Units Outstanding 51,688 100.0% Institutional 22.9% Insiders 30.2% Retail 46.9% 45</w:t>
            </w:r>
          </w:p>
        </w:tc>
      </w:tr>
    </w:tbl>
    <w:tbl>
      <w:tblPr>
        <w:tblW w:w="16685" w:type="dxa"/>
        <w:jc w:val="center"/>
        <w:tblInd w:w="0" w:type="dxa"/>
        <w:tblCellMar>
          <w:top w:w="0" w:type="dxa"/>
          <w:left w:w="0" w:type="dxa"/>
          <w:bottom w:w="0" w:type="dxa"/>
          <w:right w:w="0" w:type="dxa"/>
        </w:tblCellMar>
      </w:tblPr>
      <w:tblGrid>
        <w:gridCol w:w="16500"/>
        <w:gridCol w:w="18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embed="rId124"/>
                          <a:stretch>
                            <a:fillRect/>
                          </a:stretch>
                        </pic:blipFill>
                        <pic:spPr bwMode="auto">
                          <a:xfrm>
                            <a:off x="0" y="0"/>
                            <a:ext cx="10477500" cy="8086725"/>
                          </a:xfrm>
                          <a:prstGeom prst="rect">
                            <a:avLst/>
                          </a:prstGeom>
                        </pic:spPr>
                      </pic:pic>
                    </a:graphicData>
                  </a:graphic>
                </wp:inline>
              </w:drawing>
            </w:r>
          </w:p>
        </w:tc>
        <w:tc>
          <w:tcPr>
            <w:tcW w:w="18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These materials have been prepared by Evercore Group L.L.C. (“Evercore”) for the Conflicts Committee (the “Conflicts Committee”) of the Board of Directors of GasLog Partners GP LLC, the general partner of GasLog Partners LP (“GLOP,” or the “Partnership”), to whom such materials are directly addressed and delivered and may not be used or relied upon for any purpose other than as specifically contemplated by a written agreement with Evercore. These materials are based on information provided by or on behalf of the Conflicts Committee, from public sources or otherwise reviewed by Evercore. Evercore assumes no responsibility for independent investigation or verification of such information and has relied on such information being complete and accurate in all material respects. To the extent such information includes estimates and forecasts of future financial or operating performance prepared by or reviewed with the management of GLOP and/or other potential transaction participants or obtained from public sources, Evercore has assumed that such estimates and forecasts have been reasonably prepared on bases reflecting the best currently available estimates and good faith judgments of such management (or, with respect to estimates and forecasts obtained from public sources, represent reasonable estimates). No representation or warranty, express or implied, is made as to the accuracy or completeness of such information and nothing contained herein is, or shall be relied upon as, a representation, whether as to the past, the present or the future. These materials were designed for use by specific persons familiar with the business and affairs of GLOP. These materials are not intended to provide the sole basis for evaluating, and should not be considered a recommendation with respect to, any transaction or other matter. These materials have been developed by and are proprietary to Evercore and were prepared exclusively for the benefit and internal use of the Conflicts Committee. These materials were compiled on a confidential basis for use by the Conflicts Committee and not with a view to public disclosure or filing thereof under state or federal securities laws, and may not be reproduced, disseminated, quoted or referred to, in whole or in part, without the prior written consent of Evercore. These materials do not constitute an offer or solicitation to sell or purchase any securities and are not a commitment by Evercore or any of its affiliates to provide or arrange any financing for any transaction or to purchase any security in connection therewith. Evercore assumes no obligation to update or otherwise revise these materials. These materials may not reflect information known to other professionals in other business areas of Evercore and its affiliates. Evercore and its affiliates do not provide legal, regulatory, accounting or tax advice. Accordingly, any statements contained herein as to legal, regulatory, accounting or tax matters were neither written nor intended by Evercore or its affiliates to be used and cannot be used by any person, including for the purpose of avoiding tax penalties that may be imposed on such person. Each person should seek legal, regulatory, accounting and tax advice based on his, her or its particular circumstances from independent advisors regarding the impact of the transactions or matters described herein.</w:t>
            </w:r>
          </w:p>
        </w:tc>
      </w:tr>
    </w:tbl>
    <w:p>
      <w:pPr>
        <w:pStyle w:val="TextBody"/>
        <w:ind w:left="0" w:right="0" w:hanging="0"/>
        <w:jc w:val="right"/>
        <w:rPr>
          <w:rFonts w:ascii="Times New Roman" w:hAnsi="Times New Roman"/>
          <w:b/>
          <w:sz w:val="20"/>
        </w:rPr>
      </w:pPr>
      <w:r>
        <w:br w:type="page"/>
      </w:r>
      <w:bookmarkStart w:id="19" w:name="tm2314213d1_ex99-c5.htm"/>
      <w:bookmarkStart w:id="20" w:name="kstm2314213d1_ex99c5"/>
      <w:bookmarkEnd w:id="19"/>
      <w:bookmarkEnd w:id="20"/>
      <w:r>
        <w:rPr>
          <w:rFonts w:ascii="Times New Roman" w:hAnsi="Times New Roman"/>
          <w:b/>
          <w:sz w:val="20"/>
        </w:rPr>
        <w:t>Exhibit 99.(c)(5)</w:t>
        <w:br/>
      </w:r>
    </w:p>
    <w:tbl>
      <w:tblPr>
        <w:tblW w:w="16655" w:type="dxa"/>
        <w:jc w:val="right"/>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embed="rId125"/>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Conflicts Committee of GasLog Partners LP March 2023 PRELIMINARY ANALYSIS SUBJECT TO MATERIAL CHANGES 3/3/2023 12:07 AM</w:t>
            </w:r>
          </w:p>
        </w:tc>
      </w:tr>
    </w:tbl>
    <w:tbl>
      <w:tblPr>
        <w:tblW w:w="16625" w:type="dxa"/>
        <w:jc w:val="center"/>
        <w:tblInd w:w="0" w:type="dxa"/>
        <w:tblCellMar>
          <w:top w:w="0" w:type="dxa"/>
          <w:left w:w="0" w:type="dxa"/>
          <w:bottom w:w="0" w:type="dxa"/>
          <w:right w:w="0" w:type="dxa"/>
        </w:tblCellMar>
      </w:tblPr>
      <w:tblGrid>
        <w:gridCol w:w="16500"/>
        <w:gridCol w:w="12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embed="rId126"/>
                          <a:stretch>
                            <a:fillRect/>
                          </a:stretch>
                        </pic:blipFill>
                        <pic:spPr bwMode="auto">
                          <a:xfrm>
                            <a:off x="0" y="0"/>
                            <a:ext cx="10477500" cy="8086725"/>
                          </a:xfrm>
                          <a:prstGeom prst="rect">
                            <a:avLst/>
                          </a:prstGeom>
                        </pic:spPr>
                      </pic:pic>
                    </a:graphicData>
                  </a:graphic>
                </wp:inline>
              </w:drawing>
            </w:r>
          </w:p>
        </w:tc>
        <w:tc>
          <w:tcPr>
            <w:tcW w:w="12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Table of Contents Introduction Situation Overview Preliminary Findings Appendix A. Weighted Average Cost of Capital B. Additional Detail Regarding GasLog Partners Section I II III</w:t>
            </w:r>
          </w:p>
        </w:tc>
      </w:tr>
    </w:tbl>
    <w:tbl>
      <w:tblPr>
        <w:tblW w:w="16625" w:type="dxa"/>
        <w:jc w:val="center"/>
        <w:tblInd w:w="0" w:type="dxa"/>
        <w:tblCellMar>
          <w:top w:w="0" w:type="dxa"/>
          <w:left w:w="0" w:type="dxa"/>
          <w:bottom w:w="0" w:type="dxa"/>
          <w:right w:w="0" w:type="dxa"/>
        </w:tblCellMar>
      </w:tblPr>
      <w:tblGrid>
        <w:gridCol w:w="16500"/>
        <w:gridCol w:w="12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embed="rId127"/>
                          <a:stretch>
                            <a:fillRect/>
                          </a:stretch>
                        </pic:blipFill>
                        <pic:spPr bwMode="auto">
                          <a:xfrm>
                            <a:off x="0" y="0"/>
                            <a:ext cx="10477500" cy="8086725"/>
                          </a:xfrm>
                          <a:prstGeom prst="rect">
                            <a:avLst/>
                          </a:prstGeom>
                        </pic:spPr>
                      </pic:pic>
                    </a:graphicData>
                  </a:graphic>
                </wp:inline>
              </w:drawing>
            </w:r>
          </w:p>
        </w:tc>
        <w:tc>
          <w:tcPr>
            <w:tcW w:w="12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I. Introduction</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embed="rId128"/>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 Evercore Group LLC (“Evercore”) is pleased to present its preliminary findings to the Conflicts Committee of the Board of Directors (the “Conflicts Committee”) of GasLog Partners GP LLC, the general partner of GasLog Partners LP (the “Partnership”, “GasLog Partners” or “GLOP”), regarding the non-binding proposal from GasLog Ltd. (the “Sponsor” or “GLOG”) to acquire all outstanding common units not owned by GLOG for cash consideration (the “Proposed Transaction”) GLOG proposes that the GLOP unaffiliated unitholders (the “Unaffiliated Unitholders”) exchange each owned common unit for the right to receive $7.70 in cash per common unit, consisting in part of a special distribution by the Partnership of $2.33 per common unit (the “Proposed Consideration”) ◼ Evercore has commenced its due diligence review as part of our evaluation process of the Proposed Transaction On February 13, 2023, Evercore was provided access to the virtual data room which included, among other items, GasLog Partners’ financial projections as provided by management (the “GLOP Financial Projections”), the 2023E budget, the most recent broker appraisals, key commercial agreements and recent materials prepared for the GLOP Board of Directors On February 14, 2023, Evercore attended a virtual presentation held by GLOP management which included an update on the business and key industry trends On February 21, 2023, Evercore held a call with management regarding GLOP Financial Projections that included continued discussion on industry trends, recent LNG vessel sales and the Venice FSRU Project On February 27, 2023, Evercore submitted follow up diligence questions to GLOP management regarding regulatory capital expenditures, remaining useful life of the fleet and long-term utilization and received written responses on February 28, 2023 On March 2, 2023, GLOP management provided a revised model that included approximately $10 million higher capital expenditures for the Venice FSRU project, which has been incorporated into Evercore’s analysis ◼ We are pleased to present our preliminary perspectives based on our work so far and discuss potential further diligence with the Conflicts Committee Introduction Introduction 4</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embed="rId129"/>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 Since the last committee meeting on February 27, 2023, Evercore has followed up with management on certain items with respect the value of the fleet beyond 2027, including: Economic useful life of vessels Fleet drydocking beyond 2027 Regulatory compliance capital expenditures beyond 2027 Utilization of the fleet in the spot market beyond 2027 Third-party forecasts for 1-year TC or spot market Analysis on the mark-to-market value of the existing charters ◼ Evercore to discuss responses received to-date Introduction Summary of New Diligence Since Last Meeting 5</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embed="rId130"/>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$8.77 $ - $5.00 $10.00 $15.00 $20.00 $25.00 $30.00 Dec-18 Sep-19 May-20 Jan-21 Oct-21 Jun-22 Mar-23 Unit Price Performance (Last 5 Years) Source: FactSet (as of 3/1/23) Introduction 6 February 2022: Russian Invasion of Ukraine November 2020: Announces intention to pursue strategic alternatives and announces further distribution cut from $0.125 to $0.01 January 2023: GLOG proposes to acquire all outstanding public common units of GLOP for $7.70 in cash Feb 2021: GasLog Ltd. announces merger with BlackRock’s Global Energy &amp; Power Infrastructure Funds June 2019: Announces exchange / elimination of GP IDRs for new LP units February 2020: Onset of Global COVID-19 Pandemic, quarterly distribution reduced from $0.561 to $0.125</w:t>
            </w:r>
          </w:p>
        </w:tc>
      </w:tr>
    </w:tbl>
    <w:tbl>
      <w:tblPr>
        <w:tblW w:w="16640" w:type="dxa"/>
        <w:jc w:val="center"/>
        <w:tblInd w:w="0" w:type="dxa"/>
        <w:tblCellMar>
          <w:top w:w="0" w:type="dxa"/>
          <w:left w:w="0" w:type="dxa"/>
          <w:bottom w:w="0" w:type="dxa"/>
          <w:right w:w="0" w:type="dxa"/>
        </w:tblCellMar>
      </w:tblPr>
      <w:tblGrid>
        <w:gridCol w:w="16500"/>
        <w:gridCol w:w="14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embed="rId131"/>
                          <a:stretch>
                            <a:fillRect/>
                          </a:stretch>
                        </pic:blipFill>
                        <pic:spPr bwMode="auto">
                          <a:xfrm>
                            <a:off x="0" y="0"/>
                            <a:ext cx="10477500" cy="8086725"/>
                          </a:xfrm>
                          <a:prstGeom prst="rect">
                            <a:avLst/>
                          </a:prstGeom>
                        </pic:spPr>
                      </pic:pic>
                    </a:graphicData>
                  </a:graphic>
                </wp:inline>
              </w:drawing>
            </w:r>
          </w:p>
        </w:tc>
        <w:tc>
          <w:tcPr>
            <w:tcW w:w="14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$8.77 - 500.0 1,000.0 1,500.0 2,000.0 2,500.0 $6.00 $7.00 $8.00 $9.00 $10.00 1/24 1/31 2/7 2/14 2/21 3/1 GLOP Common Unit Price Unit Volume (thousands) Volume (000s) Unit Price Introduction Units Have Increased 26% Since the Unaffected Date, Equating to a 14% Premium to the $7.70 Offer Price Source: FactSet (as of 3/1/23) 7 Average Total Volume Traded Since Offer (25 Days) 765k 19,121k 90-Day Unaffected 345k 31,069k % of Outstanding Common Units Since Offer (25 Days) 1.4% 35.2% 90-Day Unaffected 0.6% 57.2% % of Public Float (36.338mm units) Since Offer (25 Days) 2.1% 52.6% 90-Day Unaffected 0.9% 85.5%</w:t>
            </w:r>
          </w:p>
        </w:tc>
      </w:tr>
    </w:tbl>
    <w:tbl>
      <w:tblPr>
        <w:tblW w:w="16640" w:type="dxa"/>
        <w:jc w:val="center"/>
        <w:tblInd w:w="0" w:type="dxa"/>
        <w:tblCellMar>
          <w:top w:w="0" w:type="dxa"/>
          <w:left w:w="0" w:type="dxa"/>
          <w:bottom w:w="0" w:type="dxa"/>
          <w:right w:w="0" w:type="dxa"/>
        </w:tblCellMar>
      </w:tblPr>
      <w:tblGrid>
        <w:gridCol w:w="16500"/>
        <w:gridCol w:w="14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embed="rId132"/>
                          <a:stretch>
                            <a:fillRect/>
                          </a:stretch>
                        </pic:blipFill>
                        <pic:spPr bwMode="auto">
                          <a:xfrm>
                            <a:off x="0" y="0"/>
                            <a:ext cx="10477500" cy="8086725"/>
                          </a:xfrm>
                          <a:prstGeom prst="rect">
                            <a:avLst/>
                          </a:prstGeom>
                        </pic:spPr>
                      </pic:pic>
                    </a:graphicData>
                  </a:graphic>
                </wp:inline>
              </w:drawing>
            </w:r>
          </w:p>
        </w:tc>
        <w:tc>
          <w:tcPr>
            <w:tcW w:w="14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(43.9%) 217.4% 46.9% 7.8% (66.8%) (59.8%) (40.9%) (150.0%) 0.0% 150.0% 300.0% 450.0% 1/1/20 6/14/20 11/26/20 5/10/21 10/22/21 4/5/22 9/17/22 3/1/23 9.6% 13.3% 5.8% 1.0% 15.4% (8.2%) 33.5% (20.0%) 0.0% 20.0% 40.0% 1/25/23 2/1/23 2/8/23 2/15/23 2/22/23 3/1/23 Introduction GLOP’s Trading Performance Relative to its Peers Source: FactSet (as of 3/1/23) Indexed Common Unit Price Performance Non-Binding Proposal (1/25/23) Since 1/1/20 Since 1/1/21 Since 1/1/22 Price Performance Summary To Unaffected Date (1/24/22) GasLog Partners (MLP) (55.4%) 156.6% 63.8% Flex LNG (C-Corp.) 182.1% 251.3% 30.9% Dynagas (MLP) 34.6% 13.6% (1.7%) CPLP (MLP) 4.5% 72.9% (12.8%) Knot Offshore Partners (MLP) (71.5%) (62.5%) (57.8%) To Present (3/1/23) GasLog Partners (MLP) (43.9%) 222.4% 105.9% Flex LNG (C-Corp.) 217.4% 295.3% 47.3% Dynagas (MLP) 46.9% 24.0% 7.3% CPLP (MLP) 7.8% 78.4% (10.1%) Knot Offshore Partners (MLP) (66.8%) (56.3%) (50.7%) 8 Since 1/25/23, GLOP has outperformed its peer average by ~15% — GasLog Partners (MLP) — Flex LNG (C-Corp.) — Dynagas (MLP) — CPLP (MLP) — Knot Offshore Partners (MLP) — Golar LNG Partners LP (MLP) — Höegh LNG Partners LP (MLP) — Excelerate Energy (C-Corp.) — Cool Company (C. Corp.)</w:t>
            </w:r>
          </w:p>
        </w:tc>
      </w:tr>
    </w:tbl>
    <w:tbl>
      <w:tblPr>
        <w:tblW w:w="16640" w:type="dxa"/>
        <w:jc w:val="center"/>
        <w:tblInd w:w="0" w:type="dxa"/>
        <w:tblCellMar>
          <w:top w:w="0" w:type="dxa"/>
          <w:left w:w="0" w:type="dxa"/>
          <w:bottom w:w="0" w:type="dxa"/>
          <w:right w:w="0" w:type="dxa"/>
        </w:tblCellMar>
      </w:tblPr>
      <w:tblGrid>
        <w:gridCol w:w="16500"/>
        <w:gridCol w:w="14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embed="rId133"/>
                          <a:stretch>
                            <a:fillRect/>
                          </a:stretch>
                        </pic:blipFill>
                        <pic:spPr bwMode="auto">
                          <a:xfrm>
                            <a:off x="0" y="0"/>
                            <a:ext cx="10477500" cy="8086725"/>
                          </a:xfrm>
                          <a:prstGeom prst="rect">
                            <a:avLst/>
                          </a:prstGeom>
                        </pic:spPr>
                      </pic:pic>
                    </a:graphicData>
                  </a:graphic>
                </wp:inline>
              </w:drawing>
            </w:r>
          </w:p>
        </w:tc>
        <w:tc>
          <w:tcPr>
            <w:tcW w:w="14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4.1% 9.8% 0.0% 20.8% 32.0% 22.6% 0.0x 10.8% 0.1x 0.1x 0.2x 0.4x 0.5x 0.6x $6.00 - $6.50 $6.50 - $7.00 $7.00 - $7.50 $7.50 - $8.00 $8.00 - $8.50 $8.50 - $9.00 $9.00 - $9.50 2.4% 12.8% 4.3% 29.5% 31.3% 13.4% 0.0x 6.4% 0.2x 0.2x 0.5x 0.8x 1.0x 1.0x $6.00 - $6.50 $6.50 - $7.00 $7.00 - $7.50 $7.50 - $8.00 $8.00 - $8.50 $8.50 - $9.00 $9.00 - $9.50 Low Unit Price: $6.18 Date: 1/9/23 Introduction Recent Trading Histogram Since Public Float Turnover (10/27/22)1 Year-to-Date VWAP from 1/3/23-3/1/23: $8.16 VWAP from 10/27/22-3/1/23: $7.97 Source: FactSet (as of 3/1/23) Note: Based on closing price data. Public float defined as common units held by entities unaffiliated with the Sponsor 1. 10/27/22 is the first date from which GLOP’s unit trading volume to present exceeds its public float Low Unit Price: $6.18 Date: 1/9/23 High Unit Price: $9.20 Date: 2/21/23 9 High Unit Price: $9.20 Date: 2/21/23 Percent of Units Traded Over Period — Cumulative Multiple of Public Float Since October 27th, 1.0x of GLOP’s public float has turned over at an average price of nearly $8.00 per unit</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embed="rId134"/>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Introduction Proposal Summary Key Terms Buyer ◼ GasLog Ltd., (the “Sponsor”) which currently owns 30.2% of the GasLog Partners common units and the general partner units GasLog Ltd. is beneficially owned by Peters Livanos, the Onassis Foundation and BlackRock Global Energy and Infrastructure Funds Proposed Transaction Summary ◼ On January 25, 2023, GasLog Ltd. submitted a non-binding proposal to acquire each common unit it did not already owned (being ~36mm publicly owned units) Offer Price ◼ $7.70 per common unit, consisting of $5.37 in cash and a $2.33 special distribution from GLOP balance sheet for each common unit not owned by GasLog Ltd. Other Items ◼ Sponsor has stated that it is not interested in selling any of its equity position ◼ Subject to approval of Conflicts Committee and Board of Directors of GasLog Partners ◼ Subject to approval of a simple majority of common unitholders (as opposed to a “majority of the minority”) ◼ Preferred units to remain intact and not redeemed ◼ No financing contingency ◼ Class B units to be cancelled immediately prior to the transaction ◼ Other customary closing conditions Source: GasLog Partners management 10</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embed="rId135"/>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GasLog Partners Common Unit Value $7.70 $8.00 $8.50 $9.00 $9.50 $10.00 $10.50 $11.00 (x) Total Units Outstanding 54.285 54.285 54.285 54.285 54.285 54.285 54.285 54.285 Implied Equity Value $418 $434 $461 $489 $516 $543 $570 $597 (+) Gross Debt as of December 31, 2022 985 985 985 985 985 985 985 985 (–) Cash and Cash Equivalents (223) (223) (223) (223) (223) (223) (223) (223) (+) Liquidation Value of Preferred Equity 291 291 291 291 291 291 291 291 Implied Enterprise Value $1,470 $1,487 $1,514 $1,541 $1,568 $1,595 $1,622 $1,650 Metric Premiums Unaffected Unit Price as of January 24, 2023 $6.98 10.3% 14.6% 21.8% 28.9% 36.1% 43.3% 50.4% 57.6% Unaffected 10-Day VWAP 6.74 14.2% 18.7% 26.1% 33.5% 40.9% 48.3% 55.7% 63.1% Unaffected 30-Day VWAP 6.79 13.4% 17.8% 25.2% 32.6% 39.9% 47.3% 54.7% 62.0% Current Unit Price as of March 1, 2023 8.77 (12.2%) (8.8%) (3.1%) 2.6% 8.3% 14.0% 19.7% 25.4% Implied Price / NAV Assuming 10.0% Discount to Appraised Value $8.01 0.96x 1.00x 1.06x 1.12x 1.19x 1.25x 1.31x 1.37x Assuming No Premium / Discount to Appraised Value 11.15 0.69 0.72 0.76 0.81 0.85 0.90 0.94 0.99 Assuming 10.0% Premium to Appraised Value 14.29 0.54 0.56 0.59 0.63 0.66 0.70 0.73 0.77 EBITDA Multiples (GLOP Mgmt.) Enterprise Value / 2022A EBITDA $274 5.4x 5.4x 5.5x 5.6x 5.7x 5.8x 5.9x 6.0x Enterprise Value / 2023E EBITDA 290 5.1 5.1 5.2 5.3 5.4 5.5 5.6 5.7 Enterprise Value / 2024E EBITDA 269 5.5 5.5 5.6 5.7 5.8 5.9 6.0 6.1 Enterprise Value / 2025E EBITDA 226 6.5 6.6 6.7 6.8 6.9 7.1 7.2 7.3 EBITDA Multiples (Stifel Research) Enterprise Value / 2023E EBITDA $273 5.4x 5.4x 5.5x 5.6x 5.7x 5.8x 5.9x 6.0x Enterprise Value / 2024E EBITDA 211 7.0 7.1 7.2 7.3 7.4 7.6 7.7 7.8 Distribution Yield (GLOP Mgmt.) 2022A $0.04 0.5% 0.5% 0.5% 0.4% 0.4% 0.4% 0.4% 0.4% 2023E 0.04 0.5% 0.5% 0.5% 0.4% 0.4% 0.4% 0.4% 0.4% ($ in millions, except per unit data) Introduction Analysis at Various Prices Source: GasLog Partners management, public filings, FactSet (as of 3/1/23) Proposed Consideration 11</w:t>
            </w:r>
          </w:p>
        </w:tc>
      </w:tr>
    </w:tbl>
    <w:tbl>
      <w:tblPr>
        <w:tblW w:w="16625" w:type="dxa"/>
        <w:jc w:val="center"/>
        <w:tblInd w:w="0" w:type="dxa"/>
        <w:tblCellMar>
          <w:top w:w="0" w:type="dxa"/>
          <w:left w:w="0" w:type="dxa"/>
          <w:bottom w:w="0" w:type="dxa"/>
          <w:right w:w="0" w:type="dxa"/>
        </w:tblCellMar>
      </w:tblPr>
      <w:tblGrid>
        <w:gridCol w:w="16500"/>
        <w:gridCol w:w="12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embed="rId136"/>
                          <a:stretch>
                            <a:fillRect/>
                          </a:stretch>
                        </pic:blipFill>
                        <pic:spPr bwMode="auto">
                          <a:xfrm>
                            <a:off x="0" y="0"/>
                            <a:ext cx="10477500" cy="8086725"/>
                          </a:xfrm>
                          <a:prstGeom prst="rect">
                            <a:avLst/>
                          </a:prstGeom>
                        </pic:spPr>
                      </pic:pic>
                    </a:graphicData>
                  </a:graphic>
                </wp:inline>
              </w:drawing>
            </w:r>
          </w:p>
        </w:tc>
        <w:tc>
          <w:tcPr>
            <w:tcW w:w="12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II. Situation Overview</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embed="rId137"/>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Situation Overview Public Market Data and Debt Overview Public Market Overview Capital Structure (As of 12/31/22) Source: Partnership filings, FactSet (as of 3/1/23), Wall Street Research, Clarksons 1. EBITDA, Distribution Yield and NAV estimates based on Stifel (1/24/23), the only analyst with an updated, comprehensive perspective since the offer date 2. Based on analysis contained herein, applying average of Fearnley’s and Braemar appraised values as of December 31, 2022 Debt Overview Current Offer Unaffected GLOP Common Unit Price $8.77 $7.70 $6.98 52-Week High 9.27 9.27 9.27 52-Week Low 3.24 3.24 3.24 Fully-Diluted Units Outstanding 54.285 54.285 54.285 Market Capitalization $476 $418 $379 (+) Preferred Units 291 291 291 (+) Total Debt Outstanding 985 985 985 (–) Cash and Cash Equivalents (223) (223) (223) Enterprise Value $1,529 $1,470 $1,431 Implied Multiples Metric Current Offer Unaffected EV / EBITDA (Stifel)1 2022A $274 5.6x 5.4x 5.2x 2023E 273 5.6 5.4 5.2 2024E 211 7.3 7.0 6.8 EV / EBITDA (Mgmt) 2022A $274 5.6x 5.4x 5.2x 2023E 290 5.3 5.1 4.9 2024E 269 5.7 5.5 5.3 Distribution Yields (Mgmt) 2022A $0.04 0.5% 0.5% 0.6% 2023E 0.04 0.5% 0.5% 0.6% 2024E 0.04 0.5% 0.5% 0.6% Price / Net Asset Value Appraisal NAV2 $11.15 0.79x 0.69x 0.63x Stifel Research NAV1 9.27 0.95 0.83 0.75 Gross Cross-Collateral Facility Amount Maturity Rate with GLOG $450 Million Partnership Facility $250 Feb-24 L +2.10% No BNPP $260 Million Facility 194 Jul-25 L +2.70% No DNB $194 Million Facility 126 Jul-25 S +2.96% No $1.3 Billion GasLog ECA Facility 361 Mar-27 L +1.80% Yes GasLog Shanghai SLB 45 Oct-26 3.12% No Methane Heather Sally SLB 17 Jun-25 3.03% No Total $985 Based on Book Value Total Debt $985 (–) Cash and Equivalents (223) Net Debt $761 Book Value of Common Equity $682 Book Value of Preferred Equity 291 Enterprise Value (Book Value) $1,734 Net Debt / Enterprise Value (Book Value) 43.9% Net Debt / 2023E EBITDA 2.8x Net Debt + Preferred / 2023E EBITDA 3.9x Net Debt / 2024E EBITDA 3.6x Net Debt + Preferred / 2024E EBITDA 5.0x ($ in millions, except per unit data) 13</w:t>
            </w:r>
          </w:p>
        </w:tc>
      </w:tr>
    </w:tbl>
    <w:tbl>
      <w:tblPr>
        <w:tblW w:w="16700" w:type="dxa"/>
        <w:jc w:val="center"/>
        <w:tblInd w:w="0" w:type="dxa"/>
        <w:tblCellMar>
          <w:top w:w="0" w:type="dxa"/>
          <w:left w:w="0" w:type="dxa"/>
          <w:bottom w:w="0" w:type="dxa"/>
          <w:right w:w="0" w:type="dxa"/>
        </w:tblCellMar>
      </w:tblPr>
      <w:tblGrid>
        <w:gridCol w:w="16500"/>
        <w:gridCol w:w="20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embed="rId138"/>
                          <a:stretch>
                            <a:fillRect/>
                          </a:stretch>
                        </pic:blipFill>
                        <pic:spPr bwMode="auto">
                          <a:xfrm>
                            <a:off x="0" y="0"/>
                            <a:ext cx="10477500" cy="8086725"/>
                          </a:xfrm>
                          <a:prstGeom prst="rect">
                            <a:avLst/>
                          </a:prstGeom>
                        </pic:spPr>
                      </pic:pic>
                    </a:graphicData>
                  </a:graphic>
                </wp:inline>
              </w:drawing>
            </w:r>
          </w:p>
        </w:tc>
        <w:tc>
          <w:tcPr>
            <w:tcW w:w="20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Situation Overview Charter Overview Source: GasLog Partners management 1. Represents average of Fearnley’s and Braemar appraised values as of December 31, 2022 Propulsion Built Capacity Charter Free Appraisal1 Gross Charter Rate Charterer GasLog Glasgow TFDE 2016 174,000 $190 $85,926 GasLog Greece TFDE 2016 174,000 189 85,926 Methane Becki Anne TFDE 2010 170,000 154 82,500 GasLog Gibraltar TFDE 2016 174,000 191 81,000 GasLog Geneva TFDE 2016 174,000 191 81,000 GasLog Shanghai TFDE 2013 155,000 SLB 86,000 GasLog Santiago TFDE 2013 155,000 153 67,000 Solaris TFDE 2014 155,000 157 149,750 GasLog Seattle TFDE 2013 155,000 151 141,500 GasLog Sydney TFDE 2013 155,000 153 97,000 Methane Heather Sally Steam 2007 145,000 SLB 52,000 Methane Jane Elizabeth Steam 2006 145,000 58 32,600 Methane Rita Andrea Steam 2006 145,000 58 66,000 Methane Alison Victoria Steam 2007 145,000 62 29,500 2023 2024 2025 2026 2027 2028 2029 2030 2031 1 1 1 11 11 11 1 1 1 1 1 1 1 1 1 1 1 1 1 1 2 2 2 d 2 2 2 2 2 2 2 1 1 1 1 1 1 1 1 1 1 1 1 1 1 1 1 1 1 1 1 1 1 1 11 11 11 Firm Period Optional Period Available Out of fleet GasLog Partners has a revenue-weighted average charter duration of 1.7 years ($ in millions, except per day data) 14</w:t>
            </w:r>
          </w:p>
        </w:tc>
      </w:tr>
    </w:tbl>
    <w:tbl>
      <w:tblPr>
        <w:tblW w:w="16670" w:type="dxa"/>
        <w:jc w:val="center"/>
        <w:tblInd w:w="0" w:type="dxa"/>
        <w:tblCellMar>
          <w:top w:w="0" w:type="dxa"/>
          <w:left w:w="0" w:type="dxa"/>
          <w:bottom w:w="0" w:type="dxa"/>
          <w:right w:w="0" w:type="dxa"/>
        </w:tblCellMar>
      </w:tblPr>
      <w:tblGrid>
        <w:gridCol w:w="16500"/>
        <w:gridCol w:w="17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embed="rId139"/>
                          <a:stretch>
                            <a:fillRect/>
                          </a:stretch>
                        </pic:blipFill>
                        <pic:spPr bwMode="auto">
                          <a:xfrm>
                            <a:off x="0" y="0"/>
                            <a:ext cx="10477500" cy="8086725"/>
                          </a:xfrm>
                          <a:prstGeom prst="rect">
                            <a:avLst/>
                          </a:prstGeom>
                        </pic:spPr>
                      </pic:pic>
                    </a:graphicData>
                  </a:graphic>
                </wp:inline>
              </w:drawing>
            </w:r>
          </w:p>
        </w:tc>
        <w:tc>
          <w:tcPr>
            <w:tcW w:w="17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 The following sets forth key assumptions utilized in the GLOP Financial Projections as provided by GasLog Partners management: Revenue: ● All options are exercised by customers except (i) Woodside Energy’s option with respect to the GasLog Shanghai in March 2026, (ii) Shell’s option with GasLog Greece in March 2026 and (iii) GasLog Gasglow in June 2026 – these represent anticipated out-of-the-money options for the charterer ● Upon charter / option expiry, vessels are operated on the spot market thereafter based on the TCE forecast as set forth below: ● The Methane Jane Elizabeth begins operations as an FSRU for Venice Project in January 2026 at a charter rate of $116,800 / day ● The Methane Heather Sally and GasLog Shanghai are returned to their lessors in 2025 and 2026, respectively − There are no repurchase or obligations options for the Methane Heather Sally and GasLog Shanghai ● Vessel utilization (off-hire / off charter) factored into TCE rates above, with an additional 0.5 unexpected off hire days per quarter Operating expenses of $11,000 / day for steam vessels, $14,700 / day for 155k TFDE vessels, $13,700 / day for 170k -174k TFDE vessels in 2023, escalated 1% annually thereafter G&amp;A expenses based on allocation from GasLog Ltd. consistent with contract with GasLog Ltd. Capital expenditures: ● Drydocking expenses of $5.7 million for steam vessels, $3.6 million for 155k TFDE vessels and $4.1 million for 170k – 174k TFDE vessels every five years ● EEXI/CII capital expenditures of $350,000 for TFDE vessels and $6.4 million for steam vessels at their next respective drydocking ● Total capital expenditures of $138.7 million (2023: $13.8 million, 2024: $50.0 million, 2025: $74.9 million) for Venice FSRU project Financing assumptions: ● $450 million facility due 2024 for the GasLog Santiago, GasLog Sydney, GasLog Seattle and Methane Jane Elizabeth to be refinanced in November 2023 with a new ~$196 million secured facility for GasLog Santiago, GasLog Sydney and GasLog Seattle − $107 million of debt funded in installments for Methane Jane Elizabeth from 2023 to 2025 and replaced with $130 million in debt funded on delivery as part of the Venice FSRU project ● Other secured debt maturities are assumed to be refinanced with similar terms as existing facilities ● $87.4 million balance of Series B preferred equity assumed fully redeemed in March 2023 and $76.5 million balance of Series C preferred equity assumed fully redeemed in March 2024 Situation Overview Source: GasLog Partners management GLOP Financial Projections – Assumptions 2023E 2024E 2025E 2026E 2027E $000s/Day (Gross) TFDEs (155k) $85 $75 $65 $55 $65 TFDEs (170k - 174k) 105 95 85 75 85 Steams 52 50 40 35 40 15</w:t>
            </w:r>
          </w:p>
        </w:tc>
      </w:tr>
    </w:tbl>
    <w:tbl>
      <w:tblPr>
        <w:tblW w:w="16685" w:type="dxa"/>
        <w:jc w:val="center"/>
        <w:tblInd w:w="0" w:type="dxa"/>
        <w:tblCellMar>
          <w:top w:w="0" w:type="dxa"/>
          <w:left w:w="0" w:type="dxa"/>
          <w:bottom w:w="0" w:type="dxa"/>
          <w:right w:w="0" w:type="dxa"/>
        </w:tblCellMar>
      </w:tblPr>
      <w:tblGrid>
        <w:gridCol w:w="16500"/>
        <w:gridCol w:w="18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3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5" descr=""/>
                          <pic:cNvPicPr>
                            <a:picLocks noChangeAspect="1" noChangeArrowheads="1"/>
                          </pic:cNvPicPr>
                        </pic:nvPicPr>
                        <pic:blipFill>
                          <a:blip r:embed="rId140"/>
                          <a:stretch>
                            <a:fillRect/>
                          </a:stretch>
                        </pic:blipFill>
                        <pic:spPr bwMode="auto">
                          <a:xfrm>
                            <a:off x="0" y="0"/>
                            <a:ext cx="10477500" cy="8086725"/>
                          </a:xfrm>
                          <a:prstGeom prst="rect">
                            <a:avLst/>
                          </a:prstGeom>
                        </pic:spPr>
                      </pic:pic>
                    </a:graphicData>
                  </a:graphic>
                </wp:inline>
              </w:drawing>
            </w:r>
          </w:p>
        </w:tc>
        <w:tc>
          <w:tcPr>
            <w:tcW w:w="18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Situation Overview GasLog Partners Key Considerations for Further Diligence That Could Impact Forecast Key Considerations Commentary Utilization / Downtime in a Spot-Based Business ■ GLOP Financial Projections assume 98% to 99.5% utilization rate on top of utilization factored into TCE rate curve applied for vessel spot trading. However, GasLog Partners management indicated that utilization would likely decrease following 2027 ROI / Economics of FSRU Conversions ■ Project Venice commercial and financial risks Venice Project currently requires further progress on offtake agreements and financing to reach FID Potential for conversion cost increases given Project Venice delays which has resulted in need to negotiate new conversion contract (project cost has already increased as a result of delays) Evolving Regulatory Landscape / Vessel Compliance Costs ■ Certain regulations, which are not finalized or known, could increase capital expenditures in 2027+, which are not included in the GLOP Financial Projections Could further reduce useful life of steam and smaller / older TFDE vessels Expensive capital programs may be required every 1 – 3 years if more stringent regulatory standards to net-zero are enacted ■ More EU and US specific stringent regulations could result in older and smaller GLOP vessels being unable to serve those markets Commercial Discrimination / Obsolescence ■ Larger LNGC (170k+ CBM) with modern engine technology and other features command significant premium vs. older smaller TFDEs due to economic advantages (better boil off rate, faster offtake rate, more freight per trip, more efficient engine) ■ Large order book of new large, modern vessels to be delivered in the near-term could result in greater differentiation for our vessels Liquefaction projects could be delayed, creating an oversupply of vessels in the spot market Asset Values ■ Although not entirely comparable due to unique vessel specifications, two recent data points help contextualize broker appraised assets vs. achievable values in the S&amp;P market Potential sale leaseback of GasLog Sydney for $140 million (excludes value of cash flows retained by GLOP generated by strong near-term charter market) vs. average appraised $153 million Sale of Golar Seal (10-year-old 160k CBM TFDE) to Höegh LNG for $184.3 million ■ Depending on the assumed market rates, a mark-to-market on charter-free appraisals may indicate impairment Source: GasLog Partners management 1. Represents 2 buffer days per year (0.5 per quarter) divided by 365 days per year 16</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3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6" descr=""/>
                          <pic:cNvPicPr>
                            <a:picLocks noChangeAspect="1" noChangeArrowheads="1"/>
                          </pic:cNvPicPr>
                        </pic:nvPicPr>
                        <pic:blipFill>
                          <a:blip r:embed="rId141"/>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GLOP Financial Projections Situation Overview For the Years Ending December 31, 2022A 2023E 2024E 2025E 2026E 2027E Average Vessels On the Water 15 14 14 14 13 12 Number of Dry-docks -- 4 1 2 5 -- Number of Spot Vessels at the End of Period -- 3 4 7 7 7 Revenue $364.3 $376.6 $356.5 $310.6 $309.6 $320.4 (–) Direct Operating Expenses (72.4) (68.8) (69.2) (67.6) (70.4) (65.4) (–) G&amp;A (17.5) (18.3) (18.2) (17.3) (17.0) (16.8) EBITDA $274.4 $289.5 $269.0 $225.7 $222.2 $238.3 (–) Change in Working Capital 2.6 (15.3) (1.1) (0.7) (0.2) (0.0) (–) Net Capital Expenditures (2.5) (38.2) (54.6) (90.8) (28.0) -- (±) Other 0.2 -- -- -- -- -- Unlevered Free Cash Flow $274.6 $236.0 $213.3 $134.2 $194.1 $238.3 (–) Interest Expense (43.1) (58.9) (55.8) (51.4) (43.1) (37.6) (+) Financial Income 2.0 4.4 -- -- -- -- (–) Preferred Equity Distribution (27.0) (19.8) (12.9) (11.0) (11.0) (11.8) Levered Free Cash Flow $206.5 $161.7 $144.7 $71.9 $140.0 $189.0 (–) Debt Amortization (115.7) (111.8) (108.2) (106.4) (110.8) (97.9) Levered Free Cash Flow After Debt Amortization $90.8 $49.9 $36.5 ($34.6) $29.2 $91.0 (–) Total Distributions (2.1) (2.1) (2.1) (2.2) (2.2) (2.2) Levered FCF After Distributions Surplus / (Deficit) $88.7 $47.8 $34.4 ($36.7) $27.0 $88.9 Total Common Units Outstanding 52.768 53.183 53.598 54.013 54.013 54.013 Unlevered FCF per Unit $5.20 $4.44 $3.98 $2.48 $3.59 $4.41 Levered FCF per Unit 3.91 3.04 2.70 1.33 2.59 3.50 Levered FCF After Debt Amortization per Unit 1.72 0.94 0.68 (0.64) 0.54 1.69 Distribution Per Unit 0.04 0.04 0.04 0.04 0.04 0.04 Source: GasLog Partners management ($ in millions, except per unit data) 17</w:t>
            </w:r>
          </w:p>
        </w:tc>
      </w:tr>
    </w:tbl>
    <w:tbl>
      <w:tblPr>
        <w:tblW w:w="16685" w:type="dxa"/>
        <w:jc w:val="center"/>
        <w:tblInd w:w="0" w:type="dxa"/>
        <w:tblCellMar>
          <w:top w:w="0" w:type="dxa"/>
          <w:left w:w="0" w:type="dxa"/>
          <w:bottom w:w="0" w:type="dxa"/>
          <w:right w:w="0" w:type="dxa"/>
        </w:tblCellMar>
      </w:tblPr>
      <w:tblGrid>
        <w:gridCol w:w="16500"/>
        <w:gridCol w:w="18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3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7" descr=""/>
                          <pic:cNvPicPr>
                            <a:picLocks noChangeAspect="1" noChangeArrowheads="1"/>
                          </pic:cNvPicPr>
                        </pic:nvPicPr>
                        <pic:blipFill>
                          <a:blip r:embed="rId142"/>
                          <a:stretch>
                            <a:fillRect/>
                          </a:stretch>
                        </pic:blipFill>
                        <pic:spPr bwMode="auto">
                          <a:xfrm>
                            <a:off x="0" y="0"/>
                            <a:ext cx="10477500" cy="8086725"/>
                          </a:xfrm>
                          <a:prstGeom prst="rect">
                            <a:avLst/>
                          </a:prstGeom>
                        </pic:spPr>
                      </pic:pic>
                    </a:graphicData>
                  </a:graphic>
                </wp:inline>
              </w:drawing>
            </w:r>
          </w:p>
        </w:tc>
        <w:tc>
          <w:tcPr>
            <w:tcW w:w="18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GLOP Financial Projections – Sources and Uses Situation Overview Source: GasLog Partners management 1. Reflects full repurchase of all outstanding Series B (3.5mm) and Series C (3.1mm) preferred units in March 2023 and March 2024, respectively 18 For the Years Ending December 31, 2022A 2023E 2024E 2025E 2026E 2027E Sources Levered Free Cash Flow After Distributions Surplus / (Deficit) $88.7 $47.8 $34.4 ($36.7) $27.0 $88.9 Stock-Based Compensation 0.8 0.7 0.7 0.8 0.8 0.8 Proceeds from Refinancing - 210.4 33.3 295.5 258.4 - Proceeds from Sale of Steam Vessel 52.5 - - - - - Cash from Balance Sheet - 59.8 9.4 - - - Total Sources $141.9 $318.8 $77.9 $259.6 $286.1 $89.7 Uses Debt Refinanced $65.1 $227.1 $-- $245.6 $245.4 $-- Financing Fees 0.0 4.3 1.3 4.4 1.9 0.3 Preferred Repurchased1 49.2 87.4 76.5 -- -- -- Cash to Balance Sheet 27.6 -- -- 9.6 38.9 89.4 Total Uses $141.9 $318.8 $77.9 $259.6 $286.1 $89.7 Capitalization Debt $984.5 $858.1 $785.2 $728.0 $630.6 $534.3 (–) Cash (223.1) (163.3) (153.8) (163.5) (202.4) (291.7) Net Debt $761.4 $694.8 $631.3 $564.5 $428.2 $242.6 (+) Liquidation Value of Preferred Equity1 291.1 203.7 127.1 127.1 127.1 127.1 Net Debt + Preferred Equity $1,052.5 $898.5 $758.5 $691.6 $555.3 $369.7 LTM Leverage Debt / EBITDA 3.6x 3.0x 2.9x 3.2x 2.8x 2.2x Net Debt / EBITDA 2.8 2.4 2.3 2.5 1.9 1.0 Debt + Preferred / EBITDA 4.6 3.7 3.4 3.8 3.4 2.8 Net Debt + Preferred / EBITDA 3.8 3.1 2.8 3.1 2.5 1.6 ($ in millions, except per unit data)</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3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8" descr=""/>
                          <pic:cNvPicPr>
                            <a:picLocks noChangeAspect="1" noChangeArrowheads="1"/>
                          </pic:cNvPicPr>
                        </pic:nvPicPr>
                        <pic:blipFill>
                          <a:blip r:embed="rId143"/>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682 715 316 2021A 2022E 2023E +5% ◼ Energy security issues stemming from the Russia/Ukraine conflict led to record European LNG imports in the first part of 2022, supporting rising LNG and gas prices that has persisted for the second half of 2022 ◼ After a pandemic halt and market oversupply, new projects are now on the rise with Qatar and North America leading on production capacity increases The majority of projects under development (169million tonnes per year (“MTPA”)) will come online in 2026 or later Outside of Qatar, 3 – 4 project in the U.S. are likely to reach FID in 2023 ◼ Demand forecasted to increase to 400+ MTPa in 2023 ◼ Over 300 vessels in the orderbook to meet the expected increase in LNG supply in the next four years (over 40% of current fleet) While most of these vessels are contracted to specific projects, these vessels are delivered on schedule Expected delays in a number of projects could lead to capacity for these vessels being redeployed in the spot market, creating issues with oversupply (e.g. all three large liquefication projects expected to go on-line in 2023 were delayed at least 2 years) Liquefaction Overview Natural Gas and LNG Prices (Historical and Futures) Forecast LNG Vessel Supply and Demand Source: Webber, Clarksons Research (3/1/23), FactSet (2/17/23), CME Group (3/1/23) LNG Export (mm tons) LNG Fleet (# of Vessels) Situation Overview 380 398 413 2021 2022 2023 +5% +4% (Orderbook) 0 30 60 90 120 May-21 Nov-21 May-22 Nov-22 May-23 Nov-23 May-24 Nov-24 $ / MMBTU JKM JKM (Futures) TTF TTF (Futures) Majority Delivered in Next 3 Years 19</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3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9" descr=""/>
                          <pic:cNvPicPr>
                            <a:picLocks noChangeAspect="1" noChangeArrowheads="1"/>
                          </pic:cNvPicPr>
                        </pic:nvPicPr>
                        <pic:blipFill>
                          <a:blip r:embed="rId144"/>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Situation Overview Liquefaction and Regasification Capacity Outlook Global Liquification Capacity (MTPA) Global Regasification Capacity Forecast (MTPA) Source: Clarksons report (2/17/23) 213 220 235 269 285 88 88 88 88 93 77 77 77 85 108 86 86 105 125 138 464 471 505 567 624 2022 2023 2024 2025 2026+ Others Australia Qatar US 587 647 660 670 670 227 227 227 227 227 106 106 106 106 106 117 172 1,036 198 198 200 1,151 1,191 1,201 1,203 2022 2023 2024 2025 2026 China South Korea Japan Others 2022–2026E CAGR: 7.7% 2022–2026E CAGR: 3.8% 20</w:t>
            </w:r>
          </w:p>
        </w:tc>
      </w:tr>
    </w:tbl>
    <w:tbl>
      <w:tblPr>
        <w:tblW w:w="16670" w:type="dxa"/>
        <w:jc w:val="center"/>
        <w:tblInd w:w="0" w:type="dxa"/>
        <w:tblCellMar>
          <w:top w:w="0" w:type="dxa"/>
          <w:left w:w="0" w:type="dxa"/>
          <w:bottom w:w="0" w:type="dxa"/>
          <w:right w:w="0" w:type="dxa"/>
        </w:tblCellMar>
      </w:tblPr>
      <w:tblGrid>
        <w:gridCol w:w="16500"/>
        <w:gridCol w:w="17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4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40" descr=""/>
                          <pic:cNvPicPr>
                            <a:picLocks noChangeAspect="1" noChangeArrowheads="1"/>
                          </pic:cNvPicPr>
                        </pic:nvPicPr>
                        <pic:blipFill>
                          <a:blip r:embed="rId145"/>
                          <a:stretch>
                            <a:fillRect/>
                          </a:stretch>
                        </pic:blipFill>
                        <pic:spPr bwMode="auto">
                          <a:xfrm>
                            <a:off x="0" y="0"/>
                            <a:ext cx="10477500" cy="8086725"/>
                          </a:xfrm>
                          <a:prstGeom prst="rect">
                            <a:avLst/>
                          </a:prstGeom>
                        </pic:spPr>
                      </pic:pic>
                    </a:graphicData>
                  </a:graphic>
                </wp:inline>
              </w:drawing>
            </w:r>
          </w:p>
        </w:tc>
        <w:tc>
          <w:tcPr>
            <w:tcW w:w="17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Situation Overview $170 $170 $170 $170 $170 $170 $175 $175 $175 $180 $185 $185 $185 $195 $200 $200 $205 $235 $235 $235 174k cbm LNG Carrier Average Newbuild (X-DF / MEGI Propulsion) Source: Clarksons (3/1/23) Asset Values: Newbuild and Secondhand Prices 174k cbm LNG Carrier (5 Years) +31% $190 $195 $198 $202 $203 $205 $210 $214 $218 $220 $224 $227 $231 $236 $240 $244 $248 $248 $248 $248 ($ in millions) 21 +38%</w:t>
            </w:r>
          </w:p>
        </w:tc>
      </w:tr>
    </w:tbl>
    <w:tbl>
      <w:tblPr>
        <w:tblW w:w="16640" w:type="dxa"/>
        <w:jc w:val="center"/>
        <w:tblInd w:w="0" w:type="dxa"/>
        <w:tblCellMar>
          <w:top w:w="0" w:type="dxa"/>
          <w:left w:w="0" w:type="dxa"/>
          <w:bottom w:w="0" w:type="dxa"/>
          <w:right w:w="0" w:type="dxa"/>
        </w:tblCellMar>
      </w:tblPr>
      <w:tblGrid>
        <w:gridCol w:w="16500"/>
        <w:gridCol w:w="14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41"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41" descr=""/>
                          <pic:cNvPicPr>
                            <a:picLocks noChangeAspect="1" noChangeArrowheads="1"/>
                          </pic:cNvPicPr>
                        </pic:nvPicPr>
                        <pic:blipFill>
                          <a:blip r:embed="rId146"/>
                          <a:stretch>
                            <a:fillRect/>
                          </a:stretch>
                        </pic:blipFill>
                        <pic:spPr bwMode="auto">
                          <a:xfrm>
                            <a:off x="0" y="0"/>
                            <a:ext cx="10477500" cy="8086725"/>
                          </a:xfrm>
                          <a:prstGeom prst="rect">
                            <a:avLst/>
                          </a:prstGeom>
                        </pic:spPr>
                      </pic:pic>
                    </a:graphicData>
                  </a:graphic>
                </wp:inline>
              </w:drawing>
            </w:r>
          </w:p>
        </w:tc>
        <w:tc>
          <w:tcPr>
            <w:tcW w:w="14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Situation Overview 160k cbm LNG Carrier (5 years Old) Source: Clarksons (3/1/23) Note : Data beyond Dec ’22 was unavailable for 160k cbm 5-year and 145k cbm 10-year carriers Asset Values: Secondhand Sale Prices 160k cbm LNG Carrier (10 years Old) $145 $145 $145 $145 $145 $145 $145 $145 $150 $161 $165 $165 $165 $180 $180 $180 $183 $200 $200 $115 $115 $115 $115 $115 $115 $115 $115 $120 $126 $128 $128 $128 $135 $135 $135 $135 $135 $140 $140 $140 145k cbm LNG Carrier (10 years Old) 145k cbm LNG Carrier (15 years Old) $82 $82 $82 $82 $82 $82 $82 $82 $82 $82 $82 $82 $82 $90 $90 $90 $90 $90 $90 $48 $48 $48 $48 $48 $48 $48 $49 $49 $49 $49 $49 $49 $55 $55 $55 $55 $55 $53 $53 $53 +38% +22% +10% +10% ($ in millions) 22</w:t>
            </w:r>
          </w:p>
        </w:tc>
      </w:tr>
    </w:tbl>
    <w:tbl>
      <w:tblPr>
        <w:tblW w:w="16670" w:type="dxa"/>
        <w:jc w:val="center"/>
        <w:tblInd w:w="0" w:type="dxa"/>
        <w:tblCellMar>
          <w:top w:w="0" w:type="dxa"/>
          <w:left w:w="0" w:type="dxa"/>
          <w:bottom w:w="0" w:type="dxa"/>
          <w:right w:w="0" w:type="dxa"/>
        </w:tblCellMar>
      </w:tblPr>
      <w:tblGrid>
        <w:gridCol w:w="16500"/>
        <w:gridCol w:w="17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42"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42" descr=""/>
                          <pic:cNvPicPr>
                            <a:picLocks noChangeAspect="1" noChangeArrowheads="1"/>
                          </pic:cNvPicPr>
                        </pic:nvPicPr>
                        <pic:blipFill>
                          <a:blip r:embed="rId147"/>
                          <a:stretch>
                            <a:fillRect/>
                          </a:stretch>
                        </pic:blipFill>
                        <pic:spPr bwMode="auto">
                          <a:xfrm>
                            <a:off x="0" y="0"/>
                            <a:ext cx="10477500" cy="8086725"/>
                          </a:xfrm>
                          <a:prstGeom prst="rect">
                            <a:avLst/>
                          </a:prstGeom>
                        </pic:spPr>
                      </pic:pic>
                    </a:graphicData>
                  </a:graphic>
                </wp:inline>
              </w:drawing>
            </w:r>
          </w:p>
        </w:tc>
        <w:tc>
          <w:tcPr>
            <w:tcW w:w="17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S&amp;P Activity (# of ships) Avg. 145k cbm Asset Value Avg. 160k cbm Asset Value 2016 4 $108 $166 2017 10 100 157 2018 12 85 156 2019 11 82 160 2020 4 82 152 1Q21 3 82 145 2Q21 1 82 145 3Q21 - 82 145 4Q21 11 82 145 1Q22 15 82 152 2Q22 11 82 165 3Q22 9 90 180 4Q22 7 90 194 - 5 10 15 $ - $50 $100 $150 $200 $250 Jan-16 Dec-16 Dec-17 Dec-18 Dec-19 Dec-20 Dec-21 Dec-22 Asset Value ($ millions) S&amp;P Activity (# of ships) S&amp;P Activity 10 Year Old Secondhand 145k cbm Values 5 Year Old Secondhand 160k cbm Values Situation Overview Source: Clarksons (3/1/23) Note: 145k cbm asset values relate to 10 Year Old Secondhand Vessel values; 160k cbm asset values relate to 5 Year Old Secondhand Vessel values 1. Represents YTD2022 LNG vessel sales per Clarksons Research with disclosed vessel pricing S&amp;P Overview LNG Asset Values and S&amp;P Activity (2016 to Present) Avg. LNG Asset Values and S&amp;P Activity (2016 to Present) Recent LNG Acquisitions1 Significant vessel sales in Q4 2021 and 1H 2022 Buyer Seller Date # of Ships Sold Total Price Avg. Age (Years) Avg. CBM Vessel Type Dual Fuel 2/20/23 1 $184 9 160 LNG y 7/7/22 1 400 7 170 FSRU Y 6/1/22 1 350 7 170 FSRU Y 5/13/22 4 700 4.25 172 LNG Y 1/27/22 1 35 20 138 LNG N Chinese Interests ($ in millions) 23</w:t>
            </w:r>
          </w:p>
        </w:tc>
      </w:tr>
    </w:tbl>
    <w:tbl>
      <w:tblPr>
        <w:tblW w:w="16640" w:type="dxa"/>
        <w:jc w:val="center"/>
        <w:tblInd w:w="0" w:type="dxa"/>
        <w:tblCellMar>
          <w:top w:w="0" w:type="dxa"/>
          <w:left w:w="0" w:type="dxa"/>
          <w:bottom w:w="0" w:type="dxa"/>
          <w:right w:w="0" w:type="dxa"/>
        </w:tblCellMar>
      </w:tblPr>
      <w:tblGrid>
        <w:gridCol w:w="16500"/>
        <w:gridCol w:w="14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43"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43" descr=""/>
                          <pic:cNvPicPr>
                            <a:picLocks noChangeAspect="1" noChangeArrowheads="1"/>
                          </pic:cNvPicPr>
                        </pic:nvPicPr>
                        <pic:blipFill>
                          <a:blip r:embed="rId148"/>
                          <a:stretch>
                            <a:fillRect/>
                          </a:stretch>
                        </pic:blipFill>
                        <pic:spPr bwMode="auto">
                          <a:xfrm>
                            <a:off x="0" y="0"/>
                            <a:ext cx="10477500" cy="8086725"/>
                          </a:xfrm>
                          <a:prstGeom prst="rect">
                            <a:avLst/>
                          </a:prstGeom>
                        </pic:spPr>
                      </pic:pic>
                    </a:graphicData>
                  </a:graphic>
                </wp:inline>
              </w:drawing>
            </w:r>
          </w:p>
        </w:tc>
        <w:tc>
          <w:tcPr>
            <w:tcW w:w="14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3.5x 3.8x 3.0x 2.9x 2023E 2024E “The partnership said it has "agreed in principle" to convert an older, 145,000 cbm steamship into a floating storage and regasification unit (FSRU) for the Venice Energy project located at the Port of Adelaide in Australia. The partnership expects a ~10-year contract to materialize in the 2H-2023. The conversion is expected to take 8-10 months and should cost ~$100 million. This would be important as it is the first asset growth since the distribution cut.” “More importantly, however, was the unsolicited takeout offer that came in yesterday from the parent company, GasLog Ltd., for $7.70/unit. At a ~6x EBITDA multiple, we see potential upside to the $7.70/unit number, but we think it likely caps out around $9/unit given our NAV estimate of $9.27/unit. With 30% ownership by the parent company, we don't see any other bidders coming in, but we don't see a reason to sell the company for $7.70/ unit either, so we expect the units to move higher through the take-private negotiations.” Situation Overview Analyst Projections by Stifel (January 26, 2023) – Price Target of $9.50 Revenue Projections $273 $211 $290 $269 2023E 2024E $362 $301 $377 $356 2023E 2024E EBITDA Projections Gross Debt / EBITDA Projections Source: Wall Street research (1/26/23) | Price Target: $9.50 Stifel GLOP Financial Projections ($ in millions, except per unit data) 24</w:t>
            </w:r>
          </w:p>
        </w:tc>
      </w:tr>
    </w:tbl>
    <w:tbl>
      <w:tblPr>
        <w:tblW w:w="16640" w:type="dxa"/>
        <w:jc w:val="center"/>
        <w:tblInd w:w="0" w:type="dxa"/>
        <w:tblCellMar>
          <w:top w:w="0" w:type="dxa"/>
          <w:left w:w="0" w:type="dxa"/>
          <w:bottom w:w="0" w:type="dxa"/>
          <w:right w:w="0" w:type="dxa"/>
        </w:tblCellMar>
      </w:tblPr>
      <w:tblGrid>
        <w:gridCol w:w="16500"/>
        <w:gridCol w:w="14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44"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4" descr=""/>
                          <pic:cNvPicPr>
                            <a:picLocks noChangeAspect="1" noChangeArrowheads="1"/>
                          </pic:cNvPicPr>
                        </pic:nvPicPr>
                        <pic:blipFill>
                          <a:blip r:embed="rId149"/>
                          <a:stretch>
                            <a:fillRect/>
                          </a:stretch>
                        </pic:blipFill>
                        <pic:spPr bwMode="auto">
                          <a:xfrm>
                            <a:off x="0" y="0"/>
                            <a:ext cx="10477500" cy="8086725"/>
                          </a:xfrm>
                          <a:prstGeom prst="rect">
                            <a:avLst/>
                          </a:prstGeom>
                        </pic:spPr>
                      </pic:pic>
                    </a:graphicData>
                  </a:graphic>
                </wp:inline>
              </w:drawing>
            </w:r>
          </w:p>
        </w:tc>
        <w:tc>
          <w:tcPr>
            <w:tcW w:w="14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Situation Overview LNGC Time Charter and Spot Rates Source: Clarksons (3/1/23) Note: Data for 174k cbm carrier’s only available from 2019 onwards $70,000 $46,250 $ - $50,000 $100,000 $150,000 $200,000 $250,000 Jan-19 Aug-19 Mar-20 Oct-20 May-21 Dec-21 Jul-22 Feb-23 3 Year Average 10 Year Average $160,000 $67,500 $ - $150,000 $300,000 $450,000 $600,000 Jan-19 Aug-19 Mar-20 Oct-20 May-21 Dec-21 Jul-22 Feb-23 3 Year Average 10 Year Average $210,000 $87,500 $ - $150,000 $300,000 $450,000 $600,000 Jan-19 Aug-19 Mar-20 Oct-20 May-21 Dec-21 Jul-22 Feb-23 3 Year Average 10 Year Average Time Charter Spot 174k CBM 160k CBM 145k CBM 1YR TC Spot Current $160,000 $67,500 3 Year Average $115,019 $106,284 5 Year Average $89,374 $87,552 10 Year Average $89,374 $87,552 1YR TC Spot Current $70,000 $46,250 3 Year Average $61,052 $63,252 5 Year Average $52,326 $54,780 10 Year Average $52,326 $54,780 25 ($ per day) 1YR TC Spot Current $210,000 $87,500 3 Year Average $146,231 $136,314</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45"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5" descr=""/>
                          <pic:cNvPicPr>
                            <a:picLocks noChangeAspect="1" noChangeArrowheads="1"/>
                          </pic:cNvPicPr>
                        </pic:nvPicPr>
                        <pic:blipFill>
                          <a:blip r:embed="rId150"/>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$105.0 $95.0 $85.0 $75.0 $85.0 $124.5 $96.0 $96.0 N/A N/A $103.8 $80.0 $80.0 N/A N/A $83.0 $64.0 $64.0 N/A N/A 2023E 2024E 2025E 2026E 2027E 3yr Average: $136.3k ~4yr Average: $89.2k Situation Overview Management Forecast vs Stifel and Historical Spot Rates Source: GLOP management projections, Clarksons (3/1/23), Stifel (1/26/23) 1. Assumes 145k CBM is representative of Steam Historical spot pricing 2. Data for 174k cbm carrier’s only available from 2019 onwards 160K CBM Carrier Spot Rates 145K CBM Carrier Spot Rates1 174K CBM Carrier Spot Rates GLOP Financial Projections $52.0 $50.0 $40.0 $35.0 $40.0 $48.0 $42.0 $42.0 N/A N/A $40.0 $35.0 $35.0 N/A N/A $32.0 $28.0 $28.0 N/A N/A 2023E 2024E 2025E 2026E 2027E 3yr Average: $63.3k 5yr Average: $54.8k $85.0 $75.0 $65.0 $55.0 $65.0 $87.0 $72.0 $72.0 N/A N/A $72.5 $60.0 $60.0 N/A N/A $58.0 $48.0 $48.0 N/A N/A 2023E 2024E 2025E 2026E 2027E 3yr Average: $106.3k 5yr Average: $87.6kStifel (Bull Case) Stifel (Base Case) Stifel (Bear Case) Historical Averages 2 ($000s per day) 26</w:t>
            </w:r>
          </w:p>
        </w:tc>
      </w:tr>
    </w:tbl>
    <w:tbl>
      <w:tblPr>
        <w:tblW w:w="16625" w:type="dxa"/>
        <w:jc w:val="center"/>
        <w:tblInd w:w="0" w:type="dxa"/>
        <w:tblCellMar>
          <w:top w:w="0" w:type="dxa"/>
          <w:left w:w="0" w:type="dxa"/>
          <w:bottom w:w="0" w:type="dxa"/>
          <w:right w:w="0" w:type="dxa"/>
        </w:tblCellMar>
      </w:tblPr>
      <w:tblGrid>
        <w:gridCol w:w="16500"/>
        <w:gridCol w:w="12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46"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6" descr=""/>
                          <pic:cNvPicPr>
                            <a:picLocks noChangeAspect="1" noChangeArrowheads="1"/>
                          </pic:cNvPicPr>
                        </pic:nvPicPr>
                        <pic:blipFill>
                          <a:blip r:embed="rId151"/>
                          <a:stretch>
                            <a:fillRect/>
                          </a:stretch>
                        </pic:blipFill>
                        <pic:spPr bwMode="auto">
                          <a:xfrm>
                            <a:off x="0" y="0"/>
                            <a:ext cx="10477500" cy="8086725"/>
                          </a:xfrm>
                          <a:prstGeom prst="rect">
                            <a:avLst/>
                          </a:prstGeom>
                        </pic:spPr>
                      </pic:pic>
                    </a:graphicData>
                  </a:graphic>
                </wp:inline>
              </w:drawing>
            </w:r>
          </w:p>
        </w:tc>
        <w:tc>
          <w:tcPr>
            <w:tcW w:w="12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III. Preliminary Findings</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47"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7" descr=""/>
                          <pic:cNvPicPr>
                            <a:picLocks noChangeAspect="1" noChangeArrowheads="1"/>
                          </pic:cNvPicPr>
                        </pic:nvPicPr>
                        <pic:blipFill>
                          <a:blip r:embed="rId152"/>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Discounted Cash Flow Peer Trading Precedents Premium / (Discount) to Appraisal NAV: (10.0%) – 10.0% WACC: 8.5% – 9.5% WACC: 8.5% – 9.5% 2023E EBITDA Multiple: 5.0x - 6.5x 2024E EBITDA Multiple: 5.5x - 6.5x Apprasial P / NAV Multiple: 0.65x - 0.90x Apprasial P / NAV Multiple: 0.70x - 1.05x Based on on Low and High of Past 52 Weeks 2027E EBITDA Exit Multiple: 4.0x – 6.0x PGR Method / Useful Life DCF EV / 2023E EBITDA EV / 2024E EBITDA Appraisal NAV1 EBITDA Exit Multiple Based on 25th and 75th percentile of the One-Day and 30- Day Paid Price / Net Asset Value1 Price / Net Asset Value1 Analyst Price Target Premiums Paid 52-Week Share Price Range Based on Stifel Price Target $8.01 $6.84 $7.28 $7.87 $7.25 $7.81 $3.24 $7.52 $9.50 $14.29 $13.52 $15.28 $12.83 $10.04 $11.71 $9.27 $10.11 $9.50 $-- $10.00 $20.00 $30.00 T o Come Proposed Consideration: $7.70 Current Trading Price: $8.77 Preliminary Valuation Summary Preliminary Findings Note: This summary of certain analyses is provided for illustrative purposes. It does not represent all of the analyses performed by Evercore and should be considered with the information elsewhere in this presentation. As is customary in similar transactions, the valuation analysis contained herein assesses the Partnership on a standalone basis. 1. Based on an average of appraisals from Fearnleys and Braemar ACM as of December 2022 For Reference Only To Discuss Whether Partnership Will Provide Sufficient Guidance to Conduct PGR Method or Useful Life DCF Analysis 28</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48"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8" descr=""/>
                          <pic:cNvPicPr>
                            <a:picLocks noChangeAspect="1" noChangeArrowheads="1"/>
                          </pic:cNvPicPr>
                        </pic:nvPicPr>
                        <pic:blipFill>
                          <a:blip r:embed="rId153"/>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Appraisal NAV per Share Implied NAV per Share at Various Multiples 1.05x $6.76 $8.41 $9.73 $10.06 $11.71 $13.36 $15.00 $16.65 1.00 6.44 8.01 9.27 9.58 11.15 12.72 14.29 15.86 0.95 6.12 7.61 8.81 9.10 10.59 12.08 13.57 15.07 0.90 5.80 7.21 8.34 8.62 10.04 11.45 12.86 14.27 0.85 5.48 6.81 7.88 8.14 9.48 10.81 12.15 13.48 0.80 5.15 6.41 7.42 7.66 8.92 10.18 11.43 12.69 0.75 4.83 6.01 6.95 7.19 8.36 9.54 10.72 11.89 0.70 4.51 5.61 6.49 6.71 7.81 8.90 10.00 11.10 0.65 4.19 5.21 6.03 6.23 7.25 8.27 9.29 10.31 $6.44 $8.01 $9.27 $9.58 $11.15 $12.72 $14.29 $15.86 (15.0%) (10.0%) WS Research (5.0%) 0.0% 5.0% 10.0% 15.0% Premium / (Discount) to Total Charter-Free Appraised Value Vessel Propulsion Built Capacity (cbm) Fearnleys Value Braemar Value Average GasLog Geneva TFDE 2016 174k $201 $180 $191 GasLog Gibraltar TFDE 2016 174k 201 180 191 GasLog Glasgow TFDE 2016 174k 199 180 190 GasLog Greece TFDE 2016 174k 197 180 189 Solaris TFDE 2014 155k 160 154 157 Methane Becki Anne TFDE 2010 170k 145 163 154 GasLog Santiago TFDE 2013 155k 148 158 153 GasLog Sydney TFDE 2013 155k 148 158 153 GasLog Seattle TFDE 2013 155k 150 152 151 Methane Alison Victoria Steam 2007 145k 65 59 62 Methane Jane Elizabeth Steam 2006 145k 60 56 58 Methane Rita Andrea Steam 2006 145k 60 55 58 GasLog Shanghai TFDE 2013 155k SLB SLB NA Methane Heather Sally Steam 2007 145k SLB SLB NA Charter Free Gross Asset Value $1,734 $1,674 $1,704 Sensitivity Analysis GLOP Fleet Summary Preliminary Findings Source: Company filings, Fearnleys and Braemar 1. Preferred equity valued at liquidation preference of $25 per unit 2. Includes lease liabilities 3. Based on Stifel research (1/24/23) GLOP Fleet Valuation Detail GasLog Partners NAV per Unit Applied Sensitivity Range For Reference Only -- $7.70 Proposed Consideration Charter Free Gross Asset Value (Broker Average) $1,704 (+) Cash and Cash Equivalents 223 (–) Net Working Capital (46) (–) Preferred Equity2 (291) (–) Total Debt Outstanding3 (985) Net Asset Value $605 (÷) Total Units Outstanding 54.285 NAV per Common Unit $11.15 Implied Price / NAV 0.82x 3 ($ in millions) 29</w:t>
            </w:r>
          </w:p>
        </w:tc>
      </w:tr>
    </w:tbl>
    <w:tbl>
      <w:tblPr>
        <w:tblW w:w="16670" w:type="dxa"/>
        <w:jc w:val="center"/>
        <w:tblInd w:w="0" w:type="dxa"/>
        <w:tblCellMar>
          <w:top w:w="0" w:type="dxa"/>
          <w:left w:w="0" w:type="dxa"/>
          <w:bottom w:w="0" w:type="dxa"/>
          <w:right w:w="0" w:type="dxa"/>
        </w:tblCellMar>
      </w:tblPr>
      <w:tblGrid>
        <w:gridCol w:w="16500"/>
        <w:gridCol w:w="17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49"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9" descr=""/>
                          <pic:cNvPicPr>
                            <a:picLocks noChangeAspect="1" noChangeArrowheads="1"/>
                          </pic:cNvPicPr>
                        </pic:nvPicPr>
                        <pic:blipFill>
                          <a:blip r:embed="rId154"/>
                          <a:stretch>
                            <a:fillRect/>
                          </a:stretch>
                        </pic:blipFill>
                        <pic:spPr bwMode="auto">
                          <a:xfrm>
                            <a:off x="0" y="0"/>
                            <a:ext cx="10477500" cy="8086725"/>
                          </a:xfrm>
                          <a:prstGeom prst="rect">
                            <a:avLst/>
                          </a:prstGeom>
                        </pic:spPr>
                      </pic:pic>
                    </a:graphicData>
                  </a:graphic>
                </wp:inline>
              </w:drawing>
            </w:r>
          </w:p>
        </w:tc>
        <w:tc>
          <w:tcPr>
            <w:tcW w:w="17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Discounted Cash Flow – Assumptions Preliminary Findings ◼ Evercore utilized the following assumptions to analyze GasLog Partners’ discounted cash flows: Discounted the projected cash flows to January 1, 2023 under midterm convention EBITDA and capital expenditures through December 31, 2027E per GLOP Financial Projections Assumes a tax rate of 0.0% Mid-point discount rate of 9.0% utilizing WACC based on Capital Asset Pricing Model Terminal value based on a 4.0x to 6.0x EBITDA exit multiple 30</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50"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50" descr=""/>
                          <pic:cNvPicPr>
                            <a:picLocks noChangeAspect="1" noChangeArrowheads="1"/>
                          </pic:cNvPicPr>
                        </pic:nvPicPr>
                        <pic:blipFill>
                          <a:blip r:embed="rId155"/>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Discounted Cash Flow of GasLog Partners Preliminary Findings Source: GasLog Partners management, public filings 1. Includes Financing Leases 2. Liquidation value as of January 1, 2023 3. Includes general partner, common and Class B units ($ in millions, except per unit data) 31 For the Years Ending December 31, EBITDA 2023E 2024E 2025E 2026E 2027E Multiple EBITDA $289.5 $269.0 $225.7 $222.2 $238.3 $238.3 (–) Capital Expenditures (38.2) (54.6) (90.8) (28.0) - (–) Change in Working Capital (15.3) (1.1) (0.7) (0.2) (0.0) (±) Other Items - - - - - Unlevered Free Cash Flow $236.0 $213.3 $134.2 $194.1 $238.3 Terminal Value Exit EBITDA Multiple 5.00x Terminal Value $1,191.5 PV of Terminal Value at 9.0% Discount Rate 774.4 (+) PV of Unlevered Free Cash Flow at 9.0% Discount Rate 826.9 Implied Enterprise Value $1,601.3 (–) Total Debt Outstanding as of January 1, 20231 (984.5) (+) Cash and Cash Equivalents as of January 1, 2023 223.1 (–) Preferred Equity2 (291.1) Implied Equity Value $548.8 Total Units as of January 1, 20233 54.285 Implied Value per Unit $10.11 EBITDA Exit Multiple Sensitivity Perpetuity Growth Rate Sensitivity EBITDA Exit Multiple Perpetuity Growth Rate 3.00x 4.00x 5.00x 6.00x 7.00x 8.0% $5.13 $8.12 $11.11 $14.10 $17.08 8.5% 4.76 7.68 10.60 13.52 16.44 9.0% 4.40 7.26 10.11 12.96 15.82 9.5% 4.05 6.84 9.63 12.42 15.21 10.0% 3.71 6.43 9.16 11.89 14.61 WACC</w:t>
            </w:r>
          </w:p>
        </w:tc>
      </w:tr>
    </w:tbl>
    <w:tbl>
      <w:tblPr>
        <w:tblW w:w="16670" w:type="dxa"/>
        <w:jc w:val="center"/>
        <w:tblInd w:w="0" w:type="dxa"/>
        <w:tblCellMar>
          <w:top w:w="0" w:type="dxa"/>
          <w:left w:w="0" w:type="dxa"/>
          <w:bottom w:w="0" w:type="dxa"/>
          <w:right w:w="0" w:type="dxa"/>
        </w:tblCellMar>
      </w:tblPr>
      <w:tblGrid>
        <w:gridCol w:w="16500"/>
        <w:gridCol w:w="17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51"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51" descr=""/>
                          <pic:cNvPicPr>
                            <a:picLocks noChangeAspect="1" noChangeArrowheads="1"/>
                          </pic:cNvPicPr>
                        </pic:nvPicPr>
                        <pic:blipFill>
                          <a:blip r:embed="rId156"/>
                          <a:stretch>
                            <a:fillRect/>
                          </a:stretch>
                        </pic:blipFill>
                        <pic:spPr bwMode="auto">
                          <a:xfrm>
                            <a:off x="0" y="0"/>
                            <a:ext cx="10477500" cy="8086725"/>
                          </a:xfrm>
                          <a:prstGeom prst="rect">
                            <a:avLst/>
                          </a:prstGeom>
                        </pic:spPr>
                      </pic:pic>
                    </a:graphicData>
                  </a:graphic>
                </wp:inline>
              </w:drawing>
            </w:r>
          </w:p>
        </w:tc>
        <w:tc>
          <w:tcPr>
            <w:tcW w:w="17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2. Based on Clarksons historical data 3. Given limited data for 5-yr old vessels, 2020 values extrapolated assuming same average relative percentage change in pricing between newbuild and 5-yr old vessels as in 2021 and 2022 4. Given limited data for 10-yr old vessels, 2018, 2019 and 2020 values extrapolated assuming same average relative percentage change in pricing between 5-yr old and 10-yr old vessels as in 2021 and 2022 5. Given limited data for 15-yr old vessels, 2018 and 2019 values extrapolated assuming same average relative percentage change in pricing between 10-yr old and 15-yr old vessels as in 2020, 2021 and 2022 Preliminary Findings Exit EV / EBITDA Considerations Based on Fleet Age and Type 145k CBM Steam Vessels Implied EV / EBITDA1 32 160k CBM TFDE Vessels Implied EV / EBITDA1 174k CBM TFDE Vessels Implied EV / EBITDA1 GLOP Fleet (2027) 3 4 5 12 GLOP Fleet (2027) Age (2023) Age (2027) 16 9 7 12 14 21 5.6x 3.3x 10-Yr Old 15-Yr Old 6.0x 4.5x 5-Yr Old 10-Yr Old 4.5x 4.0x Newbuild 5-Yr Old $161 $132 $84 $52 4 $214 $1953 174k TFDE 160k TFDE Steam $14.61 $26.41 $47.31 ($ in millions) Three Year Average Five Year Average Source: Clarksons, GLOP management 1. Assumes charter rates of ~$146k, ~$89k and ~$52k per day for 174k TFDE, 160k TFDE and steam vessels respectively, based on average 1yr TC for measurement period (3yrs for 174k TFDE and 5yrs for 160k TFDE and Steam vessels); Assumes operating expenses of ~$13,700, ~$14,700 and ~$11,000 per day for 174k TFDE, 160k TFDE and 145k steam vessels respectively, based on 2023 estimates from GLOP Financial Projections 5 Avg. S&amp;P Purchase Price2 Vessel EBITDA1</w:t>
            </w:r>
          </w:p>
        </w:tc>
      </w:tr>
    </w:tbl>
    <w:tbl>
      <w:tblPr>
        <w:tblW w:w="16685" w:type="dxa"/>
        <w:jc w:val="center"/>
        <w:tblInd w:w="0" w:type="dxa"/>
        <w:tblCellMar>
          <w:top w:w="0" w:type="dxa"/>
          <w:left w:w="0" w:type="dxa"/>
          <w:bottom w:w="0" w:type="dxa"/>
          <w:right w:w="0" w:type="dxa"/>
        </w:tblCellMar>
      </w:tblPr>
      <w:tblGrid>
        <w:gridCol w:w="16500"/>
        <w:gridCol w:w="18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52"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52" descr=""/>
                          <pic:cNvPicPr>
                            <a:picLocks noChangeAspect="1" noChangeArrowheads="1"/>
                          </pic:cNvPicPr>
                        </pic:nvPicPr>
                        <pic:blipFill>
                          <a:blip r:embed="rId157"/>
                          <a:stretch>
                            <a:fillRect/>
                          </a:stretch>
                        </pic:blipFill>
                        <pic:spPr bwMode="auto">
                          <a:xfrm>
                            <a:off x="0" y="0"/>
                            <a:ext cx="10477500" cy="8086725"/>
                          </a:xfrm>
                          <a:prstGeom prst="rect">
                            <a:avLst/>
                          </a:prstGeom>
                        </pic:spPr>
                      </pic:pic>
                    </a:graphicData>
                  </a:graphic>
                </wp:inline>
              </w:drawing>
            </w:r>
          </w:p>
        </w:tc>
        <w:tc>
          <w:tcPr>
            <w:tcW w:w="18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Preliminary Findings Peer Trading – Overview of Peers Company Remaining Charter Length Age of Fleet Overview of Business 1.7 10.7 ■ Pure-play LNGC with 14 vessels, including 4 steams, 5 155k CBM TFDEs and 5 170k+ TFDEs ■ Significant spot exposure in 2024+ ■ MLP structure 3.8 3.2 ■ Pure-play LNGC with 100% 174K+ CBM fleet TFDEs under long-term charters 6.01 13.1 ■ FSRU-focused business with long-term charters and limited spot exposure 6.2 12.5 ■ Pure-play LNGC with 3 steams vessels under long-term contract with Gazprom and 3 other 155k TFDE vessels ■ MLP structure 8.0 (LNGC only) 1.5 (LNGC Only) ■ Mixed fleet including 16 containers (majority of contracts expire 2025+) and 7 LNGC (2020+ builds with long term charters) ■ MLP structure NA 7.2 ■ Pure-play LNGC with 8 160k CMB TFDE vessels and 4 170k+ CBM TFDE vessels ■ Significant spot exposure ■ Listed on Norwegian exchange Source: Partnership website and filings, Wall Street research Note: GLOP EBITDA estimates represent Stifel (1/26/23) estimates 1. At time of IPO, as of December 31, 2021 33</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53"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53" descr=""/>
                          <pic:cNvPicPr>
                            <a:picLocks noChangeAspect="1" noChangeArrowheads="1"/>
                          </pic:cNvPicPr>
                        </pic:nvPicPr>
                        <pic:blipFill>
                          <a:blip r:embed="rId158"/>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0.6% 11.9% 8.7% 4.1% 0.5% NA 10.7 13.1 12.5 7.0 3.2 1.5 1.7 8.0 6.2 ~6.0 3.8 NA 14 13 11 10 7 6 Current Dividend Yield4 Preliminary Findings Peer Comparison Fleet Count1 Average Charter Duration (Years)2 Source: Partnership / Company websites and filings, Clarksons Note: CPLP figures excluded its drybulk and containership vessels. CoolCo figures pro forma for sale of Golar Seal expected to close in March 2023 1. Disclosed fleet count as of 1/24/23 Average Fleet Age (Years)3 FSRU LNGC 2. Figures as of 1/24/23; EE avg charter duration as of time of IPO on December 31, 2021; COOL avg charter duration not disclosed 3. Figures as of 1/24/23 4. FactSet (1/3/23). Flex LNG excludes $0.25 special dividend paid in Q1 2023. In November 2022, CoolCo announced its intention to instate a variable dividend, the first of which will be paid in Q1 2023. 34</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54"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54" descr=""/>
                          <pic:cNvPicPr>
                            <a:picLocks noChangeAspect="1" noChangeArrowheads="1"/>
                          </pic:cNvPicPr>
                        </pic:nvPicPr>
                        <pic:blipFill>
                          <a:blip r:embed="rId159"/>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4.9x 5.2x 11.1x 8.7x 7.1x 6.5x 5.4x 5.3x 6.8x 11.1x 7.6x 6.1x 6.4x 6.3x EV / 2023E EBITDA EV / 2024E EBITDA Preliminary Findings Peer Trading – EV / EBITDA 2023E 2024E Mean 7.8x 7.5x Median 7.1x 6.4x Source: Partnership website and filings, Wall Street research, FactSet (3/1/23) Note: GLOP EBITDA estimates represent Stifel (1/26/23) estimates 1. At time of IPO on December 31, 2021; Management EBITDA figure assumes execution of Project Venice 2. Based on Stifel research (1/24/23) 1.7 6.0 6.2 8.0 1 3.8 NA Charter Duration (Yrs.) 2 Management Wall Street Research 1 GLOP metrics based on GLOP’s unaffected unit price of $6.98 as of 1/24/23 35</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55"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55" descr=""/>
                          <pic:cNvPicPr>
                            <a:picLocks noChangeAspect="1" noChangeArrowheads="1"/>
                          </pic:cNvPicPr>
                        </pic:nvPicPr>
                        <pic:blipFill>
                          <a:blip r:embed="rId160"/>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5.5x 7.0x 6.5x 8.5x 11.1x 5.6x 0.0x 2.0x 4.0x 6.0x 8.0x 10.0x 12.0x 14.0x 16.0x 1/1/18 11/11/18 9/21/19 7/31/20 6/10/21 4/20/22 3/1/23 Gaslog Partners Dynagas Capital Product Partners Excelerate Energy Flex LNG CoolCo Preliminary Findings GLOP’s Trading Multiples Over Time Relative to Benchmarks and Its Peers Source: FactSet (as of 3/1/23) 1. Excelerate Energy IPO on 4/13/22 2. CoolCo Begins Trading on 2/22/22 0 1 Year Average 3 Year Average 5 Year Average Gaslog Partners 5.0x 5.8x 6.7x Dynagas 7.6x 8.1x 8.6x Capital Product Partners 7.0x 6.1x 5.6x Excelerate Energy 13.3x Flex LNG 10.5x 8.8x 8.7x CoolCo 5.7x 1 EV / NTM EBITDA 36 2</w:t>
            </w:r>
          </w:p>
        </w:tc>
      </w:tr>
    </w:tbl>
    <w:tbl>
      <w:tblPr>
        <w:tblW w:w="16625" w:type="dxa"/>
        <w:jc w:val="center"/>
        <w:tblInd w:w="0" w:type="dxa"/>
        <w:tblCellMar>
          <w:top w:w="0" w:type="dxa"/>
          <w:left w:w="0" w:type="dxa"/>
          <w:bottom w:w="0" w:type="dxa"/>
          <w:right w:w="0" w:type="dxa"/>
        </w:tblCellMar>
      </w:tblPr>
      <w:tblGrid>
        <w:gridCol w:w="16500"/>
        <w:gridCol w:w="12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56"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56" descr=""/>
                          <pic:cNvPicPr>
                            <a:picLocks noChangeAspect="1" noChangeArrowheads="1"/>
                          </pic:cNvPicPr>
                        </pic:nvPicPr>
                        <pic:blipFill>
                          <a:blip r:embed="rId161"/>
                          <a:stretch>
                            <a:fillRect/>
                          </a:stretch>
                        </pic:blipFill>
                        <pic:spPr bwMode="auto">
                          <a:xfrm>
                            <a:off x="0" y="0"/>
                            <a:ext cx="10477500" cy="8086725"/>
                          </a:xfrm>
                          <a:prstGeom prst="rect">
                            <a:avLst/>
                          </a:prstGeom>
                        </pic:spPr>
                      </pic:pic>
                    </a:graphicData>
                  </a:graphic>
                </wp:inline>
              </w:drawing>
            </w:r>
          </w:p>
        </w:tc>
        <w:tc>
          <w:tcPr>
            <w:tcW w:w="12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0.63x 0.75x 1.15x 0.65x 0.38x NA NA Source: Partnership website and filings, Wall Street research, FactSet (3/1/23) 1. Based on the average of Fearnleys and Braemar 2. NAV on Stifel research (1/24/23) Preliminary Findings Peer Trading – P / NAV Wall Street Research Analyst NAV P / NAV Mean 0.73x Median 0.65x 2 Broker Appraisal Wall Street Research 1 GLOP metrics based on GLOP’s unaffected unit price of $6.98 as of 1/24/23 37</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57"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57" descr=""/>
                          <pic:cNvPicPr>
                            <a:picLocks noChangeAspect="1" noChangeArrowheads="1"/>
                          </pic:cNvPicPr>
                        </pic:nvPicPr>
                        <pic:blipFill>
                          <a:blip r:embed="rId162"/>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Target GCI DryShips Teekay Offshore Grindrod Shipping Golar LNG Partners GasLog Teekay LNG Partners Höegh LNG Holdings Ltd. Acquiror Seaspan SPII Holdings Brookfield Taylor Maritime Investments New Fortress Energy BlackRock Stonepeak Limestone Höegh LNG Partners LP Business Type Term Mixed Mixed Mixed Mixed Term Term Term Transaction Value $1,600 $76 $171 $579 $1,918 $4,857 $6,160 $773 Consideration Structure Mixed Cash Cash Cash Mixed Cash Cash Cash Average Fleet Age 3 years 6 years 8 years 7 years 13 years 5 years 10 years 9 years 0.92x 0.79x NA 0.95x 1.10x 0.73x 1.03x 0.80x 3/14/18 8/19/19 10/1/19 10/13/22 1/13/21 2/22/21 10/4/21 5/25/22 Shipping Transaction LNG Transaction LNG Average: 0.91x All Transactions Average: 0.90x Preliminary Findings Selected Precedent Transactions – Cash / Partial Cash – P / NAV ($ in millions) Source: Public filings, press releases, investor presentations, FactSet, Capital IQ, Wall Street research, Evercore estimates 38</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58"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58" descr=""/>
                          <pic:cNvPicPr>
                            <a:picLocks noChangeAspect="1" noChangeArrowheads="1"/>
                          </pic:cNvPicPr>
                        </pic:nvPicPr>
                        <pic:blipFill>
                          <a:blip r:embed="rId163"/>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Peer Group Trading: EV / EBITDA Metric Data Applied Multiple Range Implied Valuation Low - High Low - High EV / 2023E EBITDA $290 5.0x - 6.5x $1,448 - $1,882 Implied Enterprise Value $1,448 - $1,882 Less: Total Debt as of January 1, 20232 (985) Plus: Cash and Cash Equivalents as of January 1, 2023 223 Less: Preferred Equity3 (291) Implied Equity Value Range $395 $830 Total Units as of January 1, 20234 54.285 Implied Value per Unit $7.28 $15.28 Preliminary Findings 2023E EBITDA 2024E EBITDA Source: GasLog Partners management, public filings 1. Includes Financing Leases 2. Liquidation value as of January 1, 2023 3. Includes general partner, common and Class B units Metric Data Applied Multiple Range Implied Valuation Low - High Low - High EV / 2024E EBITDA $269 5.5x - 6.5x $1,480 - $1,749 Implied Enterprise Value $1,480 - $1,749 Less: Total Debt as of January 1, 20232 (985) Plus: Cash and Cash Equivalents as of January 1, 2023 223 Less: Preferred Equity3 (291) Implied Equity Value Range $427 $696 Total Units as of January 1, 20234 54.285 Implied Value per Unit $7.87 $12.83 ($ in millions, except per unit data) 39</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59"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59" descr=""/>
                          <pic:cNvPicPr>
                            <a:picLocks noChangeAspect="1" noChangeArrowheads="1"/>
                          </pic:cNvPicPr>
                        </pic:nvPicPr>
                        <pic:blipFill>
                          <a:blip r:embed="rId164"/>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Preliminary Findings Peer Group Trading – P / NAV Metric Data Applied Multiple Range Implied Valuation Low - High Low - High Average Broker Appraised P / NAV1 $605 0.65x - 0.90x $393 - $545 Implied Equity Value Range $393 $545 Total Units as of January 1, 2023 54.285 Implied Value per Unit $7.25 $10.04 Source: GasLog Partners management, public filings 1. Based on average Clarkson and Fearneys 2. Includes Financing Leases 3. Liquidation value as of January 1, 2023 4. Includes general partner, common and Class B units Precedent Transaction Analysis – P / NAV Metric Data Applied Multiple Range Implied Valuation Low - High Low - High Average Broker Appraised P / NAV1 $605 0.70x - 1.05x $424 - $636 Implied Equity Value Range $424 $636 Total Units as of January 1, 2023 54.285 Implied Value per Unit $7.81 $11.71 ($ in millions, except per unit data) 40</w:t>
            </w:r>
          </w:p>
        </w:tc>
      </w:tr>
    </w:tbl>
    <w:tbl>
      <w:tblPr>
        <w:tblW w:w="16685" w:type="dxa"/>
        <w:jc w:val="center"/>
        <w:tblInd w:w="0" w:type="dxa"/>
        <w:tblCellMar>
          <w:top w:w="0" w:type="dxa"/>
          <w:left w:w="0" w:type="dxa"/>
          <w:bottom w:w="0" w:type="dxa"/>
          <w:right w:w="0" w:type="dxa"/>
        </w:tblCellMar>
      </w:tblPr>
      <w:tblGrid>
        <w:gridCol w:w="16500"/>
        <w:gridCol w:w="18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60"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60" descr=""/>
                          <pic:cNvPicPr>
                            <a:picLocks noChangeAspect="1" noChangeArrowheads="1"/>
                          </pic:cNvPicPr>
                        </pic:nvPicPr>
                        <pic:blipFill>
                          <a:blip r:embed="rId165"/>
                          <a:stretch>
                            <a:fillRect/>
                          </a:stretch>
                        </pic:blipFill>
                        <pic:spPr bwMode="auto">
                          <a:xfrm>
                            <a:off x="0" y="0"/>
                            <a:ext cx="10477500" cy="8086725"/>
                          </a:xfrm>
                          <a:prstGeom prst="rect">
                            <a:avLst/>
                          </a:prstGeom>
                        </pic:spPr>
                      </pic:pic>
                    </a:graphicData>
                  </a:graphic>
                </wp:inline>
              </w:drawing>
            </w:r>
          </w:p>
        </w:tc>
        <w:tc>
          <w:tcPr>
            <w:tcW w:w="18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Preliminary Findings Source: Bloomberg, FactSet, Public filings 1. VWAP premiums paid are calculated by dividing the value of the offer, defined as the exchange ratio multiplied by the closing price of the acquiror’s shares / units on the last trading day prior to announcement plus any cash received, by the 30 VWAP of the target as calculated from the last undisturbed trading day prior to the announcement Premium1 Date Unaffected 30-Day Announced Acquiror / Target Consideration Spot Price VWAP 01/06/23 Phillips 66 / DCP Midstream, LP Cash-for-Unit 20.1% 28.5% 07/28/22 PBF Energy, Inc. / PBF Logistics LP Cash/Stock-for-Unit (3.0%) 13.2% 07/25/22 Shell USA, Inc. / Shell Midstream Partners, L.P. Cash-for-Unit 23.0% 24.7% 06/02/22 Hartree Partners, LP / Sprague Resources LP Cash-for-Unit 27.3% 24.1% 05/25/22 Höegh LNG Holdings Ltd / Höegh LNG Partners LP Cash-for-Unit 135.4% 103.5% 05/16/22 Diamondback Energy / Rattler Midstream LP Stock-for-Unit 17.3% 8.7% 04/22/22 Ergon, Inc. / Blueknight Energy Partners, L.P. Cash-for-Unit 51.5% 46.8% 12/20/21 BP p.l.c / BP Midstream Partners LP Stock-for-Unit 10.8% 3.0% 10/27/21 Phillips 66 / Phillips 66 Partners LP Stock-for-Unit 4.8% 10.6% 10/04/21 Stonepeak Infrastructure Partners / Teekay LNG Partners LP Cash-for-Unit 8.3% 7.6% 08/23/21 Landmark Dividend / Landmark Infrastructure Partners LP Cash-for-Unit 38.4% 35.6% 03/05/21 Chevron Corporation / Noble Midstream Partners LP Stock-for-Unit 16.7% 23.5% 12/15/20 TC Energy Corporation / TC PipeLines, LP Stock-for-Unit 19.5% 10.0% 07/27/20 CNX Resources Corporation / CNX Midstream Partners Stock-for-Unit 28.1% 16.1% 02/27/20 Equitrans Midstream Corporation / EQM Midstream Partners, LP Stock-for-Unit (1.5%) (11.2%) 12/17/19 Blackstone Infrastructure Partners / Tallgrass Energy LP Cash-for-Unit 56.4% 22.7% 10/01/19 Brookfield Business Partners L.P. / Teekay Offshore Partners L.P. Cash-for-Unit 28.1% 9.8% 09/16/19 Energy Transfer LP / SemGroup Corporation Cash/Unit-for-Share 65.4% 80.9% 08/21/19 Pembina Pipeline Corporation / Kinder Morgan Canada Limited Share-for-Share 37.7% 32.5% 05/10/19 IFM Investors / Buckeye Partners, L.P. Cash-for-Unit 27.5% 22.9% 05/08/19 MPLX LP / Andeavor (Marathon Petroleum Corporation; Andeavor Logistics LP) Unit-for-Unit 1.8% 0.5% 04/02/19 UGI Corporation / AmeriGas Partners, L.P. Cash/Stock-for-Unit 13.5% 22.2% 03/18/19 ArcLight Energy Partners Fund V, L.P. / American Midstream, LP Cash-for-Unit 31.2% 32.0% 02/05/19 SunCoke Energy, Inc. / SunCoke Energy Partners, L.P. Stock-for-Unit 9.3% 29.9% 11/26/18 ArcLight Energy Partners Fund VI, L.P. / TransMontaigne Partners L.P. Cash-for-Unit 12.6% 8.6% 11/08/18 Western Gas Equity Partners, LP / Western Gas Partners, LP Unit-for-Unit 7.6% 13.8% 10/22/18 EnLink Midstream, LLC / EnLink Midstream Partners, LP Unit-for-Unit 1.1% (0.6%) 10/18/18 Valero Energy Corporation / Valero Energy Partners LP Cash-for-Unit 6.0% 11.9% 10/09/18 Antero Midstream GP LP / Antero Midstream Partners LP Cash/Stock-for-Unit 63.7% 6.6% 25th Quartile 8.0% 8.6% Median 19.5% 15.0% Mean 26.2% 21.8% 75th Quartile 34.4% 28.6% 25th Quartile 16.4% 10.8% Median 27.5% 23.5% Mean 35.8% 29.2% 75th Quartile 44.9% 33.8% All Transactions Cash Transactions Precedent MLP Premiums Paid 41</w:t>
            </w:r>
          </w:p>
        </w:tc>
      </w:tr>
    </w:tbl>
    <w:tbl>
      <w:tblPr>
        <w:tblW w:w="16625" w:type="dxa"/>
        <w:jc w:val="center"/>
        <w:tblInd w:w="0" w:type="dxa"/>
        <w:tblCellMar>
          <w:top w:w="0" w:type="dxa"/>
          <w:left w:w="0" w:type="dxa"/>
          <w:bottom w:w="0" w:type="dxa"/>
          <w:right w:w="0" w:type="dxa"/>
        </w:tblCellMar>
      </w:tblPr>
      <w:tblGrid>
        <w:gridCol w:w="16500"/>
        <w:gridCol w:w="12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61"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61" descr=""/>
                          <pic:cNvPicPr>
                            <a:picLocks noChangeAspect="1" noChangeArrowheads="1"/>
                          </pic:cNvPicPr>
                        </pic:nvPicPr>
                        <pic:blipFill>
                          <a:blip r:embed="rId166"/>
                          <a:stretch>
                            <a:fillRect/>
                          </a:stretch>
                        </pic:blipFill>
                        <pic:spPr bwMode="auto">
                          <a:xfrm>
                            <a:off x="0" y="0"/>
                            <a:ext cx="10477500" cy="8086725"/>
                          </a:xfrm>
                          <a:prstGeom prst="rect">
                            <a:avLst/>
                          </a:prstGeom>
                        </pic:spPr>
                      </pic:pic>
                    </a:graphicData>
                  </a:graphic>
                </wp:inline>
              </w:drawing>
            </w:r>
          </w:p>
        </w:tc>
        <w:tc>
          <w:tcPr>
            <w:tcW w:w="12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Appendix</w:t>
            </w:r>
          </w:p>
        </w:tc>
      </w:tr>
    </w:tbl>
    <w:tbl>
      <w:tblPr>
        <w:tblW w:w="16625" w:type="dxa"/>
        <w:jc w:val="center"/>
        <w:tblInd w:w="0" w:type="dxa"/>
        <w:tblCellMar>
          <w:top w:w="0" w:type="dxa"/>
          <w:left w:w="0" w:type="dxa"/>
          <w:bottom w:w="0" w:type="dxa"/>
          <w:right w:w="0" w:type="dxa"/>
        </w:tblCellMar>
      </w:tblPr>
      <w:tblGrid>
        <w:gridCol w:w="16500"/>
        <w:gridCol w:w="12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62"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62" descr=""/>
                          <pic:cNvPicPr>
                            <a:picLocks noChangeAspect="1" noChangeArrowheads="1"/>
                          </pic:cNvPicPr>
                        </pic:nvPicPr>
                        <pic:blipFill>
                          <a:blip r:embed="rId167"/>
                          <a:stretch>
                            <a:fillRect/>
                          </a:stretch>
                        </pic:blipFill>
                        <pic:spPr bwMode="auto">
                          <a:xfrm>
                            <a:off x="0" y="0"/>
                            <a:ext cx="10477500" cy="8086725"/>
                          </a:xfrm>
                          <a:prstGeom prst="rect">
                            <a:avLst/>
                          </a:prstGeom>
                        </pic:spPr>
                      </pic:pic>
                    </a:graphicData>
                  </a:graphic>
                </wp:inline>
              </w:drawing>
            </w:r>
          </w:p>
        </w:tc>
        <w:tc>
          <w:tcPr>
            <w:tcW w:w="12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Weighted Average Cost of Capital 43</w:t>
            </w:r>
          </w:p>
        </w:tc>
      </w:tr>
    </w:tbl>
    <w:tbl>
      <w:tblPr>
        <w:tblW w:w="16670" w:type="dxa"/>
        <w:jc w:val="center"/>
        <w:tblInd w:w="0" w:type="dxa"/>
        <w:tblCellMar>
          <w:top w:w="0" w:type="dxa"/>
          <w:left w:w="0" w:type="dxa"/>
          <w:bottom w:w="0" w:type="dxa"/>
          <w:right w:w="0" w:type="dxa"/>
        </w:tblCellMar>
      </w:tblPr>
      <w:tblGrid>
        <w:gridCol w:w="16500"/>
        <w:gridCol w:w="17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63"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63" descr=""/>
                          <pic:cNvPicPr>
                            <a:picLocks noChangeAspect="1" noChangeArrowheads="1"/>
                          </pic:cNvPicPr>
                        </pic:nvPicPr>
                        <pic:blipFill>
                          <a:blip r:embed="rId168"/>
                          <a:stretch>
                            <a:fillRect/>
                          </a:stretch>
                        </pic:blipFill>
                        <pic:spPr bwMode="auto">
                          <a:xfrm>
                            <a:off x="0" y="0"/>
                            <a:ext cx="10477500" cy="8086725"/>
                          </a:xfrm>
                          <a:prstGeom prst="rect">
                            <a:avLst/>
                          </a:prstGeom>
                        </pic:spPr>
                      </pic:pic>
                    </a:graphicData>
                  </a:graphic>
                </wp:inline>
              </w:drawing>
            </w:r>
          </w:p>
        </w:tc>
        <w:tc>
          <w:tcPr>
            <w:tcW w:w="17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GasLog Partners: Weighted Average Cost of Capital Source: Partnership and Company Filings; FactSet as of 3/1/23; Duff and Phelps 2023 Valuation Handbook 1. Includes corporate debt, lease liabilities and preferred equity as of 12/31/22 2. Factset 5-year Beta against the S&amp;P 500, except for CoolCo which is against MSCI 3. Based on unaffected GasLog price and trading as 1/24/23 4. Based on current GLOP capital structure 5. Based on 20-year US treasury’s current yield to maturity 6. Based on low end of Duff &amp; Phelps’ long-horizon expected equity risk premium (supply-side), defined as historical equity risk premium minus price-to-earnings ratio calculated using three-year earnings; Based on high end of Duff &amp; Phelps’ long-horizon expected equity risk premium (historical), defined as large company stock total return minus long-term government bond income returns 7. Decile: Average of Low Cap (8) with equity value range of $377 million to $782 million and Low (9) with equity value range of $218 million to $373 million 8. Based on weighted average cost of debt and preferred, including: (i) GasLog Partners’ cost of secured bank debt (average of ~6%) and (ii) GasLog Partner’s average preferred equity yield of ~9% Cost of Equity Sensitivities Cost of Equity Sensitivities Market Risk Premium @ 6.4% Market Risk Premium @ 7.2% Adj. Unlevered Beta Adj. Unlevered Beta 0.20 0.30 0.35 0.40 0.50 0.20 0.30 0.35 0.40 0.50 60.0% 9.4% 10.2% 11.0% 11.8% 12.6% 60.0% 9.9% 10.8% 11.7% 12.6% 13.5% 65.0% 10.0% 10.9% 11.8% 12.7% 13.6% 65.0% 10.6% 11.6% 12.6% 13.6% 14.6% 70.0% 10.7% 11.8% 12.8% 13.9% 15.0% 70.0% 11.4% 12.6% 13.8% 15.0% 16.2% 75.0% 11.8% 13.1% 14.3% 15.6% 16.9% 75.0% 12.6% 14.1% 15.5% 16.9% 18.4% 80.0% 13.4% 15.0% 16.6% 18.2% 19.8% 80.0% 14.5% 16.3% 18.0% 19.8% 21.6% WACC Sensitivities WACC Sensitivities Market Risk Premium @ 6.4% Market Risk Premium @ 7.2% Adj. Unlevered Beta Adj. Unlevered Beta 0.20 0.30 0.35 0.40 0.50 0.20 0.30 0.35 0.40 0.50 60.0% 8.0% 8.3% 8.6% 8.9% 9.2% 60.0% 8.2% 8.5% 8.9% 9.2% 9.6% 65.0% 8.0% 8.4% 8.7% 9.0% 9.3% 65.0% 8.2% 8.6% 9.0% 9.3% 9.7% 70.0% 8.1% 8.4% 8.8% 9.1% 9.4% 70.0% 8.3% 8.7% 9.0% 9.4% 9.8% 75.0% 8.2% 8.5% 8.8% 9.2% 9.5% 75.0% 8.4% 8.8% 9.1% 9.5% 9.8% 80.0% 8.3% 8.6% 8.9% 9.2% 9.6% 80.0% 8.5% 8.9% 9.2% 9.6% 9.9% Total Debt / Total Cap Total Debt / Total Cap Total Debt / Total Cap Total Debt / Total Cap Equity Total Debt + Levered Tax Unlevered Company Value Total Debt (1) Preferred / Total Cap Beta (2) Rate Beta LNG Peers Dynagas $114 $653 85.1% 0.77 0.0% 0.12 Capital Product Partners 288 1,289 81.8% 0.96 0.0% 0.17 Excelerate Energy 2,328 734 24.0% 0.89 24.0% 0.72 Flex LNG 1,896 1,715 47.5% 1.13 0.0% 0.60 CoolCo 720 1,050 59.3% 0.41 0.0% 0.17 Mean 59.5% 0.83 0.35 GasLog Partners $379 $1,276 77.1% 0.94 0.0% 0.21 GLOP Mean (All) Adj. Unlevered Beta 0.21 0.35 Total Debt / Total Capitalization (4) 77.1% 59.5% Tax Rate 0.0% 0.0% Adjusted Equity Beta 0.94 0.88 Risk-Free Rate (5) 3.7% 3.7% Market Risk Premium (6) 6.4% - 7.2% 6.4% - 7.2% Size Premium (7) 1.7% 1.7% Cost of Equity 11.3% - 12.0% 10.9% - 11.6% Pre-tax Cost of Debt (8) 7.0% After-Tax Cost of Debt 7.0% WACC 8.0% - 8.2% 8.6% - 8.9% (3) ($ in millions, except per unit data) 44</w:t>
            </w:r>
          </w:p>
        </w:tc>
      </w:tr>
    </w:tbl>
    <w:tbl>
      <w:tblPr>
        <w:tblW w:w="16625" w:type="dxa"/>
        <w:jc w:val="center"/>
        <w:tblInd w:w="0" w:type="dxa"/>
        <w:tblCellMar>
          <w:top w:w="0" w:type="dxa"/>
          <w:left w:w="0" w:type="dxa"/>
          <w:bottom w:w="0" w:type="dxa"/>
          <w:right w:w="0" w:type="dxa"/>
        </w:tblCellMar>
      </w:tblPr>
      <w:tblGrid>
        <w:gridCol w:w="16500"/>
        <w:gridCol w:w="12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64"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64" descr=""/>
                          <pic:cNvPicPr>
                            <a:picLocks noChangeAspect="1" noChangeArrowheads="1"/>
                          </pic:cNvPicPr>
                        </pic:nvPicPr>
                        <pic:blipFill>
                          <a:blip r:embed="rId169"/>
                          <a:stretch>
                            <a:fillRect/>
                          </a:stretch>
                        </pic:blipFill>
                        <pic:spPr bwMode="auto">
                          <a:xfrm>
                            <a:off x="0" y="0"/>
                            <a:ext cx="10477500" cy="8086725"/>
                          </a:xfrm>
                          <a:prstGeom prst="rect">
                            <a:avLst/>
                          </a:prstGeom>
                        </pic:spPr>
                      </pic:pic>
                    </a:graphicData>
                  </a:graphic>
                </wp:inline>
              </w:drawing>
            </w:r>
          </w:p>
        </w:tc>
        <w:tc>
          <w:tcPr>
            <w:tcW w:w="12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Additional Detail Regarding GasLog Partners</w:t>
            </w:r>
          </w:p>
        </w:tc>
      </w:tr>
    </w:tbl>
    <w:tbl>
      <w:tblPr>
        <w:tblW w:w="16670" w:type="dxa"/>
        <w:jc w:val="center"/>
        <w:tblInd w:w="0" w:type="dxa"/>
        <w:tblCellMar>
          <w:top w:w="0" w:type="dxa"/>
          <w:left w:w="0" w:type="dxa"/>
          <w:bottom w:w="0" w:type="dxa"/>
          <w:right w:w="0" w:type="dxa"/>
        </w:tblCellMar>
      </w:tblPr>
      <w:tblGrid>
        <w:gridCol w:w="16500"/>
        <w:gridCol w:w="17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65"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65" descr=""/>
                          <pic:cNvPicPr>
                            <a:picLocks noChangeAspect="1" noChangeArrowheads="1"/>
                          </pic:cNvPicPr>
                        </pic:nvPicPr>
                        <pic:blipFill>
                          <a:blip r:embed="rId170"/>
                          <a:stretch>
                            <a:fillRect/>
                          </a:stretch>
                        </pic:blipFill>
                        <pic:spPr bwMode="auto">
                          <a:xfrm>
                            <a:off x="0" y="0"/>
                            <a:ext cx="10477500" cy="8086725"/>
                          </a:xfrm>
                          <a:prstGeom prst="rect">
                            <a:avLst/>
                          </a:prstGeom>
                        </pic:spPr>
                      </pic:pic>
                    </a:graphicData>
                  </a:graphic>
                </wp:inline>
              </w:drawing>
            </w:r>
          </w:p>
        </w:tc>
        <w:tc>
          <w:tcPr>
            <w:tcW w:w="17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Situation Overview Unitholder Summary Source: FactSet (3/1/23), Partnership filings, S&amp;P Top 20 Report (2/28/23) Summary Institutional Ownership Institution Units (000's) Ownership % Cobas Asset Management 3,225 6.2% Invesco Advisers, Inc. 2,366 4.6% Renaissance Technologies 897 1.7% Acadian Asset Management 745 1.4% Two Sigma Investments 590 1.1% Walleye Capital 581 1.1% Millennium Management 538 1.0% Two Sigma Advisers 468 0.9% Citadel Advisors 434 0.8% Andbank Wealth Management 274 0.5% Paralos Asset Management 266 0.5% Forager Funds Management 253 0.5% GEBAB Holding 252 0.5% BlackRock Advisors 250 0.5% Maxi Investments CY 240 0.5% Top 15 Institutional 11,377 22.0% Insider Ownership Summary Holder Units (000's) Ownership % Holder Units (000's) Ownership % GasLog Ltd. 15,622 30.2% Institutional/Other (Net of Short Interest) 13,431 26.0% Total Insider 15,622 30.2% Insiders 15,622 30.2% Retail 22,635 43.8% Total Common Units Outstanding 51,688 100.0% Institutional 26.0% Insiders 30.2% Retail 43.8% 46</w:t>
            </w:r>
          </w:p>
        </w:tc>
      </w:tr>
    </w:tbl>
    <w:tbl>
      <w:tblPr>
        <w:tblW w:w="16685" w:type="dxa"/>
        <w:jc w:val="center"/>
        <w:tblInd w:w="0" w:type="dxa"/>
        <w:tblCellMar>
          <w:top w:w="0" w:type="dxa"/>
          <w:left w:w="0" w:type="dxa"/>
          <w:bottom w:w="0" w:type="dxa"/>
          <w:right w:w="0" w:type="dxa"/>
        </w:tblCellMar>
      </w:tblPr>
      <w:tblGrid>
        <w:gridCol w:w="16500"/>
        <w:gridCol w:w="18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66"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66" descr=""/>
                          <pic:cNvPicPr>
                            <a:picLocks noChangeAspect="1" noChangeArrowheads="1"/>
                          </pic:cNvPicPr>
                        </pic:nvPicPr>
                        <pic:blipFill>
                          <a:blip r:embed="rId171"/>
                          <a:stretch>
                            <a:fillRect/>
                          </a:stretch>
                        </pic:blipFill>
                        <pic:spPr bwMode="auto">
                          <a:xfrm>
                            <a:off x="0" y="0"/>
                            <a:ext cx="10477500" cy="8086725"/>
                          </a:xfrm>
                          <a:prstGeom prst="rect">
                            <a:avLst/>
                          </a:prstGeom>
                        </pic:spPr>
                      </pic:pic>
                    </a:graphicData>
                  </a:graphic>
                </wp:inline>
              </w:drawing>
            </w:r>
          </w:p>
        </w:tc>
        <w:tc>
          <w:tcPr>
            <w:tcW w:w="18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These materials have been prepared by Evercore Group L.L.C. (“Evercore”) for the Conflicts Committee (the “Conflicts Committee”) of the Board of Directors of GasLog Partners GP LLC, the general partner of GasLog Partners LP (“GLOP,” or the “Partnership”), to whom such materials are directly addressed and delivered and may not be used or relied upon for any purpose other than as specifically contemplated by a written agreement with Evercore. These materials are based on information provided by or on behalf of the Conflicts Committee, from public sources or otherwise reviewed by Evercore. Evercore assumes no responsibility for independent investigation or verification of such information and has relied on such information being complete and accurate in all material respects. To the extent such information includes estimates and forecasts of future financial or operating performance prepared by or reviewed with the management of GLOP and/or other potential transaction participants or obtained from public sources, Evercore has assumed that such estimates and forecasts have been reasonably prepared on bases reflecting the best currently available estimates and good faith judgments of such management (or, with respect to estimates and forecasts obtained from public sources, represent reasonable estimates). No representation or warranty, express or implied, is made as to the accuracy or completeness of such information and nothing contained herein is, or shall be relied upon as, a representation, whether as to the past, the present or the future. These materials were designed for use by specific persons familiar with the business and affairs of GLOP. These materials are not intended to provide the sole basis for evaluating, and should not be considered a recommendation with respect to, any transaction or other matter. These materials have been developed by and are proprietary to Evercore and were prepared exclusively for the benefit and internal use of the Conflicts Committee. These materials were compiled on a confidential basis for use by the Conflicts Committee and not with a view to public disclosure or filing thereof under state or federal securities laws, and may not be reproduced, disseminated, quoted or referred to, in whole or in part, without the prior written consent of Evercore. These materials do not constitute an offer or solicitation to sell or purchase any securities and are not a commitment by Evercore or any of its affiliates to provide or arrange any financing for any transaction or to purchase any security in connection therewith. Evercore assumes no obligation to update or otherwise revise these materials. These materials may not reflect information known to other professionals in other business areas of Evercore and its affiliates. Evercore and its affiliates do not provide legal, regulatory, accounting or tax advice. Accordingly, any statements contained herein as to legal, regulatory, accounting or tax matters were neither written nor intended by Evercore or its affiliates to be used and cannot be used by any person, including for the purpose of avoiding tax penalties that may be imposed on such person. Each person should seek legal, regulatory, accounting and tax advice based on his, her or its particular circumstances from independent advisors regarding the impact of the transactions or matters described herein.</w:t>
            </w:r>
          </w:p>
        </w:tc>
      </w:tr>
    </w:tbl>
    <w:p>
      <w:pPr>
        <w:pStyle w:val="TextBody"/>
        <w:ind w:left="0" w:right="0" w:hanging="0"/>
        <w:jc w:val="right"/>
        <w:rPr>
          <w:rFonts w:ascii="Times New Roman" w:hAnsi="Times New Roman"/>
          <w:b/>
          <w:sz w:val="20"/>
        </w:rPr>
      </w:pPr>
      <w:r>
        <w:br w:type="page"/>
      </w:r>
      <w:bookmarkStart w:id="21" w:name="tm2314213d1_ex99-c6.htm"/>
      <w:bookmarkStart w:id="22" w:name="kstm2314213d1_ex99c6"/>
      <w:bookmarkEnd w:id="21"/>
      <w:bookmarkEnd w:id="22"/>
      <w:r>
        <w:rPr>
          <w:rFonts w:ascii="Times New Roman" w:hAnsi="Times New Roman"/>
          <w:b/>
          <w:sz w:val="20"/>
        </w:rPr>
        <w:t>Exhibit 99.(c)(6)</w:t>
        <w:br/>
      </w:r>
    </w:p>
    <w:tbl>
      <w:tblPr>
        <w:tblW w:w="16655" w:type="dxa"/>
        <w:jc w:val="right"/>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67"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67" descr=""/>
                          <pic:cNvPicPr>
                            <a:picLocks noChangeAspect="1" noChangeArrowheads="1"/>
                          </pic:cNvPicPr>
                        </pic:nvPicPr>
                        <pic:blipFill>
                          <a:blip r:embed="rId172"/>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Conflicts Committee of GasLog Partners LP March 2023 PRELIMINARY ANALYSIS SUBJECT TO MATERIAL CHANGES 3/13/2023 3:06 PM</w:t>
            </w:r>
          </w:p>
        </w:tc>
      </w:tr>
    </w:tbl>
    <w:tbl>
      <w:tblPr>
        <w:tblW w:w="16685" w:type="dxa"/>
        <w:jc w:val="center"/>
        <w:tblInd w:w="0" w:type="dxa"/>
        <w:tblCellMar>
          <w:top w:w="0" w:type="dxa"/>
          <w:left w:w="0" w:type="dxa"/>
          <w:bottom w:w="0" w:type="dxa"/>
          <w:right w:w="0" w:type="dxa"/>
        </w:tblCellMar>
      </w:tblPr>
      <w:tblGrid>
        <w:gridCol w:w="16500"/>
        <w:gridCol w:w="18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68"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68" descr=""/>
                          <pic:cNvPicPr>
                            <a:picLocks noChangeAspect="1" noChangeArrowheads="1"/>
                          </pic:cNvPicPr>
                        </pic:nvPicPr>
                        <pic:blipFill>
                          <a:blip r:embed="rId173"/>
                          <a:stretch>
                            <a:fillRect/>
                          </a:stretch>
                        </pic:blipFill>
                        <pic:spPr bwMode="auto">
                          <a:xfrm>
                            <a:off x="0" y="0"/>
                            <a:ext cx="10477500" cy="8086725"/>
                          </a:xfrm>
                          <a:prstGeom prst="rect">
                            <a:avLst/>
                          </a:prstGeom>
                        </pic:spPr>
                      </pic:pic>
                    </a:graphicData>
                  </a:graphic>
                </wp:inline>
              </w:drawing>
            </w:r>
          </w:p>
        </w:tc>
        <w:tc>
          <w:tcPr>
            <w:tcW w:w="18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I II Table of Contents Section Summary of Sponsor Counterproposal Preliminary Findings Appendix</w:t>
            </w:r>
          </w:p>
        </w:tc>
      </w:tr>
    </w:tbl>
    <w:tbl>
      <w:tblPr>
        <w:tblW w:w="16685" w:type="dxa"/>
        <w:jc w:val="center"/>
        <w:tblInd w:w="0" w:type="dxa"/>
        <w:tblCellMar>
          <w:top w:w="0" w:type="dxa"/>
          <w:left w:w="0" w:type="dxa"/>
          <w:bottom w:w="0" w:type="dxa"/>
          <w:right w:w="0" w:type="dxa"/>
        </w:tblCellMar>
      </w:tblPr>
      <w:tblGrid>
        <w:gridCol w:w="16500"/>
        <w:gridCol w:w="18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69"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69" descr=""/>
                          <pic:cNvPicPr>
                            <a:picLocks noChangeAspect="1" noChangeArrowheads="1"/>
                          </pic:cNvPicPr>
                        </pic:nvPicPr>
                        <pic:blipFill>
                          <a:blip r:embed="rId174"/>
                          <a:stretch>
                            <a:fillRect/>
                          </a:stretch>
                        </pic:blipFill>
                        <pic:spPr bwMode="auto">
                          <a:xfrm>
                            <a:off x="0" y="0"/>
                            <a:ext cx="10477500" cy="8086725"/>
                          </a:xfrm>
                          <a:prstGeom prst="rect">
                            <a:avLst/>
                          </a:prstGeom>
                        </pic:spPr>
                      </pic:pic>
                    </a:graphicData>
                  </a:graphic>
                </wp:inline>
              </w:drawing>
            </w:r>
          </w:p>
        </w:tc>
        <w:tc>
          <w:tcPr>
            <w:tcW w:w="18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I. Summary of Sponsor Counterproposal</w:t>
            </w:r>
          </w:p>
        </w:tc>
      </w:tr>
    </w:tbl>
    <w:tbl>
      <w:tblPr>
        <w:tblW w:w="16685" w:type="dxa"/>
        <w:jc w:val="center"/>
        <w:tblInd w:w="0" w:type="dxa"/>
        <w:tblCellMar>
          <w:top w:w="0" w:type="dxa"/>
          <w:left w:w="0" w:type="dxa"/>
          <w:bottom w:w="0" w:type="dxa"/>
          <w:right w:w="0" w:type="dxa"/>
        </w:tblCellMar>
      </w:tblPr>
      <w:tblGrid>
        <w:gridCol w:w="16500"/>
        <w:gridCol w:w="18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70"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70" descr=""/>
                          <pic:cNvPicPr>
                            <a:picLocks noChangeAspect="1" noChangeArrowheads="1"/>
                          </pic:cNvPicPr>
                        </pic:nvPicPr>
                        <pic:blipFill>
                          <a:blip r:embed="rId175"/>
                          <a:stretch>
                            <a:fillRect/>
                          </a:stretch>
                        </pic:blipFill>
                        <pic:spPr bwMode="auto">
                          <a:xfrm>
                            <a:off x="0" y="0"/>
                            <a:ext cx="10477500" cy="8086725"/>
                          </a:xfrm>
                          <a:prstGeom prst="rect">
                            <a:avLst/>
                          </a:prstGeom>
                        </pic:spPr>
                      </pic:pic>
                    </a:graphicData>
                  </a:graphic>
                </wp:inline>
              </w:drawing>
            </w:r>
          </w:p>
        </w:tc>
        <w:tc>
          <w:tcPr>
            <w:tcW w:w="18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 On March 4, 2023, Evercore, on behalf of the Conflicts Committee, conveyed the counterproposal of $10.00 per common unit to GasLog Ltd. ◼ On March 10, 2023, GasLog Ltd. responded with its own counterproposal, increasing the proposed cash consideration from $7.70 to $8.02 per GasLog Partners common unit and continuing its insistence on no majority of the minority The Sponsor is focused on an internally generated Net Asset Value estimate and highlighted CoolCo as the only relevant comparable ◼ Since the last committee meeting on March 3, 2023, Evercore has followed up with management on certain items with respect the value of the fleet beyond 2027, including: Updated vessel appraised values Information to assist with a useful life DCF or a corporate DCF with Perpetuity Growth Rate methodology ● Economic useful life of vessels ● Drydocking costs beyond 2027 ● Regulatory compliance capital expenditures beyond 2027 ● Forecasted rates beyond 2027 Analysis on the mark-to-market value of the existing charters ◼ On March 9, 2023, Evercore held an additional call with GasLog Partners management, in which management continued to express reluctance on providing viewpoints on the forecast beyond 2027 At Evercore’s request, GasLog Partners management provided updated vessel appraisals from Fearnleys and Braemar as of February 28, 2023, which indicated rising asset values ◼ Evercore to discuss continued need for information to complete valuation work Summary of Sponsor Counterproposal Key Developments Since Last Meeting 4</w:t>
            </w:r>
          </w:p>
        </w:tc>
      </w:tr>
    </w:tbl>
    <w:tbl>
      <w:tblPr>
        <w:tblW w:w="16685" w:type="dxa"/>
        <w:jc w:val="center"/>
        <w:tblInd w:w="0" w:type="dxa"/>
        <w:tblCellMar>
          <w:top w:w="0" w:type="dxa"/>
          <w:left w:w="0" w:type="dxa"/>
          <w:bottom w:w="0" w:type="dxa"/>
          <w:right w:w="0" w:type="dxa"/>
        </w:tblCellMar>
      </w:tblPr>
      <w:tblGrid>
        <w:gridCol w:w="16500"/>
        <w:gridCol w:w="18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71"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71" descr=""/>
                          <pic:cNvPicPr>
                            <a:picLocks noChangeAspect="1" noChangeArrowheads="1"/>
                          </pic:cNvPicPr>
                        </pic:nvPicPr>
                        <pic:blipFill>
                          <a:blip r:embed="rId176"/>
                          <a:stretch>
                            <a:fillRect/>
                          </a:stretch>
                        </pic:blipFill>
                        <pic:spPr bwMode="auto">
                          <a:xfrm>
                            <a:off x="0" y="0"/>
                            <a:ext cx="10477500" cy="8086725"/>
                          </a:xfrm>
                          <a:prstGeom prst="rect">
                            <a:avLst/>
                          </a:prstGeom>
                        </pic:spPr>
                      </pic:pic>
                    </a:graphicData>
                  </a:graphic>
                </wp:inline>
              </w:drawing>
            </w:r>
          </w:p>
        </w:tc>
        <w:tc>
          <w:tcPr>
            <w:tcW w:w="18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Summary of Sponsor Counterproposal The Sponsor’s Net Asset Value calculation is based on 9/30/22 balance sheet data and June appraisals Page 1 of Sponsor Materials (As Provided by the Sponsor on March 10th) 5</w:t>
            </w:r>
          </w:p>
        </w:tc>
      </w:tr>
    </w:tbl>
    <w:tbl>
      <w:tblPr>
        <w:tblW w:w="16685" w:type="dxa"/>
        <w:jc w:val="center"/>
        <w:tblInd w:w="0" w:type="dxa"/>
        <w:tblCellMar>
          <w:top w:w="0" w:type="dxa"/>
          <w:left w:w="0" w:type="dxa"/>
          <w:bottom w:w="0" w:type="dxa"/>
          <w:right w:w="0" w:type="dxa"/>
        </w:tblCellMar>
      </w:tblPr>
      <w:tblGrid>
        <w:gridCol w:w="16500"/>
        <w:gridCol w:w="18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72"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72" descr=""/>
                          <pic:cNvPicPr>
                            <a:picLocks noChangeAspect="1" noChangeArrowheads="1"/>
                          </pic:cNvPicPr>
                        </pic:nvPicPr>
                        <pic:blipFill>
                          <a:blip r:embed="rId177"/>
                          <a:stretch>
                            <a:fillRect/>
                          </a:stretch>
                        </pic:blipFill>
                        <pic:spPr bwMode="auto">
                          <a:xfrm>
                            <a:off x="0" y="0"/>
                            <a:ext cx="10477500" cy="8086725"/>
                          </a:xfrm>
                          <a:prstGeom prst="rect">
                            <a:avLst/>
                          </a:prstGeom>
                        </pic:spPr>
                      </pic:pic>
                    </a:graphicData>
                  </a:graphic>
                </wp:inline>
              </w:drawing>
            </w:r>
          </w:p>
        </w:tc>
        <w:tc>
          <w:tcPr>
            <w:tcW w:w="18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Summary of Sponsor Counterproposal Page 2 of Sponsor Materials (As Provided by the Sponsor on March 10th) 6</w:t>
            </w:r>
          </w:p>
        </w:tc>
      </w:tr>
    </w:tbl>
    <w:tbl>
      <w:tblPr>
        <w:tblW w:w="16685" w:type="dxa"/>
        <w:jc w:val="center"/>
        <w:tblInd w:w="0" w:type="dxa"/>
        <w:tblCellMar>
          <w:top w:w="0" w:type="dxa"/>
          <w:left w:w="0" w:type="dxa"/>
          <w:bottom w:w="0" w:type="dxa"/>
          <w:right w:w="0" w:type="dxa"/>
        </w:tblCellMar>
      </w:tblPr>
      <w:tblGrid>
        <w:gridCol w:w="16500"/>
        <w:gridCol w:w="18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73"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73" descr=""/>
                          <pic:cNvPicPr>
                            <a:picLocks noChangeAspect="1" noChangeArrowheads="1"/>
                          </pic:cNvPicPr>
                        </pic:nvPicPr>
                        <pic:blipFill>
                          <a:blip r:embed="rId178"/>
                          <a:stretch>
                            <a:fillRect/>
                          </a:stretch>
                        </pic:blipFill>
                        <pic:spPr bwMode="auto">
                          <a:xfrm>
                            <a:off x="0" y="0"/>
                            <a:ext cx="10477500" cy="8086725"/>
                          </a:xfrm>
                          <a:prstGeom prst="rect">
                            <a:avLst/>
                          </a:prstGeom>
                        </pic:spPr>
                      </pic:pic>
                    </a:graphicData>
                  </a:graphic>
                </wp:inline>
              </w:drawing>
            </w:r>
          </w:p>
        </w:tc>
        <w:tc>
          <w:tcPr>
            <w:tcW w:w="18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Offer Date: 1/24/23 3/10/23 3/4/23 Offeror: Sponsor Sponsor Committee GasLog Partners Common Unit Value $7.70 $8.02 $8.50 $9.00 $9.50 $10.00 (x) Total Units Outstanding 54.285 54.285 54.285 54.285 54.285 54.285 Implied Equity Value $418 $435 $461 $489 $516 $543 (+) Gross Debt as of December 31, 2022 985 985 985 985 985 985 (–) Cash and Cash Equivalents (223) (223) (223) (223) (223) (223) (+) Liquidation Value of Preferred Equity 291 291 291 291 291 291 Implied Enterprise Value $1,470 $1,488 $1,514 $1,541 $1,568 $1,595 Premiums Metric Unaffected Unit Price as of January 24, 2023 $6.98 10.3% 14.9% 21.8% 28.9% 36.1% 43.3% Unaffected 10-Day VWAP 6.74 14.2% 18.9% 26.1% 33.5% 40.9% 48.3% Unaffected 30-Day VWAP 6.79 13.4% 18.1% 25.2% 32.6% 39.9% 47.3% Current Unit Price as of March 10, 2023 8.43 (8.7%) (4.9%) 0.8% 6.8% 12.7% 18.6% Implied Price / NAV Assuming 10.0% Discount to Appraised Value $8.51 0.91x 0.94x 1.00x 1.06x 1.12x 1.18x Assuming No Premium / Discount to Appraised Value 11.70 0.66 0.69 0.73 0.77 0.81 0.85 Assuming 10.0% Premium to Appraised Value 14.89 0.52 0.54 0.57 0.60 0.64 0.67 EBITDA Multiples (GLOP Mgmt.) Enterprise Value / 2022A EBITDA $274 5.4x 5.4x 5.5x 5.6x 5.7x 5.8x Enterprise Value / 2023E EBITDA 290 5.1 5.1 5.2 5.3 5.4 5.5 Enterprise Value / 2024E EBITDA 269 5.5 5.5 5.6 5.7 5.8 5.9 Enterprise Value / 2025E EBITDA 226 6.5 6.6 6.7 6.8 6.9 7.1 EBITDA Multiples (Stifel Research) Enterprise Value / 2023E EBITDA $273 5.4x 5.4x 5.5x 5.6x 5.7x 5.8x Enterprise Value / 2024E EBITDA 211 7.0 7.1 7.2 7.3 7.4 7.6 Distribution Yield (GLOP Mgmt.) 2023E 0.04 0.5% 0.5% 0.5% 0.4% 0.4% 0.4% ($ in millions, except per unit data) Summary of Sponsor Counterproposal Analysis at Various Prices Source: GasLog Partners management, public filings, FactSet (as of 3/10/23) Proposed Consideration 7</w:t>
            </w:r>
          </w:p>
        </w:tc>
      </w:tr>
    </w:tbl>
    <w:tbl>
      <w:tblPr>
        <w:tblW w:w="16625" w:type="dxa"/>
        <w:jc w:val="center"/>
        <w:tblInd w:w="0" w:type="dxa"/>
        <w:tblCellMar>
          <w:top w:w="0" w:type="dxa"/>
          <w:left w:w="0" w:type="dxa"/>
          <w:bottom w:w="0" w:type="dxa"/>
          <w:right w:w="0" w:type="dxa"/>
        </w:tblCellMar>
      </w:tblPr>
      <w:tblGrid>
        <w:gridCol w:w="16500"/>
        <w:gridCol w:w="12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74"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74" descr=""/>
                          <pic:cNvPicPr>
                            <a:picLocks noChangeAspect="1" noChangeArrowheads="1"/>
                          </pic:cNvPicPr>
                        </pic:nvPicPr>
                        <pic:blipFill>
                          <a:blip r:embed="rId179"/>
                          <a:stretch>
                            <a:fillRect/>
                          </a:stretch>
                        </pic:blipFill>
                        <pic:spPr bwMode="auto">
                          <a:xfrm>
                            <a:off x="0" y="0"/>
                            <a:ext cx="10477500" cy="8086725"/>
                          </a:xfrm>
                          <a:prstGeom prst="rect">
                            <a:avLst/>
                          </a:prstGeom>
                        </pic:spPr>
                      </pic:pic>
                    </a:graphicData>
                  </a:graphic>
                </wp:inline>
              </w:drawing>
            </w:r>
          </w:p>
        </w:tc>
        <w:tc>
          <w:tcPr>
            <w:tcW w:w="12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II. Preliminary Findings 8</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75"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75" descr=""/>
                          <pic:cNvPicPr>
                            <a:picLocks noChangeAspect="1" noChangeArrowheads="1"/>
                          </pic:cNvPicPr>
                        </pic:nvPicPr>
                        <pic:blipFill>
                          <a:blip r:embed="rId180"/>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Appraisal NAV per Share $6.91 $8.51 $9.27 $10.10 $11.70 $13.29 $14.89 $16.49 (15.0%) (10.0%) WS Research (5.0%) 0.0% 5.0% 10.0% 15.0% Premium / (Discount) to Total Charter-Free Appraised Value Vessel Propulsion Built Capacity (cbm) Fearnleys Value Braemar Value Average GasLog Geneva TFDE 2016 174k $201 $190 $196 GasLog Gibraltar TFDE 2016 174k 201 190 196 GasLog Glasgow TFDE 2016 174k 199 190 195 GasLog Greece TFDE 2016 174k 197 180 189 Solaris TFDE 2014 155k 160 162 161 Methane Becki Anne TFDE 2010 170k 145 169 157 GasLog Santiago TFDE 2013 155k 148 162 155 GasLog Sydney TFDE 2013 155k 148 162 155 GasLog Seattle TFDE 2013 155k 150 158 154 Methane Alison Victoria Steam 2007 145k 65 59 62 Methane Jane Elizabeth Steam 2006 145k 60 56 58 Methane Rita Andrea Steam 2006 145k 60 56 58 GasLog Shanghai TFDE 2013 155k SLB SLB NA Methane Heather Sally Steam 2007 145k SLB SLB NA Charter Free Gross Asset Value $1,734 $1,733 $1,734 Sensitivity Analysis GLOP Fleet Summary Preliminary Findings Source: Company filings, FactSet (as of 3/10/23), Fearnleys and Braemar 1. Preferred equity valued at liquidation preference of $25 per unit 2. Includes lease liabilities 3. Based on GLOP unit price of $8.43 as of 3/10/23 GLOP Fleet Valuation Detail – Updated for Latest Appraisals GLOP NAV per Unit Applied Sensitivity Range For Reference Only -- $8.02 Proposed Consideration Charter Free Gross Asset Value (Broker Average) $1,734 (+) Cash and Cash Equivalents 223 (–) Net Working Capital (46) (–) Preferred Equity1 (291) (–) Total Debt Outstanding2 (985) Net Asset Value $635 (÷) Total Units Outstanding 54.285 NAV per Common Unit $11.70 Implied Price / NAV 3 0.72x 5 ($ in millions, except per unit data) 4 4. Based on Stifel research (1/24/23) 5. GasLog Greece appraisal as of December 31, 2022, as its appraisal as of February 28, 2023 has not yet been provided by GasLog Partners Management. Assuming that the GasLog Greece’s appraised value rose to $190mm (i.e., at the same rate as its peer vessels: the GasLog Geneva, GasLog Gibraltar and GasLog Glasgow), would result in a GLOP NAV per common unit of $11.79 Implied NAV per Unit (Based on Third-Party Appraisals) $12.28 $11.70 $11.11 $10.53 $9.94 $9.36 $8.77 $8.19 $7.60 0.65x 0.70x 0.75x 0.80x 0.85x 0.90x 0.95x 1.00x 1.05x Price / Net Asset Value per Common Unit 9</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76"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76" descr=""/>
                          <pic:cNvPicPr>
                            <a:picLocks noChangeAspect="1" noChangeArrowheads="1"/>
                          </pic:cNvPicPr>
                        </pic:nvPicPr>
                        <pic:blipFill>
                          <a:blip r:embed="rId181"/>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Target GCI DryShips Teekay Offshore Grindrod Shipping Golar LNG Partners GasLog Teekay LNG Partners Höegh LNG Holdings Ltd. Acquiror Seaspan SPII Holdings Brookfield Taylor Maritime Investments New Fortress Energy BlackRock Stonepeak Limestone Höegh LNG Partners LP Business Type Term Mixed Mixed Mixed Mixed Term Term Term Transaction Value $1,600 $76 $171 $579 $1,918 $4,857 $6,160 $773 Consideration Structure Mixed Cash Cash Cash Mixed Cash Cash Cash Average Fleet Age 3 years 6 years 8 years 7 years 13 years 5 years 10 years 9 years 0.92x 0.79x NA 0.95x 1.10x 0.73x 1.03x 0.80x 3/14/18 8/19/19 10/1/19 10/13/22 1/13/21 2/22/21 10/4/21 5/25/22 Shipping Transaction LNG Transaction LNG Average: 0.91x All Transactions Average: 0.90x Preliminary Findings Selected Precedent Transactions – Cash / Partial Cash – P / NAV ($ in millions) Source: Public filings, press releases, investor presentations, FactSet, Capital IQ, Wall Street research, Evercore estimates 10</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77"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77" descr=""/>
                          <pic:cNvPicPr>
                            <a:picLocks noChangeAspect="1" noChangeArrowheads="1"/>
                          </pic:cNvPicPr>
                        </pic:nvPicPr>
                        <pic:blipFill>
                          <a:blip r:embed="rId182"/>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4.9x 5.2x 10.9x 8.3x 7.1x 6.4x 5.7x 5.3x 6.8x 10.8x 7.3x 6.0x 6.3x 6.6x EV / 2023E EBITDA EV / 2024E EBITDA 2023E Median: 7.1x 2024E Median: 6.6x Preliminary Findings Peer Trading – EV / EBITDA Source: Partnership website and filings, Wall Street research, FactSet (3/10/23) Note: GLOP EBITDA estimates represent Stifel (1/26/23) estimates 1. At time of IPO on December 31, 2021; Management EBITDA figure assumes execution of Project Venice 2. Based on Stifel research (1/24/23) 1.7 6.0 6.2 8.0 1 3.8 NA Charter Duration (Yrs.) 2 Management Wall Street Research 1 GLOP metrics based on GLOP’s unaffected unit price of $6.98 as of 1/24/23 Implied GLOP Price per Common Unit 2023E 2024E Management EBITDA Peer Median (7.1x '23E / 6.6x '24E) $18.30 $13.32 COOL (5.7x '23E / 6.6x '24E) 11.10 13.32 Stifel EBITDA Peer Median (7.1x '23E / 6.6x '24E) $16.09 $6.23 COOL (5.7x '23E / 6.6x '24E) 9.31 6.23 11</w:t>
            </w:r>
          </w:p>
        </w:tc>
      </w:tr>
    </w:tbl>
    <w:tbl>
      <w:tblPr>
        <w:tblW w:w="16640" w:type="dxa"/>
        <w:jc w:val="center"/>
        <w:tblInd w:w="0" w:type="dxa"/>
        <w:tblCellMar>
          <w:top w:w="0" w:type="dxa"/>
          <w:left w:w="0" w:type="dxa"/>
          <w:bottom w:w="0" w:type="dxa"/>
          <w:right w:w="0" w:type="dxa"/>
        </w:tblCellMar>
      </w:tblPr>
      <w:tblGrid>
        <w:gridCol w:w="16500"/>
        <w:gridCol w:w="14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78"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78" descr=""/>
                          <pic:cNvPicPr>
                            <a:picLocks noChangeAspect="1" noChangeArrowheads="1"/>
                          </pic:cNvPicPr>
                        </pic:nvPicPr>
                        <pic:blipFill>
                          <a:blip r:embed="rId183"/>
                          <a:stretch>
                            <a:fillRect/>
                          </a:stretch>
                        </pic:blipFill>
                        <pic:spPr bwMode="auto">
                          <a:xfrm>
                            <a:off x="0" y="0"/>
                            <a:ext cx="10477500" cy="8086725"/>
                          </a:xfrm>
                          <a:prstGeom prst="rect">
                            <a:avLst/>
                          </a:prstGeom>
                        </pic:spPr>
                      </pic:pic>
                    </a:graphicData>
                  </a:graphic>
                </wp:inline>
              </w:drawing>
            </w:r>
          </w:p>
        </w:tc>
        <w:tc>
          <w:tcPr>
            <w:tcW w:w="14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Daily Average Total Volume Traded Since Offer (32 Days) 649k 20,762k 90-Day Unaffected 345k 31,069k % of Outstanding Common Units Since Offer (32 Days) 1.2% 38.2% 90-Day Unaffected 0.6% 57.2% % of Public Float (36.338mm units) Since Offer (32 Days) 1.8% 57.1% 90-Day Unaffected 0.9% 85.5% $8.43 - 1,000.0 2,000.0 3,000.0 4,000.0 5,000.0 $6.00 $7.00 $8.00 $9.00 $10.00 1/24 2/2 2/11 2/20 3/1 3/10 GLOP Common Unit Price Unit Volume (thousands) Volume (000s) Unit Price GLOP Unit Price Performance Source: FactSet (as of 3/10/23) Initial Offer: $7.70 Current Offer: $8.02 12</w:t>
            </w:r>
          </w:p>
        </w:tc>
      </w:tr>
    </w:tbl>
    <w:tbl>
      <w:tblPr>
        <w:tblW w:w="16625" w:type="dxa"/>
        <w:jc w:val="center"/>
        <w:tblInd w:w="0" w:type="dxa"/>
        <w:tblCellMar>
          <w:top w:w="0" w:type="dxa"/>
          <w:left w:w="0" w:type="dxa"/>
          <w:bottom w:w="0" w:type="dxa"/>
          <w:right w:w="0" w:type="dxa"/>
        </w:tblCellMar>
      </w:tblPr>
      <w:tblGrid>
        <w:gridCol w:w="16500"/>
        <w:gridCol w:w="12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79"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79" descr=""/>
                          <pic:cNvPicPr>
                            <a:picLocks noChangeAspect="1" noChangeArrowheads="1"/>
                          </pic:cNvPicPr>
                        </pic:nvPicPr>
                        <pic:blipFill>
                          <a:blip r:embed="rId184"/>
                          <a:stretch>
                            <a:fillRect/>
                          </a:stretch>
                        </pic:blipFill>
                        <pic:spPr bwMode="auto">
                          <a:xfrm>
                            <a:off x="0" y="0"/>
                            <a:ext cx="10477500" cy="8086725"/>
                          </a:xfrm>
                          <a:prstGeom prst="rect">
                            <a:avLst/>
                          </a:prstGeom>
                        </pic:spPr>
                      </pic:pic>
                    </a:graphicData>
                  </a:graphic>
                </wp:inline>
              </w:drawing>
            </w:r>
          </w:p>
        </w:tc>
        <w:tc>
          <w:tcPr>
            <w:tcW w:w="12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Appendix</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80"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80" descr=""/>
                          <pic:cNvPicPr>
                            <a:picLocks noChangeAspect="1" noChangeArrowheads="1"/>
                          </pic:cNvPicPr>
                        </pic:nvPicPr>
                        <pic:blipFill>
                          <a:blip r:embed="rId185"/>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Net Asset Value Reconciliation Source: GasLog Partnership Management, Clarksons 1. Based on liquidation preference of $25 per unit Description Net Debt &amp; Working Capital Detail Net Asset Value Reconciliation $1,637 $1,734 $635 $414 ($118) ($1,223) ($26) ($35) $215 $175 $11 Gross Asset Value (Sponsor) SLB Vessels Value in Sponsor GAV Increase to 2/28/23 Broker Appraisals Gross Asset Value (EVR) Net Debt &amp; NWC (Sponsor) Adjustment to Q3 Actuals Q4 Cash Generation (exc. NWC) Q4 Increase in NWC Debt Paydown Net Asset Value (EVR) Net Asset Value (Sponsor) ◼ A few key items explain the gap between the $11.70 NAV per common unit estimate presented to the Conflicts Committee and the $7.70 indicated by the Sponsor in its counteroffer The Sponsor’s gross asset value figure included the appraised value of two vessels on sale leaseback The Sponsor’s asset values were based on an internal estimate of discount to broker appraisals, which have risen considerably from Q3 to present The Sponsor’s Cash, Debt, Preferred and Net Working Capital figures do not match Q3 actuals, which further changed over Q4 Sponsor 9/30/22 12/31/22 Debt &amp; Lease Liabilities $1,019.0 $1,019.1 $984.5 (+) Preferred Equity 310.7 306.7 291.1 (–) Cash (155.6) (164.0) (223.1) (+) Net Working Capital 49.0 34.9 46.0 Net Debt &amp; Working Capital $1,223.1 $1,196.7 $1,098.5 1 1 NAV per Unit: $11.70 $7.70 14 ($ in millions, except per unit data)</w:t>
            </w:r>
          </w:p>
        </w:tc>
      </w:tr>
    </w:tbl>
    <w:tbl>
      <w:tblPr>
        <w:tblW w:w="16685" w:type="dxa"/>
        <w:jc w:val="center"/>
        <w:tblInd w:w="0" w:type="dxa"/>
        <w:tblCellMar>
          <w:top w:w="0" w:type="dxa"/>
          <w:left w:w="0" w:type="dxa"/>
          <w:bottom w:w="0" w:type="dxa"/>
          <w:right w:w="0" w:type="dxa"/>
        </w:tblCellMar>
      </w:tblPr>
      <w:tblGrid>
        <w:gridCol w:w="16500"/>
        <w:gridCol w:w="18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81"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81" descr=""/>
                          <pic:cNvPicPr>
                            <a:picLocks noChangeAspect="1" noChangeArrowheads="1"/>
                          </pic:cNvPicPr>
                        </pic:nvPicPr>
                        <pic:blipFill>
                          <a:blip r:embed="rId186"/>
                          <a:stretch>
                            <a:fillRect/>
                          </a:stretch>
                        </pic:blipFill>
                        <pic:spPr bwMode="auto">
                          <a:xfrm>
                            <a:off x="0" y="0"/>
                            <a:ext cx="10477500" cy="8086725"/>
                          </a:xfrm>
                          <a:prstGeom prst="rect">
                            <a:avLst/>
                          </a:prstGeom>
                        </pic:spPr>
                      </pic:pic>
                    </a:graphicData>
                  </a:graphic>
                </wp:inline>
              </w:drawing>
            </w:r>
          </w:p>
        </w:tc>
        <w:tc>
          <w:tcPr>
            <w:tcW w:w="18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These materials have been prepared by Evercore Group L.L.C. (“Evercore”) for the Conflicts Committee (the “Conflicts Committee”) of the Board of Directors of GasLog Partners GP LLC, the general partner of GasLog Partners LP (“GLOP,” or the “Partnership”), to whom such materials are directly addressed and delivered and may not be used or relied upon for any purpose other than as specifically contemplated by a written agreement with Evercore. These materials are based on information provided by or on behalf of the Conflicts Committee, from public sources or otherwise reviewed by Evercore. Evercore assumes no responsibility for independent investigation or verification of such information and has relied on such information being complete and accurate in all material respects. To the extent such information includes estimates and forecasts of future financial or operating performance prepared by or reviewed with the management of GLOP and/or other potential transaction participants or obtained from public sources, Evercore has assumed that such estimates and forecasts have been reasonably prepared on bases reflecting the best currently available estimates and good faith judgments of such management (or, with respect to estimates and forecasts obtained from public sources, represent reasonable estimates). No representation or warranty, express or implied, is made as to the accuracy or completeness of such information and nothing contained herein is, or shall be relied upon as, a representation, whether as to the past, the present or the future. These materials were designed for use by specific persons familiar with the business and affairs of GLOP. These materials are not intended to provide the sole basis for evaluating, and should not be considered a recommendation with respect to, any transaction or other matter. These materials have been developed by and are proprietary to Evercore and were prepared exclusively for the benefit and internal use of the Conflicts Committee. These materials were compiled on a confidential basis for use by the Conflicts Committee and not with a view to public disclosure or filing thereof under state or federal securities laws, and may not be reproduced, disseminated, quoted or referred to, in whole or in part, without the prior written consent of Evercore. These materials do not constitute an offer or solicitation to sell or purchase any securities and are not a commitment by Evercore or any of its affiliates to provide or arrange any financing for any transaction or to purchase any security in connection therewith. Evercore assumes no obligation to update or otherwise revise these materials. These materials may not reflect information known to other professionals in other business areas of Evercore and its affiliates. Evercore and its affiliates do not provide legal, regulatory, accounting or tax advice. Accordingly, any statements contained herein as to legal, regulatory, accounting or tax matters were neither written nor intended by Evercore or its affiliates to be used and cannot be used by any person, including for the purpose of avoiding tax penalties that may be imposed on such person. Each person should seek legal, regulatory, accounting and tax advice based on his, her or its particular circumstances from independent advisors regarding the impact of the transactions or matters described herein.</w:t>
            </w:r>
          </w:p>
        </w:tc>
      </w:tr>
    </w:tbl>
    <w:p>
      <w:pPr>
        <w:pStyle w:val="TextBody"/>
        <w:ind w:left="0" w:right="0" w:hanging="0"/>
        <w:jc w:val="right"/>
        <w:rPr>
          <w:rFonts w:ascii="Times New Roman" w:hAnsi="Times New Roman"/>
          <w:b/>
          <w:sz w:val="20"/>
        </w:rPr>
      </w:pPr>
      <w:r>
        <w:br w:type="page"/>
      </w:r>
      <w:bookmarkStart w:id="23" w:name="tm2314213d1_ex99-c7.htm"/>
      <w:bookmarkStart w:id="24" w:name="kstm2314213d1_ex99c7"/>
      <w:bookmarkEnd w:id="23"/>
      <w:bookmarkEnd w:id="24"/>
      <w:r>
        <w:rPr>
          <w:rFonts w:ascii="Times New Roman" w:hAnsi="Times New Roman"/>
          <w:b/>
          <w:sz w:val="20"/>
        </w:rPr>
        <w:t>Exhibit 99.(c)(7)</w:t>
        <w:br/>
      </w:r>
    </w:p>
    <w:tbl>
      <w:tblPr>
        <w:tblW w:w="16685" w:type="dxa"/>
        <w:jc w:val="right"/>
        <w:tblInd w:w="0" w:type="dxa"/>
        <w:tblCellMar>
          <w:top w:w="0" w:type="dxa"/>
          <w:left w:w="0" w:type="dxa"/>
          <w:bottom w:w="0" w:type="dxa"/>
          <w:right w:w="0" w:type="dxa"/>
        </w:tblCellMar>
      </w:tblPr>
      <w:tblGrid>
        <w:gridCol w:w="16500"/>
        <w:gridCol w:w="18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82"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82" descr=""/>
                          <pic:cNvPicPr>
                            <a:picLocks noChangeAspect="1" noChangeArrowheads="1"/>
                          </pic:cNvPicPr>
                        </pic:nvPicPr>
                        <pic:blipFill>
                          <a:blip r:embed="rId187"/>
                          <a:stretch>
                            <a:fillRect/>
                          </a:stretch>
                        </pic:blipFill>
                        <pic:spPr bwMode="auto">
                          <a:xfrm>
                            <a:off x="0" y="0"/>
                            <a:ext cx="10477500" cy="8086725"/>
                          </a:xfrm>
                          <a:prstGeom prst="rect">
                            <a:avLst/>
                          </a:prstGeom>
                        </pic:spPr>
                      </pic:pic>
                    </a:graphicData>
                  </a:graphic>
                </wp:inline>
              </w:drawing>
            </w:r>
          </w:p>
        </w:tc>
        <w:tc>
          <w:tcPr>
            <w:tcW w:w="18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GLOP Internally Adjusted Updated Broker Unadjusted Broker Values (Jun-22) Broker Values (Jun-22) Values (Feb-23) Sponsor Sponsor Sept-22 B/S Dec-22 B/S Sept-22 B/S Dec-22 B/S Dec-22 B/S Steams 145cbm $239.0 $179.2 $196.0 $147.0 $177.8 Steams 145cbm SLB - 31.1 - 31.1 31.1 TFDEs 155cbm 601.2 601.2 521.4 521.4 625.0 TFDEs 155cbm SLB 69.2 69.2 69.2 69.2 69.2 TFDEs 170cbm 150.3 150.3 148.8 148.8 156.8 TFDEs 174cbm 708.4 708.4 701.8 701.8 774.0 Gross Asset Value $1,768.1 $1,739.4 $1,637.2 $1,619.3 $1,833.8 Plus: Cash $155.6 $223.1 $155.6 $223.1 $223.1 Less Debt/Leases/Derivatives (net of fees) (1,019.0) (984.5) (1,019.0) (984.5) (984.5) Less: Preferred Equity (310.7) (291.1) (310.7) (291.1) (291.1) Less: Working Capital (49.0) (46.0) (49.0) (46.0) (46.0) Net Asset Value $545.1 $640.9 $414.1 $520.8 $735.3 Units Outstanding (inc. Class B Units) 54.0 54.3 54.0 54.3 54.3 NAV / Unit $10.09 $11.81 $7.67 $9.59 $13.55 Comparison of Net Asset Value Calculations Source: GasLog Partners management, Partnership filings, Fearnleys, Braemar 1. Gross asset value of $59.8mm subtracted for sale-leaseback of Methane Heather Sally 2. Gross asset value of $49.0mm subtracted for sale-leaseback of Methane Heather Sally 3. $31.1mm added to gross asset value to account for net present value of Methane Heather Sally operating cash flows. Net present value calculated based on 2023E-2025E EBITDA discounted at 12% 4. Owned asset value of $1,733.5mm based on average of Fearnleys and Braemar appraisals as of February 2023 as presented to the Conflicts Committee plus additional value of $69.2mm and $31.1mm reflecting the NPV of operating cash flows for the GasLog Shanghai and Methane Heather Sally, respectively, both of which are on sale-leaseback ($ in millions, except per unit data) 1 1 2 3 3 3 4 Updating Sponsor NAV Calculations for 12/31/22 Balance Sheet Results in Significantly Higher Value</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83"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83" descr=""/>
                          <pic:cNvPicPr>
                            <a:picLocks noChangeAspect="1" noChangeArrowheads="1"/>
                          </pic:cNvPicPr>
                        </pic:nvPicPr>
                        <pic:blipFill>
                          <a:blip r:embed="rId188"/>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Implied GLOP Price at Peer Trading Multiples Peer Trading Multiples Share Price % of Enterprise TEV Multiple (3/13/23) 52 Week High Market Cap Value 2023E EBITDA 2024E EBITDA $32.92 86.1% $1,804.6 $3,186.9 10.8x 10.7x $20.31 65.2% $2,199.7 $2,566.2 8.3x 7.2x $2.82 62.8% $103.9 $657.6 7.0x 6.0x $13.05 66.4% $259.2 $1,393.4 6.4x 6.3x $12.64 80.1% $678.8 $1,615.5 5.6x 6.5x Peer Median 66.4% 7.0x 6.5x $8.31 89.6% $451.1 $1,504.0 5.5x 7.1x Note: CoolCo Multiple TEV Build Share Price (NOK) 133.06 (x) Exchange Rate 0.095x Share Price (USD) $12.64 (x) Share Outstanding 53.688 Market Capitalization $679 (+) Total Contractual Debt 1,251 (–) Cash &amp; Equivalents (133) (–) Pro Forma Adjustments (182) Total Enterprise Value $1,616 FactSet Consensus 2023E EBITDA $286 2024E EBITDA 247 TEV / EBITDA 2023E EBITDA 5.6x 2024E EBITDA 6.5 Notes Actual debt obligations before consolidating Lessor VIEs Adjustments to 'Q4 figures for sale of the Golar Seal in Feb '23 1 1 2 2 Source: GasLog Partners management, Partnership and Company filings, FactSet (as of 3/13/23) 1. Based on Stifel EBITDA estimates of as of 1/26/23 2. Based on GasLog Partners management EBITDA estimates ($ in millions, except per unit/share data) GLOP Implied Unit Price GLOP EBITDA Peer Median Multiple CoolCo Multiple Implied Unit Price 7.0x $18.03 5.6x $10.79 6.5x $12.99 6.5x $12.99 2023E 2024E $290 $269 2 1 1 2</w:t>
            </w:r>
          </w:p>
        </w:tc>
      </w:tr>
    </w:tbl>
    <w:p>
      <w:pPr>
        <w:pStyle w:val="TextBody"/>
        <w:ind w:left="0" w:right="0" w:hanging="0"/>
        <w:jc w:val="right"/>
        <w:rPr>
          <w:rFonts w:ascii="Times New Roman" w:hAnsi="Times New Roman"/>
          <w:b/>
          <w:sz w:val="20"/>
        </w:rPr>
      </w:pPr>
      <w:r>
        <w:br w:type="page"/>
      </w:r>
      <w:bookmarkStart w:id="25" w:name="tm2314213d1_ex99-c8.htm"/>
      <w:bookmarkStart w:id="26" w:name="kstm2314213d1_ex99c8"/>
      <w:bookmarkEnd w:id="25"/>
      <w:bookmarkEnd w:id="26"/>
      <w:r>
        <w:rPr>
          <w:rFonts w:ascii="Times New Roman" w:hAnsi="Times New Roman"/>
          <w:b/>
          <w:sz w:val="20"/>
        </w:rPr>
        <w:t>Exhibit 99.(c)(8)</w:t>
        <w:br/>
      </w:r>
    </w:p>
    <w:tbl>
      <w:tblPr>
        <w:tblW w:w="16655" w:type="dxa"/>
        <w:jc w:val="right"/>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84"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84" descr=""/>
                          <pic:cNvPicPr>
                            <a:picLocks noChangeAspect="1" noChangeArrowheads="1"/>
                          </pic:cNvPicPr>
                        </pic:nvPicPr>
                        <pic:blipFill>
                          <a:blip r:embed="rId189"/>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Conflicts Committee of GasLog Partners LP March 19, 2023 PRELIMINARY ANALYSIS SUBJECT TO MATERIAL CHANGES 3/18/2023 9:46 PM</w:t>
            </w:r>
          </w:p>
        </w:tc>
      </w:tr>
    </w:tbl>
    <w:tbl>
      <w:tblPr>
        <w:tblW w:w="16715" w:type="dxa"/>
        <w:jc w:val="center"/>
        <w:tblInd w:w="0" w:type="dxa"/>
        <w:tblCellMar>
          <w:top w:w="0" w:type="dxa"/>
          <w:left w:w="0" w:type="dxa"/>
          <w:bottom w:w="0" w:type="dxa"/>
          <w:right w:w="0" w:type="dxa"/>
        </w:tblCellMar>
      </w:tblPr>
      <w:tblGrid>
        <w:gridCol w:w="16500"/>
        <w:gridCol w:w="21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85"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85" descr=""/>
                          <pic:cNvPicPr>
                            <a:picLocks noChangeAspect="1" noChangeArrowheads="1"/>
                          </pic:cNvPicPr>
                        </pic:nvPicPr>
                        <pic:blipFill>
                          <a:blip r:embed="rId190"/>
                          <a:stretch>
                            <a:fillRect/>
                          </a:stretch>
                        </pic:blipFill>
                        <pic:spPr bwMode="auto">
                          <a:xfrm>
                            <a:off x="0" y="0"/>
                            <a:ext cx="10477500" cy="8086725"/>
                          </a:xfrm>
                          <a:prstGeom prst="rect">
                            <a:avLst/>
                          </a:prstGeom>
                        </pic:spPr>
                      </pic:pic>
                    </a:graphicData>
                  </a:graphic>
                </wp:inline>
              </w:drawing>
            </w:r>
          </w:p>
        </w:tc>
        <w:tc>
          <w:tcPr>
            <w:tcW w:w="21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 On March 15, 2023, Evercore, on behalf of the Conflicts Committee, conveyed the counterproposal of $9.85 per common unit with the provision for majority of the minority to GasLog Ltd. ◼ On March 17, 2023, GasLog Ltd. responded with its own counterproposal, increasing the proposed cash consideration from $8.02 to $8.10 per GasLog Partners common unit and continuing its insistence on no majority of the minority The Sponsor focused on two internally generated Net Asset Value estimates ● The Sponsor provided a charter-adjusted NAV based on their internally-developed charter adjustment with a negative mark-to-market of ~$117mm on the fleet’s current charters ● The Sponsor also presented an analysis of six recent S&amp;P transactions occurring at a discount to internally-generated estimated broker values for the assets with an implied 23% discount to the gross values of the broker-supplied appraisals While GasLog Ltd. had previously highlighted CoolCo as the relevant comparable, new materials presented argued that GasLog Partners should be valued at a discount to CoolCo In addition, GasLog Ltd. highlighted that regulatory and environmental compliance concerns related to specific GasLog Partners assets should be incorporated into valuation with a discount Summary of Sponsor Counterproposal Key Developments Since Last Meeting 1</w:t>
            </w:r>
          </w:p>
        </w:tc>
      </w:tr>
    </w:tbl>
    <w:tbl>
      <w:tblPr>
        <w:tblW w:w="16685" w:type="dxa"/>
        <w:jc w:val="center"/>
        <w:tblInd w:w="0" w:type="dxa"/>
        <w:tblCellMar>
          <w:top w:w="0" w:type="dxa"/>
          <w:left w:w="0" w:type="dxa"/>
          <w:bottom w:w="0" w:type="dxa"/>
          <w:right w:w="0" w:type="dxa"/>
        </w:tblCellMar>
      </w:tblPr>
      <w:tblGrid>
        <w:gridCol w:w="16500"/>
        <w:gridCol w:w="18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86"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86" descr=""/>
                          <pic:cNvPicPr>
                            <a:picLocks noChangeAspect="1" noChangeArrowheads="1"/>
                          </pic:cNvPicPr>
                        </pic:nvPicPr>
                        <pic:blipFill>
                          <a:blip r:embed="rId191"/>
                          <a:stretch>
                            <a:fillRect/>
                          </a:stretch>
                        </pic:blipFill>
                        <pic:spPr bwMode="auto">
                          <a:xfrm>
                            <a:off x="0" y="0"/>
                            <a:ext cx="10477500" cy="8086725"/>
                          </a:xfrm>
                          <a:prstGeom prst="rect">
                            <a:avLst/>
                          </a:prstGeom>
                        </pic:spPr>
                      </pic:pic>
                    </a:graphicData>
                  </a:graphic>
                </wp:inline>
              </w:drawing>
            </w:r>
          </w:p>
        </w:tc>
        <w:tc>
          <w:tcPr>
            <w:tcW w:w="18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Offer Date: 1/24/23 3/10/23 3/17/23 3/15/23 3/4/23 Offeror: Sponsor Sponsor Sponsor Committee Committee GasLog Partners Common Unit Value $7.70 $8.02 $8.10 $8.50 $9.00 $9.50 $9.85 $10.00 (x) Total Units Outstanding 54.285 54.285 54.285 54.285 54.285 54.285 54.285 54.285 Implied Equity Value $418 $435 $440 $461 $489 $516 $535 $543 (+) Gross Debt as of December 31, 2022 985 985 985 985 985 985 985 985 (–) Cash and Cash Equivalents (223) (223) (223) (223) (223) (223) (223) (223) (+) Liquidation Value of Preferred Equity 291 291 291 291 291 291 291 291 Implied Enterprise Value $1,470 $1,488 $1,492 $1,514 $1,541 $1,568 $1,587 $1,595 Premiums Metric Unaffected Unit Price as of January 24, 2023 $6.98 10.3% 14.9% 16.0% 21.8% 28.9% 36.1% 41.1% 43.3% Unaffected 10-Day VWAP 6.74 14.2% 18.9% 20.1% 26.1% 33.5% 40.9% 46.1% 48.3% Unaffected 30-Day VWAP 6.79 13.4% 18.1% 19.3% 25.2% 32.6% 39.9% 45.1% 47.3% Current Unit Price as of March 17, 2023 8.15 (5.5%) (1.6%) (0.6%) 4.3% 10.4% 16.6% 20.9% 22.7% Implied Price / NAV Assuming 10.0% Discount to Appraised Value $8.51 0.91x 0.94x 0.95x 1.00x 1.06x 1.12x 1.16x 1.18x Assuming No Premium / Discount to Appraised Value 11.70 0.66 0.69 0.69 0.73 0.77 0.81 0.84 0.85 Assuming 10.0% Premium to Appraised Value 14.89 0.52 0.54 0.54 0.57 0.60 0.64 0.66 0.67 EBITDA Multiples (GLOP Mgmt.) Enterprise Value / 2022A EBITDA $274 5.4x 5.4x 5.4x 5.5x 5.6x 5.7x 5.8x 5.8x Enterprise Value / 2023E EBITDA 290 5.1 5.1 5.2 5.2 5.3 5.4 5.5 5.5 Enterprise Value / 2024E EBITDA 269 5.5 5.5 5.5 5.6 5.7 5.8 5.9 5.9 Enterprise Value / 2025E EBITDA 226 6.5 6.6 6.6 6.7 6.8 6.9 7.0 7.1 EBITDA Multiples (Stifel Research) Enterprise Value / 2023E EBITDA $273 5.4x 5.4x 5.5x 5.5x 5.6x 5.7x 5.8x 5.8x Enterprise Value / 2024E EBITDA 211 7.0 7.1 7.1 7.2 7.3 7.4 7.5 7.6 Distribution Yield (GLOP Mgmt.) 2023E 0.04 0.5% 0.5% 0.5% 0.5% 0.4% 0.4% 0.4% 0.4% ($ in millions, except per unit data) Summary of Sponsor Counterproposal Analysis at Various Prices Source: GasLog Partners management, public filings, FactSet (as of 3/17/23) Proposed Consideration 2</w:t>
            </w:r>
          </w:p>
        </w:tc>
      </w:tr>
    </w:tbl>
    <w:tbl>
      <w:tblPr>
        <w:tblW w:w="16685" w:type="dxa"/>
        <w:jc w:val="center"/>
        <w:tblInd w:w="0" w:type="dxa"/>
        <w:tblCellMar>
          <w:top w:w="0" w:type="dxa"/>
          <w:left w:w="0" w:type="dxa"/>
          <w:bottom w:w="0" w:type="dxa"/>
          <w:right w:w="0" w:type="dxa"/>
        </w:tblCellMar>
      </w:tblPr>
      <w:tblGrid>
        <w:gridCol w:w="16500"/>
        <w:gridCol w:w="18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87"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87" descr=""/>
                          <pic:cNvPicPr>
                            <a:picLocks noChangeAspect="1" noChangeArrowheads="1"/>
                          </pic:cNvPicPr>
                        </pic:nvPicPr>
                        <pic:blipFill>
                          <a:blip r:embed="rId192"/>
                          <a:stretch>
                            <a:fillRect/>
                          </a:stretch>
                        </pic:blipFill>
                        <pic:spPr bwMode="auto">
                          <a:xfrm>
                            <a:off x="0" y="0"/>
                            <a:ext cx="10477500" cy="8086725"/>
                          </a:xfrm>
                          <a:prstGeom prst="rect">
                            <a:avLst/>
                          </a:prstGeom>
                        </pic:spPr>
                      </pic:pic>
                    </a:graphicData>
                  </a:graphic>
                </wp:inline>
              </w:drawing>
            </w:r>
          </w:p>
        </w:tc>
        <w:tc>
          <w:tcPr>
            <w:tcW w:w="18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Potential Negotiation Strategies with the Sponsor ◼ Convey to Sponsor disappointment in negotiations thus far and potentially take a more circumspect and patient approach going forward Signal to Sponsor that the Committee will not agree to a deal in proximity of the most recent offer Push back with conviction, arguing that even with a discount to broker values and a discount to CoolCo multiple, the unit value is close to our offer Strong rate environment may lead to NAV accretion over time from retained cash flow and/or higher asset assessments Sponsor and management may be required to address issue on an earnings call, exerting additional pressure ◼ Request Permission to solicit potential third-party buyers Seek price discovery to see if other buyers can deliver superior value for whole or parts of the fleet ◼ Engage third-party consultant on vessel valuations Provides additional view on vessel value that focuses on charter-adjusted values at levels that might clear the market Perspective on ability to monetize fleet in S&amp;P market or pursue monetization via sale-leaseback and portfolio run-off 1 2 3 3</w:t>
            </w:r>
          </w:p>
        </w:tc>
      </w:tr>
    </w:tbl>
    <w:tbl>
      <w:tblPr>
        <w:tblW w:w="16685" w:type="dxa"/>
        <w:jc w:val="center"/>
        <w:tblInd w:w="0" w:type="dxa"/>
        <w:tblCellMar>
          <w:top w:w="0" w:type="dxa"/>
          <w:left w:w="0" w:type="dxa"/>
          <w:bottom w:w="0" w:type="dxa"/>
          <w:right w:w="0" w:type="dxa"/>
        </w:tblCellMar>
      </w:tblPr>
      <w:tblGrid>
        <w:gridCol w:w="16500"/>
        <w:gridCol w:w="18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88"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88" descr=""/>
                          <pic:cNvPicPr>
                            <a:picLocks noChangeAspect="1" noChangeArrowheads="1"/>
                          </pic:cNvPicPr>
                        </pic:nvPicPr>
                        <pic:blipFill>
                          <a:blip r:embed="rId193"/>
                          <a:stretch>
                            <a:fillRect/>
                          </a:stretch>
                        </pic:blipFill>
                        <pic:spPr bwMode="auto">
                          <a:xfrm>
                            <a:off x="0" y="0"/>
                            <a:ext cx="10477500" cy="8086725"/>
                          </a:xfrm>
                          <a:prstGeom prst="rect">
                            <a:avLst/>
                          </a:prstGeom>
                        </pic:spPr>
                      </pic:pic>
                    </a:graphicData>
                  </a:graphic>
                </wp:inline>
              </w:drawing>
            </w:r>
          </w:p>
        </w:tc>
        <w:tc>
          <w:tcPr>
            <w:tcW w:w="18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Precedent MLP Premiums Paid Source: Bloomberg, FactSet, Public filings Final Transaction Premium Date Date Unaffected Final Deal Announced Disclosed Acquiror / Target Consideration Spot Price Announced - 1 02/01/23 07/06/22 Sisecam Chemical Resources LLC / Sisecam Resources LP Cash-for-Unit 39.7% 2.8% 01/06/23 08/17/22 Phillips 66 / DCP Midstream, LP Cash-for-Unit 20.1% 6.2% 07/25/22 02/10/22 Shell USA, Inc. / Shell Midstream Partners, L.P. Cash-for-Unit 23.0% 9.6% 05/25/22 12/03/21 Höegh LNG Holdings Ltd / Höegh LNG Partners LP Cash-for-Unit 135.4% 35.0% 04/22/22 10/08/21 Ergon, Inc. / Blueknight Energy Partners, L.P. Cash-for-Unit 51.5% 40.9% 08/23/21 05/14/21 Landmark Dividend / Landmark Infrastructure Partners LP Cash-for-Unit 38.4% 16.5% 03/05/21 02/04/21 Chevron Corporation / Noble Midstream Partners LP Stock-for-Unit 16.7% (3.3%) 12/15/20 10/04/20 TC Energy Corporation / TC PipeLines, LP Stock-for-Unit 19.5% 0.6% 12/17/19 08/27/19 Blackstone Infrastructure Partners / Tallgrass Energy LP Cash-for-Unit 56.4% 22.7% 10/01/19 05/16/19 Brookfield Business Partners L.P. / Teekay Offshore Partners L.P. Cash-for-Unit 28.1% 33.6% 11/26/18 07/09/18 ArcLight Energy Partners Fund VI, L.P. / TransMontaigne Partners L.P. Cash-for-Unit 13.5% 12.6% 10/09/18 02/23/18 Antero Midstream GP LP / Antero Midstream Partners LP Cash/Stock-for-Unit 63.7% 83.4% 25th Quartile 19.7% 3.7% Median 33.3% 19.6% Mean 42.2% 25.2% 75th Quartile 55.2% 36.5% 25th Quartile 21.6% 7.9% Median 38.4% 16.5% Mean 45.1% 20.0% 75th Quartile 54.0% 34.3% All Transactions Cash Transactions Transactions with publicly disclosed initial offers 1 4</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89"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89" descr=""/>
                          <pic:cNvPicPr>
                            <a:picLocks noChangeAspect="1" noChangeArrowheads="1"/>
                          </pic:cNvPicPr>
                        </pic:nvPicPr>
                        <pic:blipFill>
                          <a:blip r:embed="rId194"/>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GLOP Internally Adjusted Broker Values (Feb-23) Unadjusted Broker Values (Feb-23) Charter-Adj. 23% S&amp;P Discount Dec-22 B/S Dec-22 B/S Dec-22 B/S Mar-23 B/S Jun-23 B/S Steams 145cbm $177.8 $136.9 $177.8 $177.8 $177.8 Steams 145cbm SLB 28.4 28.4 28.4 28.4 28.4 TFDEs 155cbm 625.0 481.3 625.0 625.0 625.0 TFDEs 155cbm SLB 64.7 64.7 64.7 64.7 64.7 TFDEs 170cbm 156.8 120.7 156.8 156.8 156.8 TFDEs 174cbm 779.0 599.8 774.0 774.0 774.0 Gross Asset Value $1,831.6 $1,431.8 $1,826.6 $1,826.6 $1,826.6 Plus: Cash $223.1 $223.1 $223.1 $125.6 $152.5 Less Debt/Leases/Derivatives (net of fees) (980.9) (980.9) (984.5) (951.6) (931.0) Less: Preferred Equity (291.1) (291.1) (291.1) (200.3) (200.3) Less: Working Capital (52.4) (52.4) (52.0) (33.5) (39.0) Net Asset Value $730.5 $330.6 $722.2 $767.0 $808.8 Less: Charter Adjustment ($116.8) NA NA NA NA Sponsor Net Asset Value $613.7 $330.6 NA NA NA Units Outstanding (inc. Class B Units) 54.5 54.5 54.3 54.3 54.3 NAV / Unit $13.40 $6.07 $13.30 $14.13 $14.90 Less: Charter Adjustment / Unit ($2.14) $ - ($2.15) ($2.15) ($2.15) NAV Charter Adjusted / Unit $11.26 NA $11.15 $11.98 $12.75 Comparison of Net Asset Value Calculations Source: GasLog Partners management, Partnership filings, Fearnleys, Braemar 1. Based on 3/17/23 Sponsor materials. Represents right-of-use asset associated with sale leaseback 2. February 2023 Braemar appraisal for GasLog Greece not provided, so GasLog Greece gross asset value based on average of February 2023 Fearnleys appraisal and December 2022 Braemar appraisal 3. Based on GasLog Partners 2022 20-F 4. December 2022 balance sheet preferred equity value based on liquidation preference of $25.00 per unit. March and June 2023 balance sheet preferred equity values incorporate repurchase of Series B preferred equity 5. GasLog Partners management charter adjustment of ($116.8)mm divided by units outstanding ($ in millions, except per unit data) 1 ◼ Strong contracted cash flow in 1H 2023 will increase NAV through discussions / closing ◼ As a result of de minimis distributions, substantially all of the cash flow generation increases NAV 4 1 1 2 2 2 3 3 5 5</w:t>
            </w:r>
          </w:p>
        </w:tc>
      </w:tr>
    </w:tbl>
    <w:tbl>
      <w:tblPr>
        <w:tblW w:w="16640" w:type="dxa"/>
        <w:jc w:val="center"/>
        <w:tblInd w:w="0" w:type="dxa"/>
        <w:tblCellMar>
          <w:top w:w="0" w:type="dxa"/>
          <w:left w:w="0" w:type="dxa"/>
          <w:bottom w:w="0" w:type="dxa"/>
          <w:right w:w="0" w:type="dxa"/>
        </w:tblCellMar>
      </w:tblPr>
      <w:tblGrid>
        <w:gridCol w:w="16500"/>
        <w:gridCol w:w="14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90"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90" descr=""/>
                          <pic:cNvPicPr>
                            <a:picLocks noChangeAspect="1" noChangeArrowheads="1"/>
                          </pic:cNvPicPr>
                        </pic:nvPicPr>
                        <pic:blipFill>
                          <a:blip r:embed="rId195"/>
                          <a:stretch>
                            <a:fillRect/>
                          </a:stretch>
                        </pic:blipFill>
                        <pic:spPr bwMode="auto">
                          <a:xfrm>
                            <a:off x="0" y="0"/>
                            <a:ext cx="10477500" cy="8086725"/>
                          </a:xfrm>
                          <a:prstGeom prst="rect">
                            <a:avLst/>
                          </a:prstGeom>
                        </pic:spPr>
                      </pic:pic>
                    </a:graphicData>
                  </a:graphic>
                </wp:inline>
              </w:drawing>
            </w:r>
          </w:p>
        </w:tc>
        <w:tc>
          <w:tcPr>
            <w:tcW w:w="14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Selected Potential Third-Party Buyers Potential buyers may be interested in the entire fleet or selected assets 2 Entire Fleet Selected Assets for FSRU Conversion / 6</w:t>
            </w:r>
          </w:p>
        </w:tc>
      </w:tr>
    </w:tbl>
    <w:tbl>
      <w:tblPr>
        <w:tblW w:w="16685" w:type="dxa"/>
        <w:jc w:val="center"/>
        <w:tblInd w:w="0" w:type="dxa"/>
        <w:tblCellMar>
          <w:top w:w="0" w:type="dxa"/>
          <w:left w:w="0" w:type="dxa"/>
          <w:bottom w:w="0" w:type="dxa"/>
          <w:right w:w="0" w:type="dxa"/>
        </w:tblCellMar>
      </w:tblPr>
      <w:tblGrid>
        <w:gridCol w:w="16500"/>
        <w:gridCol w:w="18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91"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91" descr=""/>
                          <pic:cNvPicPr>
                            <a:picLocks noChangeAspect="1" noChangeArrowheads="1"/>
                          </pic:cNvPicPr>
                        </pic:nvPicPr>
                        <pic:blipFill>
                          <a:blip r:embed="rId196"/>
                          <a:stretch>
                            <a:fillRect/>
                          </a:stretch>
                        </pic:blipFill>
                        <pic:spPr bwMode="auto">
                          <a:xfrm>
                            <a:off x="0" y="0"/>
                            <a:ext cx="10477500" cy="8086725"/>
                          </a:xfrm>
                          <a:prstGeom prst="rect">
                            <a:avLst/>
                          </a:prstGeom>
                        </pic:spPr>
                      </pic:pic>
                    </a:graphicData>
                  </a:graphic>
                </wp:inline>
              </w:drawing>
            </w:r>
          </w:p>
        </w:tc>
        <w:tc>
          <w:tcPr>
            <w:tcW w:w="18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These materials have been prepared by Evercore Group L.L.C. (“Evercore”) for the Conflicts Committee (the “Conflicts Committee”) of the Board of Directors of GasLog Partners GP LLC, the general partner of GasLog Partners LP (“GLOP,” or the “Partnership”), to whom such materials are directly addressed and delivered and may not be used or relied upon for any purpose other than as specifically contemplated by a written agreement with Evercore. These materials are based on information provided by or on behalf of the Conflicts Committee, from public sources or otherwise reviewed by Evercore. Evercore assumes no responsibility for independent investigation or verification of such information and has relied on such information being complete and accurate in all material respects. To the extent such information includes estimates and forecasts of future financial or operating performance prepared by or reviewed with the management of GLOP and/or other potential transaction participants or obtained from public sources, Evercore has assumed that such estimates and forecasts have been reasonably prepared on bases reflecting the best currently available estimates and good faith judgments of such management (or, with respect to estimates and forecasts obtained from public sources, represent reasonable estimates). No representation or warranty, express or implied, is made as to the accuracy or completeness of such information and nothing contained herein is, or shall be relied upon as, a representation, whether as to the past, the present or the future. These materials were designed for use by specific persons familiar with the business and affairs of GLOP. These materials are not intended to provide the sole basis for evaluating, and should not be considered a recommendation with respect to, any transaction or other matter. These materials have been developed by and are proprietary to Evercore and were prepared exclusively for the benefit and internal use of the Conflicts Committee. These materials were compiled on a confidential basis for use by the Conflicts Committee and not with a view to public disclosure or filing thereof under state or federal securities laws, and may not be reproduced, disseminated, quoted or referred to, in whole or in part, without the prior written consent of Evercore. These materials do not constitute an offer or solicitation to sell or purchase any securities and are not a commitment by Evercore or any of its affiliates to provide or arrange any financing for any transaction or to purchase any security in connection therewith. Evercore assumes no obligation to update or otherwise revise these materials. These materials may not reflect information known to other professionals in other business areas of Evercore and its affiliates. Evercore and its affiliates do not provide legal, regulatory, accounting or tax advice. Accordingly, any statements contained herein as to legal, regulatory, accounting or tax matters were neither written nor intended by Evercore or its affiliates to be used and cannot be used by any person, including for the purpose of avoiding tax penalties that may be imposed on such person. Each person should seek legal, regulatory, accounting and tax advice based on his, her or its particular circumstances from independent advisors regarding the impact of the transactions or matters described herein.</w:t>
            </w:r>
          </w:p>
        </w:tc>
      </w:tr>
    </w:tbl>
    <w:p>
      <w:pPr>
        <w:pStyle w:val="TextBody"/>
        <w:ind w:left="0" w:right="0" w:hanging="0"/>
        <w:jc w:val="right"/>
        <w:rPr>
          <w:rFonts w:ascii="Times New Roman" w:hAnsi="Times New Roman"/>
          <w:b/>
          <w:sz w:val="20"/>
        </w:rPr>
      </w:pPr>
      <w:r>
        <w:br w:type="page"/>
      </w:r>
      <w:bookmarkStart w:id="27" w:name="tm2314213d1_ex99-c9.htm"/>
      <w:bookmarkStart w:id="28" w:name="kstm2314213d1_ex99c9"/>
      <w:bookmarkEnd w:id="27"/>
      <w:bookmarkEnd w:id="28"/>
      <w:r>
        <w:rPr>
          <w:rFonts w:ascii="Times New Roman" w:hAnsi="Times New Roman"/>
          <w:b/>
          <w:sz w:val="20"/>
        </w:rPr>
        <w:t>Exhibit 99.(c)(9)</w:t>
        <w:br/>
      </w:r>
    </w:p>
    <w:tbl>
      <w:tblPr>
        <w:tblW w:w="16655" w:type="dxa"/>
        <w:jc w:val="right"/>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92"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92" descr=""/>
                          <pic:cNvPicPr>
                            <a:picLocks noChangeAspect="1" noChangeArrowheads="1"/>
                          </pic:cNvPicPr>
                        </pic:nvPicPr>
                        <pic:blipFill>
                          <a:blip r:embed="rId197"/>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Conflicts Committee of GasLog Partners LP March 2023 PRELIMINARY ANALYSIS SUBJECT TO MATERIAL CHANGES 3/30/2023 9:31 AM</w:t>
            </w:r>
          </w:p>
        </w:tc>
      </w:tr>
    </w:tbl>
    <w:tbl>
      <w:tblPr>
        <w:tblW w:w="16685" w:type="dxa"/>
        <w:jc w:val="center"/>
        <w:tblInd w:w="0" w:type="dxa"/>
        <w:tblCellMar>
          <w:top w:w="0" w:type="dxa"/>
          <w:left w:w="0" w:type="dxa"/>
          <w:bottom w:w="0" w:type="dxa"/>
          <w:right w:w="0" w:type="dxa"/>
        </w:tblCellMar>
      </w:tblPr>
      <w:tblGrid>
        <w:gridCol w:w="16500"/>
        <w:gridCol w:w="18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93"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93" descr=""/>
                          <pic:cNvPicPr>
                            <a:picLocks noChangeAspect="1" noChangeArrowheads="1"/>
                          </pic:cNvPicPr>
                        </pic:nvPicPr>
                        <pic:blipFill>
                          <a:blip r:embed="rId198"/>
                          <a:stretch>
                            <a:fillRect/>
                          </a:stretch>
                        </pic:blipFill>
                        <pic:spPr bwMode="auto">
                          <a:xfrm>
                            <a:off x="0" y="0"/>
                            <a:ext cx="10477500" cy="8086725"/>
                          </a:xfrm>
                          <a:prstGeom prst="rect">
                            <a:avLst/>
                          </a:prstGeom>
                        </pic:spPr>
                      </pic:pic>
                    </a:graphicData>
                  </a:graphic>
                </wp:inline>
              </w:drawing>
            </w:r>
          </w:p>
        </w:tc>
        <w:tc>
          <w:tcPr>
            <w:tcW w:w="18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Table of Contents Summary of Sponsor Counterproposal Preliminary Valuation Findings Appendix Section I II</w:t>
            </w:r>
          </w:p>
        </w:tc>
      </w:tr>
    </w:tbl>
    <w:tbl>
      <w:tblPr>
        <w:tblW w:w="16685" w:type="dxa"/>
        <w:jc w:val="center"/>
        <w:tblInd w:w="0" w:type="dxa"/>
        <w:tblCellMar>
          <w:top w:w="0" w:type="dxa"/>
          <w:left w:w="0" w:type="dxa"/>
          <w:bottom w:w="0" w:type="dxa"/>
          <w:right w:w="0" w:type="dxa"/>
        </w:tblCellMar>
      </w:tblPr>
      <w:tblGrid>
        <w:gridCol w:w="16500"/>
        <w:gridCol w:w="18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94"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94" descr=""/>
                          <pic:cNvPicPr>
                            <a:picLocks noChangeAspect="1" noChangeArrowheads="1"/>
                          </pic:cNvPicPr>
                        </pic:nvPicPr>
                        <pic:blipFill>
                          <a:blip r:embed="rId199"/>
                          <a:stretch>
                            <a:fillRect/>
                          </a:stretch>
                        </pic:blipFill>
                        <pic:spPr bwMode="auto">
                          <a:xfrm>
                            <a:off x="0" y="0"/>
                            <a:ext cx="10477500" cy="8086725"/>
                          </a:xfrm>
                          <a:prstGeom prst="rect">
                            <a:avLst/>
                          </a:prstGeom>
                        </pic:spPr>
                      </pic:pic>
                    </a:graphicData>
                  </a:graphic>
                </wp:inline>
              </w:drawing>
            </w:r>
          </w:p>
        </w:tc>
        <w:tc>
          <w:tcPr>
            <w:tcW w:w="18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I. Summary of Sponsor Counterproposal</w:t>
            </w:r>
          </w:p>
        </w:tc>
      </w:tr>
    </w:tbl>
    <w:tbl>
      <w:tblPr>
        <w:tblW w:w="16685" w:type="dxa"/>
        <w:jc w:val="center"/>
        <w:tblInd w:w="0" w:type="dxa"/>
        <w:tblCellMar>
          <w:top w:w="0" w:type="dxa"/>
          <w:left w:w="0" w:type="dxa"/>
          <w:bottom w:w="0" w:type="dxa"/>
          <w:right w:w="0" w:type="dxa"/>
        </w:tblCellMar>
      </w:tblPr>
      <w:tblGrid>
        <w:gridCol w:w="16500"/>
        <w:gridCol w:w="18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95"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95" descr=""/>
                          <pic:cNvPicPr>
                            <a:picLocks noChangeAspect="1" noChangeArrowheads="1"/>
                          </pic:cNvPicPr>
                        </pic:nvPicPr>
                        <pic:blipFill>
                          <a:blip r:embed="rId200"/>
                          <a:stretch>
                            <a:fillRect/>
                          </a:stretch>
                        </pic:blipFill>
                        <pic:spPr bwMode="auto">
                          <a:xfrm>
                            <a:off x="0" y="0"/>
                            <a:ext cx="10477500" cy="8086725"/>
                          </a:xfrm>
                          <a:prstGeom prst="rect">
                            <a:avLst/>
                          </a:prstGeom>
                        </pic:spPr>
                      </pic:pic>
                    </a:graphicData>
                  </a:graphic>
                </wp:inline>
              </w:drawing>
            </w:r>
          </w:p>
        </w:tc>
        <w:tc>
          <w:tcPr>
            <w:tcW w:w="18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 On March 17, 2023, Evercore, on behalf of the Conflicts Committee, conveyed the counterproposal to GasLog Ltd. of $9.10 per common unit with the provision for majority of the minority ◼ On March 29, 2023, GasLog Ltd. responded with its own counterproposal, increasing the proposed cash consideration from $8.10 to $8.38 per GasLog Partners common unit and continuing its insistence on no majority of the minority provision GasLog Ltd. has requested a response by Friday, March 31st ◼ Evercore has requested an updated corporate model from management to address the following recent developments: GasLog Partners entered into the sale-leaseback of the GasLog Sydney with CDB Leasing Management provided the Board with an update on the Venice Energy FSRU project, indicating potential delays and adjustments to contractual terms Management indicated that it believes the Conflicts Committee has the latest financial projections, but will check internally for updated materials Summary of Sponsor Counterproposal Key Developments Since Last Meeting 4</w:t>
            </w:r>
          </w:p>
        </w:tc>
      </w:tr>
    </w:tbl>
    <w:tbl>
      <w:tblPr>
        <w:tblW w:w="16685" w:type="dxa"/>
        <w:jc w:val="center"/>
        <w:tblInd w:w="0" w:type="dxa"/>
        <w:tblCellMar>
          <w:top w:w="0" w:type="dxa"/>
          <w:left w:w="0" w:type="dxa"/>
          <w:bottom w:w="0" w:type="dxa"/>
          <w:right w:w="0" w:type="dxa"/>
        </w:tblCellMar>
      </w:tblPr>
      <w:tblGrid>
        <w:gridCol w:w="16500"/>
        <w:gridCol w:w="18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96"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96" descr=""/>
                          <pic:cNvPicPr>
                            <a:picLocks noChangeAspect="1" noChangeArrowheads="1"/>
                          </pic:cNvPicPr>
                        </pic:nvPicPr>
                        <pic:blipFill>
                          <a:blip r:embed="rId201"/>
                          <a:stretch>
                            <a:fillRect/>
                          </a:stretch>
                        </pic:blipFill>
                        <pic:spPr bwMode="auto">
                          <a:xfrm>
                            <a:off x="0" y="0"/>
                            <a:ext cx="10477500" cy="8086725"/>
                          </a:xfrm>
                          <a:prstGeom prst="rect">
                            <a:avLst/>
                          </a:prstGeom>
                        </pic:spPr>
                      </pic:pic>
                    </a:graphicData>
                  </a:graphic>
                </wp:inline>
              </w:drawing>
            </w:r>
          </w:p>
        </w:tc>
        <w:tc>
          <w:tcPr>
            <w:tcW w:w="18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Offer Date: 1/24/23 3/10/23 3/17/23 3/29/23 3/17/23 3/15/23 3/4/23 Offeror: Sponsor Sponsor Sponsor Sponsor Committee Committee Committee GasLog Partners Common Unit Value $7.70 $8.02 $8.10 $8.38 $8.50 $8.75 $9.00 $9.10 $9.85 $10.00 (x) Total Units Outstanding 54.285 54.285 54.285 54.285 54.285 54.285 54.285 54.285 54.285 54.285 Implied Equity Value $418 $435 $440 $455 $461 $475 $489 $494 $535 $543 (+) Gross Debt as of December 31, 2022 985 985 985 985 985 985 985 985 985 985 (–) Cash and Cash Equivalents (223) (223) (223) (223) (223) (223) (223) (223) (223) (223) (+) Liquidation Value of Preferred Equity 291 291 291 291 291 291 291 291 291 291 Implied Enterprise Value $1,470 $1,488 $1,492 $1,507 $1,514 $1,527 $1,541 $1,546 $1,587 $1,595 Premiums Metric Unaffected Unit Price as of January 24, 2023 $6.98 10.3% 14.9% 16.0% 20.1% 21.8% 25.4% 28.9% 30.4% 41.1% 43.3% Unaffected 10-Day VWAP 6.74 14.2% 18.9% 20.1% 24.3% 26.1% 29.8% 33.5% 35.0% 46.1% 48.3% Unaffected 30-Day VWAP 6.79 13.4% 18.1% 19.3% 23.4% 25.2% 28.9% 32.6% 34.1% 45.1% 47.3% Current Unit Price as of March 29, 2023 8.46 (9.0%) (5.2%) (4.3%) (0.9%) 0.5% 3.4% 6.4% 7.6% 16.4% 18.2% Implied Price / NAV Assuming 10.0% Discount to Appraised Value $8.19 0.94x 0.98x 0.99x 1.02x 1.04x 1.07x 1.10x 1.11x 1.20x 1.22x Assuming No Premium / Discount to Appraised Value 11.56 0.67 0.69 0.70 0.73 0.74 0.76 0.78 0.79 0.85 0.87 Assuming 10.0% Premium to Appraised Value 14.92 0.52 0.54 0.54 0.56 0.57 0.59 0.60 0.61 0.66 0.67 EBITDA Multiples (GLOP Mgmt.) Enterprise Value / 2022A EBITDA $274 5.4x 5.4x 5.4x 5.5x 5.5x 5.6x 5.6x 5.6x 5.8x 5.8x Enterprise Value / 2023E EBITDA 290 5.1 5.1 5.2 5.2 5.2 5.3 5.3 5.3 5.5 5.5 Enterprise Value / 2024E EBITDA 269 5.5 5.5 5.5 5.6 5.6 5.7 5.7 5.7 5.9 5.9 Enterprise Value / 2025E EBITDA 226 6.5 6.6 6.6 6.7 6.7 6.8 6.8 6.9 7.0 7.1 EBITDA Multiples (Stifel Research) Enterprise Value / 2023E EBITDA $273 5.4x 5.4x 5.5x 5.5x 5.5x 5.6x 5.6x 5.7x 5.8x 5.8x Enterprise Value / 2024E EBITDA 211 7.0 7.1 7.1 7.2 7.2 7.2 7.3 7.3 7.5 7.6 Distribution Yield (GLOP Mgmt.) 2023E 0.04 0.5% 0.5% 0.5% 0.5% 0.5% 0.5% 0.4% 0.4% 0.4% 0.4% ($ in millions, except per unit data) Summary of Sponsor Counterproposal Analysis at Various Prices Source: GasLog Partners management, public filings, FactSet (3/29/23) 1. Please refer to page 9 for charter-adjusted Net Asset Value calculations 0 5 1</w:t>
            </w:r>
          </w:p>
        </w:tc>
      </w:tr>
    </w:tbl>
    <w:tbl>
      <w:tblPr>
        <w:tblW w:w="16685" w:type="dxa"/>
        <w:jc w:val="center"/>
        <w:tblInd w:w="0" w:type="dxa"/>
        <w:tblCellMar>
          <w:top w:w="0" w:type="dxa"/>
          <w:left w:w="0" w:type="dxa"/>
          <w:bottom w:w="0" w:type="dxa"/>
          <w:right w:w="0" w:type="dxa"/>
        </w:tblCellMar>
      </w:tblPr>
      <w:tblGrid>
        <w:gridCol w:w="16500"/>
        <w:gridCol w:w="18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97"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97" descr=""/>
                          <pic:cNvPicPr>
                            <a:picLocks noChangeAspect="1" noChangeArrowheads="1"/>
                          </pic:cNvPicPr>
                        </pic:nvPicPr>
                        <pic:blipFill>
                          <a:blip r:embed="rId202"/>
                          <a:stretch>
                            <a:fillRect/>
                          </a:stretch>
                        </pic:blipFill>
                        <pic:spPr bwMode="auto">
                          <a:xfrm>
                            <a:off x="0" y="0"/>
                            <a:ext cx="10477500" cy="8086725"/>
                          </a:xfrm>
                          <a:prstGeom prst="rect">
                            <a:avLst/>
                          </a:prstGeom>
                        </pic:spPr>
                      </pic:pic>
                    </a:graphicData>
                  </a:graphic>
                </wp:inline>
              </w:drawing>
            </w:r>
          </w:p>
        </w:tc>
        <w:tc>
          <w:tcPr>
            <w:tcW w:w="18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Daily Average Total Volume Traded Since Offer (45 Days) 547k 24,596k 90-Day Unaffected 345k 31,069k % of Outstanding Common Units Since Offer (45 Days) 1.0% 45.3% 90-Day Unaffected 0.6% 57.2% % of Public Float (36.338mm units) Since Offer (45 Days) 1.5% 67.7% 90-Day Unaffected 0.9% 85.5% $8.46 - 1,000.0 2,000.0 3,000.0 4,000.0 5,000.0 $6.00 $7.00 $8.00 $9.00 $10.00 1/24 2/5 2/18 3/3 3/16 3/29 GLOP Common Unit Price Unit Volume (thousands) Volume (000s) Unit Price Summary of Sponsor Counterproposal Source: FactSet (3/29/23) GLOP Unit Price Performance Initial Offer: $7.70 Proposed Consideration: $8.38 6</w:t>
            </w:r>
          </w:p>
        </w:tc>
      </w:tr>
    </w:tbl>
    <w:tbl>
      <w:tblPr>
        <w:tblW w:w="16625" w:type="dxa"/>
        <w:jc w:val="center"/>
        <w:tblInd w:w="0" w:type="dxa"/>
        <w:tblCellMar>
          <w:top w:w="0" w:type="dxa"/>
          <w:left w:w="0" w:type="dxa"/>
          <w:bottom w:w="0" w:type="dxa"/>
          <w:right w:w="0" w:type="dxa"/>
        </w:tblCellMar>
      </w:tblPr>
      <w:tblGrid>
        <w:gridCol w:w="16500"/>
        <w:gridCol w:w="12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98"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98" descr=""/>
                          <pic:cNvPicPr>
                            <a:picLocks noChangeAspect="1" noChangeArrowheads="1"/>
                          </pic:cNvPicPr>
                        </pic:nvPicPr>
                        <pic:blipFill>
                          <a:blip r:embed="rId203"/>
                          <a:stretch>
                            <a:fillRect/>
                          </a:stretch>
                        </pic:blipFill>
                        <pic:spPr bwMode="auto">
                          <a:xfrm>
                            <a:off x="0" y="0"/>
                            <a:ext cx="10477500" cy="8086725"/>
                          </a:xfrm>
                          <a:prstGeom prst="rect">
                            <a:avLst/>
                          </a:prstGeom>
                        </pic:spPr>
                      </pic:pic>
                    </a:graphicData>
                  </a:graphic>
                </wp:inline>
              </w:drawing>
            </w:r>
          </w:p>
        </w:tc>
        <w:tc>
          <w:tcPr>
            <w:tcW w:w="12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II. Preliminary Valuation Findings</w:t>
            </w:r>
          </w:p>
        </w:tc>
      </w:tr>
    </w:tbl>
    <w:tbl>
      <w:tblPr>
        <w:tblW w:w="16700" w:type="dxa"/>
        <w:jc w:val="center"/>
        <w:tblInd w:w="0" w:type="dxa"/>
        <w:tblCellMar>
          <w:top w:w="0" w:type="dxa"/>
          <w:left w:w="0" w:type="dxa"/>
          <w:bottom w:w="0" w:type="dxa"/>
          <w:right w:w="0" w:type="dxa"/>
        </w:tblCellMar>
      </w:tblPr>
      <w:tblGrid>
        <w:gridCol w:w="16500"/>
        <w:gridCol w:w="20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199"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99" descr=""/>
                          <pic:cNvPicPr>
                            <a:picLocks noChangeAspect="1" noChangeArrowheads="1"/>
                          </pic:cNvPicPr>
                        </pic:nvPicPr>
                        <pic:blipFill>
                          <a:blip r:embed="rId204"/>
                          <a:stretch>
                            <a:fillRect/>
                          </a:stretch>
                        </pic:blipFill>
                        <pic:spPr bwMode="auto">
                          <a:xfrm>
                            <a:off x="0" y="0"/>
                            <a:ext cx="10477500" cy="8086725"/>
                          </a:xfrm>
                          <a:prstGeom prst="rect">
                            <a:avLst/>
                          </a:prstGeom>
                        </pic:spPr>
                      </pic:pic>
                    </a:graphicData>
                  </a:graphic>
                </wp:inline>
              </w:drawing>
            </w:r>
          </w:p>
        </w:tc>
        <w:tc>
          <w:tcPr>
            <w:tcW w:w="20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Discounted Cash Flow Peer Trading Precedents Premium / (Discount) to Appraisal NAV: (10.0%) – 10.0% WACC: 9.0% – 10.0% 2023E EBITDA Multiple: 5.0x - 6.0x 2024E EBITDA Multiple: 5.5x - 6.5x Appraisal P / NAV Multiple: 0.55x - 0.80x Appraisal P / NAV Multiple: 0.70x - 1.05x Based on on Low and High of Past 52 Weeks 2027E EBITDA Exit Multiple: 4.0x – 6.0x EV / 2023E EBITDA EV / 2024E EBITDA Charter-Adjusted Appraisal NAV1 EBITDA Exit Multiple Based on 25th and 75th percentile of the One-Day and 30- Day Paid Price / Net Asset Value1 Price / Net Asset Value1 Analyst Price Target Premiums Paid 52-Week Share Price Range Based on Stifel Price Target $8.19 $6.43 $7.28 $7.87 $6.36 $8.09 $4.30 $7.52 $9.50 $14.92 $12.96 $12.61 $12.83 $9.25 $12.14 $9.27 $10.11 $9.50 $-- $10.00 $20.00 $30.00 Proposed Consideration: $8.38 Current Trading Price: $8.46 Preliminary Valuation Summary Preliminary Findings Note: This summary of certain analyses is provided for illustrative purposes. It does not represent all of the analyses performed by Evercore and should be considered with the information elsewhere in this presentation. As is customary in similar transactions, the valuation analysis contained herein assesses the Partnership on a standalone basis. 1. Owned vessels based on an average of appraisals from Fearnleys and Braemar ACM as of February 2023. Sale leaseback vessels based on Sponsor-estimated right-of-use asset value For Reference Only 8</w:t>
            </w:r>
          </w:p>
        </w:tc>
      </w:tr>
    </w:tbl>
    <w:tbl>
      <w:tblPr>
        <w:tblW w:w="16700" w:type="dxa"/>
        <w:jc w:val="center"/>
        <w:tblInd w:w="0" w:type="dxa"/>
        <w:tblCellMar>
          <w:top w:w="0" w:type="dxa"/>
          <w:left w:w="0" w:type="dxa"/>
          <w:bottom w:w="0" w:type="dxa"/>
          <w:right w:w="0" w:type="dxa"/>
        </w:tblCellMar>
      </w:tblPr>
      <w:tblGrid>
        <w:gridCol w:w="16500"/>
        <w:gridCol w:w="20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00"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200" descr=""/>
                          <pic:cNvPicPr>
                            <a:picLocks noChangeAspect="1" noChangeArrowheads="1"/>
                          </pic:cNvPicPr>
                        </pic:nvPicPr>
                        <pic:blipFill>
                          <a:blip r:embed="rId205"/>
                          <a:stretch>
                            <a:fillRect/>
                          </a:stretch>
                        </pic:blipFill>
                        <pic:spPr bwMode="auto">
                          <a:xfrm>
                            <a:off x="0" y="0"/>
                            <a:ext cx="10477500" cy="8086725"/>
                          </a:xfrm>
                          <a:prstGeom prst="rect">
                            <a:avLst/>
                          </a:prstGeom>
                        </pic:spPr>
                      </pic:pic>
                    </a:graphicData>
                  </a:graphic>
                </wp:inline>
              </w:drawing>
            </w:r>
          </w:p>
        </w:tc>
        <w:tc>
          <w:tcPr>
            <w:tcW w:w="20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Appraisal NAV per Share $6.51 $8.19 $9.27 $9.88 $11.56 $13.24 $14.92 $16.61 (15.0%) (10.0%) WS Research (5.0%) 0.0% 5.0% 10.0% 15.0% Premium / (Discount) to Total Charter-Free Appraised Value Charter Free Gross Asset Value (Broker Average) $1,827 (±) Charter Mark-to-Market (95) Charter Adjusted Gross Asset Value $1,732 (+) Cash and Cash Equivalents 223 (–) Net Working Capital (52) (–) Preferred Equity1 (291) (–) Total Debt Outstanding2 (985) Net Asset Value $627 (÷) Total Units Outstanding 54.285 NAV per Common Unit $11.56 Implied Current Price / NAV 3 0.73x Charter Free Appraisal Charter Adj.4 Vessel Engine Built Cbm Fearnleys Braemar Avg. MtM Value GasLog Geneva TFDE 2016 174k $201 $190 $196 ($2) $194 GasLog Gibraltar TFDE 2016 174k 201 190 196 (2) 193 GasLog Glasgow TFDE 2016 174k 199 190 195 (36) 158 GasLog Greece TFDE 2016 174k 197 180 189 (34) 155 Solaris TFDE 2014 155k 160 162 161 5 166 Methane Becki Anne TFDE 2010 170k 145 169 157 (7) 149 GasLog Santiago TFDE 2013 155k 148 162 155 (14) 141 GasLog Sydney TFDE 2013 155k 148 162 155 - 155 GasLog Seattle TFDE 2013 155k 150 158 154 - 154 Methane Alison Victoria Steam 2007 145k 65 59 62 (2) 60 Methane Jane Elizabeth Steam 2006 145k 60 56 58 (6) 52 Methane Rita Andrea Steam 2006 145k 60 56 58 3 61 GasLog Shanghai TFDE 2013 155k SLB SLB 65 SLB 65 Methane Heather Sally Steam 2007 145k SLB SLB 28 SLB 28 Gross Asset Value $1,734 $1,733 $1,827 ($95) $1,732 GLOP Fleet Summary Preliminary Findings GLOP Fleet Valuation Detail GasLog Partners NAV per Unit ($ in millions) Source: Company filings, Fearnleys and Braemar (February 2023) Note: Balance sheet figures based on fiscal year ended 12/31/22 1. Preferred equity valued at liquidation preference of $25 per unit. Preferred equity market value of $270.9mm as of 3/29/23 2. Includes lease liabilities 3. Based on GLOP unit price of $8.46 as of 3/29/23 4. Charter Mark-to-Market based on firm period only with Sponsor-provided comparable market rates, assuming a 9.5% discount rate and a 6/30/23 valuation date 5. GasLog Greece appraisal as of December 31, 2022, as its appraisal as of February 28, 2023 has not yet been provided by GasLog Partners Management 6. Reflects present value of sale leaseback operating cash flows, as provided by Sponsor on 3/17/23 7. Based on Stifel research (1/24/23) 5 7 Sensitivity Analysis Applied Sensitivity Range For Reference Only Implied NAV per Unit (Assuming no Appraisal Discount) $11.56 $12.14 $10.40 $10.98 $9.25 $9.82 $8.09 $8.67 $7.51 0.65x 0.70x 0.75x 0.80x 0.85x 0.90x 0.95x 1.00x 1.05x Price / Net Asset Value per Common Unit 9 Requested updated information from Management based on recent sale leaseback 6 6 6 6 4</w:t>
            </w:r>
          </w:p>
        </w:tc>
      </w:tr>
    </w:tbl>
    <w:tbl>
      <w:tblPr>
        <w:tblW w:w="16670" w:type="dxa"/>
        <w:jc w:val="center"/>
        <w:tblInd w:w="0" w:type="dxa"/>
        <w:tblCellMar>
          <w:top w:w="0" w:type="dxa"/>
          <w:left w:w="0" w:type="dxa"/>
          <w:bottom w:w="0" w:type="dxa"/>
          <w:right w:w="0" w:type="dxa"/>
        </w:tblCellMar>
      </w:tblPr>
      <w:tblGrid>
        <w:gridCol w:w="16500"/>
        <w:gridCol w:w="17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01"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201" descr=""/>
                          <pic:cNvPicPr>
                            <a:picLocks noChangeAspect="1" noChangeArrowheads="1"/>
                          </pic:cNvPicPr>
                        </pic:nvPicPr>
                        <pic:blipFill>
                          <a:blip r:embed="rId206"/>
                          <a:stretch>
                            <a:fillRect/>
                          </a:stretch>
                        </pic:blipFill>
                        <pic:spPr bwMode="auto">
                          <a:xfrm>
                            <a:off x="0" y="0"/>
                            <a:ext cx="10477500" cy="8086725"/>
                          </a:xfrm>
                          <a:prstGeom prst="rect">
                            <a:avLst/>
                          </a:prstGeom>
                        </pic:spPr>
                      </pic:pic>
                    </a:graphicData>
                  </a:graphic>
                </wp:inline>
              </w:drawing>
            </w:r>
          </w:p>
        </w:tc>
        <w:tc>
          <w:tcPr>
            <w:tcW w:w="17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Discounted Cash Flow – Assumptions Preliminary Findings ◼ Evercore utilized the following assumptions to analyze GasLog Partners’ discounted cash flows: Discounted the projected cash flows to January 1, 2023 under midterm convention EBITDA and capital expenditures through December 31, 2027E per GLOP Financial Projections Assumes a tax rate of 0.0% Mid-point discount rate of 9.5% utilizing WACC based on Capital Asset Pricing Model Terminal value based on a 4.0x to 6.0x EBITDA exit multiple 10</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02"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202" descr=""/>
                          <pic:cNvPicPr>
                            <a:picLocks noChangeAspect="1" noChangeArrowheads="1"/>
                          </pic:cNvPicPr>
                        </pic:nvPicPr>
                        <pic:blipFill>
                          <a:blip r:embed="rId207"/>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Discounted Cash Flow of GasLog Partners Preliminary Findings Source: GasLog Partners management, public filings 1. Includes Financing Leases 2. Liquidation value as of January 1, 2023 3. Includes general partner, common and Class B units ($ in millions, except per unit data) For the Years Ending December 31, EBITDA 2023E 2024E 2025E 2026E 2027E Multiple EBITDA $289.5 $269.0 $225.7 $222.2 $238.3 $238.3 (–) Capital Expenditures (38.2) (54.6) (90.8) (28.0) - (–) Change in Working Capital (15.3) (1.1) (0.7) (0.2) (0.0) (±) Other Items - - - - - Unlevered Free Cash Flow $236.0 $213.3 $134.2 $194.1 $238.3 Terminal Value Exit EBITDA Multiple 5.00x Terminal Value $1,191.5 PV of Terminal Value at 9.5% Discount Rate 756.9 (+) PV of Unlevered Free Cash Flow at 9.5% Discount Rate 818.3 Implied Enterprise Value $1,575.2 (–) Total Debt Outstanding as of January 1, 20231 (984.5) (+) Cash and Cash Equivalents as of January 1, 2023 223.1 (–) Preferred Equity2 (291.1) Implied Equity Value $522.7 Total Units as of January 1, 20233 54.285 Implied Value per Unit $9.63 EBITDA Exit Multiple Sensitivity Perpetuity Growth Rate Sensitivity EBITDA Exit Multiple Perpetuity Growth Rate 3.00x 4.00x 5.00x 6.00x 7.00x 8.5% $4.76 $7.68 $10.60 $13.52 $16.44 9.0% 4.40 7.26 10.11 12.96 15.82 9.5% 4.05 6.84 9.63 12.42 15.21 10.0% 3.71 6.43 9.16 11.89 14.61 10.5% 3.37 6.04 8.70 11.37 14.03 WACC 11</w:t>
            </w:r>
          </w:p>
        </w:tc>
      </w:tr>
    </w:tbl>
    <w:tbl>
      <w:tblPr>
        <w:tblW w:w="16670" w:type="dxa"/>
        <w:jc w:val="center"/>
        <w:tblInd w:w="0" w:type="dxa"/>
        <w:tblCellMar>
          <w:top w:w="0" w:type="dxa"/>
          <w:left w:w="0" w:type="dxa"/>
          <w:bottom w:w="0" w:type="dxa"/>
          <w:right w:w="0" w:type="dxa"/>
        </w:tblCellMar>
      </w:tblPr>
      <w:tblGrid>
        <w:gridCol w:w="16500"/>
        <w:gridCol w:w="17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03"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203" descr=""/>
                          <pic:cNvPicPr>
                            <a:picLocks noChangeAspect="1" noChangeArrowheads="1"/>
                          </pic:cNvPicPr>
                        </pic:nvPicPr>
                        <pic:blipFill>
                          <a:blip r:embed="rId208"/>
                          <a:stretch>
                            <a:fillRect/>
                          </a:stretch>
                        </pic:blipFill>
                        <pic:spPr bwMode="auto">
                          <a:xfrm>
                            <a:off x="0" y="0"/>
                            <a:ext cx="10477500" cy="8086725"/>
                          </a:xfrm>
                          <a:prstGeom prst="rect">
                            <a:avLst/>
                          </a:prstGeom>
                        </pic:spPr>
                      </pic:pic>
                    </a:graphicData>
                  </a:graphic>
                </wp:inline>
              </w:drawing>
            </w:r>
          </w:p>
        </w:tc>
        <w:tc>
          <w:tcPr>
            <w:tcW w:w="17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2. Based on Clarksons historical data 3. Given limited data for 5-yr old vessels, 2020 values extrapolated assuming same average relative percentage change in pricing between newbuild and 5-yr old vessels as in 2021 and 2022 4. Given limited data for 10-yr old vessels, 2018, 2019 and 2020 values extrapolated assuming same average relative percentage change in pricing between 5-yr old and 10-yr old vessels as in 2021 and 2022 5. Given limited data for 15-yr old vessels, 2018 and 2019 values extrapolated assuming same average relative percentage change in pricing between 10-yr old and 15-yr old vessels as in 2020, 2021 and 2022 Preliminary Findings Exit EV / EBITDA Considerations Based on Fleet Age and Type 145k CBM Steam Vessels Implied EV / EBITDA1 160k CBM TFDE Vessels Implied EV / EBITDA1 174k CBM TFDE Vessels Implied EV / EBITDA1 GLOP Fleet 5.6x 3.3x 10-Yr Old 15-Yr Old 6.0x 4.5x 5-Yr Old 10-Yr Old 4.5x 4.0x Newbuild 5-Yr Old $161 $132 $84 $52 4 $214 $1953 $14.61 $26.41 $47.31 ($ in millions) Three Year Average Five Year Average Source: Clarksons, GLOP management 1. Assumes charter rates of ~$146k, ~$89k and ~$52k per day for 174k TFDE, 160k TFDE and steam vessels respectively, based on average 1yr TC for measurement period (3yrs for 174k TFDE and 5yrs for 160k TFDE and Steam vessels); Assumes operating expenses of ~$13,700, ~$14,700 and ~$11,000 per day for 174k TFDE, 160k TFDE and 145k steam vessels respectively, based on 2023 estimates from GLOP Financial Projections 5 Avg. S&amp;P Purchase Price2 Vessel EBITDA1 145k CBM Steam 3 160k CBM TFDE 4 174k CBM TFDE 5 Age (Years) 2023 2027 145k CBM Steam 16 21 160k CBM TFDE 9 14 174k CBM TFDE 7 12 Number of Vessels (2027) Age of Vessels 12 Multiple Degradation Over 5 Years (0.5x) (1.5x) (2.3x)</w:t>
            </w:r>
          </w:p>
        </w:tc>
      </w:tr>
    </w:tbl>
    <w:tbl>
      <w:tblPr>
        <w:tblW w:w="16685" w:type="dxa"/>
        <w:jc w:val="center"/>
        <w:tblInd w:w="0" w:type="dxa"/>
        <w:tblCellMar>
          <w:top w:w="0" w:type="dxa"/>
          <w:left w:w="0" w:type="dxa"/>
          <w:bottom w:w="0" w:type="dxa"/>
          <w:right w:w="0" w:type="dxa"/>
        </w:tblCellMar>
      </w:tblPr>
      <w:tblGrid>
        <w:gridCol w:w="16500"/>
        <w:gridCol w:w="18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04"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204" descr=""/>
                          <pic:cNvPicPr>
                            <a:picLocks noChangeAspect="1" noChangeArrowheads="1"/>
                          </pic:cNvPicPr>
                        </pic:nvPicPr>
                        <pic:blipFill>
                          <a:blip r:embed="rId209"/>
                          <a:stretch>
                            <a:fillRect/>
                          </a:stretch>
                        </pic:blipFill>
                        <pic:spPr bwMode="auto">
                          <a:xfrm>
                            <a:off x="0" y="0"/>
                            <a:ext cx="10477500" cy="8086725"/>
                          </a:xfrm>
                          <a:prstGeom prst="rect">
                            <a:avLst/>
                          </a:prstGeom>
                        </pic:spPr>
                      </pic:pic>
                    </a:graphicData>
                  </a:graphic>
                </wp:inline>
              </w:drawing>
            </w:r>
          </w:p>
        </w:tc>
        <w:tc>
          <w:tcPr>
            <w:tcW w:w="18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Preliminary Findings Peer Trading – Overview of Peers Company Remaining Charter Length Age of Fleet Overview of Business 1.5 10.9 ■ Pure-play LNGC with 14 vessels, including 4 steams, 5 155k CBM TFDEs and 5 170k+ TFDEs ■ Significant spot exposure in 2024+ ■ MLP structure 3.6 3.4 ■ Pure-play LNGC with 100% 174K+ CBM fleet TFDEs under long-term charters 6.3 13.3 ■ FSRU-focused business with long-term charters and limited spot exposure 6.2 12.7 ■ Pure-play LNGC with 3 steams vessels under long-term contract with Gazprom and 3 other 155k TFDE vessels ■ MLP structure 7.8 / 5.1 (LNGC Only / Full Fleet) 1.6 / 7.0 (LNGC Only / Full Fleet) ■ Mixed fleet including 16 containers (majority of contracts expire 2025+) and 7 LNGC (2020+ builds with long term charters) ■ MLP structure NA 7.2 ■ Pure-play LNGC with 8 160k CMB TFDE vessels and 4 170k+ CBM TFDE vessels ■ Significant spot exposure ■ Listed on NYSE and Norwegian exchange Source: Partnership and Company websites and filings, Wall Street research 13</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05"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205" descr=""/>
                          <pic:cNvPicPr>
                            <a:picLocks noChangeAspect="1" noChangeArrowheads="1"/>
                          </pic:cNvPicPr>
                        </pic:nvPicPr>
                        <pic:blipFill>
                          <a:blip r:embed="rId210"/>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4.9x 5.2x 10.8x 7.7x 6.8x 6.4x 5.5x 5.3x 6.8x 10.8x 7.2x 5.9x 6.3x 6.4x EV / 2023E EBITDA EV / 2024E EBITDA 2023E Median: 6.8x 2024E Median: 6.4x Preliminary Findings Peer Trading – EV / EBITDA Source: Partnership website and filings, Wall Street research, FactSet (3/29/23) Note: GLOP EBITDA estimates represent Stifel (1/26/23) estimates 1. At time of IPO on December 31, 2021; Management EBITDA figure assumes execution of Project Venice 2. Based on Stifel research (1/24/23) 1.7 6.0 6.2 8.0 1 3.8 NA Charter Duration (Yrs.) 2 Management Wall Street Research 1 GLOP metrics based on GLOP’s unaffected unit price of $6.98 as of 1/24/23 14</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06"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206" descr=""/>
                          <pic:cNvPicPr>
                            <a:picLocks noChangeAspect="1" noChangeArrowheads="1"/>
                          </pic:cNvPicPr>
                        </pic:nvPicPr>
                        <pic:blipFill>
                          <a:blip r:embed="rId211"/>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5.5x 6.6x 6.4x 7.6x 10.8x 5.7x 0.0x 2.0x 4.0x 6.0x 8.0x 10.0x 12.0x 14.0x 16.0x 1/1/18 11/15/18 9/30/19 8/14/20 6/29/21 5/14/22 3/29/23 Gaslog Partners Dynagas Capital Product Partners Excelerate Energy Flex LNG CoolCo 0 1 Year Average 3 Year Average 5 Year Average Gaslog Partners 4.9x 5.8x 6.6x Dynagas 7.5x 8.1x 8.5x Capital Product Partners 6.8x 6.1x 5.6x Excelerate Energy 10.3x Flex LNG 10.6x 8.9x 8.7x CoolCo 5.6x Average (Excluding GLOP) 8.2x 7.7x 7.6x Preliminary Findings GLOP’s Trading Multiples Over Time Relative to Benchmarks and Its Peers Source: FactSet (3/29/23) 1. Excelerate Energy IPO on 4/13/22 2. CoolCo began trading on 2/22/22 1 EV / NTM EBITDA 2 Over the last five years, GLOP has traded at a 1.0x discount to the peer average, and the one- and three-year average discount is closer to 2.0-3.0x 15</w:t>
            </w:r>
          </w:p>
        </w:tc>
      </w:tr>
    </w:tbl>
    <w:tbl>
      <w:tblPr>
        <w:tblW w:w="16625" w:type="dxa"/>
        <w:jc w:val="center"/>
        <w:tblInd w:w="0" w:type="dxa"/>
        <w:tblCellMar>
          <w:top w:w="0" w:type="dxa"/>
          <w:left w:w="0" w:type="dxa"/>
          <w:bottom w:w="0" w:type="dxa"/>
          <w:right w:w="0" w:type="dxa"/>
        </w:tblCellMar>
      </w:tblPr>
      <w:tblGrid>
        <w:gridCol w:w="16500"/>
        <w:gridCol w:w="12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07"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207" descr=""/>
                          <pic:cNvPicPr>
                            <a:picLocks noChangeAspect="1" noChangeArrowheads="1"/>
                          </pic:cNvPicPr>
                        </pic:nvPicPr>
                        <pic:blipFill>
                          <a:blip r:embed="rId212"/>
                          <a:stretch>
                            <a:fillRect/>
                          </a:stretch>
                        </pic:blipFill>
                        <pic:spPr bwMode="auto">
                          <a:xfrm>
                            <a:off x="0" y="0"/>
                            <a:ext cx="10477500" cy="8086725"/>
                          </a:xfrm>
                          <a:prstGeom prst="rect">
                            <a:avLst/>
                          </a:prstGeom>
                        </pic:spPr>
                      </pic:pic>
                    </a:graphicData>
                  </a:graphic>
                </wp:inline>
              </w:drawing>
            </w:r>
          </w:p>
        </w:tc>
        <w:tc>
          <w:tcPr>
            <w:tcW w:w="12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0.60x 0.75x 1.09x 0.55x 0.35x NA NA Source: Partnership website and filings, Wall Street research, FactSet (3/29/23) 1. Based on the average of Fearnleys and Braemar 2. NAV on Stifel research (1/24/23) Preliminary Findings Peer Trading – P / NAV Wall Street Research Analyst NAV P / NAV Mean 0.66x Median 0.55x 2 Broker Appraisal Wall Street Research 1 GLOP metrics based on GLOP’s unaffected unit price of $6.98 as of 1/24/23 16</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08"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208" descr=""/>
                          <pic:cNvPicPr>
                            <a:picLocks noChangeAspect="1" noChangeArrowheads="1"/>
                          </pic:cNvPicPr>
                        </pic:nvPicPr>
                        <pic:blipFill>
                          <a:blip r:embed="rId213"/>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Target GCI DryShips Teekay Offshore Grindrod Shipping Golar LNG Partners GasLog Teekay LNG Partners Höegh LNG Holdings Ltd. Acquiror Seaspan SPII Holdings Brookfield Taylor Maritime Investments New Fortress Energy BlackRock Stonepeak Limestone Höegh LNG Partners LP Business Type Term Mixed Mixed Mixed Mixed Term Term Term Transaction Value $1,600 $717 $4,382 $565 $1,906 $4,858 $6,179 $774 Consideration Structure Mixed Cash Cash Cash Mixed Cash Cash Cash Average Fleet Age 3 years 6 years 8 years 7 years 13 years 5 years 10 years 9 years 0.92x 0.86x NA 0.93x 1.06x 0.73x 1.08x 0.80x 3/14/18 8/19/19 10/1/19 10/13/22 1/13/21 2/22/21 10/4/21 5/25/22 Shipping Transaction LNG Transaction LNG Average: 0.92x All Transactions Average: 0.91x Preliminary Findings Selected Precedent Transactions – Cash / Partial Cash – P / NAV ($ in millions) Source: Public filings, press releases, investor presentations, FactSet, Capital IQ, Wall Street research, Evercore estimates 17</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09"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209" descr=""/>
                          <pic:cNvPicPr>
                            <a:picLocks noChangeAspect="1" noChangeArrowheads="1"/>
                          </pic:cNvPicPr>
                        </pic:nvPicPr>
                        <pic:blipFill>
                          <a:blip r:embed="rId214"/>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Peer Group Trading: EV / EBITDA Metric Data Applied Multiple Range Implied Valuation Low - High Low - High EV / 2023E EBITDA $290 5.0x - 6.0x $1,448 - $1,737 Implied Enterprise Value $1,448 - $1,737 Less: Total Debt as of January 1, 20232 (985) Plus: Cash and Cash Equivalents as of January 1, 2023 223 Less: Preferred Equity3 (291) Implied Equity Value Range $395 $685 Total Units as of January 1, 20234 54.285 Implied Value per Unit $7.28 $12.61 Preliminary Findings 2023E EBITDA 2024E EBITDA Source: GasLog Partners management, public filings 1. Includes Financing Leases 2. Liquidation value as of January 1, 2023 3. Includes general partner, common and Class B units Metric Data Applied Multiple Range Implied Valuation Low - High Low - High EV / 2024E EBITDA $269 5.5x - 6.5x $1,480 - $1,749 Implied Enterprise Value $1,480 - $1,749 Less: Total Debt as of January 1, 20232 (985) Plus: Cash and Cash Equivalents as of January 1, 2023 223 Less: Preferred Equity3 (291) Implied Equity Value Range $427 $696 Total Units as of January 1, 20234 54.285 Implied Value per Unit $7.87 $12.83 ($ in millions, except per unit data) 18</w:t>
            </w:r>
          </w:p>
        </w:tc>
      </w:tr>
    </w:tbl>
    <w:tbl>
      <w:tblPr>
        <w:tblW w:w="16700" w:type="dxa"/>
        <w:jc w:val="center"/>
        <w:tblInd w:w="0" w:type="dxa"/>
        <w:tblCellMar>
          <w:top w:w="0" w:type="dxa"/>
          <w:left w:w="0" w:type="dxa"/>
          <w:bottom w:w="0" w:type="dxa"/>
          <w:right w:w="0" w:type="dxa"/>
        </w:tblCellMar>
      </w:tblPr>
      <w:tblGrid>
        <w:gridCol w:w="16500"/>
        <w:gridCol w:w="20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10"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210" descr=""/>
                          <pic:cNvPicPr>
                            <a:picLocks noChangeAspect="1" noChangeArrowheads="1"/>
                          </pic:cNvPicPr>
                        </pic:nvPicPr>
                        <pic:blipFill>
                          <a:blip r:embed="rId215"/>
                          <a:stretch>
                            <a:fillRect/>
                          </a:stretch>
                        </pic:blipFill>
                        <pic:spPr bwMode="auto">
                          <a:xfrm>
                            <a:off x="0" y="0"/>
                            <a:ext cx="10477500" cy="8086725"/>
                          </a:xfrm>
                          <a:prstGeom prst="rect">
                            <a:avLst/>
                          </a:prstGeom>
                        </pic:spPr>
                      </pic:pic>
                    </a:graphicData>
                  </a:graphic>
                </wp:inline>
              </w:drawing>
            </w:r>
          </w:p>
        </w:tc>
        <w:tc>
          <w:tcPr>
            <w:tcW w:w="20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Preliminary Findings Peer Group Trading – P / NAV Metric Data Applied Multiple Range Implied Valuation Low - High Low - High Average Broker Appraised P / NAV1 $627 0.55x - 0.80x $345 - $502 Implied Equity Value Range $345 $502 Total Units as of January 1, 2023 54.285 Implied Value per Unit $6.36 $9.25 Source: GasLog Partners management, public filings 1. Based on average February 2023 Clarksons and Fearnleys plus charter Mark-to-Market based on firm period only with Sponsor-provided comparable market rates, assuming a 9.5% discount rate 2. Includes Financing Leases 3. Liquidation value as of January 1, 2023 4. Includes general partner, common and Class B units Precedent Transaction Analysis – P / NAV Metric Data Applied Multiple Range Implied Valuation Low - High Low - High Average Broker Appraised P / NAV1 $627 0.70x - 1.05x $439 - $659 Implied Equity Value Range $439 $659 Total Units as of January 1, 2023 54.285 Implied Value per Unit $8.09 $12.14 ($ in millions, except per unit data) 19 P / NAV Multiples</w:t>
            </w:r>
          </w:p>
        </w:tc>
      </w:tr>
    </w:tbl>
    <w:tbl>
      <w:tblPr>
        <w:tblW w:w="16685" w:type="dxa"/>
        <w:jc w:val="center"/>
        <w:tblInd w:w="0" w:type="dxa"/>
        <w:tblCellMar>
          <w:top w:w="0" w:type="dxa"/>
          <w:left w:w="0" w:type="dxa"/>
          <w:bottom w:w="0" w:type="dxa"/>
          <w:right w:w="0" w:type="dxa"/>
        </w:tblCellMar>
      </w:tblPr>
      <w:tblGrid>
        <w:gridCol w:w="16500"/>
        <w:gridCol w:w="18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11"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211" descr=""/>
                          <pic:cNvPicPr>
                            <a:picLocks noChangeAspect="1" noChangeArrowheads="1"/>
                          </pic:cNvPicPr>
                        </pic:nvPicPr>
                        <pic:blipFill>
                          <a:blip r:embed="rId216"/>
                          <a:stretch>
                            <a:fillRect/>
                          </a:stretch>
                        </pic:blipFill>
                        <pic:spPr bwMode="auto">
                          <a:xfrm>
                            <a:off x="0" y="0"/>
                            <a:ext cx="10477500" cy="8086725"/>
                          </a:xfrm>
                          <a:prstGeom prst="rect">
                            <a:avLst/>
                          </a:prstGeom>
                        </pic:spPr>
                      </pic:pic>
                    </a:graphicData>
                  </a:graphic>
                </wp:inline>
              </w:drawing>
            </w:r>
          </w:p>
        </w:tc>
        <w:tc>
          <w:tcPr>
            <w:tcW w:w="18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Preliminary Findings Source: Bloomberg, FactSet, Public filings 1. VWAP premiums paid are calculated by dividing the value of the offer, defined as the exchange ratio multiplied by the closing price of the acquiror’s shares / units on the last trading day prior to announcement plus any cash received, by the 30 VWAP of the target as calculated from the last undisturbed trading day prior to the announcement Premium1 Date Unaffected 30-Day Announced Acquiror / Target Consideration Spot Price VWAP 02/01/23 Sisecam Chemical Resources LLC / Sisecam Resources LP Cash-for-Unit 39.7% 40.1% 01/06/23 Phillips 66 / DCP Midstream, LP Cash-for-Unit 20.1% 28.5% 07/28/22 PBF Energy, Inc. / PBF Logistics LP Cash/Stock-for-Unit (3.0%) 13.2% 07/25/22 Shell USA, Inc. / Shell Midstream Partners, L.P. Cash-for-Unit 23.0% 24.7% 06/02/22 Hartree Partners, LP / Sprague Resources LP Cash-for-Unit 27.3% 24.1% 05/25/22 Höegh LNG Holdings Ltd / Höegh LNG Partners LP Cash-for-Unit 135.4% 103.5% 05/16/22 Diamondback Energy / Rattler Midstream LP Stock-for-Unit 17.3% 8.7% 04/22/22 Ergon, Inc. / Blueknight Energy Partners, L.P. Cash-for-Unit 51.5% 46.8% 12/20/21 BP p.l.c / BP Midstream Partners LP Stock-for-Unit 10.8% 3.0% 10/27/21 Phillips 66 / Phillips 66 Partners LP Stock-for-Unit 4.8% 10.6% 10/04/21 Stonepeak Infrastructure Partners / Teekay LNG Partners LP Cash-for-Unit 8.3% 7.6% 08/23/21 Landmark Dividend / Landmark Infrastructure Partners LP Cash-for-Unit 38.4% 35.6% 03/05/21 Chevron Corporation / Noble Midstream Partners LP Stock-for-Unit 16.7% 23.5% 12/15/20 TC Energy Corporation / TC PipeLines, LP Stock-for-Unit 19.5% 10.0% 07/27/20 CNX Resources Corporation / CNX Midstream Partners Stock-for-Unit 28.1% 16.1% 02/27/20 Equitrans Midstream Corporation / EQM Midstream Partners, LP Stock-for-Unit (1.5%) (11.2%) 12/17/19 Blackstone Infrastructure Partners / Tallgrass Energy LP Cash-for-Unit 56.4% 22.7% 10/01/19 Brookfield Business Partners L.P. / Teekay Offshore Partners L.P. Cash-for-Unit 28.1% 9.8% 09/16/19 Energy Transfer LP / SemGroup Corporation Cash/Unit-for-Share 65.4% 80.9% 08/21/19 Pembina Pipeline Corporation / Kinder Morgan Canada Limited Share-for-Share 37.7% 32.5% 05/10/19 IFM Investors / Buckeye Partners, L.P. Cash-for-Unit 27.5% 22.9% 05/08/19 MPLX LP / Andeavor (Marathon Petroleum Corporation; Andeavor Logistics LP) Unit-for-Unit 1.8% 0.5% 04/02/19 UGI Corporation / AmeriGas Partners, L.P. Cash/Stock-for-Unit 13.5% 22.2% 03/18/19 ArcLight Energy Partners Fund V, L.P. / American Midstream, LP Cash-for-Unit 31.2% 32.0% 02/05/19 SunCoke Energy, Inc. / SunCoke Energy Partners, L.P. Stock-for-Unit 9.3% 29.9% 11/26/18 ArcLight Energy Partners Fund VI, L.P. / TransMontaigne Partners L.P. Cash-for-Unit 13.5% 8.6% 11/08/18 Western Gas Equity Partners, LP / Western Gas Partners, LP Unit-for-Unit 7.6% 13.8% 10/22/18 EnLink Midstream, LLC / EnLink Midstream Partners, LP Unit-for-Unit 1.1% (0.6%) 10/18/18 Valero Energy Corporation / Valero Energy Partners LP Cash-for-Unit 6.0% 11.9% 10/09/18 Antero Midstream GP LP / Antero Midstream Partners LP Cash/Stock-for-Unit 63.7% 6.6% 25th Quartile 8.2% 8.7% Median 19.8% 15.0% Mean 26.6% 21.8% 75th Quartile 37.9% 28.6% 25th Quartile 18.5% 11.4% Median 27.8% 24.4% Mean 36.2% 29.9% 75th Quartile 42.6% 36.7% All Transactions Cash Transactions Precedent MLP Premiums Paid 20</w:t>
            </w:r>
          </w:p>
        </w:tc>
      </w:tr>
    </w:tbl>
    <w:tbl>
      <w:tblPr>
        <w:tblW w:w="16685" w:type="dxa"/>
        <w:jc w:val="center"/>
        <w:tblInd w:w="0" w:type="dxa"/>
        <w:tblCellMar>
          <w:top w:w="0" w:type="dxa"/>
          <w:left w:w="0" w:type="dxa"/>
          <w:bottom w:w="0" w:type="dxa"/>
          <w:right w:w="0" w:type="dxa"/>
        </w:tblCellMar>
      </w:tblPr>
      <w:tblGrid>
        <w:gridCol w:w="16500"/>
        <w:gridCol w:w="18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12"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212" descr=""/>
                          <pic:cNvPicPr>
                            <a:picLocks noChangeAspect="1" noChangeArrowheads="1"/>
                          </pic:cNvPicPr>
                        </pic:nvPicPr>
                        <pic:blipFill>
                          <a:blip r:embed="rId217"/>
                          <a:stretch>
                            <a:fillRect/>
                          </a:stretch>
                        </pic:blipFill>
                        <pic:spPr bwMode="auto">
                          <a:xfrm>
                            <a:off x="0" y="0"/>
                            <a:ext cx="10477500" cy="8086725"/>
                          </a:xfrm>
                          <a:prstGeom prst="rect">
                            <a:avLst/>
                          </a:prstGeom>
                        </pic:spPr>
                      </pic:pic>
                    </a:graphicData>
                  </a:graphic>
                </wp:inline>
              </w:drawing>
            </w:r>
          </w:p>
        </w:tc>
        <w:tc>
          <w:tcPr>
            <w:tcW w:w="18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Source: Bloomberg, FactSet, Public filings Final Transaction Premium Date Date Unaffected Final Deal Announced Disclosed Acquiror / Target Consideration Spot Price Announced - 1 02/01/23 07/06/22 Sisecam Chemical Resources LLC / Sisecam Resources LP Cash-for-Unit 39.7% 2.8% 01/06/23 08/17/22 Phillips 66 / DCP Midstream, LP Cash-for-Unit 20.1% 6.2% 07/25/22 02/10/22 Shell USA, Inc. / Shell Midstream Partners, L.P. Cash-for-Unit 23.0% 9.6% 05/25/22 12/03/21 Höegh LNG Holdings Ltd / Höegh LNG Partners LP Cash-for-Unit 135.4% 35.0% 04/22/22 10/08/21 Ergon, Inc. / Blueknight Energy Partners, L.P. Cash-for-Unit 51.5% 40.9% 08/23/21 05/14/21 Landmark Dividend / Landmark Infrastructure Partners LP Cash-for-Unit 38.4% 16.5% 03/05/21 02/04/21 Chevron Corporation / Noble Midstream Partners LP Stock-for-Unit 16.7% (3.3%) 12/15/20 10/04/20 TC Energy Corporation / TC PipeLines, LP Stock-for-Unit 19.5% 0.6% 12/17/19 08/27/19 Blackstone Infrastructure Partners / Tallgrass Energy LP Cash-for-Unit 56.4% 22.7% 10/01/19 05/16/19 Brookfield Business Partners L.P. / Teekay Offshore Partners L.P. Cash-for-Unit 28.1% 33.6% 11/26/18 07/09/18 ArcLight Energy Partners Fund VI, L.P. / TransMontaigne Partners L.P. Cash-for-Unit 13.5% 12.6% 10/09/18 02/23/18 Antero Midstream GP LP / Antero Midstream Partners LP Cash/Stock-for-Unit 63.7% 83.4% 25th Quartile 19.7% 3.7% Median 33.3% 19.6% Mean 42.2% 25.2% 75th Quartile 55.2% 36.5% 25th Quartile 21.6% 7.9% Median 38.4% 16.5% Mean 45.1% 20.0% 75th Quartile 54.0% 34.3% All Transactions Cash Transactions Precedent MLP Premiums Paid in Transactions with Publicly Disclosed Initial Offers Preliminary Findings 21</w:t>
            </w:r>
          </w:p>
        </w:tc>
      </w:tr>
    </w:tbl>
    <w:tbl>
      <w:tblPr>
        <w:tblW w:w="16625" w:type="dxa"/>
        <w:jc w:val="center"/>
        <w:tblInd w:w="0" w:type="dxa"/>
        <w:tblCellMar>
          <w:top w:w="0" w:type="dxa"/>
          <w:left w:w="0" w:type="dxa"/>
          <w:bottom w:w="0" w:type="dxa"/>
          <w:right w:w="0" w:type="dxa"/>
        </w:tblCellMar>
      </w:tblPr>
      <w:tblGrid>
        <w:gridCol w:w="16500"/>
        <w:gridCol w:w="12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13"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213" descr=""/>
                          <pic:cNvPicPr>
                            <a:picLocks noChangeAspect="1" noChangeArrowheads="1"/>
                          </pic:cNvPicPr>
                        </pic:nvPicPr>
                        <pic:blipFill>
                          <a:blip r:embed="rId218"/>
                          <a:stretch>
                            <a:fillRect/>
                          </a:stretch>
                        </pic:blipFill>
                        <pic:spPr bwMode="auto">
                          <a:xfrm>
                            <a:off x="0" y="0"/>
                            <a:ext cx="10477500" cy="8086725"/>
                          </a:xfrm>
                          <a:prstGeom prst="rect">
                            <a:avLst/>
                          </a:prstGeom>
                        </pic:spPr>
                      </pic:pic>
                    </a:graphicData>
                  </a:graphic>
                </wp:inline>
              </w:drawing>
            </w:r>
          </w:p>
        </w:tc>
        <w:tc>
          <w:tcPr>
            <w:tcW w:w="12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Appendix</w:t>
            </w:r>
          </w:p>
        </w:tc>
      </w:tr>
    </w:tbl>
    <w:tbl>
      <w:tblPr>
        <w:tblW w:w="16640" w:type="dxa"/>
        <w:jc w:val="center"/>
        <w:tblInd w:w="0" w:type="dxa"/>
        <w:tblCellMar>
          <w:top w:w="0" w:type="dxa"/>
          <w:left w:w="0" w:type="dxa"/>
          <w:bottom w:w="0" w:type="dxa"/>
          <w:right w:w="0" w:type="dxa"/>
        </w:tblCellMar>
      </w:tblPr>
      <w:tblGrid>
        <w:gridCol w:w="16500"/>
        <w:gridCol w:w="14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14"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214" descr=""/>
                          <pic:cNvPicPr>
                            <a:picLocks noChangeAspect="1" noChangeArrowheads="1"/>
                          </pic:cNvPicPr>
                        </pic:nvPicPr>
                        <pic:blipFill>
                          <a:blip r:embed="rId219"/>
                          <a:stretch>
                            <a:fillRect/>
                          </a:stretch>
                        </pic:blipFill>
                        <pic:spPr bwMode="auto">
                          <a:xfrm>
                            <a:off x="0" y="0"/>
                            <a:ext cx="10477500" cy="8086725"/>
                          </a:xfrm>
                          <a:prstGeom prst="rect">
                            <a:avLst/>
                          </a:prstGeom>
                        </pic:spPr>
                      </pic:pic>
                    </a:graphicData>
                  </a:graphic>
                </wp:inline>
              </w:drawing>
            </w:r>
          </w:p>
        </w:tc>
        <w:tc>
          <w:tcPr>
            <w:tcW w:w="14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Charter Mark-to-Market Adjustment</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15"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215" descr=""/>
                          <pic:cNvPicPr>
                            <a:picLocks noChangeAspect="1" noChangeArrowheads="1"/>
                          </pic:cNvPicPr>
                        </pic:nvPicPr>
                        <pic:blipFill>
                          <a:blip r:embed="rId220"/>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Source: GasLog Partners management 1. Represents net present value as of 6/30/23 of firm period operating revenue, less comparable revenue assuming market charter rates provided by Sponsor, discounted monthly assuming 9.5% discount rate Comparison of Firm Charter Revenue to Market Charter Mark-to-Market Adjustment 24 Management Forecasts Market Revenue Charter Mark-to-Market Vessel Revenue Op. Days Rev. Per Day Revenue Op. Days Rev. Per Day Delta NPV of Delta1 GasLog Shanghai $52.2 608 $86.0k $52.2 608 $86.0k $ - $ - GasLog Santiago 13.3 199 67.0k 27.9 199 140.0k (14.5) (14.1) GasLog Sydney - - - - - - - - GasLog Seattle 27.1 226 120.0k 27.1 226 120.0k - - Solaris 11.9 80 149.8k 6.4 80 80.0k 5.5 5.5 GasLog Greece 83.7 974 85.9k 121.8 974 125.0k (38.1) (33.7) GasLog Glasgow 91.6 1,066 85.9k 133.3 1,066 125.0k (41.7) (36.4) GasLog Geneva 7.4 92 81.0k 9.2 92 100.0k (1.7) (1.7) GasLog Gibraltar 9.9 123 81.0k 12.3 123 100.0k (2.3) (2.3) Methane Rita Andrea 7.7 117 66.0k 4.7 117 40.0k 3.0 3.0 Methane Jane Elizabeth 9.2 230 40.0k 15.0 230 65.0k (5.8) (5.5) Methane Alison Victoria 3.0 102 29.5k 5.1 102 50.0k (2.1) (2.0) Methane Heather Sally 37.9 728 52.0k 37.9 728 52.0k - - Methane Becki Anne 176.8 2,067 85.5k 186.0 2,067 90.0k (9.2) (7.3) Total $531.7 6,608 $1,029.6 $638.5 6,608 $96.6 ($106.8) ($94.7) Charter Market-to-Market Adjustment Per Unit ($1.74) Charter Mark-to-Market Adjustment (Firm Period) ($ in millions, except per day / unit data)</w:t>
            </w:r>
          </w:p>
        </w:tc>
      </w:tr>
    </w:tbl>
    <w:tbl>
      <w:tblPr>
        <w:tblW w:w="16625" w:type="dxa"/>
        <w:jc w:val="center"/>
        <w:tblInd w:w="0" w:type="dxa"/>
        <w:tblCellMar>
          <w:top w:w="0" w:type="dxa"/>
          <w:left w:w="0" w:type="dxa"/>
          <w:bottom w:w="0" w:type="dxa"/>
          <w:right w:w="0" w:type="dxa"/>
        </w:tblCellMar>
      </w:tblPr>
      <w:tblGrid>
        <w:gridCol w:w="16500"/>
        <w:gridCol w:w="12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16"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216" descr=""/>
                          <pic:cNvPicPr>
                            <a:picLocks noChangeAspect="1" noChangeArrowheads="1"/>
                          </pic:cNvPicPr>
                        </pic:nvPicPr>
                        <pic:blipFill>
                          <a:blip r:embed="rId221"/>
                          <a:stretch>
                            <a:fillRect/>
                          </a:stretch>
                        </pic:blipFill>
                        <pic:spPr bwMode="auto">
                          <a:xfrm>
                            <a:off x="0" y="0"/>
                            <a:ext cx="10477500" cy="8086725"/>
                          </a:xfrm>
                          <a:prstGeom prst="rect">
                            <a:avLst/>
                          </a:prstGeom>
                        </pic:spPr>
                      </pic:pic>
                    </a:graphicData>
                  </a:graphic>
                </wp:inline>
              </w:drawing>
            </w:r>
          </w:p>
        </w:tc>
        <w:tc>
          <w:tcPr>
            <w:tcW w:w="12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Weighted Average Cost of Capital</w:t>
            </w:r>
          </w:p>
        </w:tc>
      </w:tr>
    </w:tbl>
    <w:tbl>
      <w:tblPr>
        <w:tblW w:w="16670" w:type="dxa"/>
        <w:jc w:val="center"/>
        <w:tblInd w:w="0" w:type="dxa"/>
        <w:tblCellMar>
          <w:top w:w="0" w:type="dxa"/>
          <w:left w:w="0" w:type="dxa"/>
          <w:bottom w:w="0" w:type="dxa"/>
          <w:right w:w="0" w:type="dxa"/>
        </w:tblCellMar>
      </w:tblPr>
      <w:tblGrid>
        <w:gridCol w:w="16500"/>
        <w:gridCol w:w="17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17"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217" descr=""/>
                          <pic:cNvPicPr>
                            <a:picLocks noChangeAspect="1" noChangeArrowheads="1"/>
                          </pic:cNvPicPr>
                        </pic:nvPicPr>
                        <pic:blipFill>
                          <a:blip r:embed="rId222"/>
                          <a:stretch>
                            <a:fillRect/>
                          </a:stretch>
                        </pic:blipFill>
                        <pic:spPr bwMode="auto">
                          <a:xfrm>
                            <a:off x="0" y="0"/>
                            <a:ext cx="10477500" cy="8086725"/>
                          </a:xfrm>
                          <a:prstGeom prst="rect">
                            <a:avLst/>
                          </a:prstGeom>
                        </pic:spPr>
                      </pic:pic>
                    </a:graphicData>
                  </a:graphic>
                </wp:inline>
              </w:drawing>
            </w:r>
          </w:p>
        </w:tc>
        <w:tc>
          <w:tcPr>
            <w:tcW w:w="17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GasLog Partners: Weighted Average Cost of Capital Source: Partnership and Company Filings; FactSet (3/29/23); Duff and Phelps 2023 Valuation Handbook 1. Includes corporate debt, lease liabilities and preferred equity as of 12/31/22 2. FactSet 5-year Beta against the S&amp;P 500, except for CoolCo which is against MSCI 3. Based on unaffected GasLog Partners price and trading as 1/24/23 4. Based on current GasLog Partners capital structure, pro forma for projected retirement of Series B Preference units 5. Based on 20-year US treasury’s current yield to maturity 6. Based on low end of Duff &amp; Phelps’ long-horizon expected equity risk premium (supply-side), defined as historical equity risk premium minus price-to-earnings ratio calculated using three-year earnings; Based on high end of Duff &amp; Phelps’ long-horizon expected equity risk premium (historical), defined as large company stock total return minus long-term government bond income returns 7. Decile: Low (9) with equity value range of $218 million to $373 million, based on equity value of free float 8. Based on weighted average cost of debt and preferred, including: (i) GasLog Partners’ cost of secured bank debt (average of ~7.1%) and (ii) GasLog Partner’s average preferred equity yield of ~8.5% Cost of Equity Sensitivities Cost of Equity Sensitivities Market Risk Premium @ 6.4% Market Risk Premium @ 7.2% Adj. Unlevered Beta Adj. Unlevered Beta 0.20 0.30 0.35 0.40 0.50 0.20 0.30 0.35 0.40 0.50 65.0% 10.6% 11.5% 12.4% 13.3% 14.2% 65.0% 11.2% 12.2% 13.2% 14.3% 15.3% 70.0% 11.4% 12.4% 13.5% 14.5% 15.6% 70.0% 12.0% 13.2% 14.4% 15.6% 16.8% 75.0% 12.4% 13.7% 15.0% 16.2% 17.5% 75.0% 13.2% 14.7% 16.1% 17.5% 19.0% 80.0% 14.0% 15.6% 17.2% 18.8% 20.3% 80.0% 15.0% 16.8% 18.6% 20.4% 22.2% 85.0% 16.6% 18.8% 20.9% 23.0% 25.1% 85.0% 18.0% 20.4% 22.8% 25.2% 27.6% WACC Sensitivities WACC Sensitivities Market Risk Premium @ 6.4% Market Risk Premium @ 7.2% Adj. Unlevered Beta Adj. Unlevered Beta 0.20 0.30 0.35 0.40 0.50 0.20 0.30 0.35 0.40 0.50 65.0% 8.6% 8.9% 9.2% 9.5% 9.9% 65.0% 8.8% 9.1% 9.5% 9.9% 10.2% 70.0% 8.7% 9.0% 9.3% 9.6% 9.9% 70.0% 8.9% 9.2% 9.6% 9.9% 10.3% 75.0% 8.7% 9.0% 9.4% 9.7% 10.0% 75.0% 8.9% 9.3% 9.6% 10.0% 10.4% 80.0% 8.8% 9.1% 9.4% 9.8% 10.1% 80.0% 9.0% 9.4% 9.7% 10.1% 10.4% 85.0% 8.9% 9.2% 9.5% 9.8% 10.1% 85.0% 9.1% 9.4% 9.8% 10.2% 10.5% Total Debt / Total Cap Total Debt / Total Cap Total Debt / Total Cap Total Debt / Total Cap Equity Total Debt + Levered Tax Unlevered Company Value Total Debt (1) Preferred / Total Cap Beta (2) Rate Beta LNG Peers Dynagas $105 $621 85.5% 0.78 0.0% 0.11 Capital Product Partners 263 1,289 83.0% 0.97 0.0% 0.16 Excelerate Energy 2,320 716 23.6% 0.91 24.0% 0.74 Flex LNG 1,811 1,715 48.6% 1.13 0.0% 0.58 CoolCo 626 1,163 65.0% 0.44 0.0% 0.15 Mean 61.2% 0.85 0.35 GasLog Partners $379 $1,276 77.1% 0.94 0.0% 0.22 Mean (All) Adj. Unlevered Beta 0.35 Add Increment - Adj. Unlevered Beta 0.35 Total Debt / Total Capitalization (4) 75.0% Tax Rate 0.0% Adjusted Equity Beta 1.40 Risk-Free Rate (5) 3.9% Market Risk Premium (6) 6.4% - 7.2% Size Premium (7) 2.2% Cost of Equity 15.0% - 16.1% Pre-tax Cost of Debt (8) 7.5% After-Tax Cost of Debt 7.5% WACC 9.4% - 9.6% (3) ($ in millions, except per unit data) 26</w:t>
            </w:r>
          </w:p>
        </w:tc>
      </w:tr>
    </w:tbl>
    <w:tbl>
      <w:tblPr>
        <w:tblW w:w="16625" w:type="dxa"/>
        <w:jc w:val="center"/>
        <w:tblInd w:w="0" w:type="dxa"/>
        <w:tblCellMar>
          <w:top w:w="0" w:type="dxa"/>
          <w:left w:w="0" w:type="dxa"/>
          <w:bottom w:w="0" w:type="dxa"/>
          <w:right w:w="0" w:type="dxa"/>
        </w:tblCellMar>
      </w:tblPr>
      <w:tblGrid>
        <w:gridCol w:w="16500"/>
        <w:gridCol w:w="12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18"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218" descr=""/>
                          <pic:cNvPicPr>
                            <a:picLocks noChangeAspect="1" noChangeArrowheads="1"/>
                          </pic:cNvPicPr>
                        </pic:nvPicPr>
                        <pic:blipFill>
                          <a:blip r:embed="rId223"/>
                          <a:stretch>
                            <a:fillRect/>
                          </a:stretch>
                        </pic:blipFill>
                        <pic:spPr bwMode="auto">
                          <a:xfrm>
                            <a:off x="0" y="0"/>
                            <a:ext cx="10477500" cy="8086725"/>
                          </a:xfrm>
                          <a:prstGeom prst="rect">
                            <a:avLst/>
                          </a:prstGeom>
                        </pic:spPr>
                      </pic:pic>
                    </a:graphicData>
                  </a:graphic>
                </wp:inline>
              </w:drawing>
            </w:r>
          </w:p>
        </w:tc>
        <w:tc>
          <w:tcPr>
            <w:tcW w:w="12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GasLog Partners: Weighted Average Cost of Capital (Cont’d) WACC Sensitivities Corporate Credit Market Trends LTM Yields Across Ratings Spectrum 3M SOFR and 10Y Treasury Curve Source: Bloomberg, FactSet 4.88% 3.38% 4.59% 4.19% 3.28% 2.82% 3.34% 3.33% 3.36% 3.47% 1.5% 2.5% 3.5% 4.5% 5.5% Jul-22 Jan-23 Jul-23 Jan-24 Jul-24 Jan-25 Jul-25 3M SOFR 10 Year Treasury 5.2% 5.7% 7.2% 9.1% 15.4% 3.5% 4.1% 5.0% 6.4% 10.0% 2.0% 6.0% 10.0% 14.0% 18.0% A Index BBB Index BB Index B Index CCC Index Market Risk Premium @ 6.4% Market Risk Premium @ 7.2% Cost of Debt Cost of Debt 6.5% 7.0% 7.5% 8.0% 8.5% 6.5% 7.0% 7.5% 8.0% 8.5% 65.0% 8.6% 8.9% 9.2% 9.5% 9.9% 65.0% 8.9% 9.2% 9.5% 9.8% 10.2% 70.0% 8.6% 8.9% 9.3% 9.6% 10.0% 70.0% 8.9% 9.2% 9.6% 9.9% 10.3% 75.0% 8.6% 9.0% 9.4% 9.7% 10.1% 75.0% 8.9% 9.3% 9.6% 10.0% 10.4% 80.0% 8.6% 9.0% 9.4% 9.8% 10.2% 80.0% 8.9% 9.3% 9.7% 10.1% 10.5% 85.0% 8.7% 9.1% 9.5% 9.9% 10.4% Total Debt / Total 85.0% 8.9% 9.4% 9.8% 10.2% 10.6% Cap Total Debt / Total Cap 27</w:t>
            </w:r>
          </w:p>
        </w:tc>
      </w:tr>
    </w:tbl>
    <w:tbl>
      <w:tblPr>
        <w:tblW w:w="16685" w:type="dxa"/>
        <w:jc w:val="center"/>
        <w:tblInd w:w="0" w:type="dxa"/>
        <w:tblCellMar>
          <w:top w:w="0" w:type="dxa"/>
          <w:left w:w="0" w:type="dxa"/>
          <w:bottom w:w="0" w:type="dxa"/>
          <w:right w:w="0" w:type="dxa"/>
        </w:tblCellMar>
      </w:tblPr>
      <w:tblGrid>
        <w:gridCol w:w="16500"/>
        <w:gridCol w:w="18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19"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219" descr=""/>
                          <pic:cNvPicPr>
                            <a:picLocks noChangeAspect="1" noChangeArrowheads="1"/>
                          </pic:cNvPicPr>
                        </pic:nvPicPr>
                        <pic:blipFill>
                          <a:blip r:embed="rId224"/>
                          <a:stretch>
                            <a:fillRect/>
                          </a:stretch>
                        </pic:blipFill>
                        <pic:spPr bwMode="auto">
                          <a:xfrm>
                            <a:off x="0" y="0"/>
                            <a:ext cx="10477500" cy="8086725"/>
                          </a:xfrm>
                          <a:prstGeom prst="rect">
                            <a:avLst/>
                          </a:prstGeom>
                        </pic:spPr>
                      </pic:pic>
                    </a:graphicData>
                  </a:graphic>
                </wp:inline>
              </w:drawing>
            </w:r>
          </w:p>
        </w:tc>
        <w:tc>
          <w:tcPr>
            <w:tcW w:w="18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These materials have been prepared by Evercore Group L.L.C. (“Evercore”) for the Conflicts Committee (the “Conflicts Committee”) of the Board of Directors of GasLog Partners GP LLC, the general partner of GasLog Partners LP (“GLOP,” or the “Partnership”), to whom such materials are directly addressed and delivered and may not be used or relied upon for any purpose other than as specifically contemplated by a written agreement with Evercore. These materials are based on information provided by or on behalf of the Conflicts Committee, from public sources or otherwise reviewed by Evercore. Evercore assumes no responsibility for independent investigation or verification of such information and has relied on such information being complete and accurate in all material respects. To the extent such information includes estimates and forecasts of future financial or operating performance prepared by or reviewed with the management of GLOP and/or other potential transaction participants or obtained from public sources, Evercore has assumed that such estimates and forecasts have been reasonably prepared on bases reflecting the best currently available estimates and good faith judgments of such management (or, with respect to estimates and forecasts obtained from public sources, represent reasonable estimates). No representation or warranty, express or implied, is made as to the accuracy or completeness of such information and nothing contained herein is, or shall be relied upon as, a representation, whether as to the past, the present or the future. These materials were designed for use by specific persons familiar with the business and affairs of GLOP. These materials are not intended to provide the sole basis for evaluating, and should not be considered a recommendation with respect to, any transaction or other matter. These materials have been developed by and are proprietary to Evercore and were prepared exclusively for the benefit and internal use of the Conflicts Committee. These materials were compiled on a confidential basis for use by the Conflicts Committee and not with a view to public disclosure or filing thereof under state or federal securities laws, and may not be reproduced, disseminated, quoted or referred to, in whole or in part, without the prior written consent of Evercore. These materials do not constitute an offer or solicitation to sell or purchase any securities and are not a commitment by Evercore or any of its affiliates to provide or arrange any financing for any transaction or to purchase any security in connection therewith. Evercore assumes no obligation to update or otherwise revise these materials. These materials may not reflect information known to other professionals in other business areas of Evercore and its affiliates. Evercore and its affiliates do not provide legal, regulatory, accounting or tax advice. Accordingly, any statements contained herein as to legal, regulatory, accounting or tax matters were neither written nor intended by Evercore or its affiliates to be used and cannot be used by any person, including for the purpose of avoiding tax penalties that may be imposed on such person. Each person should seek legal, regulatory, accounting and tax advice based on his, her or its particular circumstances from independent advisors regarding the impact of the transactions or matters described herein.</w:t>
            </w:r>
          </w:p>
        </w:tc>
      </w:tr>
    </w:tbl>
    <w:p>
      <w:pPr>
        <w:pStyle w:val="TextBody"/>
        <w:ind w:left="0" w:right="0" w:hanging="0"/>
        <w:jc w:val="right"/>
        <w:rPr>
          <w:rFonts w:ascii="Times New Roman" w:hAnsi="Times New Roman"/>
          <w:b/>
          <w:sz w:val="20"/>
        </w:rPr>
      </w:pPr>
      <w:r>
        <w:br w:type="page"/>
      </w:r>
      <w:bookmarkStart w:id="29" w:name="tm2314213d1_ex99-c10.htm"/>
      <w:bookmarkStart w:id="30" w:name="kstm2314213d1_ex99c10"/>
      <w:bookmarkEnd w:id="29"/>
      <w:bookmarkEnd w:id="30"/>
      <w:r>
        <w:rPr>
          <w:rFonts w:ascii="Times New Roman" w:hAnsi="Times New Roman"/>
          <w:b/>
          <w:sz w:val="20"/>
        </w:rPr>
        <w:t>Exhibit 99.(c)(10)</w:t>
        <w:br/>
      </w:r>
    </w:p>
    <w:tbl>
      <w:tblPr>
        <w:tblW w:w="16655" w:type="dxa"/>
        <w:jc w:val="right"/>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20"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220" descr=""/>
                          <pic:cNvPicPr>
                            <a:picLocks noChangeAspect="1" noChangeArrowheads="1"/>
                          </pic:cNvPicPr>
                        </pic:nvPicPr>
                        <pic:blipFill>
                          <a:blip r:embed="rId225"/>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Conflicts Committee of GasLog Partners LP April 2023 PRELIMINARY ANALYSIS SUBJECT TO MATERIAL CHANGES 4/1/2023 11:13 AM</w:t>
            </w:r>
          </w:p>
        </w:tc>
      </w:tr>
    </w:tbl>
    <w:tbl>
      <w:tblPr>
        <w:tblW w:w="16640" w:type="dxa"/>
        <w:jc w:val="center"/>
        <w:tblInd w:w="0" w:type="dxa"/>
        <w:tblCellMar>
          <w:top w:w="0" w:type="dxa"/>
          <w:left w:w="0" w:type="dxa"/>
          <w:bottom w:w="0" w:type="dxa"/>
          <w:right w:w="0" w:type="dxa"/>
        </w:tblCellMar>
      </w:tblPr>
      <w:tblGrid>
        <w:gridCol w:w="16500"/>
        <w:gridCol w:w="14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21"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221" descr=""/>
                          <pic:cNvPicPr>
                            <a:picLocks noChangeAspect="1" noChangeArrowheads="1"/>
                          </pic:cNvPicPr>
                        </pic:nvPicPr>
                        <pic:blipFill>
                          <a:blip r:embed="rId226"/>
                          <a:stretch>
                            <a:fillRect/>
                          </a:stretch>
                        </pic:blipFill>
                        <pic:spPr bwMode="auto">
                          <a:xfrm>
                            <a:off x="0" y="0"/>
                            <a:ext cx="10477500" cy="8086725"/>
                          </a:xfrm>
                          <a:prstGeom prst="rect">
                            <a:avLst/>
                          </a:prstGeom>
                        </pic:spPr>
                      </pic:pic>
                    </a:graphicData>
                  </a:graphic>
                </wp:inline>
              </w:drawing>
            </w:r>
          </w:p>
        </w:tc>
        <w:tc>
          <w:tcPr>
            <w:tcW w:w="14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Table of Contents Introduction Situation Overview Preliminary Valuation Appendix A. Charter Mark-to-Market Adjustment B. Weighted Average Cost of Capital C. Additional Detail Regarding GasLog Partners Section I II III</w:t>
            </w:r>
          </w:p>
        </w:tc>
      </w:tr>
    </w:tbl>
    <w:tbl>
      <w:tblPr>
        <w:tblW w:w="16625" w:type="dxa"/>
        <w:jc w:val="center"/>
        <w:tblInd w:w="0" w:type="dxa"/>
        <w:tblCellMar>
          <w:top w:w="0" w:type="dxa"/>
          <w:left w:w="0" w:type="dxa"/>
          <w:bottom w:w="0" w:type="dxa"/>
          <w:right w:w="0" w:type="dxa"/>
        </w:tblCellMar>
      </w:tblPr>
      <w:tblGrid>
        <w:gridCol w:w="16500"/>
        <w:gridCol w:w="12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22"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222" descr=""/>
                          <pic:cNvPicPr>
                            <a:picLocks noChangeAspect="1" noChangeArrowheads="1"/>
                          </pic:cNvPicPr>
                        </pic:nvPicPr>
                        <pic:blipFill>
                          <a:blip r:embed="rId227"/>
                          <a:stretch>
                            <a:fillRect/>
                          </a:stretch>
                        </pic:blipFill>
                        <pic:spPr bwMode="auto">
                          <a:xfrm>
                            <a:off x="0" y="0"/>
                            <a:ext cx="10477500" cy="8086725"/>
                          </a:xfrm>
                          <a:prstGeom prst="rect">
                            <a:avLst/>
                          </a:prstGeom>
                        </pic:spPr>
                      </pic:pic>
                    </a:graphicData>
                  </a:graphic>
                </wp:inline>
              </w:drawing>
            </w:r>
          </w:p>
        </w:tc>
        <w:tc>
          <w:tcPr>
            <w:tcW w:w="12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I. Introduction</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23"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223" descr=""/>
                          <pic:cNvPicPr>
                            <a:picLocks noChangeAspect="1" noChangeArrowheads="1"/>
                          </pic:cNvPicPr>
                        </pic:nvPicPr>
                        <pic:blipFill>
                          <a:blip r:embed="rId228"/>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 Evercore Group LLC (“Evercore”) is pleased to provide the materials herein to the Conflicts Committee of the Board of Directors (the “Conflicts Committee”) of GasLog Partners GP LLC, the general partner of GasLog Partners LP (the “Partnership”, “GasLog Partners” or “GLOP”), regarding the non-binding proposal from GasLog Ltd. (the “Sponsor” or “GLOG”) to acquire all outstanding common units not owned by GLOG for cash consideration (the “Proposed Transaction”) GLOG proposes that the GLOP unaffiliated unitholders (the “Unaffiliated Unitholders”) exchange each owned common unit for the right to receive $8.52 in cash per common unit, consisting in part of a special distribution by the Partnership of $2.33 per common unit (the “Proposed Consideration”) ● The Proposed Consideration represents a 22.1% premium to GLOP’s unaffected closing unit price of $6.98 on January 24, 2023, one day prior to the Sponsor’s original offer of $7.70 per common unit (the “Initial Offer”), and a 1.2% premium to GLOP’s closing unit price of $8.42 as of March 31, 2023 − The Proposed Consideration represents a 10.6% increase from the Initial Offer, which represented a 10.3% premium to GLOP’s unaffected closing unit price of $6.98 as of January 24, 2023 ◼ The following materials review the Proposed Transaction, and include: An introduction, including an overview of the Proposed Transaction, a summary of proposed terms, a review of GLOP’s trading performance and an analysis of financial metrics implied by the Proposed Transaction An overview of GLOP’s current market situation and business overview A review of the financial projections for GLOP as provided by Partnership Management and a review of the assumptions utilized by Partnership Management in deriving such financial projections A preliminary valuation of the common units Introduction Executive Summary 4</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24"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224" descr=""/>
                          <pic:cNvPicPr>
                            <a:picLocks noChangeAspect="1" noChangeArrowheads="1"/>
                          </pic:cNvPicPr>
                        </pic:nvPicPr>
                        <pic:blipFill>
                          <a:blip r:embed="rId229"/>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Introduction Summary of Proposed Transaction Key Terms Buyer ◼ GasLog Ltd., (the “Sponsor”) which currently owns 30.2% of the GasLog Partners common units and the general partner units GasLog Ltd. is beneficially owned by Peters Livanos, the Onassis Foundation and BlackRock Global Energy and Infrastructure Funds Proposed Transaction Summary ◼ On January 25, 2023, GasLog Ltd. submitted a non-binding proposal to acquire each common unit it did not already owned (~36mm publicly owned units) Proposed Consideration ◼ $8.52 in cash per common unit not owned by GasLog Ltd. Other Items ◼ Sponsor has stated that it is not interested in selling any of its equity position ◼ Subject to approval of Conflicts Committee and Board of Directors of GasLog Partners ◼ Subject to approval of a simple majority of common unitholders (as opposed to a “majority of the minority”) ◼ Preferred units to remain intact and not redeemed ◼ No financing contingency ◼ Class B units to be cancelled immediately prior to the transaction ◼ Other customary closing conditions Source: GasLog Partners management 5</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25"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225" descr=""/>
                          <pic:cNvPicPr>
                            <a:picLocks noChangeAspect="1" noChangeArrowheads="1"/>
                          </pic:cNvPicPr>
                        </pic:nvPicPr>
                        <pic:blipFill>
                          <a:blip r:embed="rId230"/>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$8.42 $ - $5.00 $10.00 $15.00 $20.00 $25.00 $30.00 Dec-18 Sep-19 May-20 Feb-21 Oct-21 Jul-22 Mar-23 Unit Price Performance (Last 5 Years) Source: FactSet (3/31/23) Introduction February 2022: Russian Invasion of Ukraine November 2020: Announces intention to pursue strategic alternatives and announces further distribution cut from $0.125 to $0.01 January 2023: GLOG proposes to acquire all outstanding public common units of GLOP for $7.70 in cash Feb 2021: GasLog Ltd. announces merger with BlackRock’s Global Energy &amp; Power Infrastructure Funds June 2019: Announces exchange / elimination of GP IDRs for new LP units February 2020: Onset of Global COVID-19 Pandemic, quarterly distribution reduced from $0.561 to $0.125 6</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26"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226" descr=""/>
                          <pic:cNvPicPr>
                            <a:picLocks noChangeAspect="1" noChangeArrowheads="1"/>
                          </pic:cNvPicPr>
                        </pic:nvPicPr>
                        <pic:blipFill>
                          <a:blip r:embed="rId231"/>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Daily Average Total Volume Traded Since Offer (47 Days) 539k 25,334k 90-Day Unaffected 345k 31,069k % of Outstanding Common Units Since Offer (47 Days) 1.0% 46.7% 90-Day Unaffected 0.6% 57.2% % of Public Float (36.338mm units) Since Offer (47 Days) 1.5% 69.7% 90-Day Unaffected 0.9% 85.5% $8.42 - 1,000.0 2,000.0 3,000.0 4,000.0 5,000.0 $6.00 $7.00 $8.00 $9.00 $10.00 1/24 2/6 2/19 3/4 3/17 3/31 GLOP Common Unit Price Unit Volume (thousands) Volume (000s) Unit Price Introduction Source: FactSet (3/31/23) 1. Represents simple average of closing prices since Initial Offer GLOP Unit Price Performance Initial Offer: $7.70 Proposed Consideration: $8.52 7 Average Price Since Initial Offer: $8.531</w:t>
            </w:r>
          </w:p>
        </w:tc>
      </w:tr>
    </w:tbl>
    <w:tbl>
      <w:tblPr>
        <w:tblW w:w="16640" w:type="dxa"/>
        <w:jc w:val="center"/>
        <w:tblInd w:w="0" w:type="dxa"/>
        <w:tblCellMar>
          <w:top w:w="0" w:type="dxa"/>
          <w:left w:w="0" w:type="dxa"/>
          <w:bottom w:w="0" w:type="dxa"/>
          <w:right w:w="0" w:type="dxa"/>
        </w:tblCellMar>
      </w:tblPr>
      <w:tblGrid>
        <w:gridCol w:w="16500"/>
        <w:gridCol w:w="14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27"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227" descr=""/>
                          <pic:cNvPicPr>
                            <a:picLocks noChangeAspect="1" noChangeArrowheads="1"/>
                          </pic:cNvPicPr>
                        </pic:nvPicPr>
                        <pic:blipFill>
                          <a:blip r:embed="rId232"/>
                          <a:stretch>
                            <a:fillRect/>
                          </a:stretch>
                        </pic:blipFill>
                        <pic:spPr bwMode="auto">
                          <a:xfrm>
                            <a:off x="0" y="0"/>
                            <a:ext cx="10477500" cy="8086725"/>
                          </a:xfrm>
                          <a:prstGeom prst="rect">
                            <a:avLst/>
                          </a:prstGeom>
                        </pic:spPr>
                      </pic:pic>
                    </a:graphicData>
                  </a:graphic>
                </wp:inline>
              </w:drawing>
            </w:r>
          </w:p>
        </w:tc>
        <w:tc>
          <w:tcPr>
            <w:tcW w:w="14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(46.2%) 208.1% 34.1% (0.1%) (72.9%) (59.8%) (40.9%) (150.0%) 0.0% 150.0% 300.0% 450.0% 1/1/20 7/16/20 1/30/21 8/15/21 3/1/22 9/14/22 3/31/23 5.3% 10.0% (3.4%) (6.4%) (6.0%) (5.5%) 21.0% (20.0%) 0.0% 20.0% 40.0% 1/25/23 2/4/23 2/15/23 2/26/23 3/9/23 3/20/23 3/31/23 Introduction GLOP’s Trading Performance Relative to its Peers Source: FactSet (3/31/23) Indexed Common Unit Price Performance Non-Binding Proposal (1/25/23) Since 1/1/20 Since 1/1/21 Since 1/1/22 Price Performance Summary To Unaffected Date (1/24/22) GasLog Partners (MLP) (55.4%) 156.6% 63.8% Flex LNG (C-Corp.) 182.1% 251.3% 30.9% Dynagas (MLP) 34.6% 13.6% (1.7%) CPLP (MLP) 4.5% 72.9% (12.8%) Knot Offshore Partners (MLP) (71.5%) (62.5%) (57.8%) To Present (3/31/23) GasLog Partners (MLP) (46.2%) 209.6% 97.7% Flex LNG (C-Corp.) 208.1% 283.8% 43.0% Dynagas (MLP) 34.1% 13.2% (2.1%) CPLP (MLP) (0.1%) 65.3% (16.7%) Knot Offshore Partners (MLP) (72.9%) (64.4%) (59.9%) 8 Since 1/25/23, GLOP has outperformed its peer average by ~4% — GasLog Partners (MLP) — Flex LNG (C-Corp.) — Dynagas (MLP) — CPLP (MLP) — Knot Offshore Partners (MLP) — Golar LNG Partners LP (MLP) — Höegh LNG Partners LP (MLP) — Excelerate Energy (C-Corp.) — Cool Company (C. Corp.)</w:t>
            </w:r>
          </w:p>
        </w:tc>
      </w:tr>
    </w:tbl>
    <w:tbl>
      <w:tblPr>
        <w:tblW w:w="16640" w:type="dxa"/>
        <w:jc w:val="center"/>
        <w:tblInd w:w="0" w:type="dxa"/>
        <w:tblCellMar>
          <w:top w:w="0" w:type="dxa"/>
          <w:left w:w="0" w:type="dxa"/>
          <w:bottom w:w="0" w:type="dxa"/>
          <w:right w:w="0" w:type="dxa"/>
        </w:tblCellMar>
      </w:tblPr>
      <w:tblGrid>
        <w:gridCol w:w="16500"/>
        <w:gridCol w:w="14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28"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228" descr=""/>
                          <pic:cNvPicPr>
                            <a:picLocks noChangeAspect="1" noChangeArrowheads="1"/>
                          </pic:cNvPicPr>
                        </pic:nvPicPr>
                        <pic:blipFill>
                          <a:blip r:embed="rId233"/>
                          <a:stretch>
                            <a:fillRect/>
                          </a:stretch>
                        </pic:blipFill>
                        <pic:spPr bwMode="auto">
                          <a:xfrm>
                            <a:off x="0" y="0"/>
                            <a:ext cx="10477500" cy="8086725"/>
                          </a:xfrm>
                          <a:prstGeom prst="rect">
                            <a:avLst/>
                          </a:prstGeom>
                        </pic:spPr>
                      </pic:pic>
                    </a:graphicData>
                  </a:graphic>
                </wp:inline>
              </w:drawing>
            </w:r>
          </w:p>
        </w:tc>
        <w:tc>
          <w:tcPr>
            <w:tcW w:w="14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3.2% 7.7% 0.0% 16.2% 42.9% 21.6% 8.4% 0.0x 0.1x 0.1x 0.2x 0.5x 0.7x 0.8x $6.00 - $6.50 $6.50 - $7.00 $7.00 - $7.50 $7.50 - $8.00 $8.00 - $8.50 $8.50 - $9.00 $9.00 - $9.50 2.5% 13.1% 4.4% 16.8% 39.7% 16.8% 0.0x 0.2x 6.6% 0.2x 0.4x 0.8x 0.9x 1.0x $6.00 - $6.50 $6.50 - $7.00 $7.00 - $7.50 $7.50 - $8.00 $8.00 - $8.50 $8.50 - $9.00 $9.00 - $9.50 Low Unit Price: $6.18 Date: 1/9/23 Introduction Recent Trading Histogram Since Public Float Turnover (11/15/22)1 Year-to-Date VWAP from 1/3/23-3/31/23: $8.40 VWAP from 11/15/22-3/31/23: $8.04 Source: FactSet (3/31/23) Note: Based on closing price data. Public float defined as common units held by entities unaffiliated with the Sponsor 1. 11/15/22 is the first date from which GLOP’s unit trading volume to present exceeds its public float Low Unit Price: $6.18 Date: 1/9/23 High Unit Price: $9.20 Date: 2/21/23 9 High Unit Price: $9.20 Date: 2/21/23 Percent of Units Traded Over Period — Cumulative Multiple of Public Float Since November 15th, 1.0x of GLOP’s public float has turned over at an average price of nearly $8.00 per unit</w:t>
            </w:r>
          </w:p>
        </w:tc>
      </w:tr>
    </w:tbl>
    <w:tbl>
      <w:tblPr>
        <w:tblW w:w="16670" w:type="dxa"/>
        <w:jc w:val="center"/>
        <w:tblInd w:w="0" w:type="dxa"/>
        <w:tblCellMar>
          <w:top w:w="0" w:type="dxa"/>
          <w:left w:w="0" w:type="dxa"/>
          <w:bottom w:w="0" w:type="dxa"/>
          <w:right w:w="0" w:type="dxa"/>
        </w:tblCellMar>
      </w:tblPr>
      <w:tblGrid>
        <w:gridCol w:w="16500"/>
        <w:gridCol w:w="17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29"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229" descr=""/>
                          <pic:cNvPicPr>
                            <a:picLocks noChangeAspect="1" noChangeArrowheads="1"/>
                          </pic:cNvPicPr>
                        </pic:nvPicPr>
                        <pic:blipFill>
                          <a:blip r:embed="rId234"/>
                          <a:stretch>
                            <a:fillRect/>
                          </a:stretch>
                        </pic:blipFill>
                        <pic:spPr bwMode="auto">
                          <a:xfrm>
                            <a:off x="0" y="0"/>
                            <a:ext cx="10477500" cy="8086725"/>
                          </a:xfrm>
                          <a:prstGeom prst="rect">
                            <a:avLst/>
                          </a:prstGeom>
                        </pic:spPr>
                      </pic:pic>
                    </a:graphicData>
                  </a:graphic>
                </wp:inline>
              </w:drawing>
            </w:r>
          </w:p>
        </w:tc>
        <w:tc>
          <w:tcPr>
            <w:tcW w:w="17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Offer Date: 1/24/23 3/10/23 3/17/23 3/29/23 3/31/23 3/30/23 3/19/23 3/15/23 3/4/23 Offeror: Sponsor Sponsor Sponsor Sponsor Sponsor Committee Committee Committee Committee GasLog Partners Common Unit Value $7.70 $8.02 $8.10 $8.38 $8.52 $8.75 $9.00 $9.10 $9.85 $10.00 (x) Total Units Outstanding 54.285 54.285 54.285 54.285 54.285 54.285 54.285 54.285 54.285 54.285 Implied Equity Value $418 $435 $440 $455 $463 $475 $489 $494 $535 $543 (+) Gross Debt as of December 31, 2022 985 985 985 985 985 985 985 985 985 985 (–) Cash and Cash Equivalents (223) (223) (223) (223) (223) (223) (223) (223) (223) (223) (+) Liquidation Value of Preferred Equity 291 291 291 291 291 291 291 291 291 291 Implied Enterprise Value $1,470 $1,488 $1,492 $1,507 $1,515 $1,527 $1,541 $1,546 $1,587 $1,595 Premiums Metric Unaffected Unit Price as of January 24, 2023 $6.98 10.3% 14.9% 16.0% 20.1% 22.1% 25.4% 28.9% 30.4% 41.1% 43.3% Unaffected 10-Day VWAP 6.74 14.2% 18.9% 20.1% 24.3% 26.4% 29.8% 33.5% 35.0% 46.1% 48.3% Unaffected 30-Day VWAP 6.79 13.4% 18.1% 19.3% 23.4% 25.5% 28.9% 32.6% 34.1% 45.1% 47.3% Current Unit Price as of March 31, 2023 8.42 (8.6%) (4.8%) (3.8%) (0.5%) 1.2% 3.9% 6.9% 8.1% 17.0% 18.8% Implied Price / NAV Assuming 10.0% Discount to Appraised Value $8.19 0.94x 0.98x 0.99x 1.02x 1.04x 1.07x 1.10x 1.11x 1.20x 1.22x Assuming No Premium / Discount to Appraised Value 11.55 0.67 0.69 0.70 0.73 0.74 0.76 0.78 0.79 0.85 0.87 Assuming 10.0% Premium to Appraised Value 14.92 0.52 0.54 0.54 0.56 0.57 0.59 0.60 0.61 0.66 0.67 EBITDA Multiples (GLOP Mgmt.) Enterprise Value / 2022A EBITDA $274 5.4x 5.4x 5.4x 5.5x 5.5x 5.6x 5.6x 5.6x 5.8x 5.8x Enterprise Value / 2023E EBITDA 290 5.1 5.1 5.2 5.2 5.2 5.3 5.3 5.3 5.5 5.5 Enterprise Value / 2024E EBITDA 269 5.5 5.5 5.5 5.6 5.6 5.7 5.7 5.7 5.9 5.9 Enterprise Value / 2025E EBITDA 226 6.5 6.6 6.6 6.7 6.7 6.8 6.8 6.9 7.0 7.1 EBITDA Multiples (Stifel Research) Enterprise Value / 2023E EBITDA $273 5.4x 5.4x 5.5x 5.5x 5.5x 5.6x 5.6x 5.7x 5.8x 5.8x Enterprise Value / 2024E EBITDA 211 7.0 7.1 7.1 7.2 7.2 7.2 7.3 7.3 7.5 7.6 Distribution Yield (GLOP Mgmt.) 2023E 0.04 0.5% 0.5% 0.5% 0.5% 0.5% 0.5% 0.4% 0.4% 0.4% 0.4% ($ in millions, except per unit data) Introduction Analysis at Various Prices Source: GasLog Partners management, public filings, FactSet (3/31/23) 1. Please refer to page 28 for charter-adjusted Net Asset Value calculations 0 1 10</w:t>
            </w:r>
          </w:p>
        </w:tc>
      </w:tr>
    </w:tbl>
    <w:tbl>
      <w:tblPr>
        <w:tblW w:w="16625" w:type="dxa"/>
        <w:jc w:val="center"/>
        <w:tblInd w:w="0" w:type="dxa"/>
        <w:tblCellMar>
          <w:top w:w="0" w:type="dxa"/>
          <w:left w:w="0" w:type="dxa"/>
          <w:bottom w:w="0" w:type="dxa"/>
          <w:right w:w="0" w:type="dxa"/>
        </w:tblCellMar>
      </w:tblPr>
      <w:tblGrid>
        <w:gridCol w:w="16500"/>
        <w:gridCol w:w="12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30"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230" descr=""/>
                          <pic:cNvPicPr>
                            <a:picLocks noChangeAspect="1" noChangeArrowheads="1"/>
                          </pic:cNvPicPr>
                        </pic:nvPicPr>
                        <pic:blipFill>
                          <a:blip r:embed="rId235"/>
                          <a:stretch>
                            <a:fillRect/>
                          </a:stretch>
                        </pic:blipFill>
                        <pic:spPr bwMode="auto">
                          <a:xfrm>
                            <a:off x="0" y="0"/>
                            <a:ext cx="10477500" cy="8086725"/>
                          </a:xfrm>
                          <a:prstGeom prst="rect">
                            <a:avLst/>
                          </a:prstGeom>
                        </pic:spPr>
                      </pic:pic>
                    </a:graphicData>
                  </a:graphic>
                </wp:inline>
              </w:drawing>
            </w:r>
          </w:p>
        </w:tc>
        <w:tc>
          <w:tcPr>
            <w:tcW w:w="12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II. Situation Overview</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31"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231" descr=""/>
                          <pic:cNvPicPr>
                            <a:picLocks noChangeAspect="1" noChangeArrowheads="1"/>
                          </pic:cNvPicPr>
                        </pic:nvPicPr>
                        <pic:blipFill>
                          <a:blip r:embed="rId236"/>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Situation Overview Public Market Data and Debt Overview Public Market Overview Capital Structure (As of 12/31/22) Source: Partnership filings, FactSet (3/31/23), Wall Street Research, Clarksons 1. EBITDA, Distribution Yield and NAV estimates based on Stifel (1/24/23), the only analyst with an updated, comprehensive perspective since the offer date 2. Based on analysis contained on page 29, applying charter adjustment to average of Fearnleys and Braemar appraised values as of 2/28/23 Debt Overview Current Proposed Consideration Unaffected GLOP Common Unit Price $8.42 $8.52 $6.98 52-Week High 9.27 9.27 9.27 52-Week Low 4.30 4.30 4.30 Fully-Diluted Units Outstanding 54.285 54.285 54.285 Market Capitalization $457 $463 $379 (+) Preferred Units 291 291 291 (+) Total Debt Outstanding 985 985 985 (–) Cash and Cash Equivalents (223) (223) (223) Enterprise Value $1,510 $1,515 $1,431 Implied Multiples Metric Current Proposed Consideration Unaffected EV / EBITDA (Stifel)1 2022A $274 5.5x 5.5x 5.2x 2023E 273 5.5 5.5 5.2 2024E 211 7.2 7.2 6.8 EV / EBITDA (Mgmt) 2022A $274 5.5x 5.5x 5.2x 2023E 290 5.2 5.2 4.9 2024E 269 5.6 5.6 5.3 Distribution Yields (Mgmt) 2022A $0.04 0.5% 0.5% 0.6% 2023E 0.04 0.5% 0.5% 0.6% 2024E 0.04 0.5% 0.5% 0.6% Price / Net Asset Value Appraisal NAV2 $11.55 0.73x 0.74x 0.60x Stifel Research NAV1 9.27 0.91 0.92 0.75 Gross Cross-Collateral Facility Amount Maturity Rate with GLOG $450 Million Partnership Facility $250 Feb-24 L +2.10% No BNPP $260 Million Facility 194 Jul-25 L +2.70% No DNB $194 Million Facility 126 Jul-25 S +2.96% No $1.3 Billion GasLog ECA Facility 361 Mar-27 L +1.80% Yes GasLog Shanghai SLB 45 Oct-26 3.12% No Methane Heather Sally SLB 17 Jun-25 3.03% No Total $985 Based on Book Value Total Debt $985 (–) Cash and Equivalents (223) Net Debt $761 Book Value of Common Equity $682 Book Value of Preferred Equity 291 Enterprise Value (Book Value) $1,734 Net Debt / Enterprise Value (Book Value) 43.9% Net Debt / 2023E EBITDA 2.8x Net Debt + Preferred / 2023E EBITDA 3.9x Net Debt / 2024E EBITDA 3.6x Net Debt + Preferred / 2024E EBITDA 5.0x ($ in millions, except per unit data) 12</w:t>
            </w:r>
          </w:p>
        </w:tc>
      </w:tr>
    </w:tbl>
    <w:tbl>
      <w:tblPr>
        <w:tblW w:w="16700" w:type="dxa"/>
        <w:jc w:val="center"/>
        <w:tblInd w:w="0" w:type="dxa"/>
        <w:tblCellMar>
          <w:top w:w="0" w:type="dxa"/>
          <w:left w:w="0" w:type="dxa"/>
          <w:bottom w:w="0" w:type="dxa"/>
          <w:right w:w="0" w:type="dxa"/>
        </w:tblCellMar>
      </w:tblPr>
      <w:tblGrid>
        <w:gridCol w:w="16500"/>
        <w:gridCol w:w="20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32"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232" descr=""/>
                          <pic:cNvPicPr>
                            <a:picLocks noChangeAspect="1" noChangeArrowheads="1"/>
                          </pic:cNvPicPr>
                        </pic:nvPicPr>
                        <pic:blipFill>
                          <a:blip r:embed="rId237"/>
                          <a:stretch>
                            <a:fillRect/>
                          </a:stretch>
                        </pic:blipFill>
                        <pic:spPr bwMode="auto">
                          <a:xfrm>
                            <a:off x="0" y="0"/>
                            <a:ext cx="10477500" cy="8086725"/>
                          </a:xfrm>
                          <a:prstGeom prst="rect">
                            <a:avLst/>
                          </a:prstGeom>
                        </pic:spPr>
                      </pic:pic>
                    </a:graphicData>
                  </a:graphic>
                </wp:inline>
              </w:drawing>
            </w:r>
          </w:p>
        </w:tc>
        <w:tc>
          <w:tcPr>
            <w:tcW w:w="20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Situation Overview Charter Overview Propulsion Built Capacity Charter Free Appraisal1 Gross Charter Rate Charterer GasLog Glasgow TFDE 2016 174,000 $195 $85,926 GasLog Greece TFDE 2016 174,000 189 85,926 Methane Becki Anne TFDE 2010 170,000 157 82,500 GasLog Gibraltar TFDE 2016 174,000 196 81,000 GasLog Geneva TFDE 2016 174,000 196 81,000 GasLog Shanghai TFDE 2013 155,000 65 86,000 GasLog Santiago TFDE 2013 155,000 155 67,000 Solaris TFDE 2014 155,000 161 149,750 GasLog Seattle TFDE 2013 155,000 154 141,500 GasLog Sydney TFDE 2013 155,000 155 97,000 Methane Heather Sally Steam 2007 145,000 28 52,000 Methane Jane Elizabeth Steam 2006 145,000 58 32,600 Methane Rita Andrea Steam 2006 145,000 58 66,000 Methane Alison Victoria Steam 2007 145,000 62 29,500 2023 2024 2025 2026 2027 2028 2029 2030 2031 1 1 1 11 11 11 1 1 1 1 1 1 1 1 1 1 1 1 1 1 2 2 2 d 2 2 2 2 2 2 2 1 1 1 1 1 1 1 1 1 1 1 1 1 1 1 1 1 1 1 1 1 1 1 11 11 11 Firm Period Optional Period Available Out of fleet GasLog Partners has a revenue-weighted average charter duration of 1.5 years ($ in millions, except per day data) 2 3 1. Represents average of Fearnleys and Braemar appraised values as of 2/28/23 2. Expected to enter into a sale leaseback with CDB Leasing imminently 3. Based on 3/17/23 Sponsor materials. Represents right-of-use asset value associated with sale leaseback 13 2 Source: GasLog Partners management</w:t>
            </w:r>
          </w:p>
        </w:tc>
      </w:tr>
    </w:tbl>
    <w:tbl>
      <w:tblPr>
        <w:tblW w:w="16670" w:type="dxa"/>
        <w:jc w:val="center"/>
        <w:tblInd w:w="0" w:type="dxa"/>
        <w:tblCellMar>
          <w:top w:w="0" w:type="dxa"/>
          <w:left w:w="0" w:type="dxa"/>
          <w:bottom w:w="0" w:type="dxa"/>
          <w:right w:w="0" w:type="dxa"/>
        </w:tblCellMar>
      </w:tblPr>
      <w:tblGrid>
        <w:gridCol w:w="16500"/>
        <w:gridCol w:w="17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33"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233" descr=""/>
                          <pic:cNvPicPr>
                            <a:picLocks noChangeAspect="1" noChangeArrowheads="1"/>
                          </pic:cNvPicPr>
                        </pic:nvPicPr>
                        <pic:blipFill>
                          <a:blip r:embed="rId238"/>
                          <a:stretch>
                            <a:fillRect/>
                          </a:stretch>
                        </pic:blipFill>
                        <pic:spPr bwMode="auto">
                          <a:xfrm>
                            <a:off x="0" y="0"/>
                            <a:ext cx="10477500" cy="8086725"/>
                          </a:xfrm>
                          <a:prstGeom prst="rect">
                            <a:avLst/>
                          </a:prstGeom>
                        </pic:spPr>
                      </pic:pic>
                    </a:graphicData>
                  </a:graphic>
                </wp:inline>
              </w:drawing>
            </w:r>
          </w:p>
        </w:tc>
        <w:tc>
          <w:tcPr>
            <w:tcW w:w="17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 The following sets forth key assumptions utilized in the GLOP Financial Projections as provided by GasLog Partners management: Revenue: ● All options are exercised by customers except (i) Woodside Energy’s option with respect to the GasLog Shanghai in March 2026, (ii) Shell’s option with GasLog Greece in March 2026 and (iii) GasLog Glasgow in June 2026 – these represent anticipated out-of-the-money options for the charterer ● Upon charter / option expiry, vessels are operated on the spot market thereafter based on the TCE forecast as set forth below: ● The Methane Jane Elizabeth begins operations as an FSRU for Venice Project in January 2026 at a charter rate of $116,800 / day ● The Methane Heather Sally and GasLog Shanghai are returned to their lessors in 2025 and 2026, respectively − There are no repurchase or obligations options for the Methane Heather Sally and GasLog Shanghai ● Vessel utilization (off-hire / off charter) factored into TCE rates above, with an additional 0.5 unexpected off hire days per quarter Operating expenses of $11,000 / day for steam vessels, $14,700 / day for 155k TFDE vessels, $13,700 / day for 170k -174k TFDE vessels in 2023, escalated 1% annually thereafter G&amp;A expenses based on allocation from GasLog Ltd. consistent with contract with GasLog Ltd. Capital expenditures: ● Drydocking expenses of $5.7 million for steam vessels, $3.6 million for 155k TFDE vessels and $4.1 million for 170k – 174k TFDE vessels every five years ● EEXI/CII capital expenditures of $350,000 for TFDE vessels and $6.4 million for steam vessels at their next respective drydocking ● Total capital expenditures of $138.7 million (2023: $13.8 million, 2024: $50.0 million, 2025: $74.9 million) for Venice FSRU project Financing assumptions: ● $450 million facility due 2024 for the GasLog Santiago, GasLog Sydney, GasLog Seattle and Methane Jane Elizabeth to be refinanced in November 2023 with a new ~$196 million secured facility for GasLog Santiago, GasLog Sydney and GasLog Seattle − $107 million of debt funded in installments for Methane Jane Elizabeth from 2023 to 2025 and replaced with $130 million in debt funded on delivery as part of the Venice FSRU project ● Other secured debt maturities are assumed to be refinanced with similar terms as existing facilities ● $87.4 million balance of Series B preferred equity assumed fully redeemed in March 2023 and $76.5 million balance of Series C preferred equity assumed fully redeemed in March 2024 Situation Overview Source: GasLog Partners management GLOP Financial Projections – Assumptions 2023E 2024E 2025E 2026E 2027E $000s/Day (Gross) TFDEs (155k) $85 $75 $65 $55 $65 TFDEs (170k - 174k) 105 95 85 75 85 Steams 52 50 40 35 40 14</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34"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234" descr=""/>
                          <pic:cNvPicPr>
                            <a:picLocks noChangeAspect="1" noChangeArrowheads="1"/>
                          </pic:cNvPicPr>
                        </pic:nvPicPr>
                        <pic:blipFill>
                          <a:blip r:embed="rId239"/>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GLOP Financial Projections Situation Overview For the Years Ending December 31, 2022A 2023E 2024E 2025E 2026E 2027E Average Vessels On the Water 15 14 14 14 13 12 Number of Dry-docks -- 4 1 2 5 -- Number of Spot Vessels at the End of Period -- 3 4 7 7 7 Revenue $364.3 $376.6 $356.5 $310.6 $309.6 $320.4 (–) Direct Operating Expenses (72.4) (68.8) (69.2) (67.6) (70.4) (65.4) (–) G&amp;A (17.5) (18.3) (18.2) (17.3) (17.0) (16.8) EBITDA $274.4 $289.5 $269.0 $225.7 $222.2 $238.3 (–) Change in Working Capital 2.6 (15.3) (1.1) (0.7) (0.2) (0.0) (–) Net Capital Expenditures (2.5) (38.2) (54.6) (90.8) (28.0) -- (±) Other 0.2 -- -- -- -- -- Unlevered Free Cash Flow $274.6 $236.0 $213.3 $134.2 $194.1 $238.3 (–) Interest Expense (43.1) (58.9) (55.8) (51.4) (43.1) (37.6) (+) Financial Income 2.0 4.4 -- -- -- -- (–) Preferred Equity Distribution (27.0) (19.8) (12.9) (11.0) (11.0) (11.8) Levered Free Cash Flow $206.5 $161.7 $144.7 $71.9 $140.0 $189.0 (–) Debt Amortization (115.7) (111.8) (108.2) (106.4) (110.8) (97.9) Levered Free Cash Flow After Debt Amortization $90.8 $49.9 $36.5 ($34.6) $29.2 $91.0 (–) Total Distributions (2.1) (2.1) (2.1) (2.2) (2.2) (2.2) Levered FCF After Distributions Surplus / (Deficit) $88.7 $47.8 $34.4 ($36.7) $27.0 $88.9 Total Common Units Outstanding 52.768 53.183 53.598 54.013 54.013 54.013 Unlevered FCF per Unit $5.20 $4.44 $3.98 $2.48 $3.59 $4.41 Levered FCF per Unit 3.91 3.04 2.70 1.33 2.59 3.50 Levered FCF After Debt Amortization per Unit 1.72 0.94 0.68 (0.64) 0.54 1.69 Distribution Per Unit 0.04 0.04 0.04 0.04 0.04 0.04 Source: GasLog Partners management ($ in millions, except per unit data) 15</w:t>
            </w:r>
          </w:p>
        </w:tc>
      </w:tr>
    </w:tbl>
    <w:tbl>
      <w:tblPr>
        <w:tblW w:w="16685" w:type="dxa"/>
        <w:jc w:val="center"/>
        <w:tblInd w:w="0" w:type="dxa"/>
        <w:tblCellMar>
          <w:top w:w="0" w:type="dxa"/>
          <w:left w:w="0" w:type="dxa"/>
          <w:bottom w:w="0" w:type="dxa"/>
          <w:right w:w="0" w:type="dxa"/>
        </w:tblCellMar>
      </w:tblPr>
      <w:tblGrid>
        <w:gridCol w:w="16500"/>
        <w:gridCol w:w="18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35"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235" descr=""/>
                          <pic:cNvPicPr>
                            <a:picLocks noChangeAspect="1" noChangeArrowheads="1"/>
                          </pic:cNvPicPr>
                        </pic:nvPicPr>
                        <pic:blipFill>
                          <a:blip r:embed="rId240"/>
                          <a:stretch>
                            <a:fillRect/>
                          </a:stretch>
                        </pic:blipFill>
                        <pic:spPr bwMode="auto">
                          <a:xfrm>
                            <a:off x="0" y="0"/>
                            <a:ext cx="10477500" cy="8086725"/>
                          </a:xfrm>
                          <a:prstGeom prst="rect">
                            <a:avLst/>
                          </a:prstGeom>
                        </pic:spPr>
                      </pic:pic>
                    </a:graphicData>
                  </a:graphic>
                </wp:inline>
              </w:drawing>
            </w:r>
          </w:p>
        </w:tc>
        <w:tc>
          <w:tcPr>
            <w:tcW w:w="18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GLOP Financial Projections – Sources and Uses Situation Overview Source: GasLog Partners management 1. Reflects full repurchase of all outstanding Series B (3.5mm) and Series C (3.1mm) preferred units in March 2023 and March 2024, respectively For the Years Ending December 31, 2022A 2023E 2024E 2025E 2026E 2027E Sources Levered Free Cash Flow After Distributions Surplus / (Deficit) $88.7 $47.8 $34.4 ($36.7) $27.0 $88.9 Stock-Based Compensation 0.8 0.7 0.7 0.8 0.8 0.8 Proceeds from Refinancing - 210.4 33.3 295.5 258.4 - Proceeds from Sale of Steam Vessel 52.5 - - - - - Cash from Balance Sheet - 59.8 9.4 - - - Total Sources $141.9 $318.8 $77.9 $259.6 $286.1 $89.7 Uses Debt Refinanced $65.1 $227.1 $-- $245.6 $245.4 $-- Financing Fees 0.0 4.3 1.3 4.4 1.9 0.3 Preferred Repurchased1 49.2 87.4 76.5 -- -- -- Cash to Balance Sheet 27.6 -- -- 9.6 38.9 89.4 Total Uses $141.9 $318.8 $77.9 $259.6 $286.1 $89.7 Capitalization Debt $984.5 $858.1 $785.2 $728.0 $630.6 $534.3 (–) Cash (223.1) (163.3) (153.8) (163.5) (202.4) (291.7) Net Debt $761.4 $694.8 $631.3 $564.5 $428.2 $242.6 (+) Liquidation Value of Preferred Equity1 291.1 203.7 127.1 127.1 127.1 127.1 Net Debt + Preferred Equity $1,052.5 $898.5 $758.5 $691.6 $555.3 $369.7 LTM Leverage Debt / EBITDA 3.6x 3.0x 2.9x 3.2x 2.8x 2.2x Net Debt / EBITDA 2.8 2.4 2.3 2.5 1.9 1.0 Debt + Preferred / EBITDA 4.6 3.7 3.4 3.8 3.4 2.8 Net Debt + Preferred / EBITDA 3.8 3.1 2.8 3.1 2.5 1.6 ($ in millions, except per unit data) 16</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36"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236" descr=""/>
                          <pic:cNvPicPr>
                            <a:picLocks noChangeAspect="1" noChangeArrowheads="1"/>
                          </pic:cNvPicPr>
                        </pic:nvPicPr>
                        <pic:blipFill>
                          <a:blip r:embed="rId241"/>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682 715 317 2021A 2022E 2023E +5% ◼ Energy security issues stemming from the Russia/Ukraine conflict led to record European LNG imports in the first part of 2022, supporting rising LNG and gas prices that has persisted for the second half of 2022 ◼ After a pandemic halt and market oversupply, new projects are now on the rise with Qatar and North America leading on production capacity increases The majority of projects under development (169million tonnes per year (“MTPA”)) will come online in 2026 or later Outside of Qatar, 3 – 4 project in the U.S. are likely to reach FID in 2023 ◼ Demand forecasted to increase to 400+ MTPa in 2023 ◼ Over 300 vessels in the orderbook to meet the expected increase in LNG supply in the next four years (over 40% of current fleet) While most of these vessels are contracted to specific projects, these vessels are delivered on schedule Expected delays in a number of projects could lead to capacity for these vessels being redeployed in the spot market, creating issues with oversupply (e.g. all three large liquefication projects expected to go on-line in 2023 were delayed at least 2 years) Liquefaction Overview Natural Gas and LNG Prices (Historical and Futures) Forecast LNG Vessel Supply and Demand Source: Webber, Clarksons Research (March 2023), FactSet (3/31/23), CME Group (3/31/23) LNG Export (mm tons) LNG Fleet (# of Vessels) Situation Overview 380 398 414 2021 2022 2023 +5% +4% (Orderbook) 0 30 60 90 120 May-21 Nov-21 May-22 Nov-22 May-23 Nov-23 May-24 Nov-24 $ / MMBTU JKM JKM (Futures) TTF TTF (Futures) Majority Delivered in Next 3 Years 17</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37"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237" descr=""/>
                          <pic:cNvPicPr>
                            <a:picLocks noChangeAspect="1" noChangeArrowheads="1"/>
                          </pic:cNvPicPr>
                        </pic:nvPicPr>
                        <pic:blipFill>
                          <a:blip r:embed="rId242"/>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Situation Overview Liquefaction and Regasification Capacity Outlook Global Liquification Capacity (MTPA) Global Regasification Capacity Forecast (MTPA) Source: Clarksons report (March 2023) 213 220 235 269 294 88 88 88 88 77 77 93 77 85 108 86 86 105 125 138 464 471 505 567 633 2022 2023 2024 2025 2026+ Others Australia Qatar US 587 647 660 670 670 227 227 227 227 227 106 106 106 106 106 117 174 196 209 211 1,036 1,153 1,189 1,212 1,214 2022 2023 2024 2025 2026 China South Korea Japan Others 2022–2026E CAGR: 8.1% 2022–2026E CAGR: 4.0% 18</w:t>
            </w:r>
          </w:p>
        </w:tc>
      </w:tr>
    </w:tbl>
    <w:tbl>
      <w:tblPr>
        <w:tblW w:w="16670" w:type="dxa"/>
        <w:jc w:val="center"/>
        <w:tblInd w:w="0" w:type="dxa"/>
        <w:tblCellMar>
          <w:top w:w="0" w:type="dxa"/>
          <w:left w:w="0" w:type="dxa"/>
          <w:bottom w:w="0" w:type="dxa"/>
          <w:right w:w="0" w:type="dxa"/>
        </w:tblCellMar>
      </w:tblPr>
      <w:tblGrid>
        <w:gridCol w:w="16500"/>
        <w:gridCol w:w="17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38"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238" descr=""/>
                          <pic:cNvPicPr>
                            <a:picLocks noChangeAspect="1" noChangeArrowheads="1"/>
                          </pic:cNvPicPr>
                        </pic:nvPicPr>
                        <pic:blipFill>
                          <a:blip r:embed="rId243"/>
                          <a:stretch>
                            <a:fillRect/>
                          </a:stretch>
                        </pic:blipFill>
                        <pic:spPr bwMode="auto">
                          <a:xfrm>
                            <a:off x="0" y="0"/>
                            <a:ext cx="10477500" cy="8086725"/>
                          </a:xfrm>
                          <a:prstGeom prst="rect">
                            <a:avLst/>
                          </a:prstGeom>
                        </pic:spPr>
                      </pic:pic>
                    </a:graphicData>
                  </a:graphic>
                </wp:inline>
              </w:drawing>
            </w:r>
          </w:p>
        </w:tc>
        <w:tc>
          <w:tcPr>
            <w:tcW w:w="17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Situation Overview $170 $170 $170 $170 $170 $175 $175 $175 $180 $185 $185 $185 $195 $200 $200 $205 $235 $235 $235 $245 $245 174k cbm LNG Carrier Average Newbuild (X-DF / MEGI Propulsion) Source: Clarksons (March 2023) Asset Values: Newbuild and Secondhand Prices 174k cbm LNG Carrier (5 Years) +30% $195 $198 $202 $203 $205 $210 $214 $218 $220 $224 $227 $231 $236 $240 $244 $248 $248 $248 $248 $250 $253 ($ in millions) +44% 19</w:t>
            </w:r>
          </w:p>
        </w:tc>
      </w:tr>
    </w:tbl>
    <w:tbl>
      <w:tblPr>
        <w:tblW w:w="16640" w:type="dxa"/>
        <w:jc w:val="center"/>
        <w:tblInd w:w="0" w:type="dxa"/>
        <w:tblCellMar>
          <w:top w:w="0" w:type="dxa"/>
          <w:left w:w="0" w:type="dxa"/>
          <w:bottom w:w="0" w:type="dxa"/>
          <w:right w:w="0" w:type="dxa"/>
        </w:tblCellMar>
      </w:tblPr>
      <w:tblGrid>
        <w:gridCol w:w="16500"/>
        <w:gridCol w:w="14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39"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239" descr=""/>
                          <pic:cNvPicPr>
                            <a:picLocks noChangeAspect="1" noChangeArrowheads="1"/>
                          </pic:cNvPicPr>
                        </pic:nvPicPr>
                        <pic:blipFill>
                          <a:blip r:embed="rId244"/>
                          <a:stretch>
                            <a:fillRect/>
                          </a:stretch>
                        </pic:blipFill>
                        <pic:spPr bwMode="auto">
                          <a:xfrm>
                            <a:off x="0" y="0"/>
                            <a:ext cx="10477500" cy="8086725"/>
                          </a:xfrm>
                          <a:prstGeom prst="rect">
                            <a:avLst/>
                          </a:prstGeom>
                        </pic:spPr>
                      </pic:pic>
                    </a:graphicData>
                  </a:graphic>
                </wp:inline>
              </w:drawing>
            </w:r>
          </w:p>
        </w:tc>
        <w:tc>
          <w:tcPr>
            <w:tcW w:w="14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Situation Overview 160k cbm LNG Carrier (5 years Old) Source: Clarksons (March 2023) Note : Data beyond Dec ’22 unavailable for 160k cbm 5-year and 145k cbm 10-year carriers Asset Values: Secondhand Sale Prices 160k cbm LNG Carrier (10 years Old) $145 $145 $145 $145 $145 $145 $145 $150 $161 $165 $165 $165 $180 $180 $180 $183 $200 $200 $115 $115 $115 $115 $115 $115 $115 $120 $126 $128 $128 $128 $135 $135 $135 $135 $135 $140 $140 $155 $155 145k cbm LNG Carrier (10 years Old) 145k cbm LNG Carrier (15 years Old) $82 $82 $82 $82 $82 $82 $82 $82 $82 $82 $82 $82 $90 $90 $90 $90 $90 $90 $48 $48 $48 $48 $48 $48 $49 $49 $49 $49 $49 $49 $55 $55 $55 $55 $55 $53 $53 $60 $60 +38% +35% +10% +25% ($ in millions) 20</w:t>
            </w:r>
          </w:p>
        </w:tc>
      </w:tr>
    </w:tbl>
    <w:tbl>
      <w:tblPr>
        <w:tblW w:w="16685" w:type="dxa"/>
        <w:jc w:val="center"/>
        <w:tblInd w:w="0" w:type="dxa"/>
        <w:tblCellMar>
          <w:top w:w="0" w:type="dxa"/>
          <w:left w:w="0" w:type="dxa"/>
          <w:bottom w:w="0" w:type="dxa"/>
          <w:right w:w="0" w:type="dxa"/>
        </w:tblCellMar>
      </w:tblPr>
      <w:tblGrid>
        <w:gridCol w:w="16500"/>
        <w:gridCol w:w="18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40"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240" descr=""/>
                          <pic:cNvPicPr>
                            <a:picLocks noChangeAspect="1" noChangeArrowheads="1"/>
                          </pic:cNvPicPr>
                        </pic:nvPicPr>
                        <pic:blipFill>
                          <a:blip r:embed="rId245"/>
                          <a:stretch>
                            <a:fillRect/>
                          </a:stretch>
                        </pic:blipFill>
                        <pic:spPr bwMode="auto">
                          <a:xfrm>
                            <a:off x="0" y="0"/>
                            <a:ext cx="10477500" cy="8086725"/>
                          </a:xfrm>
                          <a:prstGeom prst="rect">
                            <a:avLst/>
                          </a:prstGeom>
                        </pic:spPr>
                      </pic:pic>
                    </a:graphicData>
                  </a:graphic>
                </wp:inline>
              </w:drawing>
            </w:r>
          </w:p>
        </w:tc>
        <w:tc>
          <w:tcPr>
            <w:tcW w:w="18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S&amp;P Activity (# of ships) Avg. 145k cbm Asset Value Avg. 160k cbm Asset Value 2016 4 $108 $166 2017 10 100 157 2018 12 85 156 2019 11 82 160 2020 4 82 152 1Q21 3 82 145 2Q21 1 82 145 3Q21 - 82 145 4Q21 11 82 145 1Q22 15 82 152 2Q22 11 82 165 3Q22 9 90 180 4Q22 7 90 194 - 5 10 15 $ - $50 $100 $150 $200 $250 Jan-16 Dec-16 Dec-17 Dec-18 Dec-19 Dec-20 Dec-21 Dec-22 Asset Value ($ millions) S&amp;P Activity (# of ships) S&amp;P Activity 10 Year Old Secondhand 145k cbm Values 5 Year Old Secondhand 160k cbm Values Situation Overview Source: Clarksons (March 2023) Note: 145k cbm asset values relate to 10 Year Old Secondhand Vessel values; 160k cbm asset values relate to 5 Year Old Secondhand Vessel values 1. Represents YTD 2023 and 2022 LNG vessel sales per Clarksons Research with disclosed vessel pricing (excluding sale-leaseback transactions) S&amp;P Overview LNG Asset Values and S&amp;P Activity (2016 to Present) Avg. LNG Asset Values and S&amp;P Activity (2016 to Present) Recent LNG Acquisitions1 Significant vessel sales in Q4 2021 and 1H 2022 Buyer Seller Date # of Ships Sold Total Price Avg. Age (Years) Avg. CBM Vessel Type Dual Fuel 2/20/23 1 $184 9 160 LNG y 1/3/23 1 55 17 145 LNG N 7/7/22 1 400 7 170 FSRU Y 6/1/22 1 350 7 170 FSRU Y 5/13/22 4 700 4.25 172 LNG Y 1/27/22 1 35 20 138 LNG N Chinese Interests ($ in millions) 21</w:t>
            </w:r>
          </w:p>
        </w:tc>
      </w:tr>
    </w:tbl>
    <w:tbl>
      <w:tblPr>
        <w:tblW w:w="16640" w:type="dxa"/>
        <w:jc w:val="center"/>
        <w:tblInd w:w="0" w:type="dxa"/>
        <w:tblCellMar>
          <w:top w:w="0" w:type="dxa"/>
          <w:left w:w="0" w:type="dxa"/>
          <w:bottom w:w="0" w:type="dxa"/>
          <w:right w:w="0" w:type="dxa"/>
        </w:tblCellMar>
      </w:tblPr>
      <w:tblGrid>
        <w:gridCol w:w="16500"/>
        <w:gridCol w:w="14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41"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241" descr=""/>
                          <pic:cNvPicPr>
                            <a:picLocks noChangeAspect="1" noChangeArrowheads="1"/>
                          </pic:cNvPicPr>
                        </pic:nvPicPr>
                        <pic:blipFill>
                          <a:blip r:embed="rId246"/>
                          <a:stretch>
                            <a:fillRect/>
                          </a:stretch>
                        </pic:blipFill>
                        <pic:spPr bwMode="auto">
                          <a:xfrm>
                            <a:off x="0" y="0"/>
                            <a:ext cx="10477500" cy="8086725"/>
                          </a:xfrm>
                          <a:prstGeom prst="rect">
                            <a:avLst/>
                          </a:prstGeom>
                        </pic:spPr>
                      </pic:pic>
                    </a:graphicData>
                  </a:graphic>
                </wp:inline>
              </w:drawing>
            </w:r>
          </w:p>
        </w:tc>
        <w:tc>
          <w:tcPr>
            <w:tcW w:w="14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3.5x 3.8x 3.0x 2.9x 2023E 2024E “The partnership said it has "agreed in principle" to convert an older, 145,000 cbm steamship into a floating storage and regasification unit (FSRU) for the Venice Energy project located at the Port of Adelaide in Australia. The partnership expects a ~10-year contract to materialize in the 2H-2023. The conversion is expected to take 8-10 months and should cost ~$100 million. This would be important as it is the first asset growth since the distribution cut.” “More importantly, however, was the unsolicited takeout offer that came in yesterday from the parent company, GasLog Ltd., for $7.70/unit. At a ~6x EBITDA multiple, we see potential upside to the $7.70/unit number, but we think it likely caps out around $9/unit given our NAV estimate of $9.27/unit. With 30% ownership by the parent company, we don't see any other bidders coming in, but we don't see a reason to sell the company for $7.70/ unit either, so we expect the units to move higher through the take-private negotiations.” Situation Overview Analyst Projections by Stifel (January 26, 2023) – Price Target of $9.50 Revenue Projections $273 $211 $290 $269 2023E 2024E $362 $301 $377 $356 2023E 2024E EBITDA Projections Gross Debt / EBITDA Projections Source: Wall Street research (1/26/23) | Price Target: $9.50 Stifel GLOP Financial Projections ($ in millions, except per unit data) 22</w:t>
            </w:r>
          </w:p>
        </w:tc>
      </w:tr>
    </w:tbl>
    <w:tbl>
      <w:tblPr>
        <w:tblW w:w="16640" w:type="dxa"/>
        <w:jc w:val="center"/>
        <w:tblInd w:w="0" w:type="dxa"/>
        <w:tblCellMar>
          <w:top w:w="0" w:type="dxa"/>
          <w:left w:w="0" w:type="dxa"/>
          <w:bottom w:w="0" w:type="dxa"/>
          <w:right w:w="0" w:type="dxa"/>
        </w:tblCellMar>
      </w:tblPr>
      <w:tblGrid>
        <w:gridCol w:w="16500"/>
        <w:gridCol w:w="14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42"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242" descr=""/>
                          <pic:cNvPicPr>
                            <a:picLocks noChangeAspect="1" noChangeArrowheads="1"/>
                          </pic:cNvPicPr>
                        </pic:nvPicPr>
                        <pic:blipFill>
                          <a:blip r:embed="rId247"/>
                          <a:stretch>
                            <a:fillRect/>
                          </a:stretch>
                        </pic:blipFill>
                        <pic:spPr bwMode="auto">
                          <a:xfrm>
                            <a:off x="0" y="0"/>
                            <a:ext cx="10477500" cy="8086725"/>
                          </a:xfrm>
                          <a:prstGeom prst="rect">
                            <a:avLst/>
                          </a:prstGeom>
                        </pic:spPr>
                      </pic:pic>
                    </a:graphicData>
                  </a:graphic>
                </wp:inline>
              </w:drawing>
            </w:r>
          </w:p>
        </w:tc>
        <w:tc>
          <w:tcPr>
            <w:tcW w:w="14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Situation Overview LNGC Time Charter and Spot Rates Source: Clarksons (3/31/23) Note: Data for 174k cbm carriers only available from 2019 onwards $80,000 $42,500 $ - $50,000 $100,000 $150,000 $200,000 $250,000 Jan-19 Aug-19 Mar-20 Oct-20 May-21 Jan-22 Aug-22 Mar-23 3 Year Average 10 Year Average $145,000 $63,000 $ - $150,000 $300,000 $450,000 $600,000 Jan-19 Aug-19 Mar-20 Oct-20 May-21 Jan-22 Aug-22 Mar-23 3 Year Average 10 Year Average $210,000 $77,500 $ - $150,000 $300,000 $450,000 $600,000 Jan-19 Aug-19 Mar-20 Oct-20 May-21 Jan-22 Aug-22 Mar-23 3 Year Average 10 Year Average Time Charter Spot 174k CBM 160k CBM 145k CBM 1YR TC Spot Current $145,000 $63,000 3 Year Average $115,019 $106,284 5 Year Average $89,374 $87,552 10 Year Average $89,374 $87,552 1YR TC Spot Current $80,000 $42,500 3 Year Average $61,052 $63,252 5 Year Average $52,326 $54,780 10 Year Average $52,326 $54,780 ($ per day) 1YR TC Spot Current $210,000 $77,500 3 Year Average $146,231 $136,314 23</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43"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243" descr=""/>
                          <pic:cNvPicPr>
                            <a:picLocks noChangeAspect="1" noChangeArrowheads="1"/>
                          </pic:cNvPicPr>
                        </pic:nvPicPr>
                        <pic:blipFill>
                          <a:blip r:embed="rId248"/>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$105.0 $95.0 $85.0 $75.0 $85.0 $124.5 $96.0 $96.0 N/A N/A $103.8 $80.0 $80.0 N/A N/A $83.0 $64.0 $64.0 N/A N/A 2023E 2024E 2025E 2026E 2027E 3yr Average: $136.3k ~4yr Average: $89.2k Situation Overview Management Forecast vs Stifel and Historical Spot Rates Source: GLOP management projections, Clarksons (3/31/23), Stifel (1/26/23) 1. Assumes 145k cbm is representative of Steam Historical spot pricing 2. Data for 174k cbm carriers only available from 2019 onwards 160K CBM Carrier Spot Rates 145K CBM Carrier Spot Rates1 174K CBM Carrier Spot Rates GLOP Financial Projections $52.0 $50.0 $40.0 $35.0 $40.0 $48.0 $42.0 $42.0 N/A N/A $40.0 $35.0 $35.0 N/A N/A $32.0 $28.0 $28.0 N/A N/A 2023E 2024E 2025E 2026E 2027E 3yr Average: $63.3k 5yr Average: $54.8k $85.0 $75.0 $65.0 $55.0 $65.0 $87.0 $72.0 $72.0 N/A N/A $72.5 $60.0 $60.0 N/A N/A $58.0 $48.0 $48.0 N/A N/A 2023E 2024E 2025E 2026E 2027E 3yr Average: $106.3k 5yr Average: $87.6kStifel (Bull Case) Stifel (Base Case) Stifel (Bear Case) Historical Averages 2 ($000s per day) 24</w:t>
            </w:r>
          </w:p>
        </w:tc>
      </w:tr>
    </w:tbl>
    <w:tbl>
      <w:tblPr>
        <w:tblW w:w="16625" w:type="dxa"/>
        <w:jc w:val="center"/>
        <w:tblInd w:w="0" w:type="dxa"/>
        <w:tblCellMar>
          <w:top w:w="0" w:type="dxa"/>
          <w:left w:w="0" w:type="dxa"/>
          <w:bottom w:w="0" w:type="dxa"/>
          <w:right w:w="0" w:type="dxa"/>
        </w:tblCellMar>
      </w:tblPr>
      <w:tblGrid>
        <w:gridCol w:w="16500"/>
        <w:gridCol w:w="12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44"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244" descr=""/>
                          <pic:cNvPicPr>
                            <a:picLocks noChangeAspect="1" noChangeArrowheads="1"/>
                          </pic:cNvPicPr>
                        </pic:nvPicPr>
                        <pic:blipFill>
                          <a:blip r:embed="rId249"/>
                          <a:stretch>
                            <a:fillRect/>
                          </a:stretch>
                        </pic:blipFill>
                        <pic:spPr bwMode="auto">
                          <a:xfrm>
                            <a:off x="0" y="0"/>
                            <a:ext cx="10477500" cy="8086725"/>
                          </a:xfrm>
                          <a:prstGeom prst="rect">
                            <a:avLst/>
                          </a:prstGeom>
                        </pic:spPr>
                      </pic:pic>
                    </a:graphicData>
                  </a:graphic>
                </wp:inline>
              </w:drawing>
            </w:r>
          </w:p>
        </w:tc>
        <w:tc>
          <w:tcPr>
            <w:tcW w:w="12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III. Preliminary Valuation</w:t>
            </w:r>
          </w:p>
        </w:tc>
      </w:tr>
    </w:tbl>
    <w:tbl>
      <w:tblPr>
        <w:tblW w:w="16700" w:type="dxa"/>
        <w:jc w:val="center"/>
        <w:tblInd w:w="0" w:type="dxa"/>
        <w:tblCellMar>
          <w:top w:w="0" w:type="dxa"/>
          <w:left w:w="0" w:type="dxa"/>
          <w:bottom w:w="0" w:type="dxa"/>
          <w:right w:w="0" w:type="dxa"/>
        </w:tblCellMar>
      </w:tblPr>
      <w:tblGrid>
        <w:gridCol w:w="16500"/>
        <w:gridCol w:w="20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45"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245" descr=""/>
                          <pic:cNvPicPr>
                            <a:picLocks noChangeAspect="1" noChangeArrowheads="1"/>
                          </pic:cNvPicPr>
                        </pic:nvPicPr>
                        <pic:blipFill>
                          <a:blip r:embed="rId250"/>
                          <a:stretch>
                            <a:fillRect/>
                          </a:stretch>
                        </pic:blipFill>
                        <pic:spPr bwMode="auto">
                          <a:xfrm>
                            <a:off x="0" y="0"/>
                            <a:ext cx="10477500" cy="8086725"/>
                          </a:xfrm>
                          <a:prstGeom prst="rect">
                            <a:avLst/>
                          </a:prstGeom>
                        </pic:spPr>
                      </pic:pic>
                    </a:graphicData>
                  </a:graphic>
                </wp:inline>
              </w:drawing>
            </w:r>
          </w:p>
        </w:tc>
        <w:tc>
          <w:tcPr>
            <w:tcW w:w="20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Discounted Cash Flow Peer Trading Precedents Premium / (Discount) to Appraisal NAV: (10.0%) – 10.0% WACC: 8.75% – 9.75% 2023E EBITDA Multiple: 5.0x - 6.0x 2024E EBITDA Multiple: 5.5x - 6.5x Appraisal P / NAV Multiple: 0.55x - 0.80x Appraisal P / NAV Multiple: 0.70x - 1.05x Based on on Low and High of Past 52 Weeks 2027E EBITDA Exit Multiple: 4.0x – 6.0x EV / 2023E EBITDA EV / 2024E EBITDA Charter-Adjusted Appraisal NAV1 EBITDA Exit Multiple Based on 25th and 75th percentile of the One-Day and 30- Day Paid Price / Net Asset Value1 Price / Net Asset Value1 Analyst Price Target Premiums Paid 52-Week Share Price Range Based on Stifel Price Target $8.19 $6.64 $7.28 $7.87 $6.35 $8.09 $4.30 $7.52 $9.50 $14.92 $13.24 $12.61 $12.83 $9.24 $12.13 $9.27 $10.11 $9.50 $-- $10.00 $20.00 $30.00 Proposed Consideration: $8.52 Current Trading Price: $8.42 Summary Preliminary Valuation Note: This summary of certain analyses is provided for illustrative purposes. It does not represent all of the analyses performed by Evercore and should be considered with the information elsewhere in this presentation. As is customary in similar transactions, the valuation analysis contained herein assesses the Partnership on a standalone basis. 1. Owned vessels based on an average of appraisals from Fearnleys and Braemar ACM as of February 2023. Sale leaseback vessels based on Sponsor-estimated right-of-use asset value For Reference Only 26</w:t>
            </w:r>
          </w:p>
        </w:tc>
      </w:tr>
    </w:tbl>
    <w:tbl>
      <w:tblPr>
        <w:tblW w:w="16700" w:type="dxa"/>
        <w:jc w:val="center"/>
        <w:tblInd w:w="0" w:type="dxa"/>
        <w:tblCellMar>
          <w:top w:w="0" w:type="dxa"/>
          <w:left w:w="0" w:type="dxa"/>
          <w:bottom w:w="0" w:type="dxa"/>
          <w:right w:w="0" w:type="dxa"/>
        </w:tblCellMar>
      </w:tblPr>
      <w:tblGrid>
        <w:gridCol w:w="16500"/>
        <w:gridCol w:w="20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46"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246" descr=""/>
                          <pic:cNvPicPr>
                            <a:picLocks noChangeAspect="1" noChangeArrowheads="1"/>
                          </pic:cNvPicPr>
                        </pic:nvPicPr>
                        <pic:blipFill>
                          <a:blip r:embed="rId251"/>
                          <a:stretch>
                            <a:fillRect/>
                          </a:stretch>
                        </pic:blipFill>
                        <pic:spPr bwMode="auto">
                          <a:xfrm>
                            <a:off x="0" y="0"/>
                            <a:ext cx="10477500" cy="8086725"/>
                          </a:xfrm>
                          <a:prstGeom prst="rect">
                            <a:avLst/>
                          </a:prstGeom>
                        </pic:spPr>
                      </pic:pic>
                    </a:graphicData>
                  </a:graphic>
                </wp:inline>
              </w:drawing>
            </w:r>
          </w:p>
        </w:tc>
        <w:tc>
          <w:tcPr>
            <w:tcW w:w="20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Appraisal NAV per Share $6.51 $8.19 $9.27 $9.87 $11.55 $13.24 $14.92 $16.60 (15.0%) (10.0%) WS Research (5.0%) 0.0% 5.0% 10.0% 15.0% Premium / (Discount) to Total Charter-Free Appraised Value Charter Free Gross Asset Value (Broker Average) $1,827 (±) Charter Mark-to-Market (95) Charter Adjusted Gross Asset Value $1,732 (+) Cash and Cash Equivalents 223 (–) Net Working Capital (52) (–) Preferred Equity1 (291) (–) Total Debt Outstanding2 (985) Net Asset Value $627 (÷) Total Units Outstanding 54.285 NAV per Common Unit $11.55 Implied Current Price / NAV 3 0.73x Charter-Free Appraisal Charter Adj.4 Vessel Engine Built Cbm Fearnleys Braemar Avg. MtM Value GasLog Geneva TFDE 2016 174k $201 $190 $196 ($2) $194 GasLog Gibraltar TFDE 2016 174k 201 190 196 (2) 193 GasLog Glasgow TFDE 2016 174k 199 190 195 (37) 158 GasLog Greece TFDE 2016 174k 197 180 189 (34) 155 Solaris TFDE 2014 155k 160 162 161 5 166 Methane Becki Anne TFDE 2010 170k 145 169 157 (7) 149 GasLog Santiago TFDE 2013 155k 148 162 155 (14) 141 GasLog Sydney TFDE 2013 155k 148 162 155 - 155 GasLog Seattle TFDE 2013 155k 150 158 154 - 154 Methane Alison Victoria Steam 2007 145k 65 59 62 (2) 60 Methane Jane Elizabeth Steam 2006 145k 60 56 58 (6) 52 Methane Rita Andrea Steam 2006 145k 60 56 58 3 61 GasLog Shanghai TFDE 2013 155k SLB SLB 65 SLB 65 Methane Heather Sally Steam 2007 145k SLB SLB 28 SLB 28 Gross Asset Value $1,734 $1,733 $1,827 ($95) $1,732 GLOP Fleet Summary Preliminary Valuation GLOP Fleet Valuation Detail GasLog Partners NAV per Unit ($ in millions) Source: Company filings, Fearnleys and Braemar (February 2023) Note: Balance sheet figures based on fiscal year ended 12/31/22 1. Preferred equity valued at liquidation preference of $25 per unit. Preferred equity market value of $268.8mm as of 3/31/23 2. Includes lease liabilities 3. Based on GLOP unit price of $8.42 as of 3/31/23 4. Charter Mark-to-Market based on firm period only with Sponsor-provided comparable market rates, assuming a 9.25% discount rate and a 6/30/23 valuation date 5. GasLog Greece appraisal as of December 31, 2022, as its appraisal as of February 28, 2023 has not yet been provided by GasLog Partners Management 6. Reflects present value of sale leaseback operating cash flows, as provided by Sponsor on 3/17/23 7. Based on Stifel research (1/24/23) 5 7 Sensitivity Analysis Applied Sensitivity Range For Reference Only Implied NAV per Unit (Assuming no Appraisal Discount) $11.55 $12.13 $10.40 $10.98 $9.24 $9.82 $8.09 $8.66 $7.51 0.65x 0.70x 0.75x 0.80x 0.85x 0.90x 0.95x 1.00x 1.05x Price / Net Asset Value per Common Unit 6 6 6 6 4 27</w:t>
            </w:r>
          </w:p>
        </w:tc>
      </w:tr>
    </w:tbl>
    <w:tbl>
      <w:tblPr>
        <w:tblW w:w="16670" w:type="dxa"/>
        <w:jc w:val="center"/>
        <w:tblInd w:w="0" w:type="dxa"/>
        <w:tblCellMar>
          <w:top w:w="0" w:type="dxa"/>
          <w:left w:w="0" w:type="dxa"/>
          <w:bottom w:w="0" w:type="dxa"/>
          <w:right w:w="0" w:type="dxa"/>
        </w:tblCellMar>
      </w:tblPr>
      <w:tblGrid>
        <w:gridCol w:w="16500"/>
        <w:gridCol w:w="17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47"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247" descr=""/>
                          <pic:cNvPicPr>
                            <a:picLocks noChangeAspect="1" noChangeArrowheads="1"/>
                          </pic:cNvPicPr>
                        </pic:nvPicPr>
                        <pic:blipFill>
                          <a:blip r:embed="rId252"/>
                          <a:stretch>
                            <a:fillRect/>
                          </a:stretch>
                        </pic:blipFill>
                        <pic:spPr bwMode="auto">
                          <a:xfrm>
                            <a:off x="0" y="0"/>
                            <a:ext cx="10477500" cy="8086725"/>
                          </a:xfrm>
                          <a:prstGeom prst="rect">
                            <a:avLst/>
                          </a:prstGeom>
                        </pic:spPr>
                      </pic:pic>
                    </a:graphicData>
                  </a:graphic>
                </wp:inline>
              </w:drawing>
            </w:r>
          </w:p>
        </w:tc>
        <w:tc>
          <w:tcPr>
            <w:tcW w:w="17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Discounted Cash Flow – Assumptions Preliminary Valuation ◼ Evercore utilized the following assumptions to analyze GasLog Partners’ discounted cash flows: Discounted the projected cash flows to January 1, 2023 under midterm convention EBITDA and capital expenditures through December 31, 2027E per GLOP Financial Projections Assumes a tax rate of 0.0% Mid-point discount rate of 9.25% utilizing WACC based on Capital Asset Pricing Model Terminal value based on a 4.0x to 6.0x EBITDA exit multiple 28</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48"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248" descr=""/>
                          <pic:cNvPicPr>
                            <a:picLocks noChangeAspect="1" noChangeArrowheads="1"/>
                          </pic:cNvPicPr>
                        </pic:nvPicPr>
                        <pic:blipFill>
                          <a:blip r:embed="rId253"/>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Discounted Cash Flow of GasLog Partners Preliminary Valuation Source: GasLog Partners management, public filings 1. Includes Financing Leases 2. Liquidation value as of January 1, 2023 3. Includes general partner, common and Class B units ($ in millions, except per unit data) For the Years Ending December 31, EBITDA 2023E 2024E 2025E 2026E 2027E Multiple EBITDA $289.5 $269.0 $225.7 $222.2 $238.3 $238.3 (–) Capital Expenditures (38.2) (54.6) (90.8) (28.0) - (–) Change in Working Capital (15.3) (1.1) (0.7) (0.2) (0.0) (±) Other Items - - - - - Unlevered Free Cash Flow $236.0 $213.3 $134.2 $194.1 $238.3 Terminal Value Exit EBITDA Multiple 5.00x Terminal Value $1,191.5 PV of Terminal Value at 9.25% Discount Rate 765.6 (+) PV of Unlevered Free Cash Flow at 9.25% Discount Rate 822.6 Implied Enterprise Value $1,588.2 (–) Total Debt Outstanding as of January 1, 20231 (984.5) (+) Cash and Cash Equivalents as of January 1, 2023 223.1 (–) Preferred Equity2 (291.1) Implied Equity Value $535.7 Total Units as of January 1, 20233 54.285 Implied Value per Unit $9.87 EBITDA Exit Multiple Sensitivity Perpetuity Growth Rate Sensitivity EBITDA Exit Multiple Perpetuity Growth Rate 3.00x 4.00x 5.00x 6.00x 7.00x 8.25% $4.95 $7.90 $10.86 $13.81 $16.76 8.75% 4.58 7.47 10.36 13.24 16.13 9.25% 4.23 7.05 9.87 12.69 15.51 9.75% 3.88 6.64 9.39 12.15 14.91 10.25% 3.54 6.23 8.93 11.62 14.32 WACC 29</w:t>
            </w:r>
          </w:p>
        </w:tc>
      </w:tr>
    </w:tbl>
    <w:tbl>
      <w:tblPr>
        <w:tblW w:w="16670" w:type="dxa"/>
        <w:jc w:val="center"/>
        <w:tblInd w:w="0" w:type="dxa"/>
        <w:tblCellMar>
          <w:top w:w="0" w:type="dxa"/>
          <w:left w:w="0" w:type="dxa"/>
          <w:bottom w:w="0" w:type="dxa"/>
          <w:right w:w="0" w:type="dxa"/>
        </w:tblCellMar>
      </w:tblPr>
      <w:tblGrid>
        <w:gridCol w:w="16500"/>
        <w:gridCol w:w="17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49"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249" descr=""/>
                          <pic:cNvPicPr>
                            <a:picLocks noChangeAspect="1" noChangeArrowheads="1"/>
                          </pic:cNvPicPr>
                        </pic:nvPicPr>
                        <pic:blipFill>
                          <a:blip r:embed="rId254"/>
                          <a:stretch>
                            <a:fillRect/>
                          </a:stretch>
                        </pic:blipFill>
                        <pic:spPr bwMode="auto">
                          <a:xfrm>
                            <a:off x="0" y="0"/>
                            <a:ext cx="10477500" cy="8086725"/>
                          </a:xfrm>
                          <a:prstGeom prst="rect">
                            <a:avLst/>
                          </a:prstGeom>
                        </pic:spPr>
                      </pic:pic>
                    </a:graphicData>
                  </a:graphic>
                </wp:inline>
              </w:drawing>
            </w:r>
          </w:p>
        </w:tc>
        <w:tc>
          <w:tcPr>
            <w:tcW w:w="17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2. Based on Clarksons historical data 3. Given limited data for 5-yr old vessels, 2020 values extrapolated assuming same average relative percentage change in pricing between newbuild and 5-yr old vessels as in 2021 and 2022 4. Given limited data for 10-yr old vessels, 2018, 2019 and 2020 values extrapolated assuming same average relative percentage change in pricing between 5-yr old and 10-yr old vessels as in 2021 and 2022 5. Given limited data for 15-yr old vessels, 2018 and 2019 values extrapolated assuming same average relative percentage change in pricing between 10-yr old and 15-yr old vessels as in 2020, 2021 and 2022 Preliminary Valuation Exit EV / EBITDA Considerations Based on Fleet Age and Type 145k CBM Steam Vessels Implied EV / EBITDA1 160k CBM TFDE Vessels Implied EV / EBITDA1 174k CBM TFDE Vessels Implied EV / EBITDA1 GLOP Fleet 5.6x 3.3x 10-Yr Old 15-Yr Old 6.0x 4.5x 5-Yr Old 10-Yr Old 4.5x 4.0x Newbuild 5-Yr Old $161 $132 $84 $52 4 $214 $1953 $14.61 $26.41 $47.31 ($ in millions) Three Year Average Five Year Average Source: Clarksons, GLOP management 1. Assumes charter rates of ~$146k, ~$89k and ~$52k per day for 174k TFDE, 160k TFDE and steam vessels respectively, based on average 1yr TC for measurement period (3yrs for 174k TFDE and 5yrs for 160k TFDE and Steam vessels); Assumes operating expenses of ~$13,700, ~$14,700 and ~$11,000 per day for 174k TFDE, 160k TFDE and 145k steam vessels respectively, based on 2023 estimates from GLOP Financial Projections 5 Avg. S&amp;P Purchase Price2 Vessel EBITDA1 145k CBM Steam 3 160k CBM TFDE 4 174k CBM TFDE 5 Age (Years) 2023 2027 145k CBM Steam 16 21 160k CBM TFDE 9 14 174k CBM TFDE 7 12 Number of Vessels (2027) Age of Vessels Multiple Degradation Over 5 Years (0.5x) (1.5x) (2.3x) 30</w:t>
            </w:r>
          </w:p>
        </w:tc>
      </w:tr>
    </w:tbl>
    <w:tbl>
      <w:tblPr>
        <w:tblW w:w="16685" w:type="dxa"/>
        <w:jc w:val="center"/>
        <w:tblInd w:w="0" w:type="dxa"/>
        <w:tblCellMar>
          <w:top w:w="0" w:type="dxa"/>
          <w:left w:w="0" w:type="dxa"/>
          <w:bottom w:w="0" w:type="dxa"/>
          <w:right w:w="0" w:type="dxa"/>
        </w:tblCellMar>
      </w:tblPr>
      <w:tblGrid>
        <w:gridCol w:w="16500"/>
        <w:gridCol w:w="18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50"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250" descr=""/>
                          <pic:cNvPicPr>
                            <a:picLocks noChangeAspect="1" noChangeArrowheads="1"/>
                          </pic:cNvPicPr>
                        </pic:nvPicPr>
                        <pic:blipFill>
                          <a:blip r:embed="rId255"/>
                          <a:stretch>
                            <a:fillRect/>
                          </a:stretch>
                        </pic:blipFill>
                        <pic:spPr bwMode="auto">
                          <a:xfrm>
                            <a:off x="0" y="0"/>
                            <a:ext cx="10477500" cy="8086725"/>
                          </a:xfrm>
                          <a:prstGeom prst="rect">
                            <a:avLst/>
                          </a:prstGeom>
                        </pic:spPr>
                      </pic:pic>
                    </a:graphicData>
                  </a:graphic>
                </wp:inline>
              </w:drawing>
            </w:r>
          </w:p>
        </w:tc>
        <w:tc>
          <w:tcPr>
            <w:tcW w:w="18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Preliminary Valuation Peer Trading – Overview of Peers Company Remaining Charter Length Age of Fleet Overview of Business 1.5 10.9 ■ Pure-play LNGC with 14 vessels, including 4 steams, 5 155k CBM TFDEs and 5 170k+ TFDEs ■ Significant spot exposure in 2024+ ■ MLP structure 3.6 3.4 ■ Pure-play LNGC with 100% 174K+ CBM fleet TFDEs under long-term charters 6.3 13.3 ■ FSRU-focused business with long-term charters and limited spot exposure 6.2 12.7 ■ Pure-play LNGC with 3 steams vessels under long-term contract with Gazprom and 3 other 155k TFDE vessels ■ MLP structure 7.8 / 5.1 (LNGC Only / Full Fleet) 1.6 / 7.0 (LNGC Only / Full Fleet) ■ Mixed fleet including 16 containers (majority of contracts expire 2025+) and 7 LNGC (2020+ builds with long term charters) ■ MLP structure NA 7.2 ■ Pure-play LNGC with 8 160k CMB TFDE vessels and 4 170k+ CBM TFDE vessels ■ Significant spot exposure ■ Listed on NYSE and Norwegian exchange Source: Partnership and Company websites and filings, Wall Street research 31</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51"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251" descr=""/>
                          <pic:cNvPicPr>
                            <a:picLocks noChangeAspect="1" noChangeArrowheads="1"/>
                          </pic:cNvPicPr>
                        </pic:nvPicPr>
                        <pic:blipFill>
                          <a:blip r:embed="rId256"/>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0.6% 13.2% 8.9% 4.5% 0.5% NA 10.9 13.3 12.7 7.2 3.4 1.6 14 13 11 10 7 6 1.5 7.8 6.3 6.2 3.6 NA Current Dividend Yield4 Preliminary Valuation Peer Comparison Fleet Count1 Average Charter Duration (Years)2 Source: Partnership / Company websites and filings, Clarksons Note: CPLP figures excluded its drybulk and containership vessels. CoolCo figures pro forma for sale of Golar Seal, which closed in March 2023 1. Disclosed fleet count as of 3/31/23 Average Fleet Age (Years)3 FSRU LNGC 2. Figures as of 3/31/23; COOL avg charter duration not disclosed 3. Figures as of 3/31/23 4. FactSet (3/31/23). Flex LNG excludes $0.25 special dividend paid in Q1 2023. In November 2022, CoolCo announced its intention to instate a variable dividend, the first of which will be paid in Q1 2023. 32</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52"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252" descr=""/>
                          <pic:cNvPicPr>
                            <a:picLocks noChangeAspect="1" noChangeArrowheads="1"/>
                          </pic:cNvPicPr>
                        </pic:nvPicPr>
                        <pic:blipFill>
                          <a:blip r:embed="rId257"/>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4.9x 5.2x 10.9x 8.0x 6.8x 6.4x 5.6x 5.3x 6.8x 10.9x 7.4x 5.8x 6.3x 6.5x EV / 2023E EBITDA EV / 2024E EBITDA 2023E Median: 6.8x 2024E Median: 6.5x Preliminary Valuation Peer Trading – EV / EBITDA Source: Partnership website and filings, Wall Street research, FactSet (3/31/23) Note: GLOP EBITDA estimates represent Stifel (1/26/23) estimates; Management EBITDA figure assumes execution of Project Venice 1. Based on Stifel research (1/24/23) 2. CPLP figures excluded its drybulk and containership vessels 1.5 6.2 7.82 3.6 6.3 NA Charter Duration (Yrs.) 2 Management Wall Street Research 1 GLOP metrics based on GLOP’s unaffected unit price of $6.98 as of 1/24/23 33</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53"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253" descr=""/>
                          <pic:cNvPicPr>
                            <a:picLocks noChangeAspect="1" noChangeArrowheads="1"/>
                          </pic:cNvPicPr>
                        </pic:nvPicPr>
                        <pic:blipFill>
                          <a:blip r:embed="rId258"/>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5.8x 6.6x 6.4x 7.9x 10.9x 5.8x 0.0x 2.0x 4.0x 6.0x 8.0x 10.0x 12.0x 14.0x 16.0x 1/1/18 11/16/18 10/1/19 8/15/20 6/30/21 5/15/22 3/31/23 Gaslog Partners Dynagas Capital Product Partners Excelerate Energy Flex LNG CoolCo 0 1 Year Average 3 Year Average 5 Year Average Gaslog Partners 4.9x 5.8x 6.6x Dynagas 7.4x 8.1x 8.5x Capital Product Partners 6.8x 6.2x 5.6x Excelerate Energy 10.1x Flex LNG 10.6x 9.0x 8.7x CoolCo 5.7x Average (Excluding GLOP) 8.1x 7.7x 7.6x Preliminary Valuation GLOP’s Trading Multiples Over Time Relative to Benchmarks and Its Peers Source: FactSet (3/31/23) 1. Excelerate Energy IPO on 4/13/22 2. CoolCo began trading on 2/22/22 1 EV / NTM EBITDA 2 Over the last five years, GLOP has traded at a 1.0x discount to the peer average, and the one- and three-year average discount is closer to 2.0-3.0x 34</w:t>
            </w:r>
          </w:p>
        </w:tc>
      </w:tr>
    </w:tbl>
    <w:tbl>
      <w:tblPr>
        <w:tblW w:w="16625" w:type="dxa"/>
        <w:jc w:val="center"/>
        <w:tblInd w:w="0" w:type="dxa"/>
        <w:tblCellMar>
          <w:top w:w="0" w:type="dxa"/>
          <w:left w:w="0" w:type="dxa"/>
          <w:bottom w:w="0" w:type="dxa"/>
          <w:right w:w="0" w:type="dxa"/>
        </w:tblCellMar>
      </w:tblPr>
      <w:tblGrid>
        <w:gridCol w:w="16500"/>
        <w:gridCol w:w="12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54"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254" descr=""/>
                          <pic:cNvPicPr>
                            <a:picLocks noChangeAspect="1" noChangeArrowheads="1"/>
                          </pic:cNvPicPr>
                        </pic:nvPicPr>
                        <pic:blipFill>
                          <a:blip r:embed="rId259"/>
                          <a:stretch>
                            <a:fillRect/>
                          </a:stretch>
                        </pic:blipFill>
                        <pic:spPr bwMode="auto">
                          <a:xfrm>
                            <a:off x="0" y="0"/>
                            <a:ext cx="10477500" cy="8086725"/>
                          </a:xfrm>
                          <a:prstGeom prst="rect">
                            <a:avLst/>
                          </a:prstGeom>
                        </pic:spPr>
                      </pic:pic>
                    </a:graphicData>
                  </a:graphic>
                </wp:inline>
              </w:drawing>
            </w:r>
          </w:p>
        </w:tc>
        <w:tc>
          <w:tcPr>
            <w:tcW w:w="12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0.60x 0.75x 1.11x 0.57x 0.35x NA NA Source: Partnership website and filings, Wall Street research, FactSet (3/31/23) 1. Based on the average of Fearnleys and Braemar 2. NAV on Stifel research (1/24/23) Preliminary Valuation Peer Trading – P / NAV Wall Street Research Analyst NAV P / NAV Mean 0.68x Median 0.57x 2 Broker Appraisal Wall Street Research 1 GLOP metrics based on GLOP’s unaffected unit price of $6.98 as of 1/24/23 35</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55"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255" descr=""/>
                          <pic:cNvPicPr>
                            <a:picLocks noChangeAspect="1" noChangeArrowheads="1"/>
                          </pic:cNvPicPr>
                        </pic:nvPicPr>
                        <pic:blipFill>
                          <a:blip r:embed="rId260"/>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Target GCI DryShips Teekay Offshore Grindrod Shipping Golar LNG Partners GasLog Teekay LNG Partners Höegh LNG Holdings Ltd. Acquiror Seaspan SPII Holdings Brookfield Taylor Maritime Investments New Fortress Energy BlackRock Stonepeak Limestone Höegh LNG Partners LP Business Type Term Mixed Mixed Mixed Mixed Term Term Term Transaction Value $1,600 $717 $4,382 $565 $1,906 $4,858 $6,179 $774 Consideration Structure Mixed Cash Cash Cash Mixed Cash Cash Cash Average Fleet Age 3 years 6 years 8 years 7 years 13 years 5 years 10 years 9 years 0.92x 0.86x NA 0.93x 1.06x 0.73x 1.08x 0.80x 3/14/18 8/19/19 10/1/19 10/13/22 1/13/21 2/22/21 10/4/21 5/25/22 Shipping Transaction LNG Transaction LNG Average: 0.92x All Transactions Average: 0.91x Preliminary Valuation Selected Precedent Transactions – Cash / Partial Cash – P / NAV ($ in millions) Source: Public filings, press releases, investor presentations, FactSet, Capital IQ, Wall Street research, Evercore estimates 36</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56"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256" descr=""/>
                          <pic:cNvPicPr>
                            <a:picLocks noChangeAspect="1" noChangeArrowheads="1"/>
                          </pic:cNvPicPr>
                        </pic:nvPicPr>
                        <pic:blipFill>
                          <a:blip r:embed="rId261"/>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Peer Group Trading: EV / EBITDA Metric Data Applied Multiple Range Implied Valuation Low - High Low - High EV / 2023E EBITDA $290 5.0x - 6.0x $1,448 - $1,737 Implied Enterprise Value $1,448 - $1,737 Less: Total Debt as of January 1, 20232 (985) Plus: Cash and Cash Equivalents as of January 1, 2023 223 Less: Preferred Equity3 (291) Implied Equity Value Range $395 $685 Total Units as of January 1, 20234 54.285 Implied Value per Unit $7.28 $12.61 Preliminary Valuation 2023E EBITDA 2024E EBITDA Source: GasLog Partners management, public filings 1. Includes Financing Leases 2. Liquidation value as of January 1, 2023 3. Includes general partner, common and Class B units Metric Data Applied Multiple Range Implied Valuation Low - High Low - High EV / 2024E EBITDA $269 5.5x - 6.5x $1,480 - $1,749 Implied Enterprise Value $1,480 - $1,749 Less: Total Debt as of January 1, 20232 (985) Plus: Cash and Cash Equivalents as of January 1, 2023 223 Less: Preferred Equity3 (291) Implied Equity Value Range $427 $696 Total Units as of January 1, 20234 54.285 Implied Value per Unit $7.87 $12.83 ($ in millions, except per unit data) 37</w:t>
            </w:r>
          </w:p>
        </w:tc>
      </w:tr>
    </w:tbl>
    <w:tbl>
      <w:tblPr>
        <w:tblW w:w="16700" w:type="dxa"/>
        <w:jc w:val="center"/>
        <w:tblInd w:w="0" w:type="dxa"/>
        <w:tblCellMar>
          <w:top w:w="0" w:type="dxa"/>
          <w:left w:w="0" w:type="dxa"/>
          <w:bottom w:w="0" w:type="dxa"/>
          <w:right w:w="0" w:type="dxa"/>
        </w:tblCellMar>
      </w:tblPr>
      <w:tblGrid>
        <w:gridCol w:w="16500"/>
        <w:gridCol w:w="20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57"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257" descr=""/>
                          <pic:cNvPicPr>
                            <a:picLocks noChangeAspect="1" noChangeArrowheads="1"/>
                          </pic:cNvPicPr>
                        </pic:nvPicPr>
                        <pic:blipFill>
                          <a:blip r:embed="rId262"/>
                          <a:stretch>
                            <a:fillRect/>
                          </a:stretch>
                        </pic:blipFill>
                        <pic:spPr bwMode="auto">
                          <a:xfrm>
                            <a:off x="0" y="0"/>
                            <a:ext cx="10477500" cy="8086725"/>
                          </a:xfrm>
                          <a:prstGeom prst="rect">
                            <a:avLst/>
                          </a:prstGeom>
                        </pic:spPr>
                      </pic:pic>
                    </a:graphicData>
                  </a:graphic>
                </wp:inline>
              </w:drawing>
            </w:r>
          </w:p>
        </w:tc>
        <w:tc>
          <w:tcPr>
            <w:tcW w:w="20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Preliminary Valuation Peer Group Trading – P / NAV Metric Data Applied Multiple Range Implied Valuation Low - High Low - High Average Broker Appraised P / NAV1 $627 0.55x - 0.80x $345 - $502 Implied Equity Value Range $345 $502 Total Units as of January 1, 2023 54.285 Implied Value per Unit $6.35 $9.24 Source: GasLog Partners management, public filings 1. Based on average February 2023 Clarksons and Fearnleys plus charter Mark-to-Market based on firm period only with Sponsor-provided comparable market rates, assuming a 9.25% discount rate 2. Includes Financing Leases 3. Liquidation value as of January 1, 2023 4. Includes general partner, common and Class B units Precedent Transaction Analysis – P / NAV Metric Data Applied Multiple Range Implied Valuation Low - High Low - High Average Broker Appraised P / NAV1 $627 0.70x - 1.05x $439 - $659 Implied Equity Value Range $439 $659 Total Units as of January 1, 2023 54.285 Implied Value per Unit $8.09 $12.13 P / NAV Multiples ($ in millions, except per unit data) 38</w:t>
            </w:r>
          </w:p>
        </w:tc>
      </w:tr>
    </w:tbl>
    <w:tbl>
      <w:tblPr>
        <w:tblW w:w="16685" w:type="dxa"/>
        <w:jc w:val="center"/>
        <w:tblInd w:w="0" w:type="dxa"/>
        <w:tblCellMar>
          <w:top w:w="0" w:type="dxa"/>
          <w:left w:w="0" w:type="dxa"/>
          <w:bottom w:w="0" w:type="dxa"/>
          <w:right w:w="0" w:type="dxa"/>
        </w:tblCellMar>
      </w:tblPr>
      <w:tblGrid>
        <w:gridCol w:w="16500"/>
        <w:gridCol w:w="18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58"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258" descr=""/>
                          <pic:cNvPicPr>
                            <a:picLocks noChangeAspect="1" noChangeArrowheads="1"/>
                          </pic:cNvPicPr>
                        </pic:nvPicPr>
                        <pic:blipFill>
                          <a:blip r:embed="rId263"/>
                          <a:stretch>
                            <a:fillRect/>
                          </a:stretch>
                        </pic:blipFill>
                        <pic:spPr bwMode="auto">
                          <a:xfrm>
                            <a:off x="0" y="0"/>
                            <a:ext cx="10477500" cy="8086725"/>
                          </a:xfrm>
                          <a:prstGeom prst="rect">
                            <a:avLst/>
                          </a:prstGeom>
                        </pic:spPr>
                      </pic:pic>
                    </a:graphicData>
                  </a:graphic>
                </wp:inline>
              </w:drawing>
            </w:r>
          </w:p>
        </w:tc>
        <w:tc>
          <w:tcPr>
            <w:tcW w:w="18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Preliminary Valuation Source: Bloomberg, FactSet, Public filings 1. VWAP premiums paid are calculated by dividing the value of the offer, defined as the exchange ratio multiplied by the closing price of the acquiror’s shares / units on the last trading day prior to announcement plus any cash received, by the 30 VWAP of the target as calculated from the last undisturbed trading day prior to the announcement Premium1 Date Unaffected 30-Day Announced Acquiror / Target Consideration Spot Price VWAP 02/01/23 Sisecam Chemical Resources LLC / Sisecam Resources LP Cash-for-Unit 39.7% 40.1% 01/06/23 Phillips 66 / DCP Midstream, LP Cash-for-Unit 20.1% 28.5% 07/28/22 PBF Energy, Inc. / PBF Logistics LP Cash/Stock-for-Unit (3.0%) 13.2% 07/25/22 Shell USA, Inc. / Shell Midstream Partners, L.P. Cash-for-Unit 23.0% 24.7% 06/02/22 Hartree Partners, LP / Sprague Resources LP Cash-for-Unit 27.3% 24.1% 05/25/22 Höegh LNG Holdings Ltd / Höegh LNG Partners LP Cash-for-Unit 135.4% 103.5% 05/16/22 Diamondback Energy / Rattler Midstream LP Stock-for-Unit 17.3% 8.7% 04/22/22 Ergon, Inc. / Blueknight Energy Partners, L.P. Cash-for-Unit 51.5% 46.8% 12/20/21 BP p.l.c / BP Midstream Partners LP Stock-for-Unit 10.8% 3.0% 10/27/21 Phillips 66 / Phillips 66 Partners LP Stock-for-Unit 4.8% 10.6% 10/04/21 Stonepeak Infrastructure Partners / Teekay LNG Partners LP Cash-for-Unit 8.3% 7.6% 08/23/21 Landmark Dividend / Landmark Infrastructure Partners LP Cash-for-Unit 38.4% 35.6% 03/05/21 Chevron Corporation / Noble Midstream Partners LP Stock-for-Unit 16.7% 23.5% 12/15/20 TC Energy Corporation / TC PipeLines, LP Stock-for-Unit 19.5% 10.0% 07/27/20 CNX Resources Corporation / CNX Midstream Partners Stock-for-Unit 28.1% 16.1% 02/27/20 Equitrans Midstream Corporation / EQM Midstream Partners, LP Stock-for-Unit (1.5%) (11.2%) 12/17/19 Blackstone Infrastructure Partners / Tallgrass Energy LP Cash-for-Unit 56.4% 22.7% 10/01/19 Brookfield Business Partners L.P. / Teekay Offshore Partners L.P. Cash-for-Unit 28.1% 9.8% 09/16/19 Energy Transfer LP / SemGroup Corporation Cash/Unit-for-Share 65.4% 80.9% 08/21/19 Pembina Pipeline Corporation / Kinder Morgan Canada Limited Share-for-Share 37.7% 32.5% 05/10/19 IFM Investors / Buckeye Partners, L.P. Cash-for-Unit 27.5% 22.9% 05/08/19 MPLX LP / Andeavor (Marathon Petroleum Corporation; Andeavor Logistics LP) Unit-for-Unit 1.8% 0.5% 04/02/19 UGI Corporation / AmeriGas Partners, L.P. Cash/Stock-for-Unit 13.5% 22.2% 03/18/19 ArcLight Energy Partners Fund V, L.P. / American Midstream, LP Cash-for-Unit 31.2% 32.0% 02/05/19 SunCoke Energy, Inc. / SunCoke Energy Partners, L.P. Stock-for-Unit 9.3% 29.9% 11/26/18 ArcLight Energy Partners Fund VI, L.P. / TransMontaigne Partners L.P. Cash-for-Unit 13.5% 8.6% 11/08/18 Western Gas Equity Partners, LP / Western Gas Partners, LP Unit-for-Unit 7.6% 13.8% 10/22/18 EnLink Midstream, LLC / EnLink Midstream Partners, LP Unit-for-Unit 1.1% (0.6%) 10/18/18 Valero Energy Corporation / Valero Energy Partners LP Cash-for-Unit 6.0% 11.9% 10/09/18 Antero Midstream GP LP / Antero Midstream Partners LP Cash/Stock-for-Unit 63.7% 6.6% 25th Quartile 8.2% 8.7% Median 19.8% 15.0% Mean 26.6% 21.8% 75th Quartile 37.9% 28.6% 25th Quartile 18.5% 11.4% Median 27.8% 24.4% Mean 36.2% 29.9% 75th Quartile 42.6% 36.7% All Transactions Cash Transactions Precedent MLP Premiums Paid 39</w:t>
            </w:r>
          </w:p>
        </w:tc>
      </w:tr>
    </w:tbl>
    <w:tbl>
      <w:tblPr>
        <w:tblW w:w="16685" w:type="dxa"/>
        <w:jc w:val="center"/>
        <w:tblInd w:w="0" w:type="dxa"/>
        <w:tblCellMar>
          <w:top w:w="0" w:type="dxa"/>
          <w:left w:w="0" w:type="dxa"/>
          <w:bottom w:w="0" w:type="dxa"/>
          <w:right w:w="0" w:type="dxa"/>
        </w:tblCellMar>
      </w:tblPr>
      <w:tblGrid>
        <w:gridCol w:w="16500"/>
        <w:gridCol w:w="18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59"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259" descr=""/>
                          <pic:cNvPicPr>
                            <a:picLocks noChangeAspect="1" noChangeArrowheads="1"/>
                          </pic:cNvPicPr>
                        </pic:nvPicPr>
                        <pic:blipFill>
                          <a:blip r:embed="rId264"/>
                          <a:stretch>
                            <a:fillRect/>
                          </a:stretch>
                        </pic:blipFill>
                        <pic:spPr bwMode="auto">
                          <a:xfrm>
                            <a:off x="0" y="0"/>
                            <a:ext cx="10477500" cy="8086725"/>
                          </a:xfrm>
                          <a:prstGeom prst="rect">
                            <a:avLst/>
                          </a:prstGeom>
                        </pic:spPr>
                      </pic:pic>
                    </a:graphicData>
                  </a:graphic>
                </wp:inline>
              </w:drawing>
            </w:r>
          </w:p>
        </w:tc>
        <w:tc>
          <w:tcPr>
            <w:tcW w:w="18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Source: Bloomberg, FactSet, Public filings Final Transaction Premium Date Date Unaffected Final Deal Announced Disclosed Acquiror / Target Consideration Spot Price Announced - 1 02/01/23 07/06/22 Sisecam Chemical Resources LLC / Sisecam Resources LP Cash-for-Unit 39.7% 2.8% 01/06/23 08/17/22 Phillips 66 / DCP Midstream, LP Cash-for-Unit 20.1% 6.2% 07/25/22 02/10/22 Shell USA, Inc. / Shell Midstream Partners, L.P. Cash-for-Unit 23.0% 9.6% 05/25/22 12/03/21 Höegh LNG Holdings Ltd / Höegh LNG Partners LP Cash-for-Unit 135.4% 35.0% 04/22/22 10/08/21 Ergon, Inc. / Blueknight Energy Partners, L.P. Cash-for-Unit 51.5% 40.9% 08/23/21 05/14/21 Landmark Dividend / Landmark Infrastructure Partners LP Cash-for-Unit 38.4% 16.5% 03/05/21 02/04/21 Chevron Corporation / Noble Midstream Partners LP Stock-for-Unit 16.7% (3.3%) 12/15/20 10/04/20 TC Energy Corporation / TC PipeLines, LP Stock-for-Unit 19.5% 0.6% 12/17/19 08/27/19 Blackstone Infrastructure Partners / Tallgrass Energy LP Cash-for-Unit 56.4% 22.7% 10/01/19 05/16/19 Brookfield Business Partners L.P. / Teekay Offshore Partners L.P. Cash-for-Unit 28.1% 33.6% 11/26/18 07/09/18 ArcLight Energy Partners Fund VI, L.P. / TransMontaigne Partners L.P. Cash-for-Unit 13.5% 12.6% 10/09/18 02/23/18 Antero Midstream GP LP / Antero Midstream Partners LP Cash/Stock-for-Unit 63.7% 83.4% 25th Quartile 19.7% 3.7% Median 33.3% 19.6% Mean 42.2% 25.2% 75th Quartile 55.2% 36.5% 25th Quartile 21.6% 7.9% Median 38.4% 16.5% Mean 45.1% 20.0% 75th Quartile 54.0% 34.3% All Transactions Cash Transactions Precedent MLP Premiums Paid in Transactions with Publicly Disclosed Initial Offers Preliminary Valuation 40</w:t>
            </w:r>
          </w:p>
        </w:tc>
      </w:tr>
    </w:tbl>
    <w:tbl>
      <w:tblPr>
        <w:tblW w:w="16625" w:type="dxa"/>
        <w:jc w:val="center"/>
        <w:tblInd w:w="0" w:type="dxa"/>
        <w:tblCellMar>
          <w:top w:w="0" w:type="dxa"/>
          <w:left w:w="0" w:type="dxa"/>
          <w:bottom w:w="0" w:type="dxa"/>
          <w:right w:w="0" w:type="dxa"/>
        </w:tblCellMar>
      </w:tblPr>
      <w:tblGrid>
        <w:gridCol w:w="16500"/>
        <w:gridCol w:w="12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60"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260" descr=""/>
                          <pic:cNvPicPr>
                            <a:picLocks noChangeAspect="1" noChangeArrowheads="1"/>
                          </pic:cNvPicPr>
                        </pic:nvPicPr>
                        <pic:blipFill>
                          <a:blip r:embed="rId265"/>
                          <a:stretch>
                            <a:fillRect/>
                          </a:stretch>
                        </pic:blipFill>
                        <pic:spPr bwMode="auto">
                          <a:xfrm>
                            <a:off x="0" y="0"/>
                            <a:ext cx="10477500" cy="8086725"/>
                          </a:xfrm>
                          <a:prstGeom prst="rect">
                            <a:avLst/>
                          </a:prstGeom>
                        </pic:spPr>
                      </pic:pic>
                    </a:graphicData>
                  </a:graphic>
                </wp:inline>
              </w:drawing>
            </w:r>
          </w:p>
        </w:tc>
        <w:tc>
          <w:tcPr>
            <w:tcW w:w="12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Appendix</w:t>
            </w:r>
          </w:p>
        </w:tc>
      </w:tr>
    </w:tbl>
    <w:tbl>
      <w:tblPr>
        <w:tblW w:w="16640" w:type="dxa"/>
        <w:jc w:val="center"/>
        <w:tblInd w:w="0" w:type="dxa"/>
        <w:tblCellMar>
          <w:top w:w="0" w:type="dxa"/>
          <w:left w:w="0" w:type="dxa"/>
          <w:bottom w:w="0" w:type="dxa"/>
          <w:right w:w="0" w:type="dxa"/>
        </w:tblCellMar>
      </w:tblPr>
      <w:tblGrid>
        <w:gridCol w:w="16500"/>
        <w:gridCol w:w="14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61"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261" descr=""/>
                          <pic:cNvPicPr>
                            <a:picLocks noChangeAspect="1" noChangeArrowheads="1"/>
                          </pic:cNvPicPr>
                        </pic:nvPicPr>
                        <pic:blipFill>
                          <a:blip r:embed="rId266"/>
                          <a:stretch>
                            <a:fillRect/>
                          </a:stretch>
                        </pic:blipFill>
                        <pic:spPr bwMode="auto">
                          <a:xfrm>
                            <a:off x="0" y="0"/>
                            <a:ext cx="10477500" cy="8086725"/>
                          </a:xfrm>
                          <a:prstGeom prst="rect">
                            <a:avLst/>
                          </a:prstGeom>
                        </pic:spPr>
                      </pic:pic>
                    </a:graphicData>
                  </a:graphic>
                </wp:inline>
              </w:drawing>
            </w:r>
          </w:p>
        </w:tc>
        <w:tc>
          <w:tcPr>
            <w:tcW w:w="14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Charter Mark-to-Market Adjustment</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62"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262" descr=""/>
                          <pic:cNvPicPr>
                            <a:picLocks noChangeAspect="1" noChangeArrowheads="1"/>
                          </pic:cNvPicPr>
                        </pic:nvPicPr>
                        <pic:blipFill>
                          <a:blip r:embed="rId267"/>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Source: GasLog Partners management 1. Represents net present value as of 6/30/23 of firm period operating revenue, less comparable revenue assuming market charter rates provided by Sponsor, discounted monthly assuming 9.25% discount rate Comparison of Firm Charter Revenue to Market Charter Mark-to-Market Adjustment Management Forecasts Market Revenue Charter Mark-to-Market Vessel Revenue Op. Days Rev. Per Day Revenue Op. Days Rev. Per Day Delta NPV of Delta1 GasLog Shanghai $52.2 608 $86.0k $52.2 608 $86.0k $ - $ - GasLog Santiago 13.3 199 67.0k 27.9 199 140.0k (14.5) (14.1) GasLog Sydney - - - - - - - - GasLog Seattle 27.1 226 120.0k 27.1 226 120.0k - - Solaris 11.9 80 149.8k 6.4 80 80.0k 5.5 5.5 GasLog Greece 83.7 974 85.9k 121.8 974 125.0k (38.1) (33.8) GasLog Glasgow 91.6 1,066 85.9k 133.3 1,066 125.0k (41.7) (36.6) GasLog Geneva 7.4 92 81.0k 9.2 92 100.0k (1.7) (1.7) GasLog Gibraltar 9.9 123 81.0k 12.3 123 100.0k (2.3) (2.3) Methane Rita Andrea 7.7 117 66.0k 4.7 117 40.0k 3.0 3.0 Methane Jane Elizabeth 9.2 230 40.0k 15.0 230 65.0k (5.8) (5.6) Methane Alison Victoria 3.0 102 29.5k 5.1 102 50.0k (2.1) (2.0) Methane Heather Sally 37.9 728 52.0k 37.9 728 52.0k - - Methane Becki Anne 176.8 2,067 85.5k 186.0 2,067 90.0k (9.2) (7.4) Total $531.7 6,608 $1,029.6 $638.5 6,608 $96.6 ($106.8) ($95.0) Charter Market-to-Market Adjustment Per Unit ($1.75) Charter Mark-to-Market Adjustment (Firm Period) ($ in millions, except per day / unit data) 43</w:t>
            </w:r>
          </w:p>
        </w:tc>
      </w:tr>
    </w:tbl>
    <w:tbl>
      <w:tblPr>
        <w:tblW w:w="16625" w:type="dxa"/>
        <w:jc w:val="center"/>
        <w:tblInd w:w="0" w:type="dxa"/>
        <w:tblCellMar>
          <w:top w:w="0" w:type="dxa"/>
          <w:left w:w="0" w:type="dxa"/>
          <w:bottom w:w="0" w:type="dxa"/>
          <w:right w:w="0" w:type="dxa"/>
        </w:tblCellMar>
      </w:tblPr>
      <w:tblGrid>
        <w:gridCol w:w="16500"/>
        <w:gridCol w:w="12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63"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263" descr=""/>
                          <pic:cNvPicPr>
                            <a:picLocks noChangeAspect="1" noChangeArrowheads="1"/>
                          </pic:cNvPicPr>
                        </pic:nvPicPr>
                        <pic:blipFill>
                          <a:blip r:embed="rId268"/>
                          <a:stretch>
                            <a:fillRect/>
                          </a:stretch>
                        </pic:blipFill>
                        <pic:spPr bwMode="auto">
                          <a:xfrm>
                            <a:off x="0" y="0"/>
                            <a:ext cx="10477500" cy="8086725"/>
                          </a:xfrm>
                          <a:prstGeom prst="rect">
                            <a:avLst/>
                          </a:prstGeom>
                        </pic:spPr>
                      </pic:pic>
                    </a:graphicData>
                  </a:graphic>
                </wp:inline>
              </w:drawing>
            </w:r>
          </w:p>
        </w:tc>
        <w:tc>
          <w:tcPr>
            <w:tcW w:w="12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Weighted Average Cost of Capital</w:t>
            </w:r>
          </w:p>
        </w:tc>
      </w:tr>
    </w:tbl>
    <w:tbl>
      <w:tblPr>
        <w:tblW w:w="16670" w:type="dxa"/>
        <w:jc w:val="center"/>
        <w:tblInd w:w="0" w:type="dxa"/>
        <w:tblCellMar>
          <w:top w:w="0" w:type="dxa"/>
          <w:left w:w="0" w:type="dxa"/>
          <w:bottom w:w="0" w:type="dxa"/>
          <w:right w:w="0" w:type="dxa"/>
        </w:tblCellMar>
      </w:tblPr>
      <w:tblGrid>
        <w:gridCol w:w="16500"/>
        <w:gridCol w:w="17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64"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264" descr=""/>
                          <pic:cNvPicPr>
                            <a:picLocks noChangeAspect="1" noChangeArrowheads="1"/>
                          </pic:cNvPicPr>
                        </pic:nvPicPr>
                        <pic:blipFill>
                          <a:blip r:embed="rId269"/>
                          <a:stretch>
                            <a:fillRect/>
                          </a:stretch>
                        </pic:blipFill>
                        <pic:spPr bwMode="auto">
                          <a:xfrm>
                            <a:off x="0" y="0"/>
                            <a:ext cx="10477500" cy="8086725"/>
                          </a:xfrm>
                          <a:prstGeom prst="rect">
                            <a:avLst/>
                          </a:prstGeom>
                        </pic:spPr>
                      </pic:pic>
                    </a:graphicData>
                  </a:graphic>
                </wp:inline>
              </w:drawing>
            </w:r>
          </w:p>
        </w:tc>
        <w:tc>
          <w:tcPr>
            <w:tcW w:w="17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Weighted Average Cost of Capital Source: Partnership and Company Filings; FactSet (3/31/23); Duff and Phelps 2023 Valuation Handbook 1. Includes corporate debt, lease liabilities and preferred equity as of 12/31/22 2. FactSet 5-year Beta against the S&amp;P 500, except for CoolCo which is against MSCI 3. Based on unaffected GasLog Partners price and trading as 1/24/23 4. Based on current GasLog Partners capital structure, pro forma for projected retirement of Series B Preference units 5. Based on 20-year US treasury’s current yield to maturity 6. Based on low end of Duff &amp; Phelps’ long-horizon expected equity risk premium (supply-side), defined as historical equity risk premium minus price-to-earnings ratio calculated using three-year earnings; Based on high end of Duff &amp; Phelps’ long-horizon expected equity risk premium (historical), defined as large company stock total return minus long-term government bond income returns 7. Decile: Low (8) with equity value range of $377 million to $782 million 8. Based on weighted average cost of debt and preferred, including: (i) GasLog Partners’ cost of secured bank debt (average of ~7.1%) and (ii) GasLog Partner’s average preferred equity yield of ~8.5% Cost of Equity Sensitivities Cost of Equity Sensitivities Market Risk Premium @ 6.4% Market Risk Premium @ 7.2% Adj. Unlevered Beta Adj. Unlevered Beta 0.20 0.30 0.35 0.40 0.50 0.20 0.30 0.35 0.40 0.50 65.0% 9.5% 10.4% 11.3% 12.2% 13.2% 65.0% 10.1% 11.1% 12.2% 13.2% 14.2% 70.0% 10.3% 11.3% 12.4% 13.5% 14.5% 70.0% 11.0% 12.2% 13.4% 14.6% 15.7% 75.0% 11.3% 12.6% 13.9% 15.2% 16.4% 75.0% 12.2% 13.6% 15.0% 16.5% 17.9% 80.0% 12.9% 14.5% 16.1% 17.7% 19.3% 80.0% 14.0% 15.7% 17.5% 19.3% 21.1% 85.0% 15.6% 17.7% 19.8% 21.9% 24.0% 85.0% 16.9% 19.3% 21.7% 24.1% 26.5% WACC Sensitivities WACC Sensitivities Market Risk Premium @ 6.4% Market Risk Premium @ 7.2% Adj. Unlevered Beta Adj. Unlevered Beta 0.20 0.30 0.35 0.40 0.50 0.20 0.30 0.35 0.40 0.50 65.0% 8.2% 8.5% 8.8% 9.2% 9.5% 65.0% 8.4% 8.8% 9.1% 9.5% 9.8% 70.0% 8.3% 8.7% 9.0% 9.3% 9.6% 70.0% 8.5% 8.9% 9.3% 9.6% 10.0% 75.0% 8.5% 8.8% 9.1% 9.4% 9.7% 75.0% 8.7% 9.0% 9.4% 9.7% 10.1% 80.0% 8.6% 8.9% 9.2% 9.5% 9.9% 80.0% 8.8% 9.1% 9.5% 9.9% 10.2% 85.0% 8.7% 9.0% 9.3% 9.7% 10.0% 85.0% 8.9% 9.3% 9.6% 10.0% 10.4% Total Debt / Total Cap Total Debt / Total Cap Total Debt / Total Cap Total Debt / Total Cap Equity Total Debt + Levered Tax Unlevered Company Value Total Debt (1) Preferred / Total Cap Beta (2) Rate Beta LNG Peers Dynagas $104 $619 85.6% 0.78 0.0% 0.11 Capital Product Partners 267 1,289 82.9% 0.97 0.0% 0.17 Excelerate Energy 2,398 716 23.0% 0.91 24.0% 0.74 Flex LNG 1,841 1,715 48.2% 1.13 0.0% 0.58 CoolCo 652 1,163 64.1% 0.44 0.0% 0.16 Mean 60.7% 0.85 0.35 GasLog Partners $379 $1,276 77.1% 0.94 0.0% 0.22 Mean (All) Adj. Unlevered Beta 0.35 Total Debt / Total Capitalization (4) 75.0% Tax Rate 0.0% Adjusted Equity Beta 1.40 Risk-Free Rate (5) 3.8% Market Risk Premium (6) 6.4% - 7.2% Size Premium (7) 1.18% Cost of Equity 13.9% - 15.0% Pre-tax Cost of Debt (8) 7.5% After-Tax Cost of Debt 7.5% WACC 9.1% - 9.4% (3) ($ in millions, except per unit data) 45</w:t>
            </w:r>
          </w:p>
        </w:tc>
      </w:tr>
    </w:tbl>
    <w:tbl>
      <w:tblPr>
        <w:tblW w:w="16625" w:type="dxa"/>
        <w:jc w:val="center"/>
        <w:tblInd w:w="0" w:type="dxa"/>
        <w:tblCellMar>
          <w:top w:w="0" w:type="dxa"/>
          <w:left w:w="0" w:type="dxa"/>
          <w:bottom w:w="0" w:type="dxa"/>
          <w:right w:w="0" w:type="dxa"/>
        </w:tblCellMar>
      </w:tblPr>
      <w:tblGrid>
        <w:gridCol w:w="16500"/>
        <w:gridCol w:w="12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65"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265" descr=""/>
                          <pic:cNvPicPr>
                            <a:picLocks noChangeAspect="1" noChangeArrowheads="1"/>
                          </pic:cNvPicPr>
                        </pic:nvPicPr>
                        <pic:blipFill>
                          <a:blip r:embed="rId270"/>
                          <a:stretch>
                            <a:fillRect/>
                          </a:stretch>
                        </pic:blipFill>
                        <pic:spPr bwMode="auto">
                          <a:xfrm>
                            <a:off x="0" y="0"/>
                            <a:ext cx="10477500" cy="8086725"/>
                          </a:xfrm>
                          <a:prstGeom prst="rect">
                            <a:avLst/>
                          </a:prstGeom>
                        </pic:spPr>
                      </pic:pic>
                    </a:graphicData>
                  </a:graphic>
                </wp:inline>
              </w:drawing>
            </w:r>
          </w:p>
        </w:tc>
        <w:tc>
          <w:tcPr>
            <w:tcW w:w="12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Weighted Average Cost of Capital (Cont’d) WACC Sensitivities Corporate Credit Market Trends LTM Yields Across Ratings Spectrum 3M SOFR and 10Y Treasury Curve Source: Bloomberg, FactSet 4.88% 3.38% 4.59% 4.19% 3.28% 2.82% 3.34% 3.33% 3.36% 3.47% 1.5% 2.5% 3.5% 4.5% 5.5% Jul-22 Jan-23 Jul-23 Jan-24 Jul-24 Jan-25 Jul-25 3M SOFR 10 Year Treasury 5.2% 5.7% 7.2% 9.1% 15.4% 3.5% 4.1% 5.0% 6.4% 10.0% 2.0% 6.0% 10.0% 14.0% 18.0% A Index BBB Index BB Index B Index CCC Index Market Risk Premium @ 6.4% Market Risk Premium @ 7.2% Cost of Debt Cost of Debt 6.5% 7.0% 7.5% 8.0% 8.5% 6.5% 7.0% 7.5% 8.0% 8.5% 65.0% 8.2% 8.5% 8.8% 9.2% 9.5% 65.0% 8.5% 8.8% 9.1% 9.5% 9.8% 70.0% 8.3% 8.6% 9.0% 9.3% 9.7% 70.0% 8.6% 8.9% 9.3% 9.6% 10.0% 75.0% 8.3% 8.7% 9.1% 9.5% 9.8% 75.0% 8.6% 9.0% 9.4% 9.8% 10.1% 80.0% 8.4% 8.8% 9.2% 9.6% 10.0% 80.0% 8.7% 9.1% 9.5% 9.9% 10.3% 85.0% 8.5% 8.9% 9.3% 9.8% 10.2% Total Debt / Total 85.0% 8.8% 9.2% 9.6% 10.1% 10.5% Cap Total Debt / Total Cap 46</w:t>
            </w:r>
          </w:p>
        </w:tc>
      </w:tr>
    </w:tbl>
    <w:tbl>
      <w:tblPr>
        <w:tblW w:w="16625" w:type="dxa"/>
        <w:jc w:val="center"/>
        <w:tblInd w:w="0" w:type="dxa"/>
        <w:tblCellMar>
          <w:top w:w="0" w:type="dxa"/>
          <w:left w:w="0" w:type="dxa"/>
          <w:bottom w:w="0" w:type="dxa"/>
          <w:right w:w="0" w:type="dxa"/>
        </w:tblCellMar>
      </w:tblPr>
      <w:tblGrid>
        <w:gridCol w:w="16500"/>
        <w:gridCol w:w="12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66"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266" descr=""/>
                          <pic:cNvPicPr>
                            <a:picLocks noChangeAspect="1" noChangeArrowheads="1"/>
                          </pic:cNvPicPr>
                        </pic:nvPicPr>
                        <pic:blipFill>
                          <a:blip r:embed="rId271"/>
                          <a:stretch>
                            <a:fillRect/>
                          </a:stretch>
                        </pic:blipFill>
                        <pic:spPr bwMode="auto">
                          <a:xfrm>
                            <a:off x="0" y="0"/>
                            <a:ext cx="10477500" cy="8086725"/>
                          </a:xfrm>
                          <a:prstGeom prst="rect">
                            <a:avLst/>
                          </a:prstGeom>
                        </pic:spPr>
                      </pic:pic>
                    </a:graphicData>
                  </a:graphic>
                </wp:inline>
              </w:drawing>
            </w:r>
          </w:p>
        </w:tc>
        <w:tc>
          <w:tcPr>
            <w:tcW w:w="12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Additional Detail Regarding GasLog Partners</w:t>
            </w:r>
          </w:p>
        </w:tc>
      </w:tr>
    </w:tbl>
    <w:tbl>
      <w:tblPr>
        <w:tblW w:w="16670" w:type="dxa"/>
        <w:jc w:val="center"/>
        <w:tblInd w:w="0" w:type="dxa"/>
        <w:tblCellMar>
          <w:top w:w="0" w:type="dxa"/>
          <w:left w:w="0" w:type="dxa"/>
          <w:bottom w:w="0" w:type="dxa"/>
          <w:right w:w="0" w:type="dxa"/>
        </w:tblCellMar>
      </w:tblPr>
      <w:tblGrid>
        <w:gridCol w:w="16500"/>
        <w:gridCol w:w="17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67"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267" descr=""/>
                          <pic:cNvPicPr>
                            <a:picLocks noChangeAspect="1" noChangeArrowheads="1"/>
                          </pic:cNvPicPr>
                        </pic:nvPicPr>
                        <pic:blipFill>
                          <a:blip r:embed="rId272"/>
                          <a:stretch>
                            <a:fillRect/>
                          </a:stretch>
                        </pic:blipFill>
                        <pic:spPr bwMode="auto">
                          <a:xfrm>
                            <a:off x="0" y="0"/>
                            <a:ext cx="10477500" cy="8086725"/>
                          </a:xfrm>
                          <a:prstGeom prst="rect">
                            <a:avLst/>
                          </a:prstGeom>
                        </pic:spPr>
                      </pic:pic>
                    </a:graphicData>
                  </a:graphic>
                </wp:inline>
              </w:drawing>
            </w:r>
          </w:p>
        </w:tc>
        <w:tc>
          <w:tcPr>
            <w:tcW w:w="17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Additional Detail Regarding GasLog Partners Unitholder Summary (as of 2/28/23) Source: GasLog Partners management Summary Institutional Ownership Institution Units (000's) Ownership % Cobas Asset Management 3,225 6.2% Invesco Advisers, Inc. 2,366 4.6% Renaissance Technologies 897 1.7% Acadian Asset Management 745 1.4% Two Sigma Investments 590 1.1% Walleye Capital 581 1.1% Millennium Management 538 1.0% Two Sigma Advisers 468 0.9% Citadel Advisors 434 0.8% Andbank Wealth Management 274 0.5% Paralos Asset Management 266 0.5% Forager Funds Management 253 0.5% GEBAB Holding 252 0.5% BlackRock Advisors 250 0.5% Maxi Investments CY 240 0.5% Top 15 Institutional 11,377 22.0% Insider Ownership Summary Holder Units (000's) Ownership % Holder Units (000's) Ownership % GasLog Ltd. 15,622 30.2% Institutional/Other (Net of Short Interest) 13,431 26.0% Total Insider 15,622 30.2% Insiders 15,622 30.2% Retail 22,635 43.8% Total Common Units Outstanding 51,688 100.0% Institutional 26.0% Insiders 30.2% Retail 43.8% 48</w:t>
            </w:r>
          </w:p>
        </w:tc>
      </w:tr>
    </w:tbl>
    <w:tbl>
      <w:tblPr>
        <w:tblW w:w="16685" w:type="dxa"/>
        <w:jc w:val="center"/>
        <w:tblInd w:w="0" w:type="dxa"/>
        <w:tblCellMar>
          <w:top w:w="0" w:type="dxa"/>
          <w:left w:w="0" w:type="dxa"/>
          <w:bottom w:w="0" w:type="dxa"/>
          <w:right w:w="0" w:type="dxa"/>
        </w:tblCellMar>
      </w:tblPr>
      <w:tblGrid>
        <w:gridCol w:w="16500"/>
        <w:gridCol w:w="18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68" name="Image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268" descr=""/>
                          <pic:cNvPicPr>
                            <a:picLocks noChangeAspect="1" noChangeArrowheads="1"/>
                          </pic:cNvPicPr>
                        </pic:nvPicPr>
                        <pic:blipFill>
                          <a:blip r:embed="rId273"/>
                          <a:stretch>
                            <a:fillRect/>
                          </a:stretch>
                        </pic:blipFill>
                        <pic:spPr bwMode="auto">
                          <a:xfrm>
                            <a:off x="0" y="0"/>
                            <a:ext cx="10477500" cy="8086725"/>
                          </a:xfrm>
                          <a:prstGeom prst="rect">
                            <a:avLst/>
                          </a:prstGeom>
                        </pic:spPr>
                      </pic:pic>
                    </a:graphicData>
                  </a:graphic>
                </wp:inline>
              </w:drawing>
            </w:r>
          </w:p>
        </w:tc>
        <w:tc>
          <w:tcPr>
            <w:tcW w:w="18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These materials have been prepared by Evercore Group L.L.C. (“Evercore”) for the Conflicts Committee (the “Conflicts Committee”) of the Board of Directors of GasLog Partners GP LLC, the general partner of GasLog Partners LP (“GLOP,” or the “Partnership”), to whom such materials are directly addressed and delivered and may not be used or relied upon for any purpose other than as specifically contemplated by a written agreement with Evercore. These materials are based on information provided by or on behalf of the Conflicts Committee, from public sources or otherwise reviewed by Evercore. Evercore assumes no responsibility for independent investigation or verification of such information and has relied on such information being complete and accurate in all material respects. To the extent such information includes estimates and forecasts of future financial or operating performance prepared by or reviewed with the management of GLOP and/or other potential transaction participants or obtained from public sources, Evercore has assumed that such estimates and forecasts have been reasonably prepared on bases reflecting the best currently available estimates and good faith judgments of such management (or, with respect to estimates and forecasts obtained from public sources, represent reasonable estimates). No representation or warranty, express or implied, is made as to the accuracy or completeness of such information and nothing contained herein is, or shall be relied upon as, a representation, whether as to the past, the present or the future. These materials were designed for use by specific persons familiar with the business and affairs of GLOP. These materials are not intended to provide the sole basis for evaluating, and should not be considered a recommendation with respect to, any transaction or other matter. These materials have been developed by and are proprietary to Evercore and were prepared exclusively for the benefit and internal use of the Conflicts Committee. These materials were compiled on a confidential basis for use by the Conflicts Committee and not with a view to public disclosure or filing thereof under state or federal securities laws, and may not be reproduced, disseminated, quoted or referred to, in whole or in part, without the prior written consent of Evercore. These materials do not constitute an offer or solicitation to sell or purchase any securities and are not a commitment by Evercore or any of its affiliates to provide or arrange any financing for any transaction or to purchase any security in connection therewith. Evercore assumes no obligation to update or otherwise revise these materials. These materials may not reflect information known to other professionals in other business areas of Evercore and its affiliates. Evercore and its affiliates do not provide legal, regulatory, accounting or tax advice. Accordingly, any statements contained herein as to legal, regulatory, accounting or tax matters were neither written nor intended by Evercore or its affiliates to be used and cannot be used by any person, including for the purpose of avoiding tax penalties that may be imposed on such person. Each person should seek legal, regulatory, accounting and tax advice based on his, her or its particular circumstances from independent advisors regarding the impact of the transactions or matters described herein.</w:t>
            </w:r>
          </w:p>
        </w:tc>
      </w:tr>
    </w:tbl>
    <w:p>
      <w:pPr>
        <w:pStyle w:val="TextBody"/>
        <w:ind w:left="0" w:right="0" w:hanging="0"/>
        <w:jc w:val="right"/>
        <w:rPr>
          <w:rFonts w:ascii="Times New Roman" w:hAnsi="Times New Roman"/>
          <w:b/>
          <w:sz w:val="20"/>
        </w:rPr>
      </w:pPr>
      <w:r>
        <w:br w:type="page"/>
      </w:r>
      <w:bookmarkStart w:id="31" w:name="tm2314213d1_ex99-c11.htm"/>
      <w:bookmarkStart w:id="32" w:name="kstm2314213d1_ex99c11"/>
      <w:bookmarkEnd w:id="31"/>
      <w:bookmarkEnd w:id="32"/>
      <w:r>
        <w:rPr>
          <w:rFonts w:ascii="Times New Roman" w:hAnsi="Times New Roman"/>
          <w:b/>
          <w:sz w:val="20"/>
        </w:rPr>
        <w:t>Exhibit 99.(c)(11)</w:t>
        <w:br/>
      </w:r>
    </w:p>
    <w:tbl>
      <w:tblPr>
        <w:tblW w:w="16655" w:type="dxa"/>
        <w:jc w:val="right"/>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69"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269" descr=""/>
                          <pic:cNvPicPr>
                            <a:picLocks noChangeAspect="1" noChangeArrowheads="1"/>
                          </pic:cNvPicPr>
                        </pic:nvPicPr>
                        <pic:blipFill>
                          <a:blip r:embed="rId274"/>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Conflicts Committee of GasLog Partners LP April 6, 2023 Strictly Confidential PRELIMINARY ANALYSIS SUBJECT TO MATERIAL CHANGES 4/6/2023 4:33 PM</w:t>
            </w:r>
          </w:p>
        </w:tc>
      </w:tr>
    </w:tbl>
    <w:tbl>
      <w:tblPr>
        <w:tblW w:w="16640" w:type="dxa"/>
        <w:jc w:val="center"/>
        <w:tblInd w:w="0" w:type="dxa"/>
        <w:tblCellMar>
          <w:top w:w="0" w:type="dxa"/>
          <w:left w:w="0" w:type="dxa"/>
          <w:bottom w:w="0" w:type="dxa"/>
          <w:right w:w="0" w:type="dxa"/>
        </w:tblCellMar>
      </w:tblPr>
      <w:tblGrid>
        <w:gridCol w:w="16500"/>
        <w:gridCol w:w="14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70" name="Image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270" descr=""/>
                          <pic:cNvPicPr>
                            <a:picLocks noChangeAspect="1" noChangeArrowheads="1"/>
                          </pic:cNvPicPr>
                        </pic:nvPicPr>
                        <pic:blipFill>
                          <a:blip r:embed="rId275"/>
                          <a:stretch>
                            <a:fillRect/>
                          </a:stretch>
                        </pic:blipFill>
                        <pic:spPr bwMode="auto">
                          <a:xfrm>
                            <a:off x="0" y="0"/>
                            <a:ext cx="10477500" cy="8086725"/>
                          </a:xfrm>
                          <a:prstGeom prst="rect">
                            <a:avLst/>
                          </a:prstGeom>
                        </pic:spPr>
                      </pic:pic>
                    </a:graphicData>
                  </a:graphic>
                </wp:inline>
              </w:drawing>
            </w:r>
          </w:p>
        </w:tc>
        <w:tc>
          <w:tcPr>
            <w:tcW w:w="14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Table of Contents Introduction Situation Overview Valuation of GasLog Partners Appendix A. Charter Mark-to-Market Adjustment B. Weighted Average Cost of Capital C. Additional Detail Regarding GasLog Partners Section I II III</w:t>
            </w:r>
          </w:p>
        </w:tc>
      </w:tr>
    </w:tbl>
    <w:tbl>
      <w:tblPr>
        <w:tblW w:w="16625" w:type="dxa"/>
        <w:jc w:val="center"/>
        <w:tblInd w:w="0" w:type="dxa"/>
        <w:tblCellMar>
          <w:top w:w="0" w:type="dxa"/>
          <w:left w:w="0" w:type="dxa"/>
          <w:bottom w:w="0" w:type="dxa"/>
          <w:right w:w="0" w:type="dxa"/>
        </w:tblCellMar>
      </w:tblPr>
      <w:tblGrid>
        <w:gridCol w:w="16500"/>
        <w:gridCol w:w="12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71" name="Image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271" descr=""/>
                          <pic:cNvPicPr>
                            <a:picLocks noChangeAspect="1" noChangeArrowheads="1"/>
                          </pic:cNvPicPr>
                        </pic:nvPicPr>
                        <pic:blipFill>
                          <a:blip r:embed="rId276"/>
                          <a:stretch>
                            <a:fillRect/>
                          </a:stretch>
                        </pic:blipFill>
                        <pic:spPr bwMode="auto">
                          <a:xfrm>
                            <a:off x="0" y="0"/>
                            <a:ext cx="10477500" cy="8086725"/>
                          </a:xfrm>
                          <a:prstGeom prst="rect">
                            <a:avLst/>
                          </a:prstGeom>
                        </pic:spPr>
                      </pic:pic>
                    </a:graphicData>
                  </a:graphic>
                </wp:inline>
              </w:drawing>
            </w:r>
          </w:p>
        </w:tc>
        <w:tc>
          <w:tcPr>
            <w:tcW w:w="12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I. Introduction</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72" name="Image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272" descr=""/>
                          <pic:cNvPicPr>
                            <a:picLocks noChangeAspect="1" noChangeArrowheads="1"/>
                          </pic:cNvPicPr>
                        </pic:nvPicPr>
                        <pic:blipFill>
                          <a:blip r:embed="rId277"/>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 Evercore Group LLC (“Evercore”) is pleased to provide the materials herein to the Conflicts Committee of the Board of Directors (the “Conflicts Committee”) of GasLog Partners LP (the “Partnership”, “GasLog Partners” or “GLOP”), regarding the non-binding proposal from GasLog Ltd. (the “Sponsor” or “GLOG”, or “Parent”) to acquire all outstanding common units not owned by GLOG for cash consideration (the “Merger”) Pursuant to the agreement and plan of merger by and among the Partnership, GasLog Partners GP LLC, Parent and Saturn Merger Sub LLC, a wholly-owned subsidiary of Parent (“Merger Sub”), Merger Sub will merge with and into the Partnership with the Partnership being the surviving entity (the “Merger Agreement”), and common unitholders other than the Sponsor, the General Partner, Merger Sub and their affiliates (the “Unaffiliated Unitholders”) will exchange each owned common unit for the right to receive $8.65 in cash per common unit (the “Consideration”), consisting of a special distribution to all common unitholders by the Partnership of $3.28 per common unit and $5.37 per common unit as consideration for such common unit at the closing of the Merger ● The Consideration represents a 23.9% premium to GLOP’s unaffected closing unit price of $6.98 on January 24, 2023, one day prior to the Sponsor’s original offer of $7.70 per common unit (the “Initial Offer”), and a 3.3% premium to GLOP’s closing unit price of $8.37 as of April 5, 2023 ◼ The following materials review the Merger, and include: An introduction, including an overview of the Merger, a summary of proposed terms, a review of GLOP’s trading performance, an analysis of financial metrics implied by the Merger and a summary of Evercore’s review process An overview of GLOP’s current market situation and business overview, including a review of the financial projections for GLOP as provided by Partnership Management (the “GLOP Financial Projections” or the “Forecasts”) and a review of the assumptions utilized by Partnership Management in deriving such financial projections A valuation of the common units Introduction Executive Summary 4</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73" name="Image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273" descr=""/>
                          <pic:cNvPicPr>
                            <a:picLocks noChangeAspect="1" noChangeArrowheads="1"/>
                          </pic:cNvPicPr>
                        </pic:nvPicPr>
                        <pic:blipFill>
                          <a:blip r:embed="rId278"/>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Introduction Summary of the Merger Key Terms Buyer ◼ GasLog Ltd., which currently owns 30.2% of the GasLog Partners common units and all the general partner units GasLog Ltd. is beneficially owned by Peters Livanos, the Onassis Foundation and BlackRock Global Energy and Infrastructure Funds Merger Summary ◼ On January 25, 2023, GasLog Ltd. submitted a non-binding proposal to acquire all common units it did not already own (~36mm publicly owned units) Consideration ◼ $8.65 in cash per common unit for each common unit not owned by GasLog Ltd., consisting of $5.37 in cash and a $3.28 special distribution from GLOP balance sheet Other Items ◼ Sponsor has stated that it is not interested in selling any of its equity position ◼ Subject to approval of Conflicts Committee and Board of Directors of the Partnership ◼ Subject to approval of a simple majority of common unitholders (as opposed to a “majority of the minority,” which was rejected by GasLog Ltd.) ◼ All currently outstanding preference units to remain outstanding and publicly listed ◼ No financing contingency ◼ Class B units to be cancelled immediately prior to the transaction ◼ Other customary closing conditions Source: GasLog Partners management draft transaction agreement (4/5/23) 5 Evercore has been asked by the Conflicts Committee, whether, in Evercore’s opinion, as of the date of the opinion, the Consideration to be received by the Unaffiliated Unitholders in the Merger is fair, from a financial point of view, to the Partnership and the Unaffiliated Unitholders</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74" name="Image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274" descr=""/>
                          <pic:cNvPicPr>
                            <a:picLocks noChangeAspect="1" noChangeArrowheads="1"/>
                          </pic:cNvPicPr>
                        </pic:nvPicPr>
                        <pic:blipFill>
                          <a:blip r:embed="rId279"/>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$8.37 $ - $5.00 $10.00 $15.00 $20.00 $25.00 $30.00 Dec-18 Sep-19 Jun-20 Feb-21 Nov-21 Jul-22 Apr-23 Unit Price Performance (Last 5 Years) Source: FactSet (4/5/23) Introduction February 2022: Russian Invasion of Ukraine November 2020: Announces intention to pursue strategic alternatives and announces further distribution cut from $0.125 to $0.01 January 2023: GLOG proposes to acquire all outstanding public common units of GLOP for $7.70 in cash Feb 2021: GasLog Ltd. announces merger with BlackRock’s Global Energy &amp; Power Infrastructure Funds June 2019: Announces exchange / elimination of GP IDRs for new LP units February 2020: Onset of Global COVID-19 Pandemic, quarterly distribution reduced from $0.561 to $0.125 6</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75" name="Image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275" descr=""/>
                          <pic:cNvPicPr>
                            <a:picLocks noChangeAspect="1" noChangeArrowheads="1"/>
                          </pic:cNvPicPr>
                        </pic:nvPicPr>
                        <pic:blipFill>
                          <a:blip r:embed="rId280"/>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$8.37 - 1,000.0 2,000.0 3,000.0 4,000.0 5,000.0 $6.00 $7.00 $8.00 $9.00 $10.00 1/24 2/7 2/21 3/7 3/21 4/5 GLOP Common Unit Price Unit Volume (thousands) Volume (000s) Unit Price Daily Average Total Volume Traded Since Offer (50 Days) 532k 26,614k 90-Day Unaffected 345k 31,069k % of Outstanding Common Units Since Offer (50 Days) 1.0% 49.0% 90-Day Unaffected 0.6% 57.2% % of Public Float (36.066mm units) Since Offer (50 Days) 1.5% 73.8% 90-Day Unaffected 1.0% 86.1% Introduction Source: FactSet (4/5/23) 1. Represents simple average of closing prices since Initial Offer GLOP Unit Price Performance Initial Offer: $7.70 Consideration: $8.65 7 Average Price Since Initial Offer: $8.531</w:t>
            </w:r>
          </w:p>
        </w:tc>
      </w:tr>
    </w:tbl>
    <w:tbl>
      <w:tblPr>
        <w:tblW w:w="16640" w:type="dxa"/>
        <w:jc w:val="center"/>
        <w:tblInd w:w="0" w:type="dxa"/>
        <w:tblCellMar>
          <w:top w:w="0" w:type="dxa"/>
          <w:left w:w="0" w:type="dxa"/>
          <w:bottom w:w="0" w:type="dxa"/>
          <w:right w:w="0" w:type="dxa"/>
        </w:tblCellMar>
      </w:tblPr>
      <w:tblGrid>
        <w:gridCol w:w="16500"/>
        <w:gridCol w:w="14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76" name="Image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276" descr=""/>
                          <pic:cNvPicPr>
                            <a:picLocks noChangeAspect="1" noChangeArrowheads="1"/>
                          </pic:cNvPicPr>
                        </pic:nvPicPr>
                        <pic:blipFill>
                          <a:blip r:embed="rId281"/>
                          <a:stretch>
                            <a:fillRect/>
                          </a:stretch>
                        </pic:blipFill>
                        <pic:spPr bwMode="auto">
                          <a:xfrm>
                            <a:off x="0" y="0"/>
                            <a:ext cx="10477500" cy="8086725"/>
                          </a:xfrm>
                          <a:prstGeom prst="rect">
                            <a:avLst/>
                          </a:prstGeom>
                        </pic:spPr>
                      </pic:pic>
                    </a:graphicData>
                  </a:graphic>
                </wp:inline>
              </w:drawing>
            </w:r>
          </w:p>
        </w:tc>
        <w:tc>
          <w:tcPr>
            <w:tcW w:w="14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(46.5%) 199.5% 29.4% (1.6%) (74.0%) (59.8%) (40.9%) (150.0%) 0.0% 150.0% 300.0% 450.0% 1/1/20 7/17/20 1/31/21 8/18/21 3/4/22 9/18/22 4/5/23 4.6% 6.9% (6.8%) (7.8%) (9.6%) (5.1%) 18.1% (20.0%) 0.0% 20.0% 40.0% 1/25/23 2/5/23 2/17/23 3/1/23 3/12/23 3/24/23 4/5/23 Introduction GLOP’s Trading Performance Relative to its Peers Source: FactSet (4/5/23) Indexed Common Unit Price Performance Non-Binding Proposal (1/25/23) Since 1/1/20 Since 1/1/21 Since 1/1/22 Price Performance Summary To Unaffected Date (1/24/22) GasLog Partners (MLP) (55.4%) 156.6% 63.8% Flex LNG (C-Corp.) 182.1% 251.3% 30.9% Dynagas (MLP) 34.6% 13.6% (1.7%) CPLP (MLP) 4.5% 72.9% (12.8%) Knot Offshore Partners (MLP) (71.5%) (62.5%) (57.8%) To Present (4/5/23) GasLog Partners (MLP) (46.5%) 207.7% 96.5% Flex LNG (C-Corp.) 199.5% 273.0% 39.0% Dynagas (MLP) 29.4% 9.2% (5.5%) CPLP (MLP) (1.6%) 62.8% (17.9%) Knot Offshore Partners (MLP) (74.0%) (65.8%) (61.5%) 8 Since 1/25/23, GLOP has outperformed its peer average by ~5% — GasLog Partners (MLP) — Flex LNG (C-Corp.) — Dynagas (MLP) — CPLP (MLP) — Knot Offshore Partners (MLP) — Golar LNG Partners LP (MLP) — Höegh LNG Partners LP (MLP) — Excelerate Energy (C-Corp.) — Cool Company (C. Corp.)</w:t>
            </w:r>
          </w:p>
        </w:tc>
      </w:tr>
    </w:tbl>
    <w:tbl>
      <w:tblPr>
        <w:tblW w:w="16700" w:type="dxa"/>
        <w:jc w:val="center"/>
        <w:tblInd w:w="0" w:type="dxa"/>
        <w:tblCellMar>
          <w:top w:w="0" w:type="dxa"/>
          <w:left w:w="0" w:type="dxa"/>
          <w:bottom w:w="0" w:type="dxa"/>
          <w:right w:w="0" w:type="dxa"/>
        </w:tblCellMar>
      </w:tblPr>
      <w:tblGrid>
        <w:gridCol w:w="16500"/>
        <w:gridCol w:w="20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77" name="Image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277" descr=""/>
                          <pic:cNvPicPr>
                            <a:picLocks noChangeAspect="1" noChangeArrowheads="1"/>
                          </pic:cNvPicPr>
                        </pic:nvPicPr>
                        <pic:blipFill>
                          <a:blip r:embed="rId282"/>
                          <a:stretch>
                            <a:fillRect/>
                          </a:stretch>
                        </pic:blipFill>
                        <pic:spPr bwMode="auto">
                          <a:xfrm>
                            <a:off x="0" y="0"/>
                            <a:ext cx="10477500" cy="8086725"/>
                          </a:xfrm>
                          <a:prstGeom prst="rect">
                            <a:avLst/>
                          </a:prstGeom>
                        </pic:spPr>
                      </pic:pic>
                    </a:graphicData>
                  </a:graphic>
                </wp:inline>
              </w:drawing>
            </w:r>
          </w:p>
        </w:tc>
        <w:tc>
          <w:tcPr>
            <w:tcW w:w="20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 in millions, except per unit data) Introduction Analysis of Consideration 9 Consideration (4/3/23) GasLog Partners Common Unit Value $8.65 (x) Total Units Outstanding 54.324 Implied Equity Value $470 (+) Gross Debt as of December 31, 2022 985 (–) Cash and Cash Equivalents (223) (+) Liquidation Value of Preferred Equity 291 Implied Enterprise Value $1,522 Premiums Metric Unaffected Unit Price as of January 24, 2023 $6.98 23.9% Unaffected 10-Day VWAP 6.74 28.3% Unaffected 30-Day VWAP 6.79 27.4% Current Unit Price as of April 5, 2023 8.37 3.3% Implied Price / NAV Assuming 10.0% Discount to Appraised Value $8.18 1.06x Assuming No Premium / Discount to Appraised Value 11.55 0.75 Assuming 10.0% Premium to Appraised Value 14.91 0.58 EBITDA Multiples (Forecasts) Enterprise Value / 2022A EBITDA $274 5.5x Enterprise Value / 2023E EBITDA 290 5.3 Enterprise Value / 2024E EBITDA 269 5.7 EBITDA Multiples (FactSet Consensus) Enterprise Value / 2023E EBITDA $274 5.6x Enterprise Value / 2024E EBITDA 233 6.5 Distribution Yield (Forecasts) 2023E 0.04 0.5% Source: GasLog Partners management, public filings, FactSet (4/5/23) 1. Includes general partner, common and Class B units on a fully converted basis 2. Based on analysis contained on page 26, applying charter adjustment to average of Fearnleys and Braemar appraised values as of 2/28/23 for owned vessels. Sale leaseback vessels based on Sponsor-estimated right-of-use asset value</w:t>
            </w:r>
          </w:p>
        </w:tc>
      </w:tr>
    </w:tbl>
    <w:tbl>
      <w:tblPr>
        <w:tblW w:w="16685" w:type="dxa"/>
        <w:jc w:val="center"/>
        <w:tblInd w:w="0" w:type="dxa"/>
        <w:tblCellMar>
          <w:top w:w="0" w:type="dxa"/>
          <w:left w:w="0" w:type="dxa"/>
          <w:bottom w:w="0" w:type="dxa"/>
          <w:right w:w="0" w:type="dxa"/>
        </w:tblCellMar>
      </w:tblPr>
      <w:tblGrid>
        <w:gridCol w:w="16500"/>
        <w:gridCol w:w="18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78" name="Image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278" descr=""/>
                          <pic:cNvPicPr>
                            <a:picLocks noChangeAspect="1" noChangeArrowheads="1"/>
                          </pic:cNvPicPr>
                        </pic:nvPicPr>
                        <pic:blipFill>
                          <a:blip r:embed="rId283"/>
                          <a:stretch>
                            <a:fillRect/>
                          </a:stretch>
                        </pic:blipFill>
                        <pic:spPr bwMode="auto">
                          <a:xfrm>
                            <a:off x="0" y="0"/>
                            <a:ext cx="10477500" cy="8086725"/>
                          </a:xfrm>
                          <a:prstGeom prst="rect">
                            <a:avLst/>
                          </a:prstGeom>
                        </pic:spPr>
                      </pic:pic>
                    </a:graphicData>
                  </a:graphic>
                </wp:inline>
              </w:drawing>
            </w:r>
          </w:p>
        </w:tc>
        <w:tc>
          <w:tcPr>
            <w:tcW w:w="18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Introduction ◼ In connection with its evaluation, Evercore has, among other things: i. reviewed certain publicly available business and financial information relating to the Partnership that we deemed to be relevant, including as set forth in the Annual Report on Form 20-F for the year ended December 31, 2022 and certain Current Reports on Form 6-K, in each case as filed with or furnished to the U.S. Securities and Exchange Commission by the Partnership; ii. reviewed publicly-available research analyst price targets and estimates for the Partnership’s future financial performance on a standalone basis; iii. reviewed certain internal projected financial data relating to the Partnership prepared and furnished to us by management of the Partnership, as approved for our use by the Conflicts Committee (the “Forecasts”); iv. reviewed certain third-party charter-free vessel appraisals of the vessels of the Partnership furnished to us by management of the Partnership, as approved for our use by the Conflicts Committee (the “Appraisals”); v. discussed with the Conflicts Committee and management of the Partnership their assessment of the past and current operations of the Partnership, the current financial condition and prospects of the Partnership, and the Forecasts; vi. reviewed the reported prices and the historical trading activity of the Common Units of the Partnership; vii. performed a discounted cash flow analysis for the Partnership based on the Forecasts and other data provided by management of the Partnership; viii. performed a price to net asset value analysis for the Partnership based on the Forecasts, the Appraisals (and adjustments thereto) and other data provided by management of the Partnership; ix. compared the financial performance of the Partnership and its stock market trading multiples with those of certain other publicly-traded master limited partnerships and companies that we deemed relevant; x. compared the financial performance of the Partnership and the valuation multiples relating to the Merger with the financial terms, to the extent publicly available, of certain other transactions that we deemed relevant; xi. reviewed the financial terms and conditions of a draft, dated April 6, 2023, of the Merger Agreement; xii. reviewed a draft, dated April 5, 2023, of the Voting and Support Agreement by and between Parent and the Partnership; and xiii. performed such other analyses and examinations and considered such other factors that we deemed appropriate. Overview of Evercore Evaluation Process 10</w:t>
            </w:r>
          </w:p>
        </w:tc>
      </w:tr>
    </w:tbl>
    <w:tbl>
      <w:tblPr>
        <w:tblW w:w="16625" w:type="dxa"/>
        <w:jc w:val="center"/>
        <w:tblInd w:w="0" w:type="dxa"/>
        <w:tblCellMar>
          <w:top w:w="0" w:type="dxa"/>
          <w:left w:w="0" w:type="dxa"/>
          <w:bottom w:w="0" w:type="dxa"/>
          <w:right w:w="0" w:type="dxa"/>
        </w:tblCellMar>
      </w:tblPr>
      <w:tblGrid>
        <w:gridCol w:w="16500"/>
        <w:gridCol w:w="12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79" name="Image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279" descr=""/>
                          <pic:cNvPicPr>
                            <a:picLocks noChangeAspect="1" noChangeArrowheads="1"/>
                          </pic:cNvPicPr>
                        </pic:nvPicPr>
                        <pic:blipFill>
                          <a:blip r:embed="rId284"/>
                          <a:stretch>
                            <a:fillRect/>
                          </a:stretch>
                        </pic:blipFill>
                        <pic:spPr bwMode="auto">
                          <a:xfrm>
                            <a:off x="0" y="0"/>
                            <a:ext cx="10477500" cy="8086725"/>
                          </a:xfrm>
                          <a:prstGeom prst="rect">
                            <a:avLst/>
                          </a:prstGeom>
                        </pic:spPr>
                      </pic:pic>
                    </a:graphicData>
                  </a:graphic>
                </wp:inline>
              </w:drawing>
            </w:r>
          </w:p>
        </w:tc>
        <w:tc>
          <w:tcPr>
            <w:tcW w:w="12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II. Situation Overview</w:t>
            </w:r>
          </w:p>
        </w:tc>
      </w:tr>
    </w:tbl>
    <w:tbl>
      <w:tblPr>
        <w:tblW w:w="16700" w:type="dxa"/>
        <w:jc w:val="center"/>
        <w:tblInd w:w="0" w:type="dxa"/>
        <w:tblCellMar>
          <w:top w:w="0" w:type="dxa"/>
          <w:left w:w="0" w:type="dxa"/>
          <w:bottom w:w="0" w:type="dxa"/>
          <w:right w:w="0" w:type="dxa"/>
        </w:tblCellMar>
      </w:tblPr>
      <w:tblGrid>
        <w:gridCol w:w="16500"/>
        <w:gridCol w:w="20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80" name="Image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280" descr=""/>
                          <pic:cNvPicPr>
                            <a:picLocks noChangeAspect="1" noChangeArrowheads="1"/>
                          </pic:cNvPicPr>
                        </pic:nvPicPr>
                        <pic:blipFill>
                          <a:blip r:embed="rId285"/>
                          <a:stretch>
                            <a:fillRect/>
                          </a:stretch>
                        </pic:blipFill>
                        <pic:spPr bwMode="auto">
                          <a:xfrm>
                            <a:off x="0" y="0"/>
                            <a:ext cx="10477500" cy="8086725"/>
                          </a:xfrm>
                          <a:prstGeom prst="rect">
                            <a:avLst/>
                          </a:prstGeom>
                        </pic:spPr>
                      </pic:pic>
                    </a:graphicData>
                  </a:graphic>
                </wp:inline>
              </w:drawing>
            </w:r>
          </w:p>
        </w:tc>
        <w:tc>
          <w:tcPr>
            <w:tcW w:w="20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Current Consideration Unaffected GLOP Common Unit Price $8.37 $8.65 $6.98 52-Week High 9.27 9.27 9.27 52-Week Low 4.30 4.30 4.30 Fully-Diluted Units Outstanding1 54.324 54.324 54.324 Market Capitalization $455 $470 $379 (+) Preferred Units 291 291 291 (+) Total Debt Outstanding 985 985 985 (–) Cash and Cash Equivalents (223) (223) (223) Enterprise Value $1,507 $1,522 $1,432 Implied Multiples Metric Current Consideration Unaffected EV / EBITDA (FactSet Consensus) 2022A $274 5.5x 5.5x 5.2x 2023E 274 5.5 5.6 5.2 2024E 233 6.5 6.5 6.2 EV / EBITDA (Forecasts) 2022A $274 5.5x 5.5x 5.2x 2023E 290 5.2 5.3 4.9 2024E 269 5.6 5.7 5.3 Distribution Yields (Forecasts) 2022A $0.04 0.5% 0.5% 0.6% 2023E 0.04 0.5% 0.5% 0.6% 2024E 0.04 0.5% 0.5% 0.6% Price / Net Asset Value Appraisal NAV2 $11.55 0.72x 0.75x 0.60x Situation Overview Public Market Data and Debt Overview Public Market Overview Capital Structure (As of 12/31/22) Source: Partnership filings, FactSet (4/5/23), Wall Street Research, Clarksons 1. Includes general partner, common and Class B units on a fully converted basis 2. Based on analysis contained on page 26, applying charter adjustment to average of Fearnleys and Braemar appraised values as of 2/28/23 for owned vessels. Sale leaseback vessels based on Sponsor-estimated right-of-use asset value Debt Overview Gross Cross-Collateral Facility Amount Maturity Rate with GLOG $450 Million Partnership Facility $250 Feb-24 L +2.10% No BNPP $260 Million Facility 194 Jul-25 L +2.70% No DNB $194 Million Facility 126 Jul-25 S +2.96% No $1.3 Billion GasLog ECA Facility 361 Mar-27 L +1.80% Yes GasLog Shanghai SLB 45 Oct-26 3.12% No Methane Heather Sally SLB 17 Jun-25 3.03% No Total $985 Based on Book Value Total Debt $985 (–) Cash and Equivalents (223) Net Debt $761 Book Value of Common Equity $682 Book Value of Preferred Equity 291 Enterprise Value (Book Value) $1,734 Net Debt / Enterprise Value (Book Value) 43.9% Net Debt / 2023E EBITDA 2.8x Net Debt + Preferred / 2023E EBITDA 3.8x Net Debt / 2024E EBITDA 3.3x Net Debt + Preferred / 2024E EBITDA 4.5x ($ in millions, except per unit data) 12</w:t>
            </w:r>
          </w:p>
        </w:tc>
      </w:tr>
    </w:tbl>
    <w:tbl>
      <w:tblPr>
        <w:tblW w:w="16700" w:type="dxa"/>
        <w:jc w:val="center"/>
        <w:tblInd w:w="0" w:type="dxa"/>
        <w:tblCellMar>
          <w:top w:w="0" w:type="dxa"/>
          <w:left w:w="0" w:type="dxa"/>
          <w:bottom w:w="0" w:type="dxa"/>
          <w:right w:w="0" w:type="dxa"/>
        </w:tblCellMar>
      </w:tblPr>
      <w:tblGrid>
        <w:gridCol w:w="16500"/>
        <w:gridCol w:w="20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81" name="Image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281" descr=""/>
                          <pic:cNvPicPr>
                            <a:picLocks noChangeAspect="1" noChangeArrowheads="1"/>
                          </pic:cNvPicPr>
                        </pic:nvPicPr>
                        <pic:blipFill>
                          <a:blip r:embed="rId286"/>
                          <a:stretch>
                            <a:fillRect/>
                          </a:stretch>
                        </pic:blipFill>
                        <pic:spPr bwMode="auto">
                          <a:xfrm>
                            <a:off x="0" y="0"/>
                            <a:ext cx="10477500" cy="8086725"/>
                          </a:xfrm>
                          <a:prstGeom prst="rect">
                            <a:avLst/>
                          </a:prstGeom>
                        </pic:spPr>
                      </pic:pic>
                    </a:graphicData>
                  </a:graphic>
                </wp:inline>
              </w:drawing>
            </w:r>
          </w:p>
        </w:tc>
        <w:tc>
          <w:tcPr>
            <w:tcW w:w="20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Situation Overview Charter Overview Propulsion Built Capacity Charter Free Appraisal1 Gross Charter Rate Charterer GasLog Glasgow TFDE 2016 174,000 $195 $85,926 GasLog Greece TFDE 2016 174,000 189 85,926 Methane Becki Anne TFDE 2010 170,000 157 82,500 GasLog Gibraltar TFDE 2016 174,000 196 81,000 GasLog Geneva TFDE 2016 174,000 196 81,000 GasLog Shanghai TFDE 2013 155,000 65 86,000 GasLog Santiago TFDE 2013 155,000 155 67,000 Solaris TFDE 2014 155,000 161 149,750 GasLog Seattle TFDE 2013 155,000 154 141,500 GasLog Sydney TFDE 2013 155,000 155 97,000 Methane Heather Sally Steam 2007 145,000 28 52,000 Methane Jane Elizabeth Steam 2006 145,000 58 32,600 Methane Rita Andrea Steam 2006 145,000 58 66,000 Methane Alison Victoria Steam 2007 145,000 62 29,500 2023 2024 2025 2026 2027 2028 2029 2030 2031 1 1 1 11 11 11 1 1 1 1 1 1 1 1 1 1 1 1 1 1 2 2 2 d 2 2 2 2 2 2 2 1 1 1 1 1 1 1 1 1 1 1 1 1 1 1 1 1 1 1 1 1 1 1 11 11 11 Firm Period Optional Period Available Out of fleet GasLog Partners has a revenue-weighted average charter duration of 1.5 years ($ in millions, except per day data) 2 2 1. Represents average of Fearnleys and Braemar appraised values as of 2/28/23 2. Based on 3/17/23 Sponsor materials. Represents right-of-use asset value associated with sale leaseback 3. Expected to enter into a sale leaseback with CDB Leasing imminently but not reflected here 13 3 Source: GasLog Partners management</w:t>
            </w:r>
          </w:p>
        </w:tc>
      </w:tr>
    </w:tbl>
    <w:tbl>
      <w:tblPr>
        <w:tblW w:w="16670" w:type="dxa"/>
        <w:jc w:val="center"/>
        <w:tblInd w:w="0" w:type="dxa"/>
        <w:tblCellMar>
          <w:top w:w="0" w:type="dxa"/>
          <w:left w:w="0" w:type="dxa"/>
          <w:bottom w:w="0" w:type="dxa"/>
          <w:right w:w="0" w:type="dxa"/>
        </w:tblCellMar>
      </w:tblPr>
      <w:tblGrid>
        <w:gridCol w:w="16500"/>
        <w:gridCol w:w="17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82" name="Image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282" descr=""/>
                          <pic:cNvPicPr>
                            <a:picLocks noChangeAspect="1" noChangeArrowheads="1"/>
                          </pic:cNvPicPr>
                        </pic:nvPicPr>
                        <pic:blipFill>
                          <a:blip r:embed="rId287"/>
                          <a:stretch>
                            <a:fillRect/>
                          </a:stretch>
                        </pic:blipFill>
                        <pic:spPr bwMode="auto">
                          <a:xfrm>
                            <a:off x="0" y="0"/>
                            <a:ext cx="10477500" cy="8086725"/>
                          </a:xfrm>
                          <a:prstGeom prst="rect">
                            <a:avLst/>
                          </a:prstGeom>
                        </pic:spPr>
                      </pic:pic>
                    </a:graphicData>
                  </a:graphic>
                </wp:inline>
              </w:drawing>
            </w:r>
          </w:p>
        </w:tc>
        <w:tc>
          <w:tcPr>
            <w:tcW w:w="17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 The following sets forth key assumptions utilized in the GLOP Financial Projections as provided by GasLog Partners management: Revenue: ● All options are exercised by customers except (i) Woodside Energy’s option with respect to the GasLog Shanghai in March 2026, (ii) Shell’s option with GasLog Greece in March 2026 and (iii) GasLog Glasgow in June 2026 – these represent anticipated out-of-the-money options for the charterer ● Upon charter / option expiry, all vessels are operated on the spot market thereafter based on the TCE forecast as set forth below: ● The Methane Jane Elizabeth begins operations as an FSRU for Venice Project in January 2026 at a charter rate of $116,800 / day ● The Methane Heather Sally and GasLog Shanghai are returned to their lessors in 2025 and 2026, respectively − There are no repurchase or obligation options for the Methane Heather Sally and GasLog Shanghai ● Vessel utilization (off-hire / off charter) factored into TCE rates above, with an additional 0.5 unexpected off hire days per quarter Operating expenses of $11,000 / day for steam vessels, $14,700 / day for 155k TFDE vessels, $13,700 / day for 170k -174k TFDE vessels in 2023, escalated 1% annually thereafter G&amp;A expenses based on allocation from GasLog Ltd. consistent with contract with GasLog Ltd. Capital expenditures: ● Drydocking expenses of $5.7 million for steam vessels, $3.6 million for 155k TFDE vessels and $4.1 million for 170k – 174k TFDE vessels every five years ● EEXI/CII capital expenditures of $350,000 for TFDE vessels and $6.4 million for steam vessels at their next respective drydocking ● Total capital expenditures of $138.7 million (2023: $13.8 million, 2024: $50.0 million, 2025: $74.9 million) for Venice FSRU project Financing assumptions: ● $450 million facility due 2024 for the GasLog Santiago, GasLog Sydney, GasLog Seattle and Methane Jane Elizabeth to be refinanced in November 2023 with a new ~$196 million secured facility for GasLog Santiago, GasLog Sydney and GasLog Seattle − $107 million of debt funded in installments for Methane Jane Elizabeth from 2023 to 2025 and replaced with $130 million in debt funded on delivery as part of the Venice FSRU project ● Other secured debt maturities are assumed to be refinanced with similar terms as existing facilities ● $87.4 million balance of Series B preferred equity assumed fully redeemed in 2023, $76.5 million balance of Series C preferred equity assumed fully redeemed in 2024 and Series A preferred equity assumed to remain outstanding through projection period Situation Overview Source: GasLog Partners management GLOP Financial Projections – Assumptions 2023E 2024E 2025E 2026E 2027E $000s/Day (Gross) TFDEs (155k) $85 $75 $65 $55 $65 TFDEs (170k - 174k) 105 95 85 75 85 Steams 52 50 40 35 40 14</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83" name="Image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283" descr=""/>
                          <pic:cNvPicPr>
                            <a:picLocks noChangeAspect="1" noChangeArrowheads="1"/>
                          </pic:cNvPicPr>
                        </pic:nvPicPr>
                        <pic:blipFill>
                          <a:blip r:embed="rId288"/>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GLOP Financial Projections Situation Overview For the Years Ending December 31, 2022A 2023E 2024E 2025E 2026E 2027E Average Vessels On the Water 15 14 14 14 13 12 Number of Dry-docks -- 4 1 2 5 -- Number of Spot Vessels at the End of Period -- 3 4 7 7 7 Revenue $364.3 $376.6 $356.5 $310.6 $309.6 $320.4 (–) Direct Operating Expenses (72.4) (68.8) (69.2) (67.6) (70.4) (65.4) (–) G&amp;A (17.5) (18.3) (18.2) (17.3) (17.0) (16.8) EBITDA $274.4 $289.5 $269.0 $225.7 $222.2 $238.3 (–) Change in Working Capital 2.6 (15.3) (1.1) (0.7) (0.2) (0.0) (–) Net Capital Expenditures (2.5) (38.2) (54.6) (90.8) (28.0) -- (±) Other 0.2 -- -- -- -- -- Unlevered Free Cash Flow $274.6 $236.0 $213.3 $134.2 $194.1 $238.3 (–) Interest Expense (43.1) (58.9) (55.8) (51.4) (43.1) (37.6) (+) Financial Income 2.0 4.4 -- -- -- -- (–) Preferred Equity Distribution (27.0) (19.8) (12.9) (11.0) (11.0) (11.8) Levered Free Cash Flow $206.5 $161.7 $144.7 $71.9 $140.0 $189.0 (–) Debt Amortization (115.7) (111.8) (108.2) (106.4) (110.8) (97.9) Levered Free Cash Flow After Debt Amortization $90.8 $49.9 $36.5 ($34.6) $29.2 $91.0 (–) Total Distributions (2.1) (2.1) (2.1) (2.2) (2.2) (2.2) Levered FCF After Distributions Surplus / (Deficit) $88.7 $47.8 $34.4 ($36.7) $27.0 $88.9 Total Common Units Outstanding 52.768 53.183 53.598 54.013 54.013 54.013 Unlevered FCF per Unit $5.20 $4.44 $3.98 $2.48 $3.59 $4.41 Levered FCF per Unit 3.91 3.04 2.70 1.33 2.59 3.50 Levered FCF After Debt Amortization per Unit 1.72 0.94 0.68 (0.64) 0.54 1.69 Distribution Per Unit 0.04 0.04 0.04 0.04 0.04 0.04 Source: GasLog Partners management ($ in millions, except per unit data) 15</w:t>
            </w:r>
          </w:p>
        </w:tc>
      </w:tr>
    </w:tbl>
    <w:tbl>
      <w:tblPr>
        <w:tblW w:w="16685" w:type="dxa"/>
        <w:jc w:val="center"/>
        <w:tblInd w:w="0" w:type="dxa"/>
        <w:tblCellMar>
          <w:top w:w="0" w:type="dxa"/>
          <w:left w:w="0" w:type="dxa"/>
          <w:bottom w:w="0" w:type="dxa"/>
          <w:right w:w="0" w:type="dxa"/>
        </w:tblCellMar>
      </w:tblPr>
      <w:tblGrid>
        <w:gridCol w:w="16500"/>
        <w:gridCol w:w="18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84" name="Image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284" descr=""/>
                          <pic:cNvPicPr>
                            <a:picLocks noChangeAspect="1" noChangeArrowheads="1"/>
                          </pic:cNvPicPr>
                        </pic:nvPicPr>
                        <pic:blipFill>
                          <a:blip r:embed="rId289"/>
                          <a:stretch>
                            <a:fillRect/>
                          </a:stretch>
                        </pic:blipFill>
                        <pic:spPr bwMode="auto">
                          <a:xfrm>
                            <a:off x="0" y="0"/>
                            <a:ext cx="10477500" cy="8086725"/>
                          </a:xfrm>
                          <a:prstGeom prst="rect">
                            <a:avLst/>
                          </a:prstGeom>
                        </pic:spPr>
                      </pic:pic>
                    </a:graphicData>
                  </a:graphic>
                </wp:inline>
              </w:drawing>
            </w:r>
          </w:p>
        </w:tc>
        <w:tc>
          <w:tcPr>
            <w:tcW w:w="18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GLOP Financial Projections – Sources and Uses Situation Overview Source: GasLog Partners management 1. Reflects full repurchase of all outstanding Series B (3.5mm) and Series C (3.1mm) preferred units in 2023 and 2024, respectively at liquidation value of $25.00 per unit For the Years Ending December 31, 2022A 2023E 2024E 2025E 2026E 2027E Sources Levered Free Cash Flow After Distributions Surplus / (Deficit) $88.7 $47.8 $34.4 ($36.7) $27.0 $88.9 Stock-Based Compensation 0.8 0.7 0.7 0.8 0.8 0.8 Proceeds from Refinancing - 210.4 33.3 295.5 258.4 - Proceeds from Sale of Steam Vessel 52.5 - - - - - Cash from Balance Sheet - 59.8 9.4 - - - Total Sources $141.9 $318.8 $77.9 $259.6 $286.1 $89.7 Uses Debt Refinanced $65.1 $227.1 $-- $245.6 $245.4 $-- Financing Fees 0.0 4.3 1.3 4.4 1.9 0.3 Preferred Repurchased1 49.2 87.4 76.5 -- -- -- Cash to Balance Sheet 27.6 -- -- 9.6 38.9 89.4 Total Uses $141.9 $318.8 $77.9 $259.6 $286.1 $89.7 Capitalization Debt $984.5 $858.1 $785.2 $728.0 $630.6 $534.3 (–) Cash (223.1) (163.3) (153.8) (163.5) (202.4) (291.7) Net Debt $761.4 $694.8 $631.3 $564.5 $428.2 $242.6 (+) Liquidation Value of Preferred Equity1 291.1 203.7 127.1 127.1 127.1 127.1 Net Debt + Preferred Equity $1,052.5 $898.5 $758.5 $691.6 $555.3 $369.7 LTM Leverage Debt / EBITDA 3.6x 3.0x 2.9x 3.2x 2.8x 2.2x Net Debt / EBITDA 2.8 2.4 2.3 2.5 1.9 1.0 Debt + Preferred / EBITDA 4.6 3.7 3.4 3.8 3.4 2.8 Net Debt + Preferred / EBITDA 3.8 3.1 2.8 3.1 2.5 1.6 ($ in millions, except per unit data) 16</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85" name="Image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285" descr=""/>
                          <pic:cNvPicPr>
                            <a:picLocks noChangeAspect="1" noChangeArrowheads="1"/>
                          </pic:cNvPicPr>
                        </pic:nvPicPr>
                        <pic:blipFill>
                          <a:blip r:embed="rId290"/>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682 715 317 2021A 2022E 2023E +5% ◼ Energy security issues stemming from the Russia/Ukraine conflict led to record European LNG imports in the first part of 2022, supporting rising LNG and gas prices that has persisted for the second half of 2022 ◼ After a pandemic halt and market oversupply, new projects are now on the rise with Qatar and North America leading on production capacity increases The majority of projects under development (169 million tonnes per year (“MTPA”)) will come online in 2026 or later Outside of Qatar, 3 – 4 project in the U.S. are likely to reach FID in 2023 ◼ Demand forecasted to increase to 400+ MTPA in 2023 ◼ Over 300 vessels in the orderbook to meet the expected increase in LNG supply in the next four years (over 40% of current fleet) While most of these vessels are contracted to specific projects, these vessels are delivered on schedule Expected delays in a number of projects could lead to capacity for these vessels being redeployed in the spot market, creating issues with oversupply (e.g., all three large liquefication projects expected to go on-line in 2023 were delayed at least 2 years) Liquefaction Overview Natural Gas and LNG Prices (Historical and Futures) Forecast LNG Vessel Supply and Demand Source: Webber, Clarksons Research (March 2023), FactSet (4/5/23), CME Group (4/5/23) LNG Export (mm tons) LNG Fleet (# of Vessels) Situation Overview 380 398 414 2021 2022 2023 +5% +4% (Orderbook) 0 30 60 90 120 May-21 Nov-21 May-22 Nov-22 May-23 Nov-23 May-24 Nov-24 $ / MMBTU JKM JKM (Futures) TTF TTF (Futures) Majority Delivered in Next 3 Years 17</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86" name="Image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286" descr=""/>
                          <pic:cNvPicPr>
                            <a:picLocks noChangeAspect="1" noChangeArrowheads="1"/>
                          </pic:cNvPicPr>
                        </pic:nvPicPr>
                        <pic:blipFill>
                          <a:blip r:embed="rId291"/>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Situation Overview Liquefaction and Regasification Capacity Outlook Global Liquification Capacity (MTPA) Global Regasification Capacity Forecast (MTPA) Source: Clarksons report (March 2023) 213 220 235 269 294 88 88 88 88 77 77 93 77 85 108 86 86 105 125 138 464 471 505 567 633 2022 2023 2024 2025 2026+ Others Australia Qatar US 587 647 660 670 670 227 227 227 227 227 106 106 106 106 106 117 174 196 209 211 1,036 1,153 1,189 1,212 1,214 2022 2023 2024 2025 2026 China South Korea Japan Others 2022–2026E CAGR: 8.1% 2022–2026E CAGR: 4.0% 18</w:t>
            </w:r>
          </w:p>
        </w:tc>
      </w:tr>
    </w:tbl>
    <w:tbl>
      <w:tblPr>
        <w:tblW w:w="16670" w:type="dxa"/>
        <w:jc w:val="center"/>
        <w:tblInd w:w="0" w:type="dxa"/>
        <w:tblCellMar>
          <w:top w:w="0" w:type="dxa"/>
          <w:left w:w="0" w:type="dxa"/>
          <w:bottom w:w="0" w:type="dxa"/>
          <w:right w:w="0" w:type="dxa"/>
        </w:tblCellMar>
      </w:tblPr>
      <w:tblGrid>
        <w:gridCol w:w="16500"/>
        <w:gridCol w:w="17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87" name="Image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287" descr=""/>
                          <pic:cNvPicPr>
                            <a:picLocks noChangeAspect="1" noChangeArrowheads="1"/>
                          </pic:cNvPicPr>
                        </pic:nvPicPr>
                        <pic:blipFill>
                          <a:blip r:embed="rId292"/>
                          <a:stretch>
                            <a:fillRect/>
                          </a:stretch>
                        </pic:blipFill>
                        <pic:spPr bwMode="auto">
                          <a:xfrm>
                            <a:off x="0" y="0"/>
                            <a:ext cx="10477500" cy="8086725"/>
                          </a:xfrm>
                          <a:prstGeom prst="rect">
                            <a:avLst/>
                          </a:prstGeom>
                        </pic:spPr>
                      </pic:pic>
                    </a:graphicData>
                  </a:graphic>
                </wp:inline>
              </w:drawing>
            </w:r>
          </w:p>
        </w:tc>
        <w:tc>
          <w:tcPr>
            <w:tcW w:w="17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Situation Overview $170 $170 $170 $170 $170 $175 $175 $175 $180 $185 $185 $185 $195 $200 $200 $205 $235 $235 $235 $245 $245 174k cbm LNG Carrier Average Newbuild (X-DF / MEGI Propulsion) Source: Clarksons (March 2023) Asset Values: Newbuild and Secondhand Prices 174k cbm LNG Carrier (5 Years) +30% $195 $198 $202 $203 $205 $210 $214 $218 $220 $224 $227 $231 $236 $240 $244 $248 $248 $248 $248 $250 $254 ($ in millions) +44% 19</w:t>
            </w:r>
          </w:p>
        </w:tc>
      </w:tr>
    </w:tbl>
    <w:tbl>
      <w:tblPr>
        <w:tblW w:w="16640" w:type="dxa"/>
        <w:jc w:val="center"/>
        <w:tblInd w:w="0" w:type="dxa"/>
        <w:tblCellMar>
          <w:top w:w="0" w:type="dxa"/>
          <w:left w:w="0" w:type="dxa"/>
          <w:bottom w:w="0" w:type="dxa"/>
          <w:right w:w="0" w:type="dxa"/>
        </w:tblCellMar>
      </w:tblPr>
      <w:tblGrid>
        <w:gridCol w:w="16500"/>
        <w:gridCol w:w="14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88" name="Image2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288" descr=""/>
                          <pic:cNvPicPr>
                            <a:picLocks noChangeAspect="1" noChangeArrowheads="1"/>
                          </pic:cNvPicPr>
                        </pic:nvPicPr>
                        <pic:blipFill>
                          <a:blip r:embed="rId293"/>
                          <a:stretch>
                            <a:fillRect/>
                          </a:stretch>
                        </pic:blipFill>
                        <pic:spPr bwMode="auto">
                          <a:xfrm>
                            <a:off x="0" y="0"/>
                            <a:ext cx="10477500" cy="8086725"/>
                          </a:xfrm>
                          <a:prstGeom prst="rect">
                            <a:avLst/>
                          </a:prstGeom>
                        </pic:spPr>
                      </pic:pic>
                    </a:graphicData>
                  </a:graphic>
                </wp:inline>
              </w:drawing>
            </w:r>
          </w:p>
        </w:tc>
        <w:tc>
          <w:tcPr>
            <w:tcW w:w="14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Situation Overview 160k cbm LNG Carrier (5 years Old) Source: Clarksons (March 2023) Note : Data beyond Dec ’22 unavailable for 160k cbm 5-year and 145k cbm 10-year carriers Asset Values: Secondhand Sale Prices 160k cbm LNG Carrier (10 years Old) $145 $145 $145 $145 $145 $145 $145 $150 $161 $165 $165 $165 $180 $180 $180 $183 $200 $200 $115 $115 $115 $115 $115 $115 $115 $120 $126 $128 $128 $128 $135 $135 $135 $135 $135 $140 $140 $155 $155 145k cbm LNG Carrier (10 years Old) 145k cbm LNG Carrier (15 years Old) $82 $82 $82 $82 $82 $82 $82 $82 $82 $82 $82 $82 $90 $90 $90 $90 $90 $90 $48 $48 $48 $48 $48 $48 $49 $49 $49 $49 $49 $49 $55 $55 $55 $55 $55 $53 $53 $60 $60 +38% +35% +10% +25% ($ in millions) 20</w:t>
            </w:r>
          </w:p>
        </w:tc>
      </w:tr>
    </w:tbl>
    <w:tbl>
      <w:tblPr>
        <w:tblW w:w="16685" w:type="dxa"/>
        <w:jc w:val="center"/>
        <w:tblInd w:w="0" w:type="dxa"/>
        <w:tblCellMar>
          <w:top w:w="0" w:type="dxa"/>
          <w:left w:w="0" w:type="dxa"/>
          <w:bottom w:w="0" w:type="dxa"/>
          <w:right w:w="0" w:type="dxa"/>
        </w:tblCellMar>
      </w:tblPr>
      <w:tblGrid>
        <w:gridCol w:w="16500"/>
        <w:gridCol w:w="18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89" name="Image2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289" descr=""/>
                          <pic:cNvPicPr>
                            <a:picLocks noChangeAspect="1" noChangeArrowheads="1"/>
                          </pic:cNvPicPr>
                        </pic:nvPicPr>
                        <pic:blipFill>
                          <a:blip r:embed="rId294"/>
                          <a:stretch>
                            <a:fillRect/>
                          </a:stretch>
                        </pic:blipFill>
                        <pic:spPr bwMode="auto">
                          <a:xfrm>
                            <a:off x="0" y="0"/>
                            <a:ext cx="10477500" cy="8086725"/>
                          </a:xfrm>
                          <a:prstGeom prst="rect">
                            <a:avLst/>
                          </a:prstGeom>
                        </pic:spPr>
                      </pic:pic>
                    </a:graphicData>
                  </a:graphic>
                </wp:inline>
              </w:drawing>
            </w:r>
          </w:p>
        </w:tc>
        <w:tc>
          <w:tcPr>
            <w:tcW w:w="18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S&amp;P Activity (# of ships) Avg. 145k cbm Asset Value Avg. 160k cbm Asset Value 2016 4 $108 $166 2017 10 100 157 2018 12 85 156 2019 11 82 160 2020 4 82 152 1Q21 3 82 145 2Q21 1 82 145 3Q21 - 82 145 4Q21 11 82 145 1Q22 15 82 152 2Q22 11 82 165 3Q22 9 90 180 4Q22 7 90 194 - 5 10 15 $ - $50 $100 $150 $200 $250 Jan-16 Dec-16 Dec-17 Dec-18 Dec-19 Dec-20 Dec-21 Dec-22 Asset Value ($ millions) S&amp;P Activity (# of ships) S&amp;P Activity 10 Year Old Secondhand 145k cbm Values 5 Year Old Secondhand 160k cbm Values Situation Overview Source: Clarksons (March 2023) Note: 145k cbm asset values relate to 10 Year Old Secondhand Vessel values; 160k cbm asset values relate to 5 Year Old Secondhand Vessel values 1. Represents YTD 2023 and 2022 LNG vessel sales per Clarksons Research with disclosed vessel pricing (excluding sale-leaseback transactions) S&amp;P Overview LNG Asset Values and S&amp;P Activity (2016 to Present) Avg. LNG Asset Values and S&amp;P Activity (2016 to Present) Recent LNG Acquisitions1 Significant vessel sales in Q4 2021 and 1H 2022 Buyer Seller Date # of Ships Sold Total Price Avg. Age (Years) Avg. CBM Vessel Type Dual Fuel 2/20/23 1 $184 9 160 LNG y 1/3/23 1 55 17 145 LNG N 7/7/22 1 400 7 170 FSRU Y 6/1/22 1 350 7 170 FSRU Y 5/13/22 4 700 4.25 172 LNG Y 1/27/22 1 35 20 138 LNG N Chinese Interests ($ in millions) 21</w:t>
            </w:r>
          </w:p>
        </w:tc>
      </w:tr>
    </w:tbl>
    <w:tbl>
      <w:tblPr>
        <w:tblW w:w="16640" w:type="dxa"/>
        <w:jc w:val="center"/>
        <w:tblInd w:w="0" w:type="dxa"/>
        <w:tblCellMar>
          <w:top w:w="0" w:type="dxa"/>
          <w:left w:w="0" w:type="dxa"/>
          <w:bottom w:w="0" w:type="dxa"/>
          <w:right w:w="0" w:type="dxa"/>
        </w:tblCellMar>
      </w:tblPr>
      <w:tblGrid>
        <w:gridCol w:w="16500"/>
        <w:gridCol w:w="14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90" name="Image2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290" descr=""/>
                          <pic:cNvPicPr>
                            <a:picLocks noChangeAspect="1" noChangeArrowheads="1"/>
                          </pic:cNvPicPr>
                        </pic:nvPicPr>
                        <pic:blipFill>
                          <a:blip r:embed="rId295"/>
                          <a:stretch>
                            <a:fillRect/>
                          </a:stretch>
                        </pic:blipFill>
                        <pic:spPr bwMode="auto">
                          <a:xfrm>
                            <a:off x="0" y="0"/>
                            <a:ext cx="10477500" cy="8086725"/>
                          </a:xfrm>
                          <a:prstGeom prst="rect">
                            <a:avLst/>
                          </a:prstGeom>
                        </pic:spPr>
                      </pic:pic>
                    </a:graphicData>
                  </a:graphic>
                </wp:inline>
              </w:drawing>
            </w:r>
          </w:p>
        </w:tc>
        <w:tc>
          <w:tcPr>
            <w:tcW w:w="14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Situation Overview LNGC Time Charter and Spot Rates Source: Clarksons (3/31/23) Note: Data for 174k cbm carriers only available from 2019 onwards $70,000 $37,500 $ - $50,000 $100,000 $150,000 $200,000 $250,000 Jan-19 Aug-19 Mar-20 Oct-20 Jun-21 Jan-22 Aug-22 Mar-23 3 Year Average 10 Year Average $140,000 $58,500 $ - $150,000 $300,000 $450,000 $600,000 Jan-19 Aug-19 Mar-20 Oct-20 Jun-21 Jan-22 Aug-22 Mar-23 3 Year Average 10 Year Average $190,000 $75,000 $ - $150,000 $300,000 $450,000 $600,000 Jan-19 Aug-19 Mar-20 Oct-20 Jun-21 Jan-22 Aug-22 Mar-23 3 Year Average 10 Year Average Time Charter Spot 174k CBM 160k CBM 145k CBM 1YR TC Spot Current $140,000 $58,500 3 Year Average $115,019 $106,284 5 Year Average $89,374 $87,552 10 Year Average $89,374 $87,552 1YR TC Spot Current $70,000 $37,500 3 Year Average $61,052 $63,252 5 Year Average $52,326 $54,780 10 Year Average $52,326 $54,780 ($ per day) 1YR TC Spot Current $190,000 $75,000 3 Year Average $146,231 $136,314 22</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91" name="Image2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291" descr=""/>
                          <pic:cNvPicPr>
                            <a:picLocks noChangeAspect="1" noChangeArrowheads="1"/>
                          </pic:cNvPicPr>
                        </pic:nvPicPr>
                        <pic:blipFill>
                          <a:blip r:embed="rId296"/>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$105.0 $95.0 $85.0 $75.0 $85.0 $124.5 $96.0 $96.0 N/A N/A $103.8 $80.0 $80.0 N/A N/A $83.0 $64.0 $64.0 N/A N/A 2023E 2024E 2025E 2026E 2027E 3yr Average: $136.3k ~4yr Average: $89.2k Situation Overview Management Forecast vs Stifel and Historical Spot Rates Source: GLOP Financial Projections, Clarksons (3/31/23), Stifel (1/26/23) 1. Assumes 145k cbm is representative of Steam Historical spot pricing 2. Data for 174k cbm carriers only available from 2019 onwards 160K CBM Carrier Spot Rates 145K CBM Carrier Spot Rates1 174K CBM Carrier Spot Rates GLOP Financial Projections $52.0 $50.0 $40.0 $35.0 $40.0 $48.0 $42.0 $42.0 N/A N/A $40.0 $35.0 $35.0 N/A N/A $32.0 $28.0 $28.0 N/A N/A 2023E 2024E 2025E 2026E 2027E 3yr Average: $63.3k 5yr Average: $54.8k $85.0 $75.0 $65.0 $55.0 $65.0 $87.0 $72.0 $72.0 N/A N/A $72.5 $60.0 $60.0 N/A N/A $58.0 $48.0 $48.0 N/A N/A 2023E 2024E 2025E 2026E 2027E 3yr Average: $106.3k 5yr Average: $87.6kStifel (Bull Case) Stifel (Base Case) Stifel (Bear Case) Historical Averages 2 ($000s per day) 23</w:t>
            </w:r>
          </w:p>
        </w:tc>
      </w:tr>
    </w:tbl>
    <w:tbl>
      <w:tblPr>
        <w:tblW w:w="16625" w:type="dxa"/>
        <w:jc w:val="center"/>
        <w:tblInd w:w="0" w:type="dxa"/>
        <w:tblCellMar>
          <w:top w:w="0" w:type="dxa"/>
          <w:left w:w="0" w:type="dxa"/>
          <w:bottom w:w="0" w:type="dxa"/>
          <w:right w:w="0" w:type="dxa"/>
        </w:tblCellMar>
      </w:tblPr>
      <w:tblGrid>
        <w:gridCol w:w="16500"/>
        <w:gridCol w:w="12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92" name="Image2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292" descr=""/>
                          <pic:cNvPicPr>
                            <a:picLocks noChangeAspect="1" noChangeArrowheads="1"/>
                          </pic:cNvPicPr>
                        </pic:nvPicPr>
                        <pic:blipFill>
                          <a:blip r:embed="rId297"/>
                          <a:stretch>
                            <a:fillRect/>
                          </a:stretch>
                        </pic:blipFill>
                        <pic:spPr bwMode="auto">
                          <a:xfrm>
                            <a:off x="0" y="0"/>
                            <a:ext cx="10477500" cy="8086725"/>
                          </a:xfrm>
                          <a:prstGeom prst="rect">
                            <a:avLst/>
                          </a:prstGeom>
                        </pic:spPr>
                      </pic:pic>
                    </a:graphicData>
                  </a:graphic>
                </wp:inline>
              </w:drawing>
            </w:r>
          </w:p>
        </w:tc>
        <w:tc>
          <w:tcPr>
            <w:tcW w:w="12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III. Valuation of GasLog Partners</w:t>
            </w:r>
          </w:p>
        </w:tc>
      </w:tr>
    </w:tbl>
    <w:tbl>
      <w:tblPr>
        <w:tblW w:w="16700" w:type="dxa"/>
        <w:jc w:val="center"/>
        <w:tblInd w:w="0" w:type="dxa"/>
        <w:tblCellMar>
          <w:top w:w="0" w:type="dxa"/>
          <w:left w:w="0" w:type="dxa"/>
          <w:bottom w:w="0" w:type="dxa"/>
          <w:right w:w="0" w:type="dxa"/>
        </w:tblCellMar>
      </w:tblPr>
      <w:tblGrid>
        <w:gridCol w:w="16500"/>
        <w:gridCol w:w="20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93" name="Image2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293" descr=""/>
                          <pic:cNvPicPr>
                            <a:picLocks noChangeAspect="1" noChangeArrowheads="1"/>
                          </pic:cNvPicPr>
                        </pic:nvPicPr>
                        <pic:blipFill>
                          <a:blip r:embed="rId298"/>
                          <a:stretch>
                            <a:fillRect/>
                          </a:stretch>
                        </pic:blipFill>
                        <pic:spPr bwMode="auto">
                          <a:xfrm>
                            <a:off x="0" y="0"/>
                            <a:ext cx="10477500" cy="8086725"/>
                          </a:xfrm>
                          <a:prstGeom prst="rect">
                            <a:avLst/>
                          </a:prstGeom>
                        </pic:spPr>
                      </pic:pic>
                    </a:graphicData>
                  </a:graphic>
                </wp:inline>
              </w:drawing>
            </w:r>
          </w:p>
        </w:tc>
        <w:tc>
          <w:tcPr>
            <w:tcW w:w="20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Discounted Cash Flow Peer Trading Precedents Premium / (Discount) to Appraisal NAV: (10.0%) – 10.0% WACC: 8.75% – 9.75% 2023E EBITDA Multiple: 5.0x - 6.0x 2024E EBITDA Multiple: 5.5x - 6.5x Appraisal P / NAV Multiple: 0.55x - 0.80x Appraisal P / NAV Multiple: 0.70x - 1.05x Based on on Low and High of Past 52 Weeks 2027E EBITDA Exit Multiple: 4.0x – 6.0x Analyst Price Target Premiums Paid 52-Week Share Price Range Based on Low and High of Citi, Stifel and Webber Price Targets EV / 2023E EBITDA EV / 2024E EBITDA Charter-Adjusted Appraisal NAV1 EBITDA Exit Multiple Based on 25th and 75th percentile of the One-Day and 30- Day Paid Price / Net Asset Value1 Price / Net Asset Value1 $8.18 $6.63 $7.28 $7.87 $6.35 $8.08 $4.30 $7.52 $7.70 $14.91 $13.23 $12.61 $12.82 $9.24 $12.12 $9.27 $10.11 $9.50 $-- $10.00 $20.00 $30.00 Consideration: $8.65 Summary Valuation of GasLog Partners Note: This summary of certain analyses is provided for illustrative purposes. It does not represent all of the analyses performed by Evercore and should be considered with the information elsewhere in this presentation. As is customary in similar transactions, the valuation analysis contained herein assesses the Partnership on a standalone basis. 1. Based on analysis contained on page 26, applying charter adjustment to average of Fearnleys and Braemar appraised values as of 2/28/23 for owned vessels. Sale leaseback vessels based on Sponsor-estimated right-of-use asset value For Reference Only 25</w:t>
            </w:r>
          </w:p>
        </w:tc>
      </w:tr>
    </w:tbl>
    <w:tbl>
      <w:tblPr>
        <w:tblW w:w="16700" w:type="dxa"/>
        <w:jc w:val="center"/>
        <w:tblInd w:w="0" w:type="dxa"/>
        <w:tblCellMar>
          <w:top w:w="0" w:type="dxa"/>
          <w:left w:w="0" w:type="dxa"/>
          <w:bottom w:w="0" w:type="dxa"/>
          <w:right w:w="0" w:type="dxa"/>
        </w:tblCellMar>
      </w:tblPr>
      <w:tblGrid>
        <w:gridCol w:w="16500"/>
        <w:gridCol w:w="20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94" name="Image2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294" descr=""/>
                          <pic:cNvPicPr>
                            <a:picLocks noChangeAspect="1" noChangeArrowheads="1"/>
                          </pic:cNvPicPr>
                        </pic:nvPicPr>
                        <pic:blipFill>
                          <a:blip r:embed="rId299"/>
                          <a:stretch>
                            <a:fillRect/>
                          </a:stretch>
                        </pic:blipFill>
                        <pic:spPr bwMode="auto">
                          <a:xfrm>
                            <a:off x="0" y="0"/>
                            <a:ext cx="10477500" cy="8086725"/>
                          </a:xfrm>
                          <a:prstGeom prst="rect">
                            <a:avLst/>
                          </a:prstGeom>
                        </pic:spPr>
                      </pic:pic>
                    </a:graphicData>
                  </a:graphic>
                </wp:inline>
              </w:drawing>
            </w:r>
          </w:p>
        </w:tc>
        <w:tc>
          <w:tcPr>
            <w:tcW w:w="20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Appraisal NAV per Share $6.50 $8.18 $9.86 $11.55 $13.23 $14.91 $16.59 (15.0%) (10.0%) (5.0%) 0.0% 5.0% 10.0% 15.0% Premium / (Discount) to Total Charter-Free Appraised Value Charter Free Gross Asset Value (Broker Average) $1,827 (±) Charter Mark-to-Market (95) Charter Adjusted Gross Asset Value $1,732 (+) Cash and Cash Equivalents 223 (–) Net Working Capital (52) (–) Preferred Equity2 (291) (–) Total Debt Outstanding3 (985) Net Asset Value $627 (÷) Fully-Diluted Units Outstanding5 54.324 NAV per Common Unit $11.55 Implied Current Price / NAV 6 0.72x Charter-Free Appraisal Charter Adj.1 Vessel Engine Built Cbm Fearnleys Braemar Avg. MtM Value GasLog Geneva TFDE 2016 174k $201 $190 $196 ($2) $194 GasLog Gibraltar TFDE 2016 174k 201 190 196 (2) 193 GasLog Glasgow TFDE 2016 174k 199 190 195 (37) 158 GasLog Greece TFDE 2016 174k 197 180 189 (34) 155 Solaris TFDE 2014 155k 160 162 161 5 166 Methane Becki Anne TFDE 2010 170k 145 169 157 (7) 149 GasLog Santiago TFDE 2013 155k 148 162 155 (14) 141 GasLog Sydney TFDE 2013 155k 148 162 155 - 155 GasLog Seattle TFDE 2013 155k 150 158 154 - 154 Methane Alison Victoria Steam 2007 145k 65 59 62 (2) 60 Methane Jane Elizabeth Steam 2006 145k 60 56 58 (6) 52 Methane Rita Andrea Steam 2006 145k 60 56 58 3 61 GasLog Shanghai TFDE 2013 155k SLB SLB 65 SLB 65 Methane Heather Sally Steam 2007 145k SLB SLB 28 SLB 28 Gross Asset Value $1,734 $1,733 $1,827 ($95) $1,732 GLOP Fleet Summary Valuation of GasLog Partners GLOP Fleet Valuation Detail GasLog Partners NAV per Unit ($ in millions) Source: Company filings, Fearnleys and Braemar (2/28/23), GasLog Partners management Note: Balance sheet figures based on fiscal year ended 12/31/22 1. Charter Mark-to-Market based on firm period only with Sponsor-provided comparable market rates, assuming a 9.25% discount rate and a 6/30/23 valuation date 2. Preferred equity valued at liquidation preference of $25 per unit. Preferred equity market value of $270.9mm as of 4/5/23 3. Includes lease liabilities 4. GasLog Greece appraisal as of December 31, 2022, as its appraisal as of February 28, 2023 has not yet been provided by GasLog Partners Management 5. Includes general partner, common and Class B units on a fully converted basis 6. Based on GLOP unit price of $8.37 as of 4/5/23 7. Reflects present value of sale leaseback operating cash flows, as provided by Sponsor on 3/17/23 4 Sensitivity Analysis Applied Sensitivity Range For Reference Only Implied NAV per Unit (Assuming no Appraisal Discount) $11.55 $12.12 $10.39 $10.97 $9.24 $9.81 $8.08 $8.66 $7.50 0.65x 0.70x 0.75x 0.80x 0.85x 0.90x 0.95x 1.00x 1.05x Price / Net Asset Value per Common Unit 7 7 7 7 1 26</w:t>
            </w:r>
          </w:p>
        </w:tc>
      </w:tr>
    </w:tbl>
    <w:tbl>
      <w:tblPr>
        <w:tblW w:w="16670" w:type="dxa"/>
        <w:jc w:val="center"/>
        <w:tblInd w:w="0" w:type="dxa"/>
        <w:tblCellMar>
          <w:top w:w="0" w:type="dxa"/>
          <w:left w:w="0" w:type="dxa"/>
          <w:bottom w:w="0" w:type="dxa"/>
          <w:right w:w="0" w:type="dxa"/>
        </w:tblCellMar>
      </w:tblPr>
      <w:tblGrid>
        <w:gridCol w:w="16500"/>
        <w:gridCol w:w="17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95" name="Image2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295" descr=""/>
                          <pic:cNvPicPr>
                            <a:picLocks noChangeAspect="1" noChangeArrowheads="1"/>
                          </pic:cNvPicPr>
                        </pic:nvPicPr>
                        <pic:blipFill>
                          <a:blip r:embed="rId300"/>
                          <a:stretch>
                            <a:fillRect/>
                          </a:stretch>
                        </pic:blipFill>
                        <pic:spPr bwMode="auto">
                          <a:xfrm>
                            <a:off x="0" y="0"/>
                            <a:ext cx="10477500" cy="8086725"/>
                          </a:xfrm>
                          <a:prstGeom prst="rect">
                            <a:avLst/>
                          </a:prstGeom>
                        </pic:spPr>
                      </pic:pic>
                    </a:graphicData>
                  </a:graphic>
                </wp:inline>
              </w:drawing>
            </w:r>
          </w:p>
        </w:tc>
        <w:tc>
          <w:tcPr>
            <w:tcW w:w="17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Discounted Cash Flow – Assumptions Valuation of GasLog Partners ◼ Evercore utilized the following assumptions to analyze GasLog Partners’ discounted cash flows: Discounted the projected cash flows to January 1, 2023 under midterm convention EBITDA and capital expenditures through December 31, 2027E per GLOP Financial Projections Assumes a tax rate of 0.0% Mid-point discount rate of 9.25% utilizing WACC based on Capital Asset Pricing Model Terminal value based on a 4.0x to 6.0x EBITDA exit multiple 27</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96" name="Image2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296" descr=""/>
                          <pic:cNvPicPr>
                            <a:picLocks noChangeAspect="1" noChangeArrowheads="1"/>
                          </pic:cNvPicPr>
                        </pic:nvPicPr>
                        <pic:blipFill>
                          <a:blip r:embed="rId301"/>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Discounted Cash Flow of GasLog Partners Valuation of GasLog Partners Source: GasLog Partners management, public filings 1. Includes lease liabilities 2. Preferred equity valued at liquidation preference of $25 per unit. Preferred equity market value of $270.9mm as of 4/5/23 3. Includes general partner, common and Class B units on a fully converted basis ($ in millions, except per unit data) For the Years Ending December 31, EBITDA 2023E 2024E 2025E 2026E 2027E Multiple EBITDA $289.5 $269.0 $225.7 $222.2 $238.3 $238.3 (–) Capital Expenditures (38.2) (54.6) (90.8) (28.0) - (–) Change in Working Capital (15.3) (1.1) (0.7) (0.2) (0.0) (±) Other Items - - - - - Unlevered Free Cash Flow $236.0 $213.3 $134.2 $194.1 $238.3 Terminal Value Exit EBITDA Multiple 5.00x Terminal Value $1,191.5 PV of Terminal Value at 9.25% Discount Rate 765.6 (+) PV of Unlevered Free Cash Flow at 9.25% Discount Rate 822.6 Implied Enterprise Value $1,588.2 (–) Total Debt Outstanding as of January 1, 20231 (984.5) (+) Cash and Cash Equivalents as of January 1, 2023 223.1 (–) Preferred Equity2 (291.1) Implied Equity Value $535.7 Total Units as of January 1, 20233 54.324 Implied Value per Unit $9.86 EBITDA Exit Multiple Sensitivity Perpetuity Growth Rate Sensitivity EBITDA Exit Multiple Perpetuity Growth Rate 3.00x 4.00x 5.00x 6.00x 7.00x 8.25% $4.95 $7.90 $10.85 $13.80 $16.75 8.75% 4.58 7.46 10.35 13.23 16.12 9.25% 4.22 7.04 9.86 12.68 15.50 9.75% 3.88 6.63 9.39 12.14 14.90 10.25% 3.54 6.23 8.92 11.62 14.31 WACC 28</w:t>
            </w:r>
          </w:p>
        </w:tc>
      </w:tr>
    </w:tbl>
    <w:tbl>
      <w:tblPr>
        <w:tblW w:w="16670" w:type="dxa"/>
        <w:jc w:val="center"/>
        <w:tblInd w:w="0" w:type="dxa"/>
        <w:tblCellMar>
          <w:top w:w="0" w:type="dxa"/>
          <w:left w:w="0" w:type="dxa"/>
          <w:bottom w:w="0" w:type="dxa"/>
          <w:right w:w="0" w:type="dxa"/>
        </w:tblCellMar>
      </w:tblPr>
      <w:tblGrid>
        <w:gridCol w:w="16500"/>
        <w:gridCol w:w="17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97" name="Image2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297" descr=""/>
                          <pic:cNvPicPr>
                            <a:picLocks noChangeAspect="1" noChangeArrowheads="1"/>
                          </pic:cNvPicPr>
                        </pic:nvPicPr>
                        <pic:blipFill>
                          <a:blip r:embed="rId302"/>
                          <a:stretch>
                            <a:fillRect/>
                          </a:stretch>
                        </pic:blipFill>
                        <pic:spPr bwMode="auto">
                          <a:xfrm>
                            <a:off x="0" y="0"/>
                            <a:ext cx="10477500" cy="8086725"/>
                          </a:xfrm>
                          <a:prstGeom prst="rect">
                            <a:avLst/>
                          </a:prstGeom>
                        </pic:spPr>
                      </pic:pic>
                    </a:graphicData>
                  </a:graphic>
                </wp:inline>
              </w:drawing>
            </w:r>
          </w:p>
        </w:tc>
        <w:tc>
          <w:tcPr>
            <w:tcW w:w="17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2. Based on Clarksons historical data 3. Given limited data for 5-yr old vessels, 2020 values extrapolated assuming same average relative percentage change in pricing between newbuild and 5-yr old vessels as in 2021 and 2022 4. Given limited data for 10-yr old vessels, 2018, 2019 and 2020 values extrapolated assuming same average relative percentage change in pricing between 5-yr old and 10-yr old vessels as in 2021 and 2022 5. Given limited data for 15-yr old vessels, 2018 and 2019 values extrapolated assuming same average relative percentage change in pricing between 10-yr old and 15-yr old vessels as in 2020, 2021 and 2022 Valuation of GasLog Partners Exit EV / EBITDA Considerations Based on Fleet Age and Type 145k CBM Steam Vessels Implied EV / EBITDA1 160k CBM TFDE Vessels Implied EV / EBITDA1 174k CBM TFDE Vessels Implied EV / EBITDA1 GLOP Fleet 5.6x 3.3x 10-Yr Old 15-Yr Old 6.0x 4.5x 5-Yr Old 10-Yr Old 4.5x 4.0x Newbuild 5-Yr Old $161 $132 $84 $52 4 $214 $1953 $14.61 $26.41 $47.31 ($ in millions) Three Year Average Five Year Average Source: Clarksons, GLOP management 1. Assumes charter rates of ~$146k, ~$89k and ~$52k per day for 174k TFDE, 160k TFDE and steam vessels respectively, based on average 1yr TC for measurement period (3yrs for 174k TFDE and 5yrs for 160k TFDE and Steam vessels); Assumes operating expenses of ~$13,700, ~$14,700 and ~$11,000 per day for 174k TFDE, 160k TFDE and 145k steam vessels respectively, based on 2023 estimates from GLOP Financial Projections 5 Avg. S&amp;P Purchase Price2 Vessel EBITDA1 145k CBM Steam 3 160k CBM TFDE 4 174k CBM TFDE 5 Age (Years) 2023 2027 145k CBM Steam 16 21 160k CBM TFDE 9 14 174k CBM TFDE 7 12 Number of Vessels (2027) Age of Vessels Multiple Degradation Over 5 Years (0.5x) (1.5x) (2.3x) 29</w:t>
            </w:r>
          </w:p>
        </w:tc>
      </w:tr>
    </w:tbl>
    <w:tbl>
      <w:tblPr>
        <w:tblW w:w="16685" w:type="dxa"/>
        <w:jc w:val="center"/>
        <w:tblInd w:w="0" w:type="dxa"/>
        <w:tblCellMar>
          <w:top w:w="0" w:type="dxa"/>
          <w:left w:w="0" w:type="dxa"/>
          <w:bottom w:w="0" w:type="dxa"/>
          <w:right w:w="0" w:type="dxa"/>
        </w:tblCellMar>
      </w:tblPr>
      <w:tblGrid>
        <w:gridCol w:w="16500"/>
        <w:gridCol w:w="18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98" name="Image2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298" descr=""/>
                          <pic:cNvPicPr>
                            <a:picLocks noChangeAspect="1" noChangeArrowheads="1"/>
                          </pic:cNvPicPr>
                        </pic:nvPicPr>
                        <pic:blipFill>
                          <a:blip r:embed="rId303"/>
                          <a:stretch>
                            <a:fillRect/>
                          </a:stretch>
                        </pic:blipFill>
                        <pic:spPr bwMode="auto">
                          <a:xfrm>
                            <a:off x="0" y="0"/>
                            <a:ext cx="10477500" cy="8086725"/>
                          </a:xfrm>
                          <a:prstGeom prst="rect">
                            <a:avLst/>
                          </a:prstGeom>
                        </pic:spPr>
                      </pic:pic>
                    </a:graphicData>
                  </a:graphic>
                </wp:inline>
              </w:drawing>
            </w:r>
          </w:p>
        </w:tc>
        <w:tc>
          <w:tcPr>
            <w:tcW w:w="18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Valuation of GasLog Partners Peer Trading – Overview of Peers Company Remaining Charter Length Age of Fleet Overview of Business 1.5 10.9 ■ Pure-play LNGC with 14 vessels, including 4 steams, 5 155k CBM TFDEs and 5 170k+ TFDEs ■ Significant spot exposure in 2024+ ■ MLP structure 3.6 3.4 ■ Pure-play LNGC with 100% 174K+ CBM fleet TFDEs under long-term charters 6.3 13.3 ■ FSRU-focused business with long-term charters and limited spot exposure 6.2 12.7 ■ Pure-play LNGC with 3 steams vessels under long-term contract with Gazprom and 3 other 155k TFDE vessels ■ MLP structure 7.8 / 5.1 (LNGC Only / Full Fleet) 1.6 / 7.0 (LNGC Only / Full Fleet) ■ Mixed fleet including 16 containers (majority of contracts expire 2025+) and 7 LNGC (2020+ builds with long term charters) ■ MLP structure NA 7.2 ■ Pure-play LNGC with 8 160k CMB TFDE vessels and 4 170k+ CBM TFDE vessels ■ Significant spot exposure ■ Listed on NYSE and Norwegian exchange Source: Partnership and Company websites and filings, Wall Street research 30</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299" name="Image2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299" descr=""/>
                          <pic:cNvPicPr>
                            <a:picLocks noChangeAspect="1" noChangeArrowheads="1"/>
                          </pic:cNvPicPr>
                        </pic:nvPicPr>
                        <pic:blipFill>
                          <a:blip r:embed="rId304"/>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0.6% 13.5% 9.2% 4.5% 0.5% NA 10.9 13.3 12.7 7.2 3.4 1.6 14 13 11 10 7 6 1.5 7.8 6.3 6.2 3.6 NA Current Dividend Yield4 Valuation of GasLog Partners Peer Comparison Fleet Count1 Average Charter Duration (Years)2 Source: Partnership / Company websites and filings, Clarksons Note: CPLP figures excluded its drybulk and containership vessels. CoolCo figures pro forma for sale of Golar Seal, which closed in March 2023 1. Disclosed fleet count as of 4/5/23 Average Fleet Age (Years)3 FSRU LNGC 2. Figures as of 4/5/23; COOL avg charter duration not disclosed 3. Figures as of 4/5/23 4. FactSet (4/5/23). Flex LNG excludes $0.25 special dividend paid in Q1 2023. In November 2022, CoolCo announced its intention to instate a variable dividend, the first of which will be paid in Q1 2023. 31</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300" name="Image3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300" descr=""/>
                          <pic:cNvPicPr>
                            <a:picLocks noChangeAspect="1" noChangeArrowheads="1"/>
                          </pic:cNvPicPr>
                        </pic:nvPicPr>
                        <pic:blipFill>
                          <a:blip r:embed="rId305"/>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4.9x 5.0x 10.8x 7.9x 6.7x 6.4x 5.6x 5.3x 6.2x 10.7x 7.5x 5.8x 6.3x 6.5x EV / 2023E EBITDA EV / 2024E EBITDA 2023E Median: 6.7x 2024E Median: 6.5x Valuation of GasLog Partners Peer Trading – EV / EBITDA Source: Partnership website and filings, Wall Street research, FactSet (4/5/23), GasLog Partners management 1. Forecasts EBITDA figures assume execution of Project Venice 2. Based on FactSet consensus as of 1/24/23 Unaffected Date 3. CPLP figures excluded its drybulk and containership vessels 1.5 6.2 7.83 3.6 6.3 NA Charter Duration (Yrs.) 2 Forecasts Wall Street Research 1 GLOP metrics based on GLOP’s unaffected unit price of $6.98 as of 1/24/23 32 3</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301" name="Image3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301" descr=""/>
                          <pic:cNvPicPr>
                            <a:picLocks noChangeAspect="1" noChangeArrowheads="1"/>
                          </pic:cNvPicPr>
                        </pic:nvPicPr>
                        <pic:blipFill>
                          <a:blip r:embed="rId306"/>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5.2x 6.6x 6.4x 7.9x 10.8x 5.8x 0.0x 2.0x 4.0x 6.0x 8.0x 10.0x 12.0x 14.0x 16.0x 1/1/18 11/17/18 10/3/19 8/18/20 7/4/21 5/20/22 4/5/23 Gaslog Partners Dynagas Capital Product Partners Excelerate Energy Flex LNG CoolCo 0 1 Year Average 3 Year Average 5 Year Average Gaslog Partners 4.9x 5.8x 6.6x Dynagas 7.4x 8.0x 8.5x Capital Product Partners 6.8x 6.1x 5.6x Excelerate Energy 10.1x Flex LNG 10.6x 9.0x 8.7x CoolCo 5.6x Average (Excluding GLOP) 8.1x 7.7x 7.6x Valuation of GasLog Partners GLOP’s Trading Multiples Over Time Relative to Benchmarks and Its Peers Source: FactSet (4/5/23) 1. Excelerate Energy IPO on 4/13/22 2. CoolCo began trading on 2/22/22 1 EV / NTM EBITDA 2 Over the last five years, GLOP has traded at a 1.0x discount to the peer average, and the one- and three-year average discount is closer to 2.0-3.0x 33</w:t>
            </w:r>
          </w:p>
        </w:tc>
      </w:tr>
    </w:tbl>
    <w:tbl>
      <w:tblPr>
        <w:tblW w:w="16700" w:type="dxa"/>
        <w:jc w:val="center"/>
        <w:tblInd w:w="0" w:type="dxa"/>
        <w:tblCellMar>
          <w:top w:w="0" w:type="dxa"/>
          <w:left w:w="0" w:type="dxa"/>
          <w:bottom w:w="0" w:type="dxa"/>
          <w:right w:w="0" w:type="dxa"/>
        </w:tblCellMar>
      </w:tblPr>
      <w:tblGrid>
        <w:gridCol w:w="16500"/>
        <w:gridCol w:w="20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302" name="Image3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302" descr=""/>
                          <pic:cNvPicPr>
                            <a:picLocks noChangeAspect="1" noChangeArrowheads="1"/>
                          </pic:cNvPicPr>
                        </pic:nvPicPr>
                        <pic:blipFill>
                          <a:blip r:embed="rId307"/>
                          <a:stretch>
                            <a:fillRect/>
                          </a:stretch>
                        </pic:blipFill>
                        <pic:spPr bwMode="auto">
                          <a:xfrm>
                            <a:off x="0" y="0"/>
                            <a:ext cx="10477500" cy="8086725"/>
                          </a:xfrm>
                          <a:prstGeom prst="rect">
                            <a:avLst/>
                          </a:prstGeom>
                        </pic:spPr>
                      </pic:pic>
                    </a:graphicData>
                  </a:graphic>
                </wp:inline>
              </w:drawing>
            </w:r>
          </w:p>
        </w:tc>
        <w:tc>
          <w:tcPr>
            <w:tcW w:w="20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0.60x 0.77x 1.08x 0.56x 0.35x NA NA Source: Partnership website and filings, Wall Street research, FactSet (4/5/23) 1. Based on analysis contained on page 26, applying charter adjustment to average of Fearnleys and Braemar appraised values as of 2/28/23 for owned vessels. Sale leaseback vessels based on Sponsor-estimated right-of-use asset value 2. NAV based on Stifel (1/24/23) and Webber (1/26/23) research Valuation of GasLog Partners Peer Trading – P / NAV Wall Street Research Analyst NAV P / NAV Mean 0.66x Median 0.56x 2 Broker Appraisal Wall Street Research 1 GLOP metrics based on GLOP’s unaffected unit price of $6.98 as of 1/24/23 34</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303" name="Image3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303" descr=""/>
                          <pic:cNvPicPr>
                            <a:picLocks noChangeAspect="1" noChangeArrowheads="1"/>
                          </pic:cNvPicPr>
                        </pic:nvPicPr>
                        <pic:blipFill>
                          <a:blip r:embed="rId308"/>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Target GCI DryShips Teekay Offshore Grindrod Shipping Golar LNG Partners GasLog Teekay LNG Partners Höegh LNG Holdings Ltd. Acquiror Seaspan SPII Holdings Brookfield Taylor Maritime Investments New Fortress Energy BlackRock Stonepeak Limestone Höegh LNG Partners LP Business Type Term Mixed Mixed Mixed Mixed Term Term Term Transaction Value $1,600 $717 $4,382 $565 $1,906 $4,858 $6,179 $774 Consideration Structure Mixed Cash Cash Cash Mixed Cash Cash Cash Average Fleet Age 3 years 6 years 8 years 7 years 13 years 5 years 10 years 9 years 0.92x 0.86x NA 0.93x 1.06x 0.73x 1.08x 0.80x 3/14/18 8/19/19 10/1/19 10/13/22 1/13/21 2/22/21 10/4/21 5/25/22 Other Shipping Transactions LNG/FSRU Transactions LNG Average: 0.92x All Transactions Average: 0.91x Valuation of GasLog Partners Selected Precedent Transactions – Cash / Partial Cash – P / NAV ($ in millions) Source: Public filings, press releases, investor presentations, FactSet, Capital IQ, Wall Street research, Evercore estimates 35</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304" name="Image3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304" descr=""/>
                          <pic:cNvPicPr>
                            <a:picLocks noChangeAspect="1" noChangeArrowheads="1"/>
                          </pic:cNvPicPr>
                        </pic:nvPicPr>
                        <pic:blipFill>
                          <a:blip r:embed="rId309"/>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Peer Group Trading: EV / EBITDA Metric Data Applied Multiple Range Implied Valuation Low - High Low - High EV / 2023E EBITDA $290 5.0x - 6.0x $1,448 - $1,737 Implied Enterprise Value $1,448 - $1,737 Less: Total Debt as of January 1, 20231 (985) Plus: Cash and Cash Equivalents as of January 1, 2023 223 Less: Preferred Equity2 (291) Implied Equity Value Range $395 $685 Total Units as of March 31, 20233 54.324 Implied Value per Unit $7.28 $12.61 Valuation of GasLog Partners 2023E EBITDA 2024E EBITDA Source: GasLog Partners management, public filings 1. Includes lease liabilities 2. Preferred equity valued at liquidation preference of $25 per unit. Preferred equity market value of $270.9mm as of 4/5/23 3. Includes general partner, common and Class B units on a fully converted basis Metric Data Applied Multiple Range Implied Valuation Low - High Low - High EV / 2024E EBITDA $269 5.5x - 6.5x $1,480 - $1,749 Implied Enterprise Value $1,480 - $1,749 Less: Total Debt as of January 1, 20231 (985) Plus: Cash and Cash Equivalents as of January 1, 2023 223 Less: Preferred Equity2 (291) Implied Equity Value Range $427 $696 Total Units as of March 31, 20233 54.324 Implied Value per Unit $7.87 $12.82 ($ in millions, except per unit data) 36</w:t>
            </w:r>
          </w:p>
        </w:tc>
      </w:tr>
    </w:tbl>
    <w:tbl>
      <w:tblPr>
        <w:tblW w:w="16700" w:type="dxa"/>
        <w:jc w:val="center"/>
        <w:tblInd w:w="0" w:type="dxa"/>
        <w:tblCellMar>
          <w:top w:w="0" w:type="dxa"/>
          <w:left w:w="0" w:type="dxa"/>
          <w:bottom w:w="0" w:type="dxa"/>
          <w:right w:w="0" w:type="dxa"/>
        </w:tblCellMar>
      </w:tblPr>
      <w:tblGrid>
        <w:gridCol w:w="16500"/>
        <w:gridCol w:w="20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305" name="Image3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305" descr=""/>
                          <pic:cNvPicPr>
                            <a:picLocks noChangeAspect="1" noChangeArrowheads="1"/>
                          </pic:cNvPicPr>
                        </pic:nvPicPr>
                        <pic:blipFill>
                          <a:blip r:embed="rId310"/>
                          <a:stretch>
                            <a:fillRect/>
                          </a:stretch>
                        </pic:blipFill>
                        <pic:spPr bwMode="auto">
                          <a:xfrm>
                            <a:off x="0" y="0"/>
                            <a:ext cx="10477500" cy="8086725"/>
                          </a:xfrm>
                          <a:prstGeom prst="rect">
                            <a:avLst/>
                          </a:prstGeom>
                        </pic:spPr>
                      </pic:pic>
                    </a:graphicData>
                  </a:graphic>
                </wp:inline>
              </w:drawing>
            </w:r>
          </w:p>
        </w:tc>
        <w:tc>
          <w:tcPr>
            <w:tcW w:w="20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Valuation of GasLog Partners Peer Group Trading – P / NAV Metric Data Applied Multiple Range Implied Valuation Low - High Low - High Average Broker Appraised P / NAV1 $627 0.55x - 0.80x $345 - $502 Implied Equity Value Range $345 $502 Total Units as of March 31, 20232 54.324 Implied Value per Unit $6.35 $9.24 Source: GasLog Partners management, public filings 1. Based on analysis contained on page 26, applying charter adjustment to average of Fearnleys and Braemar appraised values as of 2/28/23 for owned vessels. Sale leaseback vessels based on Sponsor-estimated right-of-use asset value 2. Includes general partner, common and Class B units on a fully converted basis Precedent Transaction Analysis – P / NAV Metric Data Applied Multiple Range Implied Valuation Low - High Low - High Average Broker Appraised P / NAV1 $627 0.70x - 1.05x $439 - $659 Implied Equity Value Range $439 $659 Total Units as of March 31, 20232 54.324 Implied Value per Unit $8.08 $12.12 P / NAV Multiples ($ in millions, except per unit data) 37</w:t>
            </w:r>
          </w:p>
        </w:tc>
      </w:tr>
    </w:tbl>
    <w:tbl>
      <w:tblPr>
        <w:tblW w:w="16685" w:type="dxa"/>
        <w:jc w:val="center"/>
        <w:tblInd w:w="0" w:type="dxa"/>
        <w:tblCellMar>
          <w:top w:w="0" w:type="dxa"/>
          <w:left w:w="0" w:type="dxa"/>
          <w:bottom w:w="0" w:type="dxa"/>
          <w:right w:w="0" w:type="dxa"/>
        </w:tblCellMar>
      </w:tblPr>
      <w:tblGrid>
        <w:gridCol w:w="16500"/>
        <w:gridCol w:w="18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306" name="Image3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306" descr=""/>
                          <pic:cNvPicPr>
                            <a:picLocks noChangeAspect="1" noChangeArrowheads="1"/>
                          </pic:cNvPicPr>
                        </pic:nvPicPr>
                        <pic:blipFill>
                          <a:blip r:embed="rId311"/>
                          <a:stretch>
                            <a:fillRect/>
                          </a:stretch>
                        </pic:blipFill>
                        <pic:spPr bwMode="auto">
                          <a:xfrm>
                            <a:off x="0" y="0"/>
                            <a:ext cx="10477500" cy="8086725"/>
                          </a:xfrm>
                          <a:prstGeom prst="rect">
                            <a:avLst/>
                          </a:prstGeom>
                        </pic:spPr>
                      </pic:pic>
                    </a:graphicData>
                  </a:graphic>
                </wp:inline>
              </w:drawing>
            </w:r>
          </w:p>
        </w:tc>
        <w:tc>
          <w:tcPr>
            <w:tcW w:w="18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Valuation of GasLog Partners Source: Bloomberg, FactSet, Public filings 1. VWAP premiums paid are calculated by dividing the value of the offer, defined as the exchange ratio multiplied by the closing price of the acquiror’s shares / units on the last trading day prior to announcement plus any cash received, by the 30 VWAP of the target as calculated from the last undisturbed trading day prior to the announcement Premium1 Date Unaffected 30-Day Announced Acquiror / Target Consideration Spot Price VWAP 02/01/23 Sisecam Chemical Resources LLC / Sisecam Resources LP Cash-for-Unit 39.7% 40.1% 01/06/23 Phillips 66 / DCP Midstream, LP Cash-for-Unit 20.1% 28.5% 07/28/22 PBF Energy, Inc. / PBF Logistics LP Cash/Stock-for-Unit (3.0%) 13.2% 07/25/22 Shell USA, Inc. / Shell Midstream Partners, L.P. Cash-for-Unit 23.0% 24.7% 06/02/22 Hartree Partners, LP / Sprague Resources LP Cash-for-Unit 27.3% 24.1% 05/25/22 Höegh LNG Holdings Ltd / Höegh LNG Partners LP Cash-for-Unit 135.4% 103.5% 05/16/22 Diamondback Energy / Rattler Midstream LP Stock-for-Unit 17.3% 8.7% 04/22/22 Ergon, Inc. / Blueknight Energy Partners, L.P. Cash-for-Unit 51.5% 46.8% 12/20/21 BP p.l.c / BP Midstream Partners LP Stock-for-Unit 10.8% 3.0% 10/27/21 Phillips 66 / Phillips 66 Partners LP Stock-for-Unit 4.8% 10.6% 10/04/21 Stonepeak Infrastructure Partners / Teekay LNG Partners LP Cash-for-Unit 8.3% 7.6% 08/23/21 Landmark Dividend / Landmark Infrastructure Partners LP Cash-for-Unit 38.4% 35.6% 03/05/21 Chevron Corporation / Noble Midstream Partners LP Stock-for-Unit 16.7% 23.5% 12/15/20 TC Energy Corporation / TC PipeLines, LP Stock-for-Unit 19.5% 10.0% 07/27/20 CNX Resources Corporation / CNX Midstream Partners Stock-for-Unit 28.1% 16.1% 02/27/20 Equitrans Midstream Corporation / EQM Midstream Partners, LP Stock-for-Unit (1.5%) (11.2%) 12/17/19 Blackstone Infrastructure Partners / Tallgrass Energy LP Cash-for-Unit 56.4% 22.7% 10/01/19 Brookfield Business Partners L.P. / Teekay Offshore Partners L.P. Cash-for-Unit 28.1% 9.8% 09/16/19 Energy Transfer LP / SemGroup Corporation Cash/Unit-for-Share 65.4% 80.9% 08/21/19 Pembina Pipeline Corporation / Kinder Morgan Canada Limited Share-for-Share 37.7% 32.5% 05/10/19 IFM Investors / Buckeye Partners, L.P. Cash-for-Unit 27.5% 22.9% 05/08/19 MPLX LP / Andeavor (Marathon Petroleum Corporation; Andeavor Logistics LP) Unit-for-Unit 1.8% 0.5% 04/02/19 UGI Corporation / AmeriGas Partners, L.P. Cash/Stock-for-Unit 13.5% 22.2% 03/18/19 ArcLight Energy Partners Fund V, L.P. / American Midstream, LP Cash-for-Unit 31.2% 32.0% 02/05/19 SunCoke Energy, Inc. / SunCoke Energy Partners, L.P. Stock-for-Unit 9.3% 29.9% 11/26/18 ArcLight Energy Partners Fund VI, L.P. / TransMontaigne Partners L.P. Cash-for-Unit 13.5% 8.6% 11/08/18 Western Gas Equity Partners, LP / Western Gas Partners, LP Unit-for-Unit 7.6% 13.8% 10/22/18 EnLink Midstream, LLC / EnLink Midstream Partners, LP Unit-for-Unit 1.1% (0.6%) 10/18/18 Valero Energy Corporation / Valero Energy Partners LP Cash-for-Unit 6.0% 11.9% 10/09/18 Antero Midstream GP LP / Antero Midstream Partners LP Cash/Stock-for-Unit 63.7% 6.6% 25th Quartile 8.2% 8.7% Median 19.8% 15.0% Mean 26.6% 21.8% 75th Quartile 37.9% 28.6% 25th Quartile 18.5% 11.4% Median 27.8% 24.4% Mean 36.2% 29.9% 75th Quartile 42.6% 36.7% All Transactions Cash Transactions Precedent MLP Premiums Paid 38</w:t>
            </w:r>
          </w:p>
        </w:tc>
      </w:tr>
    </w:tbl>
    <w:tbl>
      <w:tblPr>
        <w:tblW w:w="16685" w:type="dxa"/>
        <w:jc w:val="center"/>
        <w:tblInd w:w="0" w:type="dxa"/>
        <w:tblCellMar>
          <w:top w:w="0" w:type="dxa"/>
          <w:left w:w="0" w:type="dxa"/>
          <w:bottom w:w="0" w:type="dxa"/>
          <w:right w:w="0" w:type="dxa"/>
        </w:tblCellMar>
      </w:tblPr>
      <w:tblGrid>
        <w:gridCol w:w="16500"/>
        <w:gridCol w:w="18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307" name="Image3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307" descr=""/>
                          <pic:cNvPicPr>
                            <a:picLocks noChangeAspect="1" noChangeArrowheads="1"/>
                          </pic:cNvPicPr>
                        </pic:nvPicPr>
                        <pic:blipFill>
                          <a:blip r:embed="rId312"/>
                          <a:stretch>
                            <a:fillRect/>
                          </a:stretch>
                        </pic:blipFill>
                        <pic:spPr bwMode="auto">
                          <a:xfrm>
                            <a:off x="0" y="0"/>
                            <a:ext cx="10477500" cy="8086725"/>
                          </a:xfrm>
                          <a:prstGeom prst="rect">
                            <a:avLst/>
                          </a:prstGeom>
                        </pic:spPr>
                      </pic:pic>
                    </a:graphicData>
                  </a:graphic>
                </wp:inline>
              </w:drawing>
            </w:r>
          </w:p>
        </w:tc>
        <w:tc>
          <w:tcPr>
            <w:tcW w:w="18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Source: Bloomberg, FactSet, Public filings Final Transaction Premium Date Date Unaffected Final Deal Announced Disclosed Acquiror / Target Consideration Spot Price Announced - 1 02/01/23 07/06/22 Sisecam Chemical Resources LLC / Sisecam Resources LP Cash-for-Unit 39.7% 2.8% 01/06/23 08/17/22 Phillips 66 / DCP Midstream, LP Cash-for-Unit 20.1% 6.2% 07/25/22 02/10/22 Shell USA, Inc. / Shell Midstream Partners, L.P. Cash-for-Unit 23.0% 9.6% 05/25/22 12/03/21 Höegh LNG Holdings Ltd / Höegh LNG Partners LP Cash-for-Unit 135.4% 35.0% 04/22/22 10/08/21 Ergon, Inc. / Blueknight Energy Partners, L.P. Cash-for-Unit 51.5% 40.9% 08/23/21 05/14/21 Landmark Dividend / Landmark Infrastructure Partners LP Cash-for-Unit 38.4% 16.5% 03/05/21 02/04/21 Chevron Corporation / Noble Midstream Partners LP Stock-for-Unit 16.7% (3.3%) 12/15/20 10/04/20 TC Energy Corporation / TC PipeLines, LP Stock-for-Unit 19.5% 0.6% 12/17/19 08/27/19 Blackstone Infrastructure Partners / Tallgrass Energy LP Cash-for-Unit 56.4% 22.7% 10/01/19 05/16/19 Brookfield Business Partners L.P. / Teekay Offshore Partners L.P. Cash-for-Unit 28.1% 33.6% 11/26/18 07/09/18 ArcLight Energy Partners Fund VI, L.P. / TransMontaigne Partners L.P. Cash-for-Unit 13.5% 12.6% 10/09/18 02/23/18 Antero Midstream GP LP / Antero Midstream Partners LP Cash/Stock-for-Unit 63.7% 83.4% 25th Quartile 19.7% 3.7% Median 33.3% 19.6% Mean 42.2% 25.2% 75th Quartile 55.2% 36.5% 25th Quartile 21.6% 7.9% Median 38.4% 16.5% Mean 45.1% 20.0% 75th Quartile 54.0% 34.3% All Transactions Cash Transactions Precedent MLP Premiums Paid in Transactions with Publicly Disclosed Initial Offers Valuation of GasLog Partners 39</w:t>
            </w:r>
          </w:p>
        </w:tc>
      </w:tr>
    </w:tbl>
    <w:tbl>
      <w:tblPr>
        <w:tblW w:w="16625" w:type="dxa"/>
        <w:jc w:val="center"/>
        <w:tblInd w:w="0" w:type="dxa"/>
        <w:tblCellMar>
          <w:top w:w="0" w:type="dxa"/>
          <w:left w:w="0" w:type="dxa"/>
          <w:bottom w:w="0" w:type="dxa"/>
          <w:right w:w="0" w:type="dxa"/>
        </w:tblCellMar>
      </w:tblPr>
      <w:tblGrid>
        <w:gridCol w:w="16500"/>
        <w:gridCol w:w="12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308" name="Image3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308" descr=""/>
                          <pic:cNvPicPr>
                            <a:picLocks noChangeAspect="1" noChangeArrowheads="1"/>
                          </pic:cNvPicPr>
                        </pic:nvPicPr>
                        <pic:blipFill>
                          <a:blip r:embed="rId313"/>
                          <a:stretch>
                            <a:fillRect/>
                          </a:stretch>
                        </pic:blipFill>
                        <pic:spPr bwMode="auto">
                          <a:xfrm>
                            <a:off x="0" y="0"/>
                            <a:ext cx="10477500" cy="8086725"/>
                          </a:xfrm>
                          <a:prstGeom prst="rect">
                            <a:avLst/>
                          </a:prstGeom>
                        </pic:spPr>
                      </pic:pic>
                    </a:graphicData>
                  </a:graphic>
                </wp:inline>
              </w:drawing>
            </w:r>
          </w:p>
        </w:tc>
        <w:tc>
          <w:tcPr>
            <w:tcW w:w="12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Appendix</w:t>
            </w:r>
          </w:p>
        </w:tc>
      </w:tr>
    </w:tbl>
    <w:tbl>
      <w:tblPr>
        <w:tblW w:w="16640" w:type="dxa"/>
        <w:jc w:val="center"/>
        <w:tblInd w:w="0" w:type="dxa"/>
        <w:tblCellMar>
          <w:top w:w="0" w:type="dxa"/>
          <w:left w:w="0" w:type="dxa"/>
          <w:bottom w:w="0" w:type="dxa"/>
          <w:right w:w="0" w:type="dxa"/>
        </w:tblCellMar>
      </w:tblPr>
      <w:tblGrid>
        <w:gridCol w:w="16500"/>
        <w:gridCol w:w="14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309" name="Image3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309" descr=""/>
                          <pic:cNvPicPr>
                            <a:picLocks noChangeAspect="1" noChangeArrowheads="1"/>
                          </pic:cNvPicPr>
                        </pic:nvPicPr>
                        <pic:blipFill>
                          <a:blip r:embed="rId314"/>
                          <a:stretch>
                            <a:fillRect/>
                          </a:stretch>
                        </pic:blipFill>
                        <pic:spPr bwMode="auto">
                          <a:xfrm>
                            <a:off x="0" y="0"/>
                            <a:ext cx="10477500" cy="8086725"/>
                          </a:xfrm>
                          <a:prstGeom prst="rect">
                            <a:avLst/>
                          </a:prstGeom>
                        </pic:spPr>
                      </pic:pic>
                    </a:graphicData>
                  </a:graphic>
                </wp:inline>
              </w:drawing>
            </w:r>
          </w:p>
        </w:tc>
        <w:tc>
          <w:tcPr>
            <w:tcW w:w="14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Charter Mark-to-Market Adjustment</w:t>
            </w:r>
          </w:p>
        </w:tc>
      </w:tr>
    </w:tbl>
    <w:tbl>
      <w:tblPr>
        <w:tblW w:w="16655" w:type="dxa"/>
        <w:jc w:val="center"/>
        <w:tblInd w:w="0" w:type="dxa"/>
        <w:tblCellMar>
          <w:top w:w="0" w:type="dxa"/>
          <w:left w:w="0" w:type="dxa"/>
          <w:bottom w:w="0" w:type="dxa"/>
          <w:right w:w="0" w:type="dxa"/>
        </w:tblCellMar>
      </w:tblPr>
      <w:tblGrid>
        <w:gridCol w:w="16500"/>
        <w:gridCol w:w="15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310" name="Image3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310" descr=""/>
                          <pic:cNvPicPr>
                            <a:picLocks noChangeAspect="1" noChangeArrowheads="1"/>
                          </pic:cNvPicPr>
                        </pic:nvPicPr>
                        <pic:blipFill>
                          <a:blip r:embed="rId315"/>
                          <a:stretch>
                            <a:fillRect/>
                          </a:stretch>
                        </pic:blipFill>
                        <pic:spPr bwMode="auto">
                          <a:xfrm>
                            <a:off x="0" y="0"/>
                            <a:ext cx="10477500" cy="8086725"/>
                          </a:xfrm>
                          <a:prstGeom prst="rect">
                            <a:avLst/>
                          </a:prstGeom>
                        </pic:spPr>
                      </pic:pic>
                    </a:graphicData>
                  </a:graphic>
                </wp:inline>
              </w:drawing>
            </w:r>
          </w:p>
        </w:tc>
        <w:tc>
          <w:tcPr>
            <w:tcW w:w="15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Source: GasLog Partners management 1. Represents net present value as of 6/30/23 of firm period operating revenue, less comparable revenue assuming market charter rates provided by Sponsor, discounted monthly assuming 9.25% discount rate Comparison of Firm Charter Revenue to Market Charter Mark-to-Market Adjustment Management Forecasts Market Revenue Charter Mark-to-Market Vessel Revenue Op. Days Rev. Per Day Revenue Op. Days Rev. Per Day Delta NPV of Delta1 GasLog Shanghai $52.2 608 $86.0k $52.2 608 $86.0k $ - $ - GasLog Santiago 13.3 199 67.0k 27.9 199 140.0k (14.5) (14.1) GasLog Sydney - - - - - - - - GasLog Seattle 27.1 226 120.0k 27.1 226 120.0k - - Solaris 11.9 80 149.8k 6.4 80 80.0k 5.5 5.5 GasLog Greece 83.7 974 85.9k 121.8 974 125.0k (38.1) (33.8) GasLog Glasgow 91.6 1,066 85.9k 133.3 1,066 125.0k (41.7) (36.6) GasLog Geneva 7.4 92 81.0k 9.2 92 100.0k (1.7) (1.7) GasLog Gibraltar 9.9 123 81.0k 12.3 123 100.0k (2.3) (2.3) Methane Rita Andrea 7.7 117 66.0k 4.7 117 40.0k 3.0 3.0 Methane Jane Elizabeth 9.2 230 40.0k 15.0 230 65.0k (5.8) (5.6) Methane Alison Victoria 3.0 102 29.5k 5.1 102 50.0k (2.1) (2.0) Methane Heather Sally 37.9 728 52.0k 37.9 728 52.0k - - Methane Becki Anne 176.8 2,067 85.5k 186.0 2,067 90.0k (9.2) (7.4) Total $531.7 6,608 $1,029.6 $638.5 6,608 $96.6 ($106.8) ($95.0) Charter Market-to-Market Adjustment Per Unit ($1.75) Charter Mark-to-Market Adjustment (Firm Period) ($ in millions, except per day / unit data) 42</w:t>
            </w:r>
          </w:p>
        </w:tc>
      </w:tr>
    </w:tbl>
    <w:tbl>
      <w:tblPr>
        <w:tblW w:w="16625" w:type="dxa"/>
        <w:jc w:val="center"/>
        <w:tblInd w:w="0" w:type="dxa"/>
        <w:tblCellMar>
          <w:top w:w="0" w:type="dxa"/>
          <w:left w:w="0" w:type="dxa"/>
          <w:bottom w:w="0" w:type="dxa"/>
          <w:right w:w="0" w:type="dxa"/>
        </w:tblCellMar>
      </w:tblPr>
      <w:tblGrid>
        <w:gridCol w:w="16500"/>
        <w:gridCol w:w="12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311" name="Image3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311" descr=""/>
                          <pic:cNvPicPr>
                            <a:picLocks noChangeAspect="1" noChangeArrowheads="1"/>
                          </pic:cNvPicPr>
                        </pic:nvPicPr>
                        <pic:blipFill>
                          <a:blip r:embed="rId316"/>
                          <a:stretch>
                            <a:fillRect/>
                          </a:stretch>
                        </pic:blipFill>
                        <pic:spPr bwMode="auto">
                          <a:xfrm>
                            <a:off x="0" y="0"/>
                            <a:ext cx="10477500" cy="8086725"/>
                          </a:xfrm>
                          <a:prstGeom prst="rect">
                            <a:avLst/>
                          </a:prstGeom>
                        </pic:spPr>
                      </pic:pic>
                    </a:graphicData>
                  </a:graphic>
                </wp:inline>
              </w:drawing>
            </w:r>
          </w:p>
        </w:tc>
        <w:tc>
          <w:tcPr>
            <w:tcW w:w="12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Weighted Average Cost of Capital</w:t>
            </w:r>
          </w:p>
        </w:tc>
      </w:tr>
    </w:tbl>
    <w:tbl>
      <w:tblPr>
        <w:tblW w:w="16670" w:type="dxa"/>
        <w:jc w:val="center"/>
        <w:tblInd w:w="0" w:type="dxa"/>
        <w:tblCellMar>
          <w:top w:w="0" w:type="dxa"/>
          <w:left w:w="0" w:type="dxa"/>
          <w:bottom w:w="0" w:type="dxa"/>
          <w:right w:w="0" w:type="dxa"/>
        </w:tblCellMar>
      </w:tblPr>
      <w:tblGrid>
        <w:gridCol w:w="16500"/>
        <w:gridCol w:w="17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312" name="Image3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312" descr=""/>
                          <pic:cNvPicPr>
                            <a:picLocks noChangeAspect="1" noChangeArrowheads="1"/>
                          </pic:cNvPicPr>
                        </pic:nvPicPr>
                        <pic:blipFill>
                          <a:blip r:embed="rId317"/>
                          <a:stretch>
                            <a:fillRect/>
                          </a:stretch>
                        </pic:blipFill>
                        <pic:spPr bwMode="auto">
                          <a:xfrm>
                            <a:off x="0" y="0"/>
                            <a:ext cx="10477500" cy="8086725"/>
                          </a:xfrm>
                          <a:prstGeom prst="rect">
                            <a:avLst/>
                          </a:prstGeom>
                        </pic:spPr>
                      </pic:pic>
                    </a:graphicData>
                  </a:graphic>
                </wp:inline>
              </w:drawing>
            </w:r>
          </w:p>
        </w:tc>
        <w:tc>
          <w:tcPr>
            <w:tcW w:w="17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Weighted Average Cost of Capital Source: Partnership and Company Filings; FactSet (4/5/23); Duff and Phelps 2023 Valuation Handbook 1. Includes corporate debt, lease liabilities and preferred equity as of 12/31/22 2. FactSet 5-year Beta against the S&amp;P 500, except for CoolCo which is against MSCI 3. Based on unaffected GasLog Partners price and trading as 1/24/23 4. Based on current GasLog Partners capital structure, pro forma for projected retirement of Series B Preference units, expected to be retired in 2023 per GasLog Partners management 5. Based on 20-year US treasury’s current yield to maturity 6. Based on low end of Duff &amp; Phelps’ long-horizon expected equity risk premium (supply-side), defined as historical equity risk premium minus price-to-earnings ratio calculated using three-year earnings; Based on high end of Duff &amp; Phelps’ long-horizon expected equity risk premium (historical), defined as large company stock total return minus long-term government bond income returns 7. Decile: Low (8) with equity value range of $377 million to $782 million 8. Based on weighted average cost of debt and preferred, including: (i) GasLog Partners’ cost of secured bank debt (average of ~7.1%) and (ii) GasLog Partner’s average preferred equity yield of ~8.5% Cost of Equity Sensitivities Cost of Equity Sensitivities Market Risk Premium @ 6.4% Market Risk Premium @ 7.2% Adj. Unlevered Beta Adj. Unlevered Beta 0.20 0.30 0.35 0.40 0.50 0.20 0.30 0.35 0.40 0.50 65.0% 9.4% 10.3% 11.2% 12.1% 13.0% 65.0% 10.0% 11.0% 12.0% 13.0% 14.1% 70.0% 10.1% 11.2% 12.3% 13.3% 14.4% 70.0% 10.8% 12.0% 13.2% 14.4% 15.6% 75.0% 11.2% 12.5% 13.7% 15.0% 16.3% 75.0% 12.0% 13.5% 14.9% 16.3% 17.8% 80.0% 12.8% 14.4% 16.0% 17.6% 19.1% 80.0% 13.8% 15.6% 17.4% 19.2% 21.0% 85.0% 15.4% 17.6% 19.7% 21.8% 23.9% 85.0% 16.8% 19.2% 21.6% 24.0% 26.4% WACC Sensitivities WACC Sensitivities Market Risk Premium @ 6.4% Market Risk Premium @ 7.2% Adj. Unlevered Beta Adj. Unlevered Beta 0.20 0.30 0.35 0.40 0.50 0.20 0.30 0.35 0.40 0.50 65.0% 8.2% 8.5% 8.8% 9.1% 9.4% 65.0% 8.4% 8.7% 9.1% 9.4% 9.8% 70.0% 8.3% 8.6% 8.9% 9.2% 9.6% 70.0% 8.5% 8.9% 9.2% 9.6% 9.9% 75.0% 8.4% 8.7% 9.1% 9.4% 9.7% 75.0% 8.6% 9.0% 9.3% 9.7% 10.1% 80.0% 8.6% 8.9% 9.2% 9.5% 9.8% 80.0% 8.8% 9.1% 9.5% 9.8% 10.2% 85.0% 8.7% 9.0% 9.3% 9.6% 10.0% 85.0% 8.9% 9.3% 9.6% 10.0% 10.3% Total Debt / Total Cap Total Debt / Total Cap Total Debt / Total Cap Total Debt / Total Cap Equity Total Debt + Levered Tax Unlevered Company Value Total Debt (1) Preferred / Total Cap Beta (2) Rate Beta LNG Peers Dynagas $101 $620 86.0% 0.78 0.0% 0.11 Capital Product Partners 263 1,289 83.1% 0.97 0.0% 0.16 Excelerate Energy 2,407 716 22.9% 0.91 24.0% 0.74 Flex LNG 1,789 1,715 48.9% 1.13 0.0% 0.58 CoolCo 637 1,163 64.6% 0.44 0.0% 0.15 Mean 61.1% 0.85 0.35 GasLog Partners $379 $1,276 77.1% 0.94 0.0% 0.22 Mean (All) Adj. Unlevered Beta 0.35 Total Debt / Total Capitalization (4) 75.0% Tax Rate 0.0% Adjusted Equity Beta 1.40 Risk-Free Rate (5) 3.7% Market Risk Premium (6) 6.4% - 7.2% Size Premium (7) 1.18% Cost of Equity 13.7% - 14.9% Pre-tax Cost of Debt (8) 7.5% After-Tax Cost of Debt 7.5% WACC 9.1% - 9.3% (3) ($ in millions, except per unit data) 44</w:t>
            </w:r>
          </w:p>
        </w:tc>
      </w:tr>
    </w:tbl>
    <w:tbl>
      <w:tblPr>
        <w:tblW w:w="16625" w:type="dxa"/>
        <w:jc w:val="center"/>
        <w:tblInd w:w="0" w:type="dxa"/>
        <w:tblCellMar>
          <w:top w:w="0" w:type="dxa"/>
          <w:left w:w="0" w:type="dxa"/>
          <w:bottom w:w="0" w:type="dxa"/>
          <w:right w:w="0" w:type="dxa"/>
        </w:tblCellMar>
      </w:tblPr>
      <w:tblGrid>
        <w:gridCol w:w="16500"/>
        <w:gridCol w:w="12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313" name="Image3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313" descr=""/>
                          <pic:cNvPicPr>
                            <a:picLocks noChangeAspect="1" noChangeArrowheads="1"/>
                          </pic:cNvPicPr>
                        </pic:nvPicPr>
                        <pic:blipFill>
                          <a:blip r:embed="rId318"/>
                          <a:stretch>
                            <a:fillRect/>
                          </a:stretch>
                        </pic:blipFill>
                        <pic:spPr bwMode="auto">
                          <a:xfrm>
                            <a:off x="0" y="0"/>
                            <a:ext cx="10477500" cy="8086725"/>
                          </a:xfrm>
                          <a:prstGeom prst="rect">
                            <a:avLst/>
                          </a:prstGeom>
                        </pic:spPr>
                      </pic:pic>
                    </a:graphicData>
                  </a:graphic>
                </wp:inline>
              </w:drawing>
            </w:r>
          </w:p>
        </w:tc>
        <w:tc>
          <w:tcPr>
            <w:tcW w:w="12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Weighted Average Cost of Capital (Cont’d) WACC Sensitivities Corporate Credit Market Trends LTM Yields Across Ratings Spectrum 3M SOFR and 10Y Treasury Curve Source: Bloomberg, FactSet (4/5/23) 4.88% 3.38% 4.59% 4.19% 3.28% 2.82% 3.34% 3.33% 3.36% 3.47% 1.5% 2.5% 3.5% 4.5% 5.5% Jul-22 Jan-23 Jul-23 Jan-24 Jul-24 Jan-25 Jul-25 3M SOFR 10 Year Treasury 4.9% 5.4% 6.6% 8.6% 15.0% 3.4% 3.9% 4.7% 6.1% 9.7% 2.0% 6.0% 10.0% 14.0% 18.0% A Index BBB Index BB Index B Index CCC Index Market Risk Premium @ 6.4% Market Risk Premium @ 7.2% Cost of Debt Cost of Debt 6.5% 7.0% 7.5% 8.0% 8.5% 6.5% 7.0% 7.5% 8.0% 8.5% 65.0% 8.1% 8.5% 8.8% 9.1% 9.4% 65.0% 8.4% 8.8% 9.1% 9.4% 9.7% 70.0% 8.2% 8.6% 8.9% 9.3% 9.6% 70.0% 8.5% 8.9% 9.2% 9.6% 9.9% 75.0% 8.3% 8.7% 9.1% 9.4% 9.8% 75.0% 8.6% 9.0% 9.3% 9.7% 10.1% 80.0% 8.4% 8.8% 9.2% 9.6% 10.0% 80.0% 8.7% 9.1% 9.5% 9.9% 10.3% 85.0% 8.5% 8.9% 9.3% 9.8% 10.2% Total Debt / Total 85.0% 8.8% 9.2% 9.6% 10.0% 10.5% Cap Total Debt / Total Cap 45</w:t>
            </w:r>
          </w:p>
        </w:tc>
      </w:tr>
    </w:tbl>
    <w:tbl>
      <w:tblPr>
        <w:tblW w:w="16625" w:type="dxa"/>
        <w:jc w:val="center"/>
        <w:tblInd w:w="0" w:type="dxa"/>
        <w:tblCellMar>
          <w:top w:w="0" w:type="dxa"/>
          <w:left w:w="0" w:type="dxa"/>
          <w:bottom w:w="0" w:type="dxa"/>
          <w:right w:w="0" w:type="dxa"/>
        </w:tblCellMar>
      </w:tblPr>
      <w:tblGrid>
        <w:gridCol w:w="16500"/>
        <w:gridCol w:w="12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314" name="Image3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314" descr=""/>
                          <pic:cNvPicPr>
                            <a:picLocks noChangeAspect="1" noChangeArrowheads="1"/>
                          </pic:cNvPicPr>
                        </pic:nvPicPr>
                        <pic:blipFill>
                          <a:blip r:embed="rId319"/>
                          <a:stretch>
                            <a:fillRect/>
                          </a:stretch>
                        </pic:blipFill>
                        <pic:spPr bwMode="auto">
                          <a:xfrm>
                            <a:off x="0" y="0"/>
                            <a:ext cx="10477500" cy="8086725"/>
                          </a:xfrm>
                          <a:prstGeom prst="rect">
                            <a:avLst/>
                          </a:prstGeom>
                        </pic:spPr>
                      </pic:pic>
                    </a:graphicData>
                  </a:graphic>
                </wp:inline>
              </w:drawing>
            </w:r>
          </w:p>
        </w:tc>
        <w:tc>
          <w:tcPr>
            <w:tcW w:w="12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Additional Detail Regarding GasLog Partners</w:t>
            </w:r>
          </w:p>
        </w:tc>
      </w:tr>
    </w:tbl>
    <w:tbl>
      <w:tblPr>
        <w:tblW w:w="16670" w:type="dxa"/>
        <w:jc w:val="center"/>
        <w:tblInd w:w="0" w:type="dxa"/>
        <w:tblCellMar>
          <w:top w:w="0" w:type="dxa"/>
          <w:left w:w="0" w:type="dxa"/>
          <w:bottom w:w="0" w:type="dxa"/>
          <w:right w:w="0" w:type="dxa"/>
        </w:tblCellMar>
      </w:tblPr>
      <w:tblGrid>
        <w:gridCol w:w="16500"/>
        <w:gridCol w:w="170"/>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315" name="Image3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315" descr=""/>
                          <pic:cNvPicPr>
                            <a:picLocks noChangeAspect="1" noChangeArrowheads="1"/>
                          </pic:cNvPicPr>
                        </pic:nvPicPr>
                        <pic:blipFill>
                          <a:blip r:embed="rId320"/>
                          <a:stretch>
                            <a:fillRect/>
                          </a:stretch>
                        </pic:blipFill>
                        <pic:spPr bwMode="auto">
                          <a:xfrm>
                            <a:off x="0" y="0"/>
                            <a:ext cx="10477500" cy="8086725"/>
                          </a:xfrm>
                          <a:prstGeom prst="rect">
                            <a:avLst/>
                          </a:prstGeom>
                        </pic:spPr>
                      </pic:pic>
                    </a:graphicData>
                  </a:graphic>
                </wp:inline>
              </w:drawing>
            </w:r>
          </w:p>
        </w:tc>
        <w:tc>
          <w:tcPr>
            <w:tcW w:w="17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Additional Detail Regarding GasLog Partners Unitholder Summary (as of 2/28/23) Source: GasLog Partners management Summary Institutional Ownership Institution Units (000's) Ownership % Cobas Asset Management 3,225 6.2% Invesco Advisers, Inc. 2,366 4.6% Renaissance Technologies 897 1.7% Acadian Asset Management 745 1.4% Two Sigma Investments 590 1.1% Walleye Capital 581 1.1% Millennium Management 538 1.0% Two Sigma Advisers 468 0.9% Citadel Advisors 434 0.8% Andbank Wealth Management 274 0.5% Paralos Asset Management 266 0.5% Forager Funds Management 253 0.5% GEBAB Holding 252 0.5% BlackRock Advisors 250 0.5% Maxi Investments CY 240 0.5% Top 15 Institutional 11,377 22.0% Insider Ownership Summary Holder Units (000's) Ownership % Holder Units (000's) Ownership % GasLog Ltd. 15,622 30.2% Institutional/Other (Net of Short Interest) 13,431 26.0% Total Insider 15,622 30.2% Insiders 15,622 30.2% Retail 22,635 43.8% Total Common Units Outstanding 51,688 100.0% Institutional 26.0% Insiders 30.2% Retail 43.8% 47</w:t>
            </w:r>
          </w:p>
        </w:tc>
      </w:tr>
    </w:tbl>
    <w:tbl>
      <w:tblPr>
        <w:tblW w:w="16685" w:type="dxa"/>
        <w:jc w:val="center"/>
        <w:tblInd w:w="0" w:type="dxa"/>
        <w:tblCellMar>
          <w:top w:w="0" w:type="dxa"/>
          <w:left w:w="0" w:type="dxa"/>
          <w:bottom w:w="0" w:type="dxa"/>
          <w:right w:w="0" w:type="dxa"/>
        </w:tblCellMar>
      </w:tblPr>
      <w:tblGrid>
        <w:gridCol w:w="16500"/>
        <w:gridCol w:w="185"/>
      </w:tblGrid>
      <w:tr>
        <w:trPr/>
        <w:tc>
          <w:tcPr>
            <w:tcW w:w="16500" w:type="dxa"/>
            <w:tcBorders/>
            <w:shd w:fill="auto" w:val="clear"/>
          </w:tcPr>
          <w:p>
            <w:pPr>
              <w:pStyle w:val="TableContents"/>
              <w:spacing w:before="0" w:after="0"/>
              <w:ind w:left="0" w:right="0" w:hanging="0"/>
              <w:jc w:val="center"/>
              <w:rPr/>
            </w:pPr>
            <w:r>
              <w:rPr/>
              <w:drawing>
                <wp:inline distT="0" distB="0" distL="0" distR="0">
                  <wp:extent cx="10477500" cy="8086725"/>
                  <wp:effectExtent l="0" t="0" r="0" b="0"/>
                  <wp:docPr id="316" name="Image3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316" descr=""/>
                          <pic:cNvPicPr>
                            <a:picLocks noChangeAspect="1" noChangeArrowheads="1"/>
                          </pic:cNvPicPr>
                        </pic:nvPicPr>
                        <pic:blipFill>
                          <a:blip r:embed="rId321"/>
                          <a:stretch>
                            <a:fillRect/>
                          </a:stretch>
                        </pic:blipFill>
                        <pic:spPr bwMode="auto">
                          <a:xfrm>
                            <a:off x="0" y="0"/>
                            <a:ext cx="10477500" cy="8086725"/>
                          </a:xfrm>
                          <a:prstGeom prst="rect">
                            <a:avLst/>
                          </a:prstGeom>
                        </pic:spPr>
                      </pic:pic>
                    </a:graphicData>
                  </a:graphic>
                </wp:inline>
              </w:drawing>
            </w:r>
          </w:p>
        </w:tc>
        <w:tc>
          <w:tcPr>
            <w:tcW w:w="18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Confidential These materials have been prepared by Evercore Group L.L.C. (“Evercore”) for the Conflicts Committee (the “Conflicts Committee”) of the Board of Directors of GasLog Partners LP (“GLOP,” or the “Partnership”), to whom such materials are directly addressed and delivered and may not be used or relied upon for any purpose other than as specifically contemplated by a written agreement with Evercore. These materials are based on information provided by or on behalf of the Conflicts Committee, from public sources or otherwise reviewed by Evercore. Evercore assumes no responsibility for independent investigation or verification of such information and has relied on such information being complete and accurate in all material respects. To the extent such information includes estimates and forecasts of future financial or operating performance prepared by or reviewed with the management of GLOP and/or other potential transaction participants or obtained from public sources, Evercore has assumed that such estimates and forecasts have been reasonably prepared on bases reflecting the best currently available estimates and good faith judgments of such management (or, with respect to estimates and forecasts obtained from public sources, represent reasonable estimates). No representation or warranty, express or implied, is made as to the accuracy or completeness of such information and nothing contained herein is, or shall be relied upon as, a representation, whether as to the past, the present or the future. These materials were designed for use by specific persons familiar with the business and affairs of GLOP. These materials are not intended to provide the sole basis for evaluating, and should not be considered a recommendation with respect to, any transaction or other matter. These materials have been developed by and are proprietary to Evercore and were prepared exclusively for the benefit and internal use of the Conflicts Committee. These materials were compiled on a confidential basis for use by the Conflicts Committee and not with a view to public disclosure or filing thereof under state or federal securities laws, and may not be reproduced, disseminated, quoted or referred to, in whole or in part, without the prior written consent of Evercore. These materials do not constitute an offer or solicitation to sell or purchase any securities and are not a commitment by Evercore or any of its affiliates to provide or arrange any financing for any transaction or to purchase any security in connection therewith. Evercore assumes no obligation to update or otherwise revise these materials. These materials may not reflect information known to other professionals in other business areas of Evercore and its affiliates. Evercore and its affiliates do not provide legal, regulatory, accounting or tax advice. Accordingly, any statements contained herein as to legal, regulatory, accounting or tax matters were neither written nor intended by Evercore or its affiliates to be used and cannot be used by any person, including for the purpose of avoiding tax penalties that may be imposed on such person. Each person should seek legal, regulatory, accounting and tax advice based on his, her or its particular circumstances from independent advisors regarding the impact of the transactions or matters described herein.</w:t>
            </w:r>
          </w:p>
        </w:tc>
      </w:tr>
    </w:tbl>
    <w:p>
      <w:pPr>
        <w:pStyle w:val="TextBody"/>
        <w:ind w:left="0" w:right="0" w:hanging="0"/>
        <w:rPr/>
      </w:pPr>
      <w:r>
        <w:br w:type="page"/>
      </w:r>
      <w:bookmarkStart w:id="33" w:name="tm2314213d1_ex-filingfees.htm"/>
      <w:bookmarkStart w:id="34" w:name="kstm2314213d1_exfilingfees"/>
      <w:bookmarkEnd w:id="33"/>
      <w:bookmarkEnd w:id="34"/>
      <w:r>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107</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Filing Fee Tables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SCHEDULE 13E-3</w:t>
      </w:r>
    </w:p>
    <w:p>
      <w:pPr>
        <w:pStyle w:val="TextBody"/>
        <w:spacing w:before="0" w:after="0"/>
        <w:ind w:left="0" w:right="0" w:hanging="0"/>
        <w:jc w:val="center"/>
        <w:rPr>
          <w:caps w:val="false"/>
          <w:smallCaps w:val="false"/>
        </w:rPr>
      </w:pPr>
      <w:r>
        <w:rPr>
          <w:caps w:val="false"/>
          <w:smallCaps w:val="false"/>
        </w:rPr>
        <w:t> </w:t>
      </w:r>
    </w:p>
    <w:p>
      <w:pPr>
        <w:pStyle w:val="TextBody"/>
        <w:spacing w:before="20" w:after="20"/>
        <w:ind w:left="3420" w:right="3420" w:hanging="0"/>
        <w:rPr>
          <w:bdr w:val="single" w:sz="4" w:space="1" w:color="000000"/>
        </w:rPr>
      </w:pPr>
      <w:r>
        <w:rPr>
          <w:bdr w:val="single" w:sz="4"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GasLog Partners LP</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the Issuer)</w:t>
      </w:r>
    </w:p>
    <w:p>
      <w:pPr>
        <w:pStyle w:val="TextBody"/>
        <w:spacing w:before="0" w:after="0"/>
        <w:ind w:left="0" w:right="0" w:hanging="0"/>
        <w:jc w:val="center"/>
        <w:rPr>
          <w:caps w:val="false"/>
          <w:smallCaps w:val="false"/>
        </w:rPr>
      </w:pPr>
      <w:r>
        <w:rPr>
          <w:caps w:val="false"/>
          <w:smallCaps w:val="false"/>
        </w:rPr>
        <w:t> </w:t>
      </w:r>
    </w:p>
    <w:p>
      <w:pPr>
        <w:pStyle w:val="TextBody"/>
        <w:spacing w:before="20" w:after="20"/>
        <w:ind w:left="3420" w:right="3420" w:hanging="0"/>
        <w:rPr>
          <w:bdr w:val="single" w:sz="4" w:space="1" w:color="000000"/>
        </w:rPr>
      </w:pPr>
      <w:r>
        <w:rPr>
          <w:bdr w:val="single" w:sz="4"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GasLog Ltd.</w:t>
        <w:br/>
        <w:t>GasLog Partners GP LLC</w:t>
        <w:br/>
        <w:t>Saturn Merger Sub LLC</w:t>
        <w:br/>
        <w:t>GasLog Partners LP</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Person(s) Filing Statement)</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1 – Transaction Valuation</w:t>
      </w:r>
    </w:p>
    <w:p>
      <w:pPr>
        <w:pStyle w:val="TextBody"/>
        <w:spacing w:before="0" w:after="0"/>
        <w:ind w:left="0" w:right="0" w:hanging="0"/>
        <w:rPr>
          <w:caps w:val="false"/>
          <w:smallCaps w:val="false"/>
        </w:rPr>
      </w:pPr>
      <w:r>
        <w:rPr>
          <w:caps w:val="false"/>
          <w:smallCaps w:val="false"/>
        </w:rPr>
        <w:t> </w:t>
      </w:r>
    </w:p>
    <w:tbl>
      <w:tblPr>
        <w:tblW w:w="6294" w:type="dxa"/>
        <w:jc w:val="center"/>
        <w:tblInd w:w="0" w:type="dxa"/>
        <w:tblCellMar>
          <w:top w:w="0" w:type="dxa"/>
          <w:left w:w="0" w:type="dxa"/>
          <w:bottom w:w="0" w:type="dxa"/>
          <w:right w:w="0" w:type="dxa"/>
        </w:tblCellMar>
      </w:tblPr>
      <w:tblGrid>
        <w:gridCol w:w="2465"/>
        <w:gridCol w:w="60"/>
        <w:gridCol w:w="125"/>
        <w:gridCol w:w="1310"/>
        <w:gridCol w:w="60"/>
        <w:gridCol w:w="60"/>
        <w:gridCol w:w="60"/>
        <w:gridCol w:w="905"/>
        <w:gridCol w:w="60"/>
        <w:gridCol w:w="60"/>
        <w:gridCol w:w="135"/>
        <w:gridCol w:w="919"/>
        <w:gridCol w:w="75"/>
      </w:tblGrid>
      <w:tr>
        <w:trPr/>
        <w:tc>
          <w:tcPr>
            <w:tcW w:w="24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43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w:t>
              <w:br/>
              <w:t>Valuation*</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6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w:t>
              <w:br/>
              <w:t>Rate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54"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w:t>
              <w:br/>
              <w:t>Filing Fee**</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465" w:type="dxa"/>
            <w:tcBorders/>
            <w:shd w:fill="CCEEFF" w:val="clear"/>
            <w:vAlign w:val="center"/>
          </w:tcPr>
          <w:p>
            <w:pPr>
              <w:pStyle w:val="TableContents"/>
              <w:spacing w:before="0" w:after="283"/>
              <w:jc w:val="left"/>
              <w:rPr>
                <w:sz w:val="20"/>
              </w:rPr>
            </w:pPr>
            <w:r>
              <w:rPr>
                <w:sz w:val="20"/>
              </w:rPr>
              <w:t>Fees to Be Paid</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sz w:val="20"/>
              </w:rPr>
            </w:pPr>
            <w:r>
              <w:rPr>
                <w:sz w:val="20"/>
              </w:rPr>
              <w:t>$</w:t>
            </w:r>
          </w:p>
        </w:tc>
        <w:tc>
          <w:tcPr>
            <w:tcW w:w="1310" w:type="dxa"/>
            <w:tcBorders/>
            <w:shd w:fill="CCEEFF" w:val="clear"/>
            <w:vAlign w:val="center"/>
          </w:tcPr>
          <w:p>
            <w:pPr>
              <w:pStyle w:val="TableContents"/>
              <w:spacing w:before="0" w:after="283"/>
              <w:jc w:val="right"/>
              <w:rPr>
                <w:sz w:val="20"/>
              </w:rPr>
            </w:pPr>
            <w:r>
              <w:rPr>
                <w:sz w:val="20"/>
              </w:rPr>
              <w:t>315,606,434.45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05" w:type="dxa"/>
            <w:tcBorders/>
            <w:shd w:fill="CCEEFF" w:val="clear"/>
            <w:vAlign w:val="center"/>
          </w:tcPr>
          <w:p>
            <w:pPr>
              <w:pStyle w:val="TableContents"/>
              <w:spacing w:before="0" w:after="283"/>
              <w:jc w:val="right"/>
              <w:rPr>
                <w:sz w:val="20"/>
              </w:rPr>
            </w:pPr>
            <w:r>
              <w:rPr>
                <w:sz w:val="20"/>
              </w:rPr>
              <w:t>0.0001102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jc w:val="left"/>
              <w:rPr>
                <w:sz w:val="20"/>
              </w:rPr>
            </w:pPr>
            <w:r>
              <w:rPr>
                <w:sz w:val="20"/>
              </w:rPr>
              <w:t>$</w:t>
            </w:r>
          </w:p>
        </w:tc>
        <w:tc>
          <w:tcPr>
            <w:tcW w:w="919" w:type="dxa"/>
            <w:tcBorders/>
            <w:shd w:fill="CCEEFF" w:val="clear"/>
            <w:vAlign w:val="center"/>
          </w:tcPr>
          <w:p>
            <w:pPr>
              <w:pStyle w:val="TableContents"/>
              <w:spacing w:before="0" w:after="283"/>
              <w:jc w:val="right"/>
              <w:rPr>
                <w:sz w:val="20"/>
              </w:rPr>
            </w:pPr>
            <w:r>
              <w:rPr>
                <w:sz w:val="20"/>
              </w:rPr>
              <w:t>34,779.83</w:t>
            </w:r>
          </w:p>
        </w:tc>
        <w:tc>
          <w:tcPr>
            <w:tcW w:w="75" w:type="dxa"/>
            <w:tcBorders/>
            <w:shd w:fill="CCEEFF" w:val="clear"/>
            <w:vAlign w:val="center"/>
          </w:tcPr>
          <w:p>
            <w:pPr>
              <w:pStyle w:val="TableContents"/>
              <w:spacing w:before="0" w:after="283"/>
              <w:jc w:val="left"/>
              <w:rPr/>
            </w:pPr>
            <w:r>
              <w:rPr/>
              <w:t> </w:t>
            </w:r>
          </w:p>
        </w:tc>
      </w:tr>
      <w:tr>
        <w:trPr/>
        <w:tc>
          <w:tcPr>
            <w:tcW w:w="2465" w:type="dxa"/>
            <w:tcBorders/>
            <w:shd w:fill="FFFFFF" w:val="clear"/>
            <w:vAlign w:val="center"/>
          </w:tcPr>
          <w:p>
            <w:pPr>
              <w:pStyle w:val="TableContents"/>
              <w:spacing w:before="0" w:after="283"/>
              <w:jc w:val="left"/>
              <w:rPr>
                <w:sz w:val="20"/>
              </w:rPr>
            </w:pPr>
            <w:r>
              <w:rPr>
                <w:sz w:val="20"/>
              </w:rPr>
              <w:t>Fees Previously Paid</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1310"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0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35" w:type="dxa"/>
            <w:tcBorders/>
            <w:shd w:fill="FFFFFF" w:val="clear"/>
            <w:vAlign w:val="center"/>
          </w:tcPr>
          <w:p>
            <w:pPr>
              <w:pStyle w:val="TableContents"/>
              <w:spacing w:before="0" w:after="283"/>
              <w:jc w:val="left"/>
              <w:rPr/>
            </w:pPr>
            <w:r>
              <w:rPr/>
              <w:t> </w:t>
            </w:r>
          </w:p>
        </w:tc>
        <w:tc>
          <w:tcPr>
            <w:tcW w:w="919" w:type="dxa"/>
            <w:tcBorders/>
            <w:shd w:fill="FFFFFF" w:val="clear"/>
            <w:vAlign w:val="center"/>
          </w:tcPr>
          <w:p>
            <w:pPr>
              <w:pStyle w:val="TableContents"/>
              <w:spacing w:before="0" w:after="283"/>
              <w:jc w:val="right"/>
              <w:rPr/>
            </w:pPr>
            <w:r>
              <w:rPr/>
              <w:t>—</w:t>
            </w:r>
          </w:p>
        </w:tc>
        <w:tc>
          <w:tcPr>
            <w:tcW w:w="75" w:type="dxa"/>
            <w:tcBorders/>
            <w:shd w:fill="FFFFFF" w:val="clear"/>
            <w:vAlign w:val="center"/>
          </w:tcPr>
          <w:p>
            <w:pPr>
              <w:pStyle w:val="TableContents"/>
              <w:spacing w:before="0" w:after="283"/>
              <w:jc w:val="left"/>
              <w:rPr/>
            </w:pPr>
            <w:r>
              <w:rPr/>
              <w:t> </w:t>
            </w:r>
          </w:p>
        </w:tc>
      </w:tr>
      <w:tr>
        <w:trPr/>
        <w:tc>
          <w:tcPr>
            <w:tcW w:w="246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131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0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jc w:val="left"/>
              <w:rPr/>
            </w:pPr>
            <w:r>
              <w:rPr/>
              <w:t> </w:t>
            </w:r>
          </w:p>
        </w:tc>
        <w:tc>
          <w:tcPr>
            <w:tcW w:w="919"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2465" w:type="dxa"/>
            <w:tcBorders/>
            <w:shd w:fill="FFFFFF" w:val="clear"/>
            <w:vAlign w:val="center"/>
          </w:tcPr>
          <w:p>
            <w:pPr>
              <w:pStyle w:val="TableContents"/>
              <w:spacing w:before="0" w:after="283"/>
              <w:jc w:val="left"/>
              <w:rPr>
                <w:b/>
                <w:sz w:val="20"/>
              </w:rPr>
            </w:pPr>
            <w:r>
              <w:rPr>
                <w:b/>
                <w:sz w:val="20"/>
              </w:rPr>
              <w:t>Total Transaction Valuation</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sz w:val="20"/>
              </w:rPr>
            </w:pPr>
            <w:r>
              <w:rPr>
                <w:sz w:val="20"/>
              </w:rPr>
              <w:t>$</w:t>
            </w:r>
          </w:p>
        </w:tc>
        <w:tc>
          <w:tcPr>
            <w:tcW w:w="1310" w:type="dxa"/>
            <w:tcBorders/>
            <w:shd w:fill="FFFFFF" w:val="clear"/>
            <w:vAlign w:val="center"/>
          </w:tcPr>
          <w:p>
            <w:pPr>
              <w:pStyle w:val="TableContents"/>
              <w:spacing w:before="0" w:after="283"/>
              <w:jc w:val="right"/>
              <w:rPr>
                <w:sz w:val="20"/>
              </w:rPr>
            </w:pPr>
            <w:r>
              <w:rPr>
                <w:sz w:val="20"/>
              </w:rPr>
              <w:t>315,606,434.45</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0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35" w:type="dxa"/>
            <w:tcBorders/>
            <w:shd w:fill="FFFFFF" w:val="clear"/>
            <w:vAlign w:val="center"/>
          </w:tcPr>
          <w:p>
            <w:pPr>
              <w:pStyle w:val="TableContents"/>
              <w:spacing w:before="0" w:after="283"/>
              <w:jc w:val="left"/>
              <w:rPr/>
            </w:pPr>
            <w:r>
              <w:rPr/>
              <w:t> </w:t>
            </w:r>
          </w:p>
        </w:tc>
        <w:tc>
          <w:tcPr>
            <w:tcW w:w="919"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246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131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0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jc w:val="left"/>
              <w:rPr/>
            </w:pPr>
            <w:r>
              <w:rPr/>
              <w:t> </w:t>
            </w:r>
          </w:p>
        </w:tc>
        <w:tc>
          <w:tcPr>
            <w:tcW w:w="919"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2465" w:type="dxa"/>
            <w:tcBorders/>
            <w:shd w:fill="FFFFFF" w:val="clear"/>
            <w:vAlign w:val="center"/>
          </w:tcPr>
          <w:p>
            <w:pPr>
              <w:pStyle w:val="TableContents"/>
              <w:spacing w:before="0" w:after="283"/>
              <w:jc w:val="left"/>
              <w:rPr>
                <w:b/>
                <w:sz w:val="20"/>
              </w:rPr>
            </w:pPr>
            <w:r>
              <w:rPr>
                <w:b/>
                <w:sz w:val="20"/>
              </w:rPr>
              <w:t>Total Fees Due for Filing</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131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0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35" w:type="dxa"/>
            <w:tcBorders/>
            <w:shd w:fill="FFFFFF" w:val="clear"/>
            <w:vAlign w:val="center"/>
          </w:tcPr>
          <w:p>
            <w:pPr>
              <w:pStyle w:val="TableContents"/>
              <w:spacing w:before="0" w:after="283"/>
              <w:jc w:val="left"/>
              <w:rPr>
                <w:sz w:val="20"/>
              </w:rPr>
            </w:pPr>
            <w:r>
              <w:rPr>
                <w:sz w:val="20"/>
              </w:rPr>
              <w:t>$</w:t>
            </w:r>
          </w:p>
        </w:tc>
        <w:tc>
          <w:tcPr>
            <w:tcW w:w="919" w:type="dxa"/>
            <w:tcBorders/>
            <w:shd w:fill="FFFFFF" w:val="clear"/>
            <w:vAlign w:val="center"/>
          </w:tcPr>
          <w:p>
            <w:pPr>
              <w:pStyle w:val="TableContents"/>
              <w:spacing w:before="0" w:after="283"/>
              <w:jc w:val="right"/>
              <w:rPr>
                <w:sz w:val="20"/>
              </w:rPr>
            </w:pPr>
            <w:r>
              <w:rPr>
                <w:sz w:val="20"/>
              </w:rPr>
              <w:t>34,779.83</w:t>
            </w:r>
          </w:p>
        </w:tc>
        <w:tc>
          <w:tcPr>
            <w:tcW w:w="75" w:type="dxa"/>
            <w:tcBorders/>
            <w:shd w:fill="FFFFFF" w:val="clear"/>
            <w:vAlign w:val="center"/>
          </w:tcPr>
          <w:p>
            <w:pPr>
              <w:pStyle w:val="TableContents"/>
              <w:spacing w:before="0" w:after="283"/>
              <w:jc w:val="left"/>
              <w:rPr/>
            </w:pPr>
            <w:r>
              <w:rPr/>
              <w:t> </w:t>
            </w:r>
          </w:p>
        </w:tc>
      </w:tr>
      <w:tr>
        <w:trPr/>
        <w:tc>
          <w:tcPr>
            <w:tcW w:w="246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131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0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jc w:val="left"/>
              <w:rPr/>
            </w:pPr>
            <w:r>
              <w:rPr/>
              <w:t> </w:t>
            </w:r>
          </w:p>
        </w:tc>
        <w:tc>
          <w:tcPr>
            <w:tcW w:w="919"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2465" w:type="dxa"/>
            <w:tcBorders/>
            <w:shd w:fill="FFFFFF" w:val="clear"/>
            <w:vAlign w:val="center"/>
          </w:tcPr>
          <w:p>
            <w:pPr>
              <w:pStyle w:val="TableContents"/>
              <w:spacing w:before="0" w:after="283"/>
              <w:jc w:val="left"/>
              <w:rPr>
                <w:b/>
                <w:sz w:val="20"/>
              </w:rPr>
            </w:pPr>
            <w:r>
              <w:rPr>
                <w:b/>
                <w:sz w:val="20"/>
              </w:rPr>
              <w:t>Total Fees Previously Paid</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131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0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35" w:type="dxa"/>
            <w:tcBorders/>
            <w:shd w:fill="FFFFFF" w:val="clear"/>
            <w:vAlign w:val="center"/>
          </w:tcPr>
          <w:p>
            <w:pPr>
              <w:pStyle w:val="TableContents"/>
              <w:spacing w:before="0" w:after="283"/>
              <w:jc w:val="left"/>
              <w:rPr/>
            </w:pPr>
            <w:r>
              <w:rPr/>
              <w:t> </w:t>
            </w:r>
          </w:p>
        </w:tc>
        <w:tc>
          <w:tcPr>
            <w:tcW w:w="919" w:type="dxa"/>
            <w:tcBorders/>
            <w:shd w:fill="FFFFFF" w:val="clear"/>
            <w:vAlign w:val="center"/>
          </w:tcPr>
          <w:p>
            <w:pPr>
              <w:pStyle w:val="TableContents"/>
              <w:spacing w:before="0" w:after="283"/>
              <w:jc w:val="right"/>
              <w:rPr/>
            </w:pPr>
            <w:r>
              <w:rPr/>
              <w:t>—</w:t>
            </w:r>
          </w:p>
        </w:tc>
        <w:tc>
          <w:tcPr>
            <w:tcW w:w="75" w:type="dxa"/>
            <w:tcBorders/>
            <w:shd w:fill="FFFFFF" w:val="clear"/>
            <w:vAlign w:val="center"/>
          </w:tcPr>
          <w:p>
            <w:pPr>
              <w:pStyle w:val="TableContents"/>
              <w:spacing w:before="0" w:after="283"/>
              <w:jc w:val="left"/>
              <w:rPr/>
            </w:pPr>
            <w:r>
              <w:rPr/>
              <w:t> </w:t>
            </w:r>
          </w:p>
        </w:tc>
      </w:tr>
      <w:tr>
        <w:trPr/>
        <w:tc>
          <w:tcPr>
            <w:tcW w:w="246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131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0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jc w:val="left"/>
              <w:rPr/>
            </w:pPr>
            <w:r>
              <w:rPr/>
              <w:t> </w:t>
            </w:r>
          </w:p>
        </w:tc>
        <w:tc>
          <w:tcPr>
            <w:tcW w:w="919"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2465" w:type="dxa"/>
            <w:tcBorders/>
            <w:shd w:fill="FFFFFF" w:val="clear"/>
            <w:vAlign w:val="center"/>
          </w:tcPr>
          <w:p>
            <w:pPr>
              <w:pStyle w:val="TableContents"/>
              <w:spacing w:before="0" w:after="283"/>
              <w:jc w:val="left"/>
              <w:rPr>
                <w:b/>
                <w:sz w:val="20"/>
              </w:rPr>
            </w:pPr>
            <w:r>
              <w:rPr>
                <w:b/>
                <w:sz w:val="20"/>
              </w:rPr>
              <w:t>Total Fee Offsets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131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0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35" w:type="dxa"/>
            <w:tcBorders/>
            <w:shd w:fill="FFFFFF" w:val="clear"/>
            <w:vAlign w:val="center"/>
          </w:tcPr>
          <w:p>
            <w:pPr>
              <w:pStyle w:val="TableContents"/>
              <w:spacing w:before="0" w:after="283"/>
              <w:jc w:val="left"/>
              <w:rPr/>
            </w:pPr>
            <w:r>
              <w:rPr/>
              <w:t> </w:t>
            </w:r>
          </w:p>
        </w:tc>
        <w:tc>
          <w:tcPr>
            <w:tcW w:w="919" w:type="dxa"/>
            <w:tcBorders/>
            <w:shd w:fill="FFFFFF" w:val="clear"/>
            <w:vAlign w:val="center"/>
          </w:tcPr>
          <w:p>
            <w:pPr>
              <w:pStyle w:val="TableContents"/>
              <w:spacing w:before="0" w:after="283"/>
              <w:jc w:val="right"/>
              <w:rPr/>
            </w:pPr>
            <w:r>
              <w:rPr/>
              <w:t>—</w:t>
            </w:r>
          </w:p>
        </w:tc>
        <w:tc>
          <w:tcPr>
            <w:tcW w:w="75" w:type="dxa"/>
            <w:tcBorders/>
            <w:shd w:fill="FFFFFF" w:val="clear"/>
            <w:vAlign w:val="center"/>
          </w:tcPr>
          <w:p>
            <w:pPr>
              <w:pStyle w:val="TableContents"/>
              <w:spacing w:before="0" w:after="283"/>
              <w:jc w:val="left"/>
              <w:rPr/>
            </w:pPr>
            <w:r>
              <w:rPr/>
              <w:t> </w:t>
            </w:r>
          </w:p>
        </w:tc>
      </w:tr>
      <w:tr>
        <w:trPr/>
        <w:tc>
          <w:tcPr>
            <w:tcW w:w="246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131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0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jc w:val="left"/>
              <w:rPr/>
            </w:pPr>
            <w:r>
              <w:rPr/>
              <w:t> </w:t>
            </w:r>
          </w:p>
        </w:tc>
        <w:tc>
          <w:tcPr>
            <w:tcW w:w="919"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2465" w:type="dxa"/>
            <w:tcBorders/>
            <w:shd w:fill="FFFFFF" w:val="clear"/>
            <w:vAlign w:val="center"/>
          </w:tcPr>
          <w:p>
            <w:pPr>
              <w:pStyle w:val="TableContents"/>
              <w:spacing w:before="0" w:after="283"/>
              <w:jc w:val="left"/>
              <w:rPr>
                <w:b/>
                <w:sz w:val="20"/>
              </w:rPr>
            </w:pPr>
            <w:r>
              <w:rPr>
                <w:b/>
                <w:sz w:val="20"/>
              </w:rPr>
              <w:t>Net Fee Due</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131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0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35" w:type="dxa"/>
            <w:tcBorders/>
            <w:shd w:fill="FFFFFF" w:val="clear"/>
            <w:vAlign w:val="center"/>
          </w:tcPr>
          <w:p>
            <w:pPr>
              <w:pStyle w:val="TableContents"/>
              <w:spacing w:before="0" w:after="283"/>
              <w:jc w:val="left"/>
              <w:rPr>
                <w:sz w:val="20"/>
              </w:rPr>
            </w:pPr>
            <w:r>
              <w:rPr>
                <w:sz w:val="20"/>
              </w:rPr>
              <w:t>$</w:t>
            </w:r>
          </w:p>
        </w:tc>
        <w:tc>
          <w:tcPr>
            <w:tcW w:w="919" w:type="dxa"/>
            <w:tcBorders/>
            <w:shd w:fill="FFFFFF" w:val="clear"/>
            <w:vAlign w:val="center"/>
          </w:tcPr>
          <w:p>
            <w:pPr>
              <w:pStyle w:val="TableContents"/>
              <w:spacing w:before="0" w:after="283"/>
              <w:jc w:val="right"/>
              <w:rPr>
                <w:sz w:val="20"/>
              </w:rPr>
            </w:pPr>
            <w:r>
              <w:rPr>
                <w:sz w:val="20"/>
              </w:rPr>
              <w:t>34,779.83</w:t>
            </w:r>
          </w:p>
        </w:tc>
        <w:tc>
          <w:tcPr>
            <w:tcW w:w="75" w:type="dxa"/>
            <w:tcBorders/>
            <w:shd w:fill="FFFF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2 – Fee Offset Claims and Sources</w:t>
      </w:r>
    </w:p>
    <w:p>
      <w:pPr>
        <w:pStyle w:val="TextBody"/>
        <w:spacing w:before="0" w:after="0"/>
        <w:ind w:left="0" w:right="0" w:hanging="0"/>
        <w:rPr>
          <w:caps w:val="false"/>
          <w:smallCaps w:val="false"/>
        </w:rPr>
      </w:pPr>
      <w:r>
        <w:rPr>
          <w:caps w:val="false"/>
          <w:smallCaps w:val="false"/>
        </w:rPr>
        <w:t> </w:t>
      </w:r>
    </w:p>
    <w:tbl>
      <w:tblPr>
        <w:tblW w:w="9235" w:type="dxa"/>
        <w:jc w:val="left"/>
        <w:tblInd w:w="0" w:type="dxa"/>
        <w:tblCellMar>
          <w:top w:w="0" w:type="dxa"/>
          <w:left w:w="0" w:type="dxa"/>
          <w:bottom w:w="0" w:type="dxa"/>
          <w:right w:w="0" w:type="dxa"/>
        </w:tblCellMar>
      </w:tblPr>
      <w:tblGrid>
        <w:gridCol w:w="1580"/>
        <w:gridCol w:w="60"/>
        <w:gridCol w:w="905"/>
        <w:gridCol w:w="60"/>
        <w:gridCol w:w="1235"/>
        <w:gridCol w:w="60"/>
        <w:gridCol w:w="665"/>
        <w:gridCol w:w="60"/>
        <w:gridCol w:w="1475"/>
        <w:gridCol w:w="60"/>
        <w:gridCol w:w="935"/>
        <w:gridCol w:w="60"/>
        <w:gridCol w:w="830"/>
        <w:gridCol w:w="60"/>
        <w:gridCol w:w="1115"/>
        <w:gridCol w:w="75"/>
      </w:tblGrid>
      <w:tr>
        <w:trPr/>
        <w:tc>
          <w:tcPr>
            <w:tcW w:w="158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905" w:type="dxa"/>
            <w:tcBorders>
              <w:bottom w:val="single" w:sz="8" w:space="0" w:color="000000"/>
            </w:tcBorders>
            <w:shd w:fill="auto" w:val="clear"/>
            <w:tcMar>
              <w:bottom w:w="28" w:type="dxa"/>
            </w:tcMar>
            <w:vAlign w:val="center"/>
          </w:tcPr>
          <w:p>
            <w:pPr>
              <w:pStyle w:val="TableContents"/>
              <w:spacing w:before="0" w:after="283"/>
              <w:jc w:val="center"/>
              <w:rPr>
                <w:sz w:val="20"/>
              </w:rPr>
            </w:pPr>
            <w:r>
              <w:rPr>
                <w:sz w:val="20"/>
              </w:rPr>
              <w:t xml:space="preserve">Registrant </w:t>
              <w:br/>
              <w:t xml:space="preserve">or Filer </w:t>
              <w:br/>
              <w:t>Name</w:t>
            </w:r>
          </w:p>
        </w:tc>
        <w:tc>
          <w:tcPr>
            <w:tcW w:w="60" w:type="dxa"/>
            <w:tcBorders/>
            <w:shd w:fill="auto" w:val="clear"/>
            <w:vAlign w:val="center"/>
          </w:tcPr>
          <w:p>
            <w:pPr>
              <w:pStyle w:val="TableContents"/>
              <w:spacing w:before="0" w:after="283"/>
              <w:jc w:val="center"/>
              <w:rPr/>
            </w:pPr>
            <w:r>
              <w:rPr/>
              <w:t> </w:t>
            </w:r>
          </w:p>
        </w:tc>
        <w:tc>
          <w:tcPr>
            <w:tcW w:w="1235" w:type="dxa"/>
            <w:tcBorders>
              <w:bottom w:val="single" w:sz="8" w:space="0" w:color="000000"/>
            </w:tcBorders>
            <w:shd w:fill="auto" w:val="clear"/>
            <w:tcMar>
              <w:bottom w:w="28" w:type="dxa"/>
            </w:tcMar>
            <w:vAlign w:val="center"/>
          </w:tcPr>
          <w:p>
            <w:pPr>
              <w:pStyle w:val="TableContents"/>
              <w:spacing w:before="0" w:after="283"/>
              <w:jc w:val="center"/>
              <w:rPr>
                <w:sz w:val="20"/>
              </w:rPr>
            </w:pPr>
            <w:r>
              <w:rPr>
                <w:sz w:val="20"/>
              </w:rPr>
              <w:t xml:space="preserve">Form or Filing </w:t>
              <w:br/>
              <w:t>Tyle</w:t>
            </w:r>
          </w:p>
        </w:tc>
        <w:tc>
          <w:tcPr>
            <w:tcW w:w="60" w:type="dxa"/>
            <w:tcBorders/>
            <w:shd w:fill="auto" w:val="clear"/>
            <w:vAlign w:val="center"/>
          </w:tcPr>
          <w:p>
            <w:pPr>
              <w:pStyle w:val="TableContents"/>
              <w:spacing w:before="0" w:after="283"/>
              <w:jc w:val="center"/>
              <w:rPr/>
            </w:pPr>
            <w:r>
              <w:rPr/>
              <w:t> </w:t>
            </w:r>
          </w:p>
        </w:tc>
        <w:tc>
          <w:tcPr>
            <w:tcW w:w="665" w:type="dxa"/>
            <w:tcBorders>
              <w:bottom w:val="single" w:sz="8" w:space="0" w:color="000000"/>
            </w:tcBorders>
            <w:shd w:fill="auto" w:val="clear"/>
            <w:tcMar>
              <w:bottom w:w="28" w:type="dxa"/>
            </w:tcMar>
            <w:vAlign w:val="center"/>
          </w:tcPr>
          <w:p>
            <w:pPr>
              <w:pStyle w:val="TableContents"/>
              <w:spacing w:before="0" w:after="283"/>
              <w:jc w:val="center"/>
              <w:rPr>
                <w:sz w:val="20"/>
              </w:rPr>
            </w:pPr>
            <w:r>
              <w:rPr>
                <w:sz w:val="20"/>
              </w:rPr>
              <w:t xml:space="preserve">File </w:t>
              <w:br/>
              <w:t>Number</w:t>
            </w:r>
          </w:p>
        </w:tc>
        <w:tc>
          <w:tcPr>
            <w:tcW w:w="60" w:type="dxa"/>
            <w:tcBorders/>
            <w:shd w:fill="auto" w:val="clear"/>
            <w:vAlign w:val="center"/>
          </w:tcPr>
          <w:p>
            <w:pPr>
              <w:pStyle w:val="TableContents"/>
              <w:spacing w:before="0" w:after="283"/>
              <w:jc w:val="center"/>
              <w:rPr/>
            </w:pPr>
            <w:r>
              <w:rPr/>
              <w:t> </w:t>
            </w:r>
          </w:p>
        </w:tc>
        <w:tc>
          <w:tcPr>
            <w:tcW w:w="1475" w:type="dxa"/>
            <w:tcBorders>
              <w:bottom w:val="single" w:sz="8" w:space="0" w:color="000000"/>
            </w:tcBorders>
            <w:shd w:fill="auto" w:val="clear"/>
            <w:tcMar>
              <w:bottom w:w="28" w:type="dxa"/>
            </w:tcMar>
            <w:vAlign w:val="center"/>
          </w:tcPr>
          <w:p>
            <w:pPr>
              <w:pStyle w:val="TableContents"/>
              <w:spacing w:before="0" w:after="283"/>
              <w:jc w:val="center"/>
              <w:rPr>
                <w:sz w:val="20"/>
              </w:rPr>
            </w:pPr>
            <w:r>
              <w:rPr>
                <w:sz w:val="20"/>
              </w:rPr>
              <w:t>Initial Filing Date</w:t>
            </w:r>
          </w:p>
        </w:tc>
        <w:tc>
          <w:tcPr>
            <w:tcW w:w="60" w:type="dxa"/>
            <w:tcBorders/>
            <w:shd w:fill="auto" w:val="clear"/>
            <w:vAlign w:val="center"/>
          </w:tcPr>
          <w:p>
            <w:pPr>
              <w:pStyle w:val="TableContents"/>
              <w:spacing w:before="0" w:after="283"/>
              <w:jc w:val="center"/>
              <w:rPr/>
            </w:pPr>
            <w:r>
              <w:rPr/>
              <w:t> </w:t>
            </w:r>
          </w:p>
        </w:tc>
        <w:tc>
          <w:tcPr>
            <w:tcW w:w="935" w:type="dxa"/>
            <w:tcBorders>
              <w:bottom w:val="single" w:sz="8" w:space="0" w:color="000000"/>
            </w:tcBorders>
            <w:shd w:fill="auto" w:val="clear"/>
            <w:tcMar>
              <w:bottom w:w="28" w:type="dxa"/>
            </w:tcMar>
            <w:vAlign w:val="center"/>
          </w:tcPr>
          <w:p>
            <w:pPr>
              <w:pStyle w:val="TableContents"/>
              <w:spacing w:before="0" w:after="283"/>
              <w:jc w:val="center"/>
              <w:rPr>
                <w:sz w:val="20"/>
              </w:rPr>
            </w:pPr>
            <w:r>
              <w:rPr>
                <w:sz w:val="20"/>
              </w:rPr>
              <w:t>Filing Date</w:t>
            </w:r>
          </w:p>
        </w:tc>
        <w:tc>
          <w:tcPr>
            <w:tcW w:w="60" w:type="dxa"/>
            <w:tcBorders/>
            <w:shd w:fill="auto" w:val="clear"/>
            <w:vAlign w:val="center"/>
          </w:tcPr>
          <w:p>
            <w:pPr>
              <w:pStyle w:val="TableContents"/>
              <w:spacing w:before="0" w:after="283"/>
              <w:jc w:val="center"/>
              <w:rPr/>
            </w:pPr>
            <w:r>
              <w:rPr/>
              <w:t> </w:t>
            </w:r>
          </w:p>
        </w:tc>
        <w:tc>
          <w:tcPr>
            <w:tcW w:w="830" w:type="dxa"/>
            <w:tcBorders>
              <w:bottom w:val="single" w:sz="8" w:space="0" w:color="000000"/>
            </w:tcBorders>
            <w:shd w:fill="auto" w:val="clear"/>
            <w:tcMar>
              <w:bottom w:w="28" w:type="dxa"/>
            </w:tcMar>
            <w:vAlign w:val="center"/>
          </w:tcPr>
          <w:p>
            <w:pPr>
              <w:pStyle w:val="TableContents"/>
              <w:spacing w:before="0" w:after="283"/>
              <w:jc w:val="center"/>
              <w:rPr>
                <w:sz w:val="20"/>
              </w:rPr>
            </w:pPr>
            <w:r>
              <w:rPr>
                <w:sz w:val="20"/>
              </w:rPr>
              <w:t>Fee Offset</w:t>
              <w:br/>
              <w:t>Claimed</w:t>
            </w:r>
          </w:p>
        </w:tc>
        <w:tc>
          <w:tcPr>
            <w:tcW w:w="60" w:type="dxa"/>
            <w:tcBorders/>
            <w:shd w:fill="auto" w:val="clear"/>
            <w:vAlign w:val="center"/>
          </w:tcPr>
          <w:p>
            <w:pPr>
              <w:pStyle w:val="TableContents"/>
              <w:spacing w:before="0" w:after="283"/>
              <w:jc w:val="center"/>
              <w:rPr/>
            </w:pPr>
            <w:r>
              <w:rPr/>
              <w:t> </w:t>
            </w:r>
          </w:p>
        </w:tc>
        <w:tc>
          <w:tcPr>
            <w:tcW w:w="1115" w:type="dxa"/>
            <w:tcBorders>
              <w:bottom w:val="single" w:sz="8" w:space="0" w:color="000000"/>
            </w:tcBorders>
            <w:shd w:fill="auto" w:val="clear"/>
            <w:tcMar>
              <w:bottom w:w="28" w:type="dxa"/>
            </w:tcMar>
            <w:vAlign w:val="center"/>
          </w:tcPr>
          <w:p>
            <w:pPr>
              <w:pStyle w:val="TableContents"/>
              <w:spacing w:before="0" w:after="283"/>
              <w:jc w:val="center"/>
              <w:rPr>
                <w:sz w:val="20"/>
              </w:rPr>
            </w:pPr>
            <w:r>
              <w:rPr>
                <w:sz w:val="20"/>
              </w:rPr>
              <w:t>Fee Paid with</w:t>
              <w:br/>
              <w:t>Fee Offset</w:t>
              <w:br/>
              <w:t>Source</w:t>
            </w:r>
          </w:p>
        </w:tc>
        <w:tc>
          <w:tcPr>
            <w:tcW w:w="75" w:type="dxa"/>
            <w:tcBorders/>
            <w:shd w:fill="auto" w:val="clear"/>
            <w:vAlign w:val="center"/>
          </w:tcPr>
          <w:p>
            <w:pPr>
              <w:pStyle w:val="TableContents"/>
              <w:spacing w:before="0" w:after="283"/>
              <w:ind w:left="0" w:right="0" w:hanging="240"/>
              <w:jc w:val="center"/>
              <w:rPr/>
            </w:pPr>
            <w:r>
              <w:rPr/>
              <w:t> </w:t>
            </w:r>
          </w:p>
        </w:tc>
      </w:tr>
      <w:tr>
        <w:trPr/>
        <w:tc>
          <w:tcPr>
            <w:tcW w:w="1580" w:type="dxa"/>
            <w:tcBorders/>
            <w:shd w:fill="CCEEFF" w:val="clear"/>
            <w:vAlign w:val="center"/>
          </w:tcPr>
          <w:p>
            <w:pPr>
              <w:pStyle w:val="TableContents"/>
              <w:spacing w:before="0" w:after="283"/>
              <w:rPr>
                <w:b/>
                <w:sz w:val="20"/>
              </w:rPr>
            </w:pPr>
            <w:r>
              <w:rPr>
                <w:b/>
                <w:sz w:val="20"/>
              </w:rPr>
              <w:t>Fee Offset Claims</w:t>
            </w:r>
          </w:p>
        </w:tc>
        <w:tc>
          <w:tcPr>
            <w:tcW w:w="60" w:type="dxa"/>
            <w:tcBorders/>
            <w:shd w:fill="CCEEFF" w:val="clear"/>
            <w:vAlign w:val="center"/>
          </w:tcPr>
          <w:p>
            <w:pPr>
              <w:pStyle w:val="TableContents"/>
              <w:spacing w:before="0" w:after="283"/>
              <w:rPr/>
            </w:pPr>
            <w:r>
              <w:rPr/>
              <w:t> </w:t>
            </w:r>
          </w:p>
        </w:tc>
        <w:tc>
          <w:tcPr>
            <w:tcW w:w="905" w:type="dxa"/>
            <w:tcBorders/>
            <w:shd w:fill="CCEEFF" w:val="clear"/>
            <w:vAlign w:val="center"/>
          </w:tcPr>
          <w:p>
            <w:pPr>
              <w:pStyle w:val="TableContents"/>
              <w:spacing w:before="0" w:after="283"/>
              <w:jc w:val="center"/>
              <w:rPr/>
            </w:pPr>
            <w:r>
              <w:rPr/>
              <w:t>— </w:t>
            </w:r>
          </w:p>
        </w:tc>
        <w:tc>
          <w:tcPr>
            <w:tcW w:w="60" w:type="dxa"/>
            <w:tcBorders/>
            <w:shd w:fill="CCEEFF" w:val="clear"/>
            <w:vAlign w:val="center"/>
          </w:tcPr>
          <w:p>
            <w:pPr>
              <w:pStyle w:val="TableContents"/>
              <w:spacing w:before="0" w:after="283"/>
              <w:rPr/>
            </w:pPr>
            <w:r>
              <w:rPr/>
              <w:t> </w:t>
            </w:r>
          </w:p>
        </w:tc>
        <w:tc>
          <w:tcPr>
            <w:tcW w:w="1235" w:type="dxa"/>
            <w:tcBorders/>
            <w:shd w:fill="CCEEFF" w:val="clear"/>
            <w:vAlign w:val="center"/>
          </w:tcPr>
          <w:p>
            <w:pPr>
              <w:pStyle w:val="TableContents"/>
              <w:spacing w:before="0" w:after="283"/>
              <w:jc w:val="center"/>
              <w:rPr/>
            </w:pPr>
            <w:r>
              <w:rPr/>
              <w:t>—</w:t>
            </w:r>
          </w:p>
        </w:tc>
        <w:tc>
          <w:tcPr>
            <w:tcW w:w="60" w:type="dxa"/>
            <w:tcBorders/>
            <w:shd w:fill="CCEEFF" w:val="clear"/>
            <w:vAlign w:val="center"/>
          </w:tcPr>
          <w:p>
            <w:pPr>
              <w:pStyle w:val="TableContents"/>
              <w:spacing w:before="0" w:after="283"/>
              <w:rPr/>
            </w:pPr>
            <w:r>
              <w:rPr/>
              <w:t> </w:t>
            </w:r>
          </w:p>
        </w:tc>
        <w:tc>
          <w:tcPr>
            <w:tcW w:w="665" w:type="dxa"/>
            <w:tcBorders/>
            <w:shd w:fill="CCEEFF" w:val="clear"/>
            <w:vAlign w:val="center"/>
          </w:tcPr>
          <w:p>
            <w:pPr>
              <w:pStyle w:val="TableContents"/>
              <w:spacing w:before="0" w:after="283"/>
              <w:jc w:val="center"/>
              <w:rPr/>
            </w:pPr>
            <w:r>
              <w:rPr/>
              <w:t>—</w:t>
            </w:r>
          </w:p>
        </w:tc>
        <w:tc>
          <w:tcPr>
            <w:tcW w:w="60" w:type="dxa"/>
            <w:tcBorders/>
            <w:shd w:fill="CCEEFF" w:val="clear"/>
            <w:vAlign w:val="center"/>
          </w:tcPr>
          <w:p>
            <w:pPr>
              <w:pStyle w:val="TableContents"/>
              <w:spacing w:before="0" w:after="283"/>
              <w:rPr/>
            </w:pPr>
            <w:r>
              <w:rPr/>
              <w:t> </w:t>
            </w:r>
          </w:p>
        </w:tc>
        <w:tc>
          <w:tcPr>
            <w:tcW w:w="1475" w:type="dxa"/>
            <w:tcBorders/>
            <w:shd w:fill="CCEEFF" w:val="clear"/>
            <w:vAlign w:val="center"/>
          </w:tcPr>
          <w:p>
            <w:pPr>
              <w:pStyle w:val="TableContents"/>
              <w:spacing w:before="0" w:after="283"/>
              <w:jc w:val="center"/>
              <w:rPr/>
            </w:pPr>
            <w:r>
              <w:rPr/>
              <w:t>—</w:t>
            </w:r>
          </w:p>
        </w:tc>
        <w:tc>
          <w:tcPr>
            <w:tcW w:w="60" w:type="dxa"/>
            <w:tcBorders/>
            <w:shd w:fill="CCEEFF" w:val="clear"/>
            <w:vAlign w:val="center"/>
          </w:tcPr>
          <w:p>
            <w:pPr>
              <w:pStyle w:val="TableContents"/>
              <w:spacing w:before="0" w:after="283"/>
              <w:rPr/>
            </w:pPr>
            <w:r>
              <w:rPr/>
              <w:t> </w:t>
            </w:r>
          </w:p>
        </w:tc>
        <w:tc>
          <w:tcPr>
            <w:tcW w:w="935" w:type="dxa"/>
            <w:tcBorders/>
            <w:shd w:fill="CCEEFF" w:val="clear"/>
            <w:vAlign w:val="center"/>
          </w:tcPr>
          <w:p>
            <w:pPr>
              <w:pStyle w:val="TableContents"/>
              <w:spacing w:before="0" w:after="283"/>
              <w:jc w:val="center"/>
              <w:rPr/>
            </w:pPr>
            <w:r>
              <w:rPr/>
              <w:t> </w:t>
            </w:r>
          </w:p>
        </w:tc>
        <w:tc>
          <w:tcPr>
            <w:tcW w:w="60" w:type="dxa"/>
            <w:tcBorders/>
            <w:shd w:fill="CCEEFF" w:val="clear"/>
            <w:vAlign w:val="center"/>
          </w:tcPr>
          <w:p>
            <w:pPr>
              <w:pStyle w:val="TableContents"/>
              <w:spacing w:before="0" w:after="283"/>
              <w:rPr/>
            </w:pPr>
            <w:r>
              <w:rPr/>
              <w:t> </w:t>
            </w:r>
          </w:p>
        </w:tc>
        <w:tc>
          <w:tcPr>
            <w:tcW w:w="830" w:type="dxa"/>
            <w:tcBorders/>
            <w:shd w:fill="CCEEFF" w:val="clear"/>
            <w:vAlign w:val="center"/>
          </w:tcPr>
          <w:p>
            <w:pPr>
              <w:pStyle w:val="TableContents"/>
              <w:spacing w:before="0" w:after="283"/>
              <w:jc w:val="center"/>
              <w:rPr/>
            </w:pPr>
            <w:r>
              <w:rPr/>
              <w:t>—</w:t>
            </w:r>
          </w:p>
        </w:tc>
        <w:tc>
          <w:tcPr>
            <w:tcW w:w="60" w:type="dxa"/>
            <w:tcBorders/>
            <w:shd w:fill="CCEEFF" w:val="clear"/>
            <w:vAlign w:val="center"/>
          </w:tcPr>
          <w:p>
            <w:pPr>
              <w:pStyle w:val="TableContents"/>
              <w:spacing w:before="0" w:after="283"/>
              <w:rPr/>
            </w:pPr>
            <w:r>
              <w:rPr/>
              <w:t> </w:t>
            </w:r>
          </w:p>
        </w:tc>
        <w:tc>
          <w:tcPr>
            <w:tcW w:w="1115" w:type="dxa"/>
            <w:tcBorders/>
            <w:shd w:fill="CCEEFF" w:val="clear"/>
            <w:vAlign w:val="center"/>
          </w:tcPr>
          <w:p>
            <w:pPr>
              <w:pStyle w:val="TableContents"/>
              <w:spacing w:before="0" w:after="283"/>
              <w:jc w:val="center"/>
              <w:rPr/>
            </w:pPr>
            <w:r>
              <w:rPr/>
              <w:t> </w:t>
            </w:r>
          </w:p>
        </w:tc>
        <w:tc>
          <w:tcPr>
            <w:tcW w:w="75" w:type="dxa"/>
            <w:tcBorders/>
            <w:shd w:fill="CCEEFF" w:val="clear"/>
            <w:vAlign w:val="center"/>
          </w:tcPr>
          <w:p>
            <w:pPr>
              <w:pStyle w:val="TableContents"/>
              <w:spacing w:before="0" w:after="283"/>
              <w:ind w:left="0" w:right="0" w:hanging="240"/>
              <w:rPr/>
            </w:pPr>
            <w:r>
              <w:rPr/>
              <w:t> </w:t>
            </w:r>
          </w:p>
        </w:tc>
      </w:tr>
      <w:tr>
        <w:trPr/>
        <w:tc>
          <w:tcPr>
            <w:tcW w:w="1580" w:type="dxa"/>
            <w:tcBorders/>
            <w:shd w:fill="FFFFFF" w:val="clear"/>
            <w:vAlign w:val="center"/>
          </w:tcPr>
          <w:p>
            <w:pPr>
              <w:pStyle w:val="TableContents"/>
              <w:spacing w:before="0" w:after="283"/>
              <w:rPr>
                <w:b/>
                <w:sz w:val="20"/>
              </w:rPr>
            </w:pPr>
            <w:r>
              <w:rPr>
                <w:b/>
                <w:sz w:val="20"/>
              </w:rPr>
              <w:t>Fee Offset Sources</w:t>
            </w:r>
          </w:p>
        </w:tc>
        <w:tc>
          <w:tcPr>
            <w:tcW w:w="60" w:type="dxa"/>
            <w:tcBorders/>
            <w:shd w:fill="FFFFFF" w:val="clear"/>
            <w:vAlign w:val="center"/>
          </w:tcPr>
          <w:p>
            <w:pPr>
              <w:pStyle w:val="TableContents"/>
              <w:spacing w:before="0" w:after="283"/>
              <w:rPr/>
            </w:pPr>
            <w:r>
              <w:rPr/>
              <w:t> </w:t>
            </w:r>
          </w:p>
        </w:tc>
        <w:tc>
          <w:tcPr>
            <w:tcW w:w="905" w:type="dxa"/>
            <w:tcBorders/>
            <w:shd w:fill="FFFFFF" w:val="clear"/>
            <w:vAlign w:val="center"/>
          </w:tcPr>
          <w:p>
            <w:pPr>
              <w:pStyle w:val="TableContents"/>
              <w:spacing w:before="0" w:after="283"/>
              <w:jc w:val="center"/>
              <w:rPr/>
            </w:pPr>
            <w:r>
              <w:rPr/>
              <w:t>—</w:t>
            </w:r>
          </w:p>
        </w:tc>
        <w:tc>
          <w:tcPr>
            <w:tcW w:w="60" w:type="dxa"/>
            <w:tcBorders/>
            <w:shd w:fill="FFFFFF" w:val="clear"/>
            <w:vAlign w:val="center"/>
          </w:tcPr>
          <w:p>
            <w:pPr>
              <w:pStyle w:val="TableContents"/>
              <w:spacing w:before="0" w:after="283"/>
              <w:rPr/>
            </w:pPr>
            <w:r>
              <w:rPr/>
              <w:t> </w:t>
            </w:r>
          </w:p>
        </w:tc>
        <w:tc>
          <w:tcPr>
            <w:tcW w:w="1235" w:type="dxa"/>
            <w:tcBorders/>
            <w:shd w:fill="FFFFFF" w:val="clear"/>
            <w:vAlign w:val="center"/>
          </w:tcPr>
          <w:p>
            <w:pPr>
              <w:pStyle w:val="TableContents"/>
              <w:spacing w:before="0" w:after="283"/>
              <w:jc w:val="center"/>
              <w:rPr/>
            </w:pPr>
            <w:r>
              <w:rPr/>
              <w:t>—</w:t>
            </w:r>
          </w:p>
        </w:tc>
        <w:tc>
          <w:tcPr>
            <w:tcW w:w="60" w:type="dxa"/>
            <w:tcBorders/>
            <w:shd w:fill="FFFFFF" w:val="clear"/>
            <w:vAlign w:val="center"/>
          </w:tcPr>
          <w:p>
            <w:pPr>
              <w:pStyle w:val="TableContents"/>
              <w:spacing w:before="0" w:after="283"/>
              <w:rPr/>
            </w:pPr>
            <w:r>
              <w:rPr/>
              <w:t> </w:t>
            </w:r>
          </w:p>
        </w:tc>
        <w:tc>
          <w:tcPr>
            <w:tcW w:w="665" w:type="dxa"/>
            <w:tcBorders/>
            <w:shd w:fill="FFFFFF" w:val="clear"/>
            <w:vAlign w:val="center"/>
          </w:tcPr>
          <w:p>
            <w:pPr>
              <w:pStyle w:val="TableContents"/>
              <w:spacing w:before="0" w:after="283"/>
              <w:jc w:val="center"/>
              <w:rPr/>
            </w:pPr>
            <w:r>
              <w:rPr/>
              <w:t>—</w:t>
            </w:r>
          </w:p>
        </w:tc>
        <w:tc>
          <w:tcPr>
            <w:tcW w:w="60" w:type="dxa"/>
            <w:tcBorders/>
            <w:shd w:fill="FFFFFF" w:val="clear"/>
            <w:vAlign w:val="center"/>
          </w:tcPr>
          <w:p>
            <w:pPr>
              <w:pStyle w:val="TableContents"/>
              <w:spacing w:before="0" w:after="283"/>
              <w:rPr/>
            </w:pPr>
            <w:r>
              <w:rPr/>
              <w:t> </w:t>
            </w:r>
          </w:p>
        </w:tc>
        <w:tc>
          <w:tcPr>
            <w:tcW w:w="1475"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935" w:type="dxa"/>
            <w:tcBorders/>
            <w:shd w:fill="FFFFFF" w:val="clear"/>
            <w:vAlign w:val="center"/>
          </w:tcPr>
          <w:p>
            <w:pPr>
              <w:pStyle w:val="TableContents"/>
              <w:spacing w:before="0" w:after="283"/>
              <w:jc w:val="center"/>
              <w:rPr/>
            </w:pPr>
            <w:r>
              <w:rPr/>
              <w:t>—</w:t>
            </w:r>
          </w:p>
        </w:tc>
        <w:tc>
          <w:tcPr>
            <w:tcW w:w="60" w:type="dxa"/>
            <w:tcBorders/>
            <w:shd w:fill="FFFFFF" w:val="clear"/>
            <w:vAlign w:val="center"/>
          </w:tcPr>
          <w:p>
            <w:pPr>
              <w:pStyle w:val="TableContents"/>
              <w:spacing w:before="0" w:after="283"/>
              <w:rPr/>
            </w:pPr>
            <w:r>
              <w:rPr/>
              <w:t> </w:t>
            </w:r>
          </w:p>
        </w:tc>
        <w:tc>
          <w:tcPr>
            <w:tcW w:w="83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1115" w:type="dxa"/>
            <w:tcBorders/>
            <w:shd w:fill="FFFFFF" w:val="clear"/>
            <w:vAlign w:val="center"/>
          </w:tcPr>
          <w:p>
            <w:pPr>
              <w:pStyle w:val="TableContents"/>
              <w:spacing w:before="0" w:after="283"/>
              <w:jc w:val="center"/>
              <w:rPr/>
            </w:pPr>
            <w:r>
              <w:rPr/>
              <w:t>—</w:t>
            </w:r>
          </w:p>
        </w:tc>
        <w:tc>
          <w:tcPr>
            <w:tcW w:w="75"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40"/>
        <w:gridCol w:w="10027"/>
      </w:tblGrid>
      <w:tr>
        <w:trPr/>
        <w:tc>
          <w:tcPr>
            <w:tcW w:w="3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pPr>
            <w:r>
              <w:rPr/>
              <w:t>*</w:t>
            </w:r>
          </w:p>
        </w:tc>
        <w:tc>
          <w:tcPr>
            <w:tcW w:w="10027" w:type="dxa"/>
            <w:tcBorders/>
            <w:shd w:fill="auto" w:val="clear"/>
            <w:vAlign w:val="center"/>
          </w:tcPr>
          <w:p>
            <w:pPr>
              <w:pStyle w:val="TableContents"/>
              <w:spacing w:before="0" w:after="283"/>
              <w:rPr/>
            </w:pPr>
            <w:r>
              <w:rPr/>
              <w:t>Estimated for purposes of calculating the filing fee only. The transaction valuation was calculated as the product of (a) $8.65, the overall consideration per common unit (each, a “Common Unit”) representing a limited partner interest in GasLog Partners LP (the “Partnership”) to be received by holders of Common Units, and (b) 36,486,293, the number of Common Units (other than the Common Units held by GasLog Ltd. (“Parent”) or its affiliates (the “Sponsor Units”)) estimated to be outstanding immediately prior to the effective time (the “Effective Time”) of the proposed merger between the Partnership and Saturn Merger Sub LLC (“Merger Sub”) and to be acquired by Parent, which includes (i) 36,175,157 issued and outstanding Common Units (based on 51,796,759 issued and outstanding Common Units minus 15,621,602 Sponsor Units) and (ii) 311,136 Common Units that will become outstanding as a result of the cancellation and conversion of restricted common unit awards of the Partnership outstanding immediately prior to the Effective Time, as set forth in the Agreement and Plan of Merger, dated as of April 6, 2023, by and among the Partnership, GasLog GP LLC, Parent and Merger Sub. The calculation of the filing fee is based on information provided by the Partnership as of May 4, 2023.</w:t>
            </w:r>
          </w:p>
        </w:tc>
      </w:tr>
    </w:tbl>
    <w:p>
      <w:pPr>
        <w:pStyle w:val="TextBody"/>
        <w:spacing w:before="0" w:after="0"/>
        <w:ind w:left="551" w:right="63" w:hanging="437"/>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87"/>
        <w:gridCol w:w="9980"/>
      </w:tblGrid>
      <w:tr>
        <w:trPr/>
        <w:tc>
          <w:tcPr>
            <w:tcW w:w="38"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jc w:val="left"/>
              <w:rPr/>
            </w:pPr>
            <w:r>
              <w:rPr/>
              <w:t>**</w:t>
            </w:r>
          </w:p>
        </w:tc>
        <w:tc>
          <w:tcPr>
            <w:tcW w:w="9980" w:type="dxa"/>
            <w:tcBorders/>
            <w:shd w:fill="auto" w:val="clear"/>
            <w:vAlign w:val="center"/>
          </w:tcPr>
          <w:p>
            <w:pPr>
              <w:pStyle w:val="TableContents"/>
              <w:spacing w:before="0" w:after="283"/>
              <w:rPr/>
            </w:pPr>
            <w:r>
              <w:rPr/>
              <w:t>The filing fee was calculated in accordance with Rule 0-11 under the Securities Exchange Act of 1934, as amended, and Fee Rate Advisory for Fiscal Year 2023, effective on October 1, 2022, by multiplying the transaction valuation by 0.0001102.</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Symbol">
    <w:charset w:val="00"/>
    <w:family w:val="auto"/>
    <w:pitch w:val="default"/>
  </w:font>
  <w:font w:name="Arial">
    <w:charset w:val="00"/>
    <w:family w:val="auto"/>
    <w:pitch w:val="default"/>
  </w:font>
  <w:font w:name="Wingdings">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98655/000110465923042698/tm2311977d1_ex99-1.htm" TargetMode="External"/><Relationship Id="rId3" Type="http://schemas.openxmlformats.org/officeDocument/2006/relationships/hyperlink" Target="https://www.sec.gov/Archives/edgar/data/1598655/000110465923042698/tm2311977d1_ex99-1.htm" TargetMode="External"/><Relationship Id="rId4" Type="http://schemas.openxmlformats.org/officeDocument/2006/relationships/hyperlink" Target="https://www.sec.gov/Archives/edgar/data/1598655/000110465920090547/a20-22824_4ex3d2.htm" TargetMode="External"/><Relationship Id="rId5" Type="http://schemas.openxmlformats.org/officeDocument/2006/relationships/hyperlink" Target="https://www.sec.gov/Archives/edgar/data/1598655/000110465920090547/a20-22824_4ex3d2.htm"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image" Target="media/image11.jpeg"/><Relationship Id="rId17" Type="http://schemas.openxmlformats.org/officeDocument/2006/relationships/image" Target="media/image12.jpeg"/><Relationship Id="rId18" Type="http://schemas.openxmlformats.org/officeDocument/2006/relationships/image" Target="media/image13.jpeg"/><Relationship Id="rId19" Type="http://schemas.openxmlformats.org/officeDocument/2006/relationships/image" Target="media/image14.jpeg"/><Relationship Id="rId20" Type="http://schemas.openxmlformats.org/officeDocument/2006/relationships/image" Target="media/image15.jpeg"/><Relationship Id="rId21" Type="http://schemas.openxmlformats.org/officeDocument/2006/relationships/image" Target="media/image16.jpeg"/><Relationship Id="rId22" Type="http://schemas.openxmlformats.org/officeDocument/2006/relationships/image" Target="media/image17.jpeg"/><Relationship Id="rId23" Type="http://schemas.openxmlformats.org/officeDocument/2006/relationships/image" Target="media/image18.jpeg"/><Relationship Id="rId24" Type="http://schemas.openxmlformats.org/officeDocument/2006/relationships/image" Target="media/image19.jpeg"/><Relationship Id="rId25" Type="http://schemas.openxmlformats.org/officeDocument/2006/relationships/image" Target="media/image20.jpeg"/><Relationship Id="rId26" Type="http://schemas.openxmlformats.org/officeDocument/2006/relationships/image" Target="media/image21.jpeg"/><Relationship Id="rId27" Type="http://schemas.openxmlformats.org/officeDocument/2006/relationships/image" Target="media/image22.jpeg"/><Relationship Id="rId28" Type="http://schemas.openxmlformats.org/officeDocument/2006/relationships/image" Target="media/image23.jpeg"/><Relationship Id="rId29" Type="http://schemas.openxmlformats.org/officeDocument/2006/relationships/image" Target="media/image24.jpeg"/><Relationship Id="rId30" Type="http://schemas.openxmlformats.org/officeDocument/2006/relationships/image" Target="media/image25.jpeg"/><Relationship Id="rId31" Type="http://schemas.openxmlformats.org/officeDocument/2006/relationships/image" Target="media/image26.jpeg"/><Relationship Id="rId32" Type="http://schemas.openxmlformats.org/officeDocument/2006/relationships/image" Target="media/image27.jpeg"/><Relationship Id="rId33" Type="http://schemas.openxmlformats.org/officeDocument/2006/relationships/image" Target="media/image28.jpeg"/><Relationship Id="rId34" Type="http://schemas.openxmlformats.org/officeDocument/2006/relationships/image" Target="media/image29.jpeg"/><Relationship Id="rId35" Type="http://schemas.openxmlformats.org/officeDocument/2006/relationships/image" Target="media/image30.jpeg"/><Relationship Id="rId36" Type="http://schemas.openxmlformats.org/officeDocument/2006/relationships/image" Target="media/image31.jpeg"/><Relationship Id="rId37" Type="http://schemas.openxmlformats.org/officeDocument/2006/relationships/image" Target="media/image32.jpeg"/><Relationship Id="rId38" Type="http://schemas.openxmlformats.org/officeDocument/2006/relationships/image" Target="media/image33.jpeg"/><Relationship Id="rId39" Type="http://schemas.openxmlformats.org/officeDocument/2006/relationships/image" Target="media/image34.jpeg"/><Relationship Id="rId40" Type="http://schemas.openxmlformats.org/officeDocument/2006/relationships/image" Target="media/image35.jpeg"/><Relationship Id="rId41" Type="http://schemas.openxmlformats.org/officeDocument/2006/relationships/image" Target="media/image36.jpeg"/><Relationship Id="rId42" Type="http://schemas.openxmlformats.org/officeDocument/2006/relationships/image" Target="media/image37.jpeg"/><Relationship Id="rId43" Type="http://schemas.openxmlformats.org/officeDocument/2006/relationships/image" Target="media/image38.jpeg"/><Relationship Id="rId44" Type="http://schemas.openxmlformats.org/officeDocument/2006/relationships/image" Target="media/image39.jpeg"/><Relationship Id="rId45" Type="http://schemas.openxmlformats.org/officeDocument/2006/relationships/image" Target="media/image40.jpeg"/><Relationship Id="rId46" Type="http://schemas.openxmlformats.org/officeDocument/2006/relationships/image" Target="media/image41.jpeg"/><Relationship Id="rId47" Type="http://schemas.openxmlformats.org/officeDocument/2006/relationships/image" Target="media/image42.jpeg"/><Relationship Id="rId48" Type="http://schemas.openxmlformats.org/officeDocument/2006/relationships/image" Target="media/image43.jpeg"/><Relationship Id="rId49" Type="http://schemas.openxmlformats.org/officeDocument/2006/relationships/image" Target="media/image44.jpeg"/><Relationship Id="rId50" Type="http://schemas.openxmlformats.org/officeDocument/2006/relationships/image" Target="media/image45.jpeg"/><Relationship Id="rId51" Type="http://schemas.openxmlformats.org/officeDocument/2006/relationships/image" Target="media/image46.jpeg"/><Relationship Id="rId52" Type="http://schemas.openxmlformats.org/officeDocument/2006/relationships/image" Target="media/image47.jpeg"/><Relationship Id="rId53" Type="http://schemas.openxmlformats.org/officeDocument/2006/relationships/image" Target="media/image48.jpeg"/><Relationship Id="rId54" Type="http://schemas.openxmlformats.org/officeDocument/2006/relationships/image" Target="media/image49.jpeg"/><Relationship Id="rId55" Type="http://schemas.openxmlformats.org/officeDocument/2006/relationships/image" Target="media/image50.jpeg"/><Relationship Id="rId56" Type="http://schemas.openxmlformats.org/officeDocument/2006/relationships/image" Target="media/image51.jpeg"/><Relationship Id="rId57" Type="http://schemas.openxmlformats.org/officeDocument/2006/relationships/image" Target="media/image52.jpeg"/><Relationship Id="rId58" Type="http://schemas.openxmlformats.org/officeDocument/2006/relationships/image" Target="media/image53.jpeg"/><Relationship Id="rId59" Type="http://schemas.openxmlformats.org/officeDocument/2006/relationships/image" Target="media/image54.jpeg"/><Relationship Id="rId60" Type="http://schemas.openxmlformats.org/officeDocument/2006/relationships/image" Target="media/image55.jpeg"/><Relationship Id="rId61" Type="http://schemas.openxmlformats.org/officeDocument/2006/relationships/image" Target="media/image56.jpeg"/><Relationship Id="rId62" Type="http://schemas.openxmlformats.org/officeDocument/2006/relationships/image" Target="media/image57.jpeg"/><Relationship Id="rId63" Type="http://schemas.openxmlformats.org/officeDocument/2006/relationships/image" Target="media/image58.jpeg"/><Relationship Id="rId64" Type="http://schemas.openxmlformats.org/officeDocument/2006/relationships/image" Target="media/image59.jpeg"/><Relationship Id="rId65" Type="http://schemas.openxmlformats.org/officeDocument/2006/relationships/image" Target="media/image60.jpeg"/><Relationship Id="rId66" Type="http://schemas.openxmlformats.org/officeDocument/2006/relationships/image" Target="media/image61.jpeg"/><Relationship Id="rId67" Type="http://schemas.openxmlformats.org/officeDocument/2006/relationships/image" Target="media/image62.jpeg"/><Relationship Id="rId68" Type="http://schemas.openxmlformats.org/officeDocument/2006/relationships/image" Target="media/image63.jpeg"/><Relationship Id="rId69" Type="http://schemas.openxmlformats.org/officeDocument/2006/relationships/image" Target="media/image64.jpeg"/><Relationship Id="rId70" Type="http://schemas.openxmlformats.org/officeDocument/2006/relationships/image" Target="media/image65.jpeg"/><Relationship Id="rId71" Type="http://schemas.openxmlformats.org/officeDocument/2006/relationships/image" Target="media/image66.jpeg"/><Relationship Id="rId72" Type="http://schemas.openxmlformats.org/officeDocument/2006/relationships/image" Target="media/image67.jpeg"/><Relationship Id="rId73" Type="http://schemas.openxmlformats.org/officeDocument/2006/relationships/image" Target="media/image68.jpeg"/><Relationship Id="rId74" Type="http://schemas.openxmlformats.org/officeDocument/2006/relationships/image" Target="media/image69.jpeg"/><Relationship Id="rId75" Type="http://schemas.openxmlformats.org/officeDocument/2006/relationships/image" Target="media/image70.jpeg"/><Relationship Id="rId76" Type="http://schemas.openxmlformats.org/officeDocument/2006/relationships/image" Target="media/image71.jpeg"/><Relationship Id="rId77" Type="http://schemas.openxmlformats.org/officeDocument/2006/relationships/image" Target="media/image72.jpeg"/><Relationship Id="rId78" Type="http://schemas.openxmlformats.org/officeDocument/2006/relationships/image" Target="media/image73.jpeg"/><Relationship Id="rId79" Type="http://schemas.openxmlformats.org/officeDocument/2006/relationships/image" Target="media/image74.jpeg"/><Relationship Id="rId80" Type="http://schemas.openxmlformats.org/officeDocument/2006/relationships/image" Target="media/image75.jpeg"/><Relationship Id="rId81" Type="http://schemas.openxmlformats.org/officeDocument/2006/relationships/image" Target="media/image76.jpeg"/><Relationship Id="rId82" Type="http://schemas.openxmlformats.org/officeDocument/2006/relationships/image" Target="media/image77.jpeg"/><Relationship Id="rId83" Type="http://schemas.openxmlformats.org/officeDocument/2006/relationships/image" Target="media/image78.jpeg"/><Relationship Id="rId84" Type="http://schemas.openxmlformats.org/officeDocument/2006/relationships/image" Target="media/image79.jpeg"/><Relationship Id="rId85" Type="http://schemas.openxmlformats.org/officeDocument/2006/relationships/image" Target="media/image80.jpeg"/><Relationship Id="rId86" Type="http://schemas.openxmlformats.org/officeDocument/2006/relationships/image" Target="media/image81.jpeg"/><Relationship Id="rId87" Type="http://schemas.openxmlformats.org/officeDocument/2006/relationships/image" Target="media/image82.jpeg"/><Relationship Id="rId88" Type="http://schemas.openxmlformats.org/officeDocument/2006/relationships/image" Target="media/image83.jpeg"/><Relationship Id="rId89" Type="http://schemas.openxmlformats.org/officeDocument/2006/relationships/image" Target="media/image84.jpeg"/><Relationship Id="rId90" Type="http://schemas.openxmlformats.org/officeDocument/2006/relationships/image" Target="media/image85.jpeg"/><Relationship Id="rId91" Type="http://schemas.openxmlformats.org/officeDocument/2006/relationships/image" Target="media/image86.jpeg"/><Relationship Id="rId92" Type="http://schemas.openxmlformats.org/officeDocument/2006/relationships/image" Target="media/image87.jpeg"/><Relationship Id="rId93" Type="http://schemas.openxmlformats.org/officeDocument/2006/relationships/image" Target="media/image88.jpeg"/><Relationship Id="rId94" Type="http://schemas.openxmlformats.org/officeDocument/2006/relationships/image" Target="media/image89.jpeg"/><Relationship Id="rId95" Type="http://schemas.openxmlformats.org/officeDocument/2006/relationships/image" Target="media/image90.jpeg"/><Relationship Id="rId96" Type="http://schemas.openxmlformats.org/officeDocument/2006/relationships/image" Target="media/image91.jpeg"/><Relationship Id="rId97" Type="http://schemas.openxmlformats.org/officeDocument/2006/relationships/image" Target="media/image92.jpeg"/><Relationship Id="rId98" Type="http://schemas.openxmlformats.org/officeDocument/2006/relationships/image" Target="media/image93.jpeg"/><Relationship Id="rId99" Type="http://schemas.openxmlformats.org/officeDocument/2006/relationships/image" Target="media/image94.jpeg"/><Relationship Id="rId100" Type="http://schemas.openxmlformats.org/officeDocument/2006/relationships/image" Target="media/image95.jpeg"/><Relationship Id="rId101" Type="http://schemas.openxmlformats.org/officeDocument/2006/relationships/image" Target="media/image96.jpeg"/><Relationship Id="rId102" Type="http://schemas.openxmlformats.org/officeDocument/2006/relationships/image" Target="media/image97.jpeg"/><Relationship Id="rId103" Type="http://schemas.openxmlformats.org/officeDocument/2006/relationships/image" Target="media/image98.jpeg"/><Relationship Id="rId104" Type="http://schemas.openxmlformats.org/officeDocument/2006/relationships/image" Target="media/image99.jpeg"/><Relationship Id="rId105" Type="http://schemas.openxmlformats.org/officeDocument/2006/relationships/image" Target="media/image100.jpeg"/><Relationship Id="rId106" Type="http://schemas.openxmlformats.org/officeDocument/2006/relationships/image" Target="media/image101.jpeg"/><Relationship Id="rId107" Type="http://schemas.openxmlformats.org/officeDocument/2006/relationships/image" Target="media/image102.jpeg"/><Relationship Id="rId108" Type="http://schemas.openxmlformats.org/officeDocument/2006/relationships/image" Target="media/image103.jpeg"/><Relationship Id="rId109" Type="http://schemas.openxmlformats.org/officeDocument/2006/relationships/image" Target="media/image104.jpeg"/><Relationship Id="rId110" Type="http://schemas.openxmlformats.org/officeDocument/2006/relationships/image" Target="media/image105.jpeg"/><Relationship Id="rId111" Type="http://schemas.openxmlformats.org/officeDocument/2006/relationships/image" Target="media/image106.jpeg"/><Relationship Id="rId112" Type="http://schemas.openxmlformats.org/officeDocument/2006/relationships/image" Target="media/image107.jpeg"/><Relationship Id="rId113" Type="http://schemas.openxmlformats.org/officeDocument/2006/relationships/image" Target="media/image108.jpeg"/><Relationship Id="rId114" Type="http://schemas.openxmlformats.org/officeDocument/2006/relationships/image" Target="media/image109.jpeg"/><Relationship Id="rId115" Type="http://schemas.openxmlformats.org/officeDocument/2006/relationships/image" Target="media/image110.jpeg"/><Relationship Id="rId116" Type="http://schemas.openxmlformats.org/officeDocument/2006/relationships/image" Target="media/image111.jpeg"/><Relationship Id="rId117" Type="http://schemas.openxmlformats.org/officeDocument/2006/relationships/image" Target="media/image112.jpeg"/><Relationship Id="rId118" Type="http://schemas.openxmlformats.org/officeDocument/2006/relationships/image" Target="media/image113.jpeg"/><Relationship Id="rId119" Type="http://schemas.openxmlformats.org/officeDocument/2006/relationships/image" Target="media/image114.jpeg"/><Relationship Id="rId120" Type="http://schemas.openxmlformats.org/officeDocument/2006/relationships/image" Target="media/image115.jpeg"/><Relationship Id="rId121" Type="http://schemas.openxmlformats.org/officeDocument/2006/relationships/image" Target="media/image116.jpeg"/><Relationship Id="rId122" Type="http://schemas.openxmlformats.org/officeDocument/2006/relationships/image" Target="media/image117.jpeg"/><Relationship Id="rId123" Type="http://schemas.openxmlformats.org/officeDocument/2006/relationships/image" Target="media/image118.jpeg"/><Relationship Id="rId124" Type="http://schemas.openxmlformats.org/officeDocument/2006/relationships/image" Target="media/image119.jpeg"/><Relationship Id="rId125" Type="http://schemas.openxmlformats.org/officeDocument/2006/relationships/image" Target="media/image120.jpeg"/><Relationship Id="rId126" Type="http://schemas.openxmlformats.org/officeDocument/2006/relationships/image" Target="media/image121.jpeg"/><Relationship Id="rId127" Type="http://schemas.openxmlformats.org/officeDocument/2006/relationships/image" Target="media/image122.jpeg"/><Relationship Id="rId128" Type="http://schemas.openxmlformats.org/officeDocument/2006/relationships/image" Target="media/image123.jpeg"/><Relationship Id="rId129" Type="http://schemas.openxmlformats.org/officeDocument/2006/relationships/image" Target="media/image124.jpeg"/><Relationship Id="rId130" Type="http://schemas.openxmlformats.org/officeDocument/2006/relationships/image" Target="media/image125.jpeg"/><Relationship Id="rId131" Type="http://schemas.openxmlformats.org/officeDocument/2006/relationships/image" Target="media/image126.jpeg"/><Relationship Id="rId132" Type="http://schemas.openxmlformats.org/officeDocument/2006/relationships/image" Target="media/image127.jpeg"/><Relationship Id="rId133" Type="http://schemas.openxmlformats.org/officeDocument/2006/relationships/image" Target="media/image128.jpeg"/><Relationship Id="rId134" Type="http://schemas.openxmlformats.org/officeDocument/2006/relationships/image" Target="media/image129.jpeg"/><Relationship Id="rId135" Type="http://schemas.openxmlformats.org/officeDocument/2006/relationships/image" Target="media/image130.jpeg"/><Relationship Id="rId136" Type="http://schemas.openxmlformats.org/officeDocument/2006/relationships/image" Target="media/image131.jpeg"/><Relationship Id="rId137" Type="http://schemas.openxmlformats.org/officeDocument/2006/relationships/image" Target="media/image132.jpeg"/><Relationship Id="rId138" Type="http://schemas.openxmlformats.org/officeDocument/2006/relationships/image" Target="media/image133.jpeg"/><Relationship Id="rId139" Type="http://schemas.openxmlformats.org/officeDocument/2006/relationships/image" Target="media/image134.jpeg"/><Relationship Id="rId140" Type="http://schemas.openxmlformats.org/officeDocument/2006/relationships/image" Target="media/image135.jpeg"/><Relationship Id="rId141" Type="http://schemas.openxmlformats.org/officeDocument/2006/relationships/image" Target="media/image136.jpeg"/><Relationship Id="rId142" Type="http://schemas.openxmlformats.org/officeDocument/2006/relationships/image" Target="media/image137.jpeg"/><Relationship Id="rId143" Type="http://schemas.openxmlformats.org/officeDocument/2006/relationships/image" Target="media/image138.jpeg"/><Relationship Id="rId144" Type="http://schemas.openxmlformats.org/officeDocument/2006/relationships/image" Target="media/image139.jpeg"/><Relationship Id="rId145" Type="http://schemas.openxmlformats.org/officeDocument/2006/relationships/image" Target="media/image140.jpeg"/><Relationship Id="rId146" Type="http://schemas.openxmlformats.org/officeDocument/2006/relationships/image" Target="media/image141.jpeg"/><Relationship Id="rId147" Type="http://schemas.openxmlformats.org/officeDocument/2006/relationships/image" Target="media/image142.jpeg"/><Relationship Id="rId148" Type="http://schemas.openxmlformats.org/officeDocument/2006/relationships/image" Target="media/image143.jpeg"/><Relationship Id="rId149" Type="http://schemas.openxmlformats.org/officeDocument/2006/relationships/image" Target="media/image144.jpeg"/><Relationship Id="rId150" Type="http://schemas.openxmlformats.org/officeDocument/2006/relationships/image" Target="media/image145.jpeg"/><Relationship Id="rId151" Type="http://schemas.openxmlformats.org/officeDocument/2006/relationships/image" Target="media/image146.jpeg"/><Relationship Id="rId152" Type="http://schemas.openxmlformats.org/officeDocument/2006/relationships/image" Target="media/image147.jpeg"/><Relationship Id="rId153" Type="http://schemas.openxmlformats.org/officeDocument/2006/relationships/image" Target="media/image148.jpeg"/><Relationship Id="rId154" Type="http://schemas.openxmlformats.org/officeDocument/2006/relationships/image" Target="media/image149.jpeg"/><Relationship Id="rId155" Type="http://schemas.openxmlformats.org/officeDocument/2006/relationships/image" Target="media/image150.jpeg"/><Relationship Id="rId156" Type="http://schemas.openxmlformats.org/officeDocument/2006/relationships/image" Target="media/image151.jpeg"/><Relationship Id="rId157" Type="http://schemas.openxmlformats.org/officeDocument/2006/relationships/image" Target="media/image152.jpeg"/><Relationship Id="rId158" Type="http://schemas.openxmlformats.org/officeDocument/2006/relationships/image" Target="media/image153.jpeg"/><Relationship Id="rId159" Type="http://schemas.openxmlformats.org/officeDocument/2006/relationships/image" Target="media/image154.jpeg"/><Relationship Id="rId160" Type="http://schemas.openxmlformats.org/officeDocument/2006/relationships/image" Target="media/image155.jpeg"/><Relationship Id="rId161" Type="http://schemas.openxmlformats.org/officeDocument/2006/relationships/image" Target="media/image156.jpeg"/><Relationship Id="rId162" Type="http://schemas.openxmlformats.org/officeDocument/2006/relationships/image" Target="media/image157.jpeg"/><Relationship Id="rId163" Type="http://schemas.openxmlformats.org/officeDocument/2006/relationships/image" Target="media/image158.jpeg"/><Relationship Id="rId164" Type="http://schemas.openxmlformats.org/officeDocument/2006/relationships/image" Target="media/image159.jpeg"/><Relationship Id="rId165" Type="http://schemas.openxmlformats.org/officeDocument/2006/relationships/image" Target="media/image160.jpeg"/><Relationship Id="rId166" Type="http://schemas.openxmlformats.org/officeDocument/2006/relationships/image" Target="media/image161.jpeg"/><Relationship Id="rId167" Type="http://schemas.openxmlformats.org/officeDocument/2006/relationships/image" Target="media/image162.jpeg"/><Relationship Id="rId168" Type="http://schemas.openxmlformats.org/officeDocument/2006/relationships/image" Target="media/image163.jpeg"/><Relationship Id="rId169" Type="http://schemas.openxmlformats.org/officeDocument/2006/relationships/image" Target="media/image164.jpeg"/><Relationship Id="rId170" Type="http://schemas.openxmlformats.org/officeDocument/2006/relationships/image" Target="media/image165.jpeg"/><Relationship Id="rId171" Type="http://schemas.openxmlformats.org/officeDocument/2006/relationships/image" Target="media/image166.jpeg"/><Relationship Id="rId172" Type="http://schemas.openxmlformats.org/officeDocument/2006/relationships/image" Target="media/image167.jpeg"/><Relationship Id="rId173" Type="http://schemas.openxmlformats.org/officeDocument/2006/relationships/image" Target="media/image168.jpeg"/><Relationship Id="rId174" Type="http://schemas.openxmlformats.org/officeDocument/2006/relationships/image" Target="media/image169.jpeg"/><Relationship Id="rId175" Type="http://schemas.openxmlformats.org/officeDocument/2006/relationships/image" Target="media/image170.jpeg"/><Relationship Id="rId176" Type="http://schemas.openxmlformats.org/officeDocument/2006/relationships/image" Target="media/image171.jpeg"/><Relationship Id="rId177" Type="http://schemas.openxmlformats.org/officeDocument/2006/relationships/image" Target="media/image172.jpeg"/><Relationship Id="rId178" Type="http://schemas.openxmlformats.org/officeDocument/2006/relationships/image" Target="media/image173.jpeg"/><Relationship Id="rId179" Type="http://schemas.openxmlformats.org/officeDocument/2006/relationships/image" Target="media/image174.jpeg"/><Relationship Id="rId180" Type="http://schemas.openxmlformats.org/officeDocument/2006/relationships/image" Target="media/image175.jpeg"/><Relationship Id="rId181" Type="http://schemas.openxmlformats.org/officeDocument/2006/relationships/image" Target="media/image176.jpeg"/><Relationship Id="rId182" Type="http://schemas.openxmlformats.org/officeDocument/2006/relationships/image" Target="media/image177.jpeg"/><Relationship Id="rId183" Type="http://schemas.openxmlformats.org/officeDocument/2006/relationships/image" Target="media/image178.jpeg"/><Relationship Id="rId184" Type="http://schemas.openxmlformats.org/officeDocument/2006/relationships/image" Target="media/image179.jpeg"/><Relationship Id="rId185" Type="http://schemas.openxmlformats.org/officeDocument/2006/relationships/image" Target="media/image180.jpeg"/><Relationship Id="rId186" Type="http://schemas.openxmlformats.org/officeDocument/2006/relationships/image" Target="media/image181.jpeg"/><Relationship Id="rId187" Type="http://schemas.openxmlformats.org/officeDocument/2006/relationships/image" Target="media/image182.jpeg"/><Relationship Id="rId188" Type="http://schemas.openxmlformats.org/officeDocument/2006/relationships/image" Target="media/image183.jpeg"/><Relationship Id="rId189" Type="http://schemas.openxmlformats.org/officeDocument/2006/relationships/image" Target="media/image184.jpeg"/><Relationship Id="rId190" Type="http://schemas.openxmlformats.org/officeDocument/2006/relationships/image" Target="media/image185.jpeg"/><Relationship Id="rId191" Type="http://schemas.openxmlformats.org/officeDocument/2006/relationships/image" Target="media/image186.jpeg"/><Relationship Id="rId192" Type="http://schemas.openxmlformats.org/officeDocument/2006/relationships/image" Target="media/image187.jpeg"/><Relationship Id="rId193" Type="http://schemas.openxmlformats.org/officeDocument/2006/relationships/image" Target="media/image188.jpeg"/><Relationship Id="rId194" Type="http://schemas.openxmlformats.org/officeDocument/2006/relationships/image" Target="media/image189.jpeg"/><Relationship Id="rId195" Type="http://schemas.openxmlformats.org/officeDocument/2006/relationships/image" Target="media/image190.jpeg"/><Relationship Id="rId196" Type="http://schemas.openxmlformats.org/officeDocument/2006/relationships/image" Target="media/image191.jpeg"/><Relationship Id="rId197" Type="http://schemas.openxmlformats.org/officeDocument/2006/relationships/image" Target="media/image192.jpeg"/><Relationship Id="rId198" Type="http://schemas.openxmlformats.org/officeDocument/2006/relationships/image" Target="media/image193.jpeg"/><Relationship Id="rId199" Type="http://schemas.openxmlformats.org/officeDocument/2006/relationships/image" Target="media/image194.jpeg"/><Relationship Id="rId200" Type="http://schemas.openxmlformats.org/officeDocument/2006/relationships/image" Target="media/image195.jpeg"/><Relationship Id="rId201" Type="http://schemas.openxmlformats.org/officeDocument/2006/relationships/image" Target="media/image196.jpeg"/><Relationship Id="rId202" Type="http://schemas.openxmlformats.org/officeDocument/2006/relationships/image" Target="media/image197.jpeg"/><Relationship Id="rId203" Type="http://schemas.openxmlformats.org/officeDocument/2006/relationships/image" Target="media/image198.jpeg"/><Relationship Id="rId204" Type="http://schemas.openxmlformats.org/officeDocument/2006/relationships/image" Target="media/image199.jpeg"/><Relationship Id="rId205" Type="http://schemas.openxmlformats.org/officeDocument/2006/relationships/image" Target="media/image200.jpeg"/><Relationship Id="rId206" Type="http://schemas.openxmlformats.org/officeDocument/2006/relationships/image" Target="media/image201.jpeg"/><Relationship Id="rId207" Type="http://schemas.openxmlformats.org/officeDocument/2006/relationships/image" Target="media/image202.jpeg"/><Relationship Id="rId208" Type="http://schemas.openxmlformats.org/officeDocument/2006/relationships/image" Target="media/image203.jpeg"/><Relationship Id="rId209" Type="http://schemas.openxmlformats.org/officeDocument/2006/relationships/image" Target="media/image204.jpeg"/><Relationship Id="rId210" Type="http://schemas.openxmlformats.org/officeDocument/2006/relationships/image" Target="media/image205.jpeg"/><Relationship Id="rId211" Type="http://schemas.openxmlformats.org/officeDocument/2006/relationships/image" Target="media/image206.jpeg"/><Relationship Id="rId212" Type="http://schemas.openxmlformats.org/officeDocument/2006/relationships/image" Target="media/image207.jpeg"/><Relationship Id="rId213" Type="http://schemas.openxmlformats.org/officeDocument/2006/relationships/image" Target="media/image208.jpeg"/><Relationship Id="rId214" Type="http://schemas.openxmlformats.org/officeDocument/2006/relationships/image" Target="media/image209.jpeg"/><Relationship Id="rId215" Type="http://schemas.openxmlformats.org/officeDocument/2006/relationships/image" Target="media/image210.jpeg"/><Relationship Id="rId216" Type="http://schemas.openxmlformats.org/officeDocument/2006/relationships/image" Target="media/image211.jpeg"/><Relationship Id="rId217" Type="http://schemas.openxmlformats.org/officeDocument/2006/relationships/image" Target="media/image212.jpeg"/><Relationship Id="rId218" Type="http://schemas.openxmlformats.org/officeDocument/2006/relationships/image" Target="media/image213.jpeg"/><Relationship Id="rId219" Type="http://schemas.openxmlformats.org/officeDocument/2006/relationships/image" Target="media/image214.jpeg"/><Relationship Id="rId220" Type="http://schemas.openxmlformats.org/officeDocument/2006/relationships/image" Target="media/image215.jpeg"/><Relationship Id="rId221" Type="http://schemas.openxmlformats.org/officeDocument/2006/relationships/image" Target="media/image216.jpeg"/><Relationship Id="rId222" Type="http://schemas.openxmlformats.org/officeDocument/2006/relationships/image" Target="media/image217.jpeg"/><Relationship Id="rId223" Type="http://schemas.openxmlformats.org/officeDocument/2006/relationships/image" Target="media/image218.jpeg"/><Relationship Id="rId224" Type="http://schemas.openxmlformats.org/officeDocument/2006/relationships/image" Target="media/image219.jpeg"/><Relationship Id="rId225" Type="http://schemas.openxmlformats.org/officeDocument/2006/relationships/image" Target="media/image220.jpeg"/><Relationship Id="rId226" Type="http://schemas.openxmlformats.org/officeDocument/2006/relationships/image" Target="media/image221.jpeg"/><Relationship Id="rId227" Type="http://schemas.openxmlformats.org/officeDocument/2006/relationships/image" Target="media/image222.jpeg"/><Relationship Id="rId228" Type="http://schemas.openxmlformats.org/officeDocument/2006/relationships/image" Target="media/image223.jpeg"/><Relationship Id="rId229" Type="http://schemas.openxmlformats.org/officeDocument/2006/relationships/image" Target="media/image224.jpeg"/><Relationship Id="rId230" Type="http://schemas.openxmlformats.org/officeDocument/2006/relationships/image" Target="media/image225.jpeg"/><Relationship Id="rId231" Type="http://schemas.openxmlformats.org/officeDocument/2006/relationships/image" Target="media/image226.jpeg"/><Relationship Id="rId232" Type="http://schemas.openxmlformats.org/officeDocument/2006/relationships/image" Target="media/image227.jpeg"/><Relationship Id="rId233" Type="http://schemas.openxmlformats.org/officeDocument/2006/relationships/image" Target="media/image228.jpeg"/><Relationship Id="rId234" Type="http://schemas.openxmlformats.org/officeDocument/2006/relationships/image" Target="media/image229.jpeg"/><Relationship Id="rId235" Type="http://schemas.openxmlformats.org/officeDocument/2006/relationships/image" Target="media/image230.jpeg"/><Relationship Id="rId236" Type="http://schemas.openxmlformats.org/officeDocument/2006/relationships/image" Target="media/image231.jpeg"/><Relationship Id="rId237" Type="http://schemas.openxmlformats.org/officeDocument/2006/relationships/image" Target="media/image232.jpeg"/><Relationship Id="rId238" Type="http://schemas.openxmlformats.org/officeDocument/2006/relationships/image" Target="media/image233.jpeg"/><Relationship Id="rId239" Type="http://schemas.openxmlformats.org/officeDocument/2006/relationships/image" Target="media/image234.jpeg"/><Relationship Id="rId240" Type="http://schemas.openxmlformats.org/officeDocument/2006/relationships/image" Target="media/image235.jpeg"/><Relationship Id="rId241" Type="http://schemas.openxmlformats.org/officeDocument/2006/relationships/image" Target="media/image236.jpeg"/><Relationship Id="rId242" Type="http://schemas.openxmlformats.org/officeDocument/2006/relationships/image" Target="media/image237.jpeg"/><Relationship Id="rId243" Type="http://schemas.openxmlformats.org/officeDocument/2006/relationships/image" Target="media/image238.jpeg"/><Relationship Id="rId244" Type="http://schemas.openxmlformats.org/officeDocument/2006/relationships/image" Target="media/image239.jpeg"/><Relationship Id="rId245" Type="http://schemas.openxmlformats.org/officeDocument/2006/relationships/image" Target="media/image240.jpeg"/><Relationship Id="rId246" Type="http://schemas.openxmlformats.org/officeDocument/2006/relationships/image" Target="media/image241.jpeg"/><Relationship Id="rId247" Type="http://schemas.openxmlformats.org/officeDocument/2006/relationships/image" Target="media/image242.jpeg"/><Relationship Id="rId248" Type="http://schemas.openxmlformats.org/officeDocument/2006/relationships/image" Target="media/image243.jpeg"/><Relationship Id="rId249" Type="http://schemas.openxmlformats.org/officeDocument/2006/relationships/image" Target="media/image244.jpeg"/><Relationship Id="rId250" Type="http://schemas.openxmlformats.org/officeDocument/2006/relationships/image" Target="media/image245.jpeg"/><Relationship Id="rId251" Type="http://schemas.openxmlformats.org/officeDocument/2006/relationships/image" Target="media/image246.jpeg"/><Relationship Id="rId252" Type="http://schemas.openxmlformats.org/officeDocument/2006/relationships/image" Target="media/image247.jpeg"/><Relationship Id="rId253" Type="http://schemas.openxmlformats.org/officeDocument/2006/relationships/image" Target="media/image248.jpeg"/><Relationship Id="rId254" Type="http://schemas.openxmlformats.org/officeDocument/2006/relationships/image" Target="media/image249.jpeg"/><Relationship Id="rId255" Type="http://schemas.openxmlformats.org/officeDocument/2006/relationships/image" Target="media/image250.jpeg"/><Relationship Id="rId256" Type="http://schemas.openxmlformats.org/officeDocument/2006/relationships/image" Target="media/image251.jpeg"/><Relationship Id="rId257" Type="http://schemas.openxmlformats.org/officeDocument/2006/relationships/image" Target="media/image252.jpeg"/><Relationship Id="rId258" Type="http://schemas.openxmlformats.org/officeDocument/2006/relationships/image" Target="media/image253.jpeg"/><Relationship Id="rId259" Type="http://schemas.openxmlformats.org/officeDocument/2006/relationships/image" Target="media/image254.jpeg"/><Relationship Id="rId260" Type="http://schemas.openxmlformats.org/officeDocument/2006/relationships/image" Target="media/image255.jpeg"/><Relationship Id="rId261" Type="http://schemas.openxmlformats.org/officeDocument/2006/relationships/image" Target="media/image256.jpeg"/><Relationship Id="rId262" Type="http://schemas.openxmlformats.org/officeDocument/2006/relationships/image" Target="media/image257.jpeg"/><Relationship Id="rId263" Type="http://schemas.openxmlformats.org/officeDocument/2006/relationships/image" Target="media/image258.jpeg"/><Relationship Id="rId264" Type="http://schemas.openxmlformats.org/officeDocument/2006/relationships/image" Target="media/image259.jpeg"/><Relationship Id="rId265" Type="http://schemas.openxmlformats.org/officeDocument/2006/relationships/image" Target="media/image260.jpeg"/><Relationship Id="rId266" Type="http://schemas.openxmlformats.org/officeDocument/2006/relationships/image" Target="media/image261.jpeg"/><Relationship Id="rId267" Type="http://schemas.openxmlformats.org/officeDocument/2006/relationships/image" Target="media/image262.jpeg"/><Relationship Id="rId268" Type="http://schemas.openxmlformats.org/officeDocument/2006/relationships/image" Target="media/image263.jpeg"/><Relationship Id="rId269" Type="http://schemas.openxmlformats.org/officeDocument/2006/relationships/image" Target="media/image264.jpeg"/><Relationship Id="rId270" Type="http://schemas.openxmlformats.org/officeDocument/2006/relationships/image" Target="media/image265.jpeg"/><Relationship Id="rId271" Type="http://schemas.openxmlformats.org/officeDocument/2006/relationships/image" Target="media/image266.jpeg"/><Relationship Id="rId272" Type="http://schemas.openxmlformats.org/officeDocument/2006/relationships/image" Target="media/image267.jpeg"/><Relationship Id="rId273" Type="http://schemas.openxmlformats.org/officeDocument/2006/relationships/image" Target="media/image268.jpeg"/><Relationship Id="rId274" Type="http://schemas.openxmlformats.org/officeDocument/2006/relationships/image" Target="media/image269.jpeg"/><Relationship Id="rId275" Type="http://schemas.openxmlformats.org/officeDocument/2006/relationships/image" Target="media/image270.jpeg"/><Relationship Id="rId276" Type="http://schemas.openxmlformats.org/officeDocument/2006/relationships/image" Target="media/image271.jpeg"/><Relationship Id="rId277" Type="http://schemas.openxmlformats.org/officeDocument/2006/relationships/image" Target="media/image272.jpeg"/><Relationship Id="rId278" Type="http://schemas.openxmlformats.org/officeDocument/2006/relationships/image" Target="media/image273.jpeg"/><Relationship Id="rId279" Type="http://schemas.openxmlformats.org/officeDocument/2006/relationships/image" Target="media/image274.jpeg"/><Relationship Id="rId280" Type="http://schemas.openxmlformats.org/officeDocument/2006/relationships/image" Target="media/image275.jpeg"/><Relationship Id="rId281" Type="http://schemas.openxmlformats.org/officeDocument/2006/relationships/image" Target="media/image276.jpeg"/><Relationship Id="rId282" Type="http://schemas.openxmlformats.org/officeDocument/2006/relationships/image" Target="media/image277.jpeg"/><Relationship Id="rId283" Type="http://schemas.openxmlformats.org/officeDocument/2006/relationships/image" Target="media/image278.jpeg"/><Relationship Id="rId284" Type="http://schemas.openxmlformats.org/officeDocument/2006/relationships/image" Target="media/image279.jpeg"/><Relationship Id="rId285" Type="http://schemas.openxmlformats.org/officeDocument/2006/relationships/image" Target="media/image280.jpeg"/><Relationship Id="rId286" Type="http://schemas.openxmlformats.org/officeDocument/2006/relationships/image" Target="media/image281.jpeg"/><Relationship Id="rId287" Type="http://schemas.openxmlformats.org/officeDocument/2006/relationships/image" Target="media/image282.jpeg"/><Relationship Id="rId288" Type="http://schemas.openxmlformats.org/officeDocument/2006/relationships/image" Target="media/image283.jpeg"/><Relationship Id="rId289" Type="http://schemas.openxmlformats.org/officeDocument/2006/relationships/image" Target="media/image284.jpeg"/><Relationship Id="rId290" Type="http://schemas.openxmlformats.org/officeDocument/2006/relationships/image" Target="media/image285.jpeg"/><Relationship Id="rId291" Type="http://schemas.openxmlformats.org/officeDocument/2006/relationships/image" Target="media/image286.jpeg"/><Relationship Id="rId292" Type="http://schemas.openxmlformats.org/officeDocument/2006/relationships/image" Target="media/image287.jpeg"/><Relationship Id="rId293" Type="http://schemas.openxmlformats.org/officeDocument/2006/relationships/image" Target="media/image288.jpeg"/><Relationship Id="rId294" Type="http://schemas.openxmlformats.org/officeDocument/2006/relationships/image" Target="media/image289.jpeg"/><Relationship Id="rId295" Type="http://schemas.openxmlformats.org/officeDocument/2006/relationships/image" Target="media/image290.jpeg"/><Relationship Id="rId296" Type="http://schemas.openxmlformats.org/officeDocument/2006/relationships/image" Target="media/image291.jpeg"/><Relationship Id="rId297" Type="http://schemas.openxmlformats.org/officeDocument/2006/relationships/image" Target="media/image292.jpeg"/><Relationship Id="rId298" Type="http://schemas.openxmlformats.org/officeDocument/2006/relationships/image" Target="media/image293.jpeg"/><Relationship Id="rId299" Type="http://schemas.openxmlformats.org/officeDocument/2006/relationships/image" Target="media/image294.jpeg"/><Relationship Id="rId300" Type="http://schemas.openxmlformats.org/officeDocument/2006/relationships/image" Target="media/image295.jpeg"/><Relationship Id="rId301" Type="http://schemas.openxmlformats.org/officeDocument/2006/relationships/image" Target="media/image296.jpeg"/><Relationship Id="rId302" Type="http://schemas.openxmlformats.org/officeDocument/2006/relationships/image" Target="media/image297.jpeg"/><Relationship Id="rId303" Type="http://schemas.openxmlformats.org/officeDocument/2006/relationships/image" Target="media/image298.jpeg"/><Relationship Id="rId304" Type="http://schemas.openxmlformats.org/officeDocument/2006/relationships/image" Target="media/image299.jpeg"/><Relationship Id="rId305" Type="http://schemas.openxmlformats.org/officeDocument/2006/relationships/image" Target="media/image300.jpeg"/><Relationship Id="rId306" Type="http://schemas.openxmlformats.org/officeDocument/2006/relationships/image" Target="media/image301.jpeg"/><Relationship Id="rId307" Type="http://schemas.openxmlformats.org/officeDocument/2006/relationships/image" Target="media/image302.jpeg"/><Relationship Id="rId308" Type="http://schemas.openxmlformats.org/officeDocument/2006/relationships/image" Target="media/image303.jpeg"/><Relationship Id="rId309" Type="http://schemas.openxmlformats.org/officeDocument/2006/relationships/image" Target="media/image304.jpeg"/><Relationship Id="rId310" Type="http://schemas.openxmlformats.org/officeDocument/2006/relationships/image" Target="media/image305.jpeg"/><Relationship Id="rId311" Type="http://schemas.openxmlformats.org/officeDocument/2006/relationships/image" Target="media/image306.jpeg"/><Relationship Id="rId312" Type="http://schemas.openxmlformats.org/officeDocument/2006/relationships/image" Target="media/image307.jpeg"/><Relationship Id="rId313" Type="http://schemas.openxmlformats.org/officeDocument/2006/relationships/image" Target="media/image308.jpeg"/><Relationship Id="rId314" Type="http://schemas.openxmlformats.org/officeDocument/2006/relationships/image" Target="media/image309.jpeg"/><Relationship Id="rId315" Type="http://schemas.openxmlformats.org/officeDocument/2006/relationships/image" Target="media/image310.jpeg"/><Relationship Id="rId316" Type="http://schemas.openxmlformats.org/officeDocument/2006/relationships/image" Target="media/image311.jpeg"/><Relationship Id="rId317" Type="http://schemas.openxmlformats.org/officeDocument/2006/relationships/image" Target="media/image312.jpeg"/><Relationship Id="rId318" Type="http://schemas.openxmlformats.org/officeDocument/2006/relationships/image" Target="media/image313.jpeg"/><Relationship Id="rId319" Type="http://schemas.openxmlformats.org/officeDocument/2006/relationships/image" Target="media/image314.jpeg"/><Relationship Id="rId320" Type="http://schemas.openxmlformats.org/officeDocument/2006/relationships/image" Target="media/image315.jpeg"/><Relationship Id="rId321" Type="http://schemas.openxmlformats.org/officeDocument/2006/relationships/image" Target="media/image316.jpeg"/><Relationship Id="rId322" Type="http://schemas.openxmlformats.org/officeDocument/2006/relationships/fontTable" Target="fontTable.xml"/><Relationship Id="rId3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30</Pages>
  <Words>169131</Words>
  <CharactersWithSpaces>1079540</CharactersWithSpaces>
  <Paragraphs>9259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