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6"/>
          <w:szCs w:val="16"/>
          <w:b w:val="1"/>
          <w:bCs w:val="1"/>
          <w:color w:val="auto"/>
        </w:rPr>
        <w:t>REPORT OF FOREIGN PRIVATE ISSUER PURSUANT TO RULE 13a-16 OR 15d-16 UNDER THE SECURITIES EXCHANGE ACT OF 1934</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7940" w:type="dxa"/>
            <w:vAlign w:val="bottom"/>
          </w:tcPr>
          <w:p>
            <w:pPr>
              <w:jc w:val="center"/>
              <w:ind w:left="1312"/>
              <w:spacing w:after="0"/>
              <w:rPr>
                <w:sz w:val="20"/>
                <w:szCs w:val="20"/>
                <w:color w:val="auto"/>
              </w:rPr>
            </w:pPr>
            <w:r>
              <w:rPr>
                <w:rFonts w:ascii="Arial" w:cs="Arial" w:eastAsia="Arial" w:hAnsi="Arial"/>
                <w:sz w:val="18"/>
                <w:szCs w:val="18"/>
                <w:b w:val="1"/>
                <w:bCs w:val="1"/>
                <w:color w:val="auto"/>
                <w:w w:val="88"/>
              </w:rPr>
              <w:t>GasLog Partners LP</w:t>
            </w:r>
          </w:p>
        </w:tc>
        <w:tc>
          <w:tcPr>
            <w:tcW w:w="2440" w:type="dxa"/>
            <w:vAlign w:val="bottom"/>
          </w:tcPr>
          <w:p>
            <w:pPr>
              <w:spacing w:after="0"/>
              <w:rPr>
                <w:sz w:val="19"/>
                <w:szCs w:val="19"/>
                <w:color w:val="auto"/>
              </w:rPr>
            </w:pPr>
          </w:p>
        </w:tc>
      </w:tr>
      <w:tr>
        <w:trPr>
          <w:trHeight w:val="222"/>
        </w:trPr>
        <w:tc>
          <w:tcPr>
            <w:tcW w:w="1040" w:type="dxa"/>
            <w:vAlign w:val="bottom"/>
          </w:tcPr>
          <w:p>
            <w:pPr>
              <w:spacing w:after="0"/>
              <w:rPr>
                <w:sz w:val="19"/>
                <w:szCs w:val="19"/>
                <w:color w:val="auto"/>
              </w:rPr>
            </w:pPr>
          </w:p>
        </w:tc>
        <w:tc>
          <w:tcPr>
            <w:tcW w:w="7940" w:type="dxa"/>
            <w:vAlign w:val="bottom"/>
          </w:tcPr>
          <w:p>
            <w:pPr>
              <w:jc w:val="center"/>
              <w:ind w:left="1312"/>
              <w:spacing w:after="0"/>
              <w:rPr>
                <w:sz w:val="20"/>
                <w:szCs w:val="20"/>
                <w:color w:val="auto"/>
              </w:rPr>
            </w:pPr>
            <w:r>
              <w:rPr>
                <w:rFonts w:ascii="Arial" w:cs="Arial" w:eastAsia="Arial" w:hAnsi="Arial"/>
                <w:sz w:val="18"/>
                <w:szCs w:val="18"/>
                <w:color w:val="auto"/>
                <w:w w:val="89"/>
              </w:rPr>
              <w:t>(Translation of registrant's name into English)</w:t>
            </w:r>
          </w:p>
        </w:tc>
        <w:tc>
          <w:tcPr>
            <w:tcW w:w="2440" w:type="dxa"/>
            <w:vAlign w:val="bottom"/>
          </w:tcPr>
          <w:p>
            <w:pPr>
              <w:spacing w:after="0"/>
              <w:rPr>
                <w:sz w:val="19"/>
                <w:szCs w:val="19"/>
                <w:color w:val="auto"/>
              </w:rPr>
            </w:pPr>
          </w:p>
        </w:tc>
      </w:tr>
      <w:tr>
        <w:trPr>
          <w:trHeight w:val="426"/>
        </w:trPr>
        <w:tc>
          <w:tcPr>
            <w:tcW w:w="1040" w:type="dxa"/>
            <w:vAlign w:val="bottom"/>
          </w:tcPr>
          <w:p>
            <w:pPr>
              <w:spacing w:after="0"/>
              <w:rPr>
                <w:sz w:val="24"/>
                <w:szCs w:val="24"/>
                <w:color w:val="auto"/>
              </w:rPr>
            </w:pPr>
          </w:p>
        </w:tc>
        <w:tc>
          <w:tcPr>
            <w:tcW w:w="7940" w:type="dxa"/>
            <w:vAlign w:val="bottom"/>
          </w:tcPr>
          <w:p>
            <w:pPr>
              <w:jc w:val="center"/>
              <w:ind w:left="1312"/>
              <w:spacing w:after="0"/>
              <w:rPr>
                <w:sz w:val="20"/>
                <w:szCs w:val="20"/>
                <w:color w:val="auto"/>
              </w:rPr>
            </w:pPr>
            <w:r>
              <w:rPr>
                <w:rFonts w:ascii="Arial" w:cs="Arial" w:eastAsia="Arial" w:hAnsi="Arial"/>
                <w:sz w:val="18"/>
                <w:szCs w:val="18"/>
                <w:color w:val="auto"/>
                <w:w w:val="89"/>
              </w:rPr>
              <w:t>c/o GasLog Monaco S.A.M.</w:t>
            </w:r>
          </w:p>
        </w:tc>
        <w:tc>
          <w:tcPr>
            <w:tcW w:w="24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7940" w:type="dxa"/>
            <w:vAlign w:val="bottom"/>
          </w:tcPr>
          <w:p>
            <w:pPr>
              <w:jc w:val="center"/>
              <w:ind w:left="1332"/>
              <w:spacing w:after="0"/>
              <w:rPr>
                <w:sz w:val="20"/>
                <w:szCs w:val="20"/>
                <w:color w:val="auto"/>
              </w:rPr>
            </w:pPr>
            <w:r>
              <w:rPr>
                <w:rFonts w:ascii="Arial" w:cs="Arial" w:eastAsia="Arial" w:hAnsi="Arial"/>
                <w:sz w:val="18"/>
                <w:szCs w:val="18"/>
                <w:color w:val="auto"/>
                <w:w w:val="88"/>
              </w:rPr>
              <w:t>Gildo Pastor Center</w:t>
            </w:r>
          </w:p>
        </w:tc>
        <w:tc>
          <w:tcPr>
            <w:tcW w:w="24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940" w:type="dxa"/>
            <w:vAlign w:val="bottom"/>
          </w:tcPr>
          <w:p>
            <w:pPr>
              <w:jc w:val="center"/>
              <w:ind w:left="1312"/>
              <w:spacing w:after="0"/>
              <w:rPr>
                <w:sz w:val="20"/>
                <w:szCs w:val="20"/>
                <w:color w:val="auto"/>
              </w:rPr>
            </w:pPr>
            <w:r>
              <w:rPr>
                <w:rFonts w:ascii="Arial" w:cs="Arial" w:eastAsia="Arial" w:hAnsi="Arial"/>
                <w:sz w:val="18"/>
                <w:szCs w:val="18"/>
                <w:color w:val="auto"/>
                <w:w w:val="86"/>
              </w:rPr>
              <w:t>7 Rue du Gabian</w:t>
            </w:r>
          </w:p>
        </w:tc>
        <w:tc>
          <w:tcPr>
            <w:tcW w:w="24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940" w:type="dxa"/>
            <w:vAlign w:val="bottom"/>
          </w:tcPr>
          <w:p>
            <w:pPr>
              <w:jc w:val="center"/>
              <w:ind w:left="1312"/>
              <w:spacing w:after="0"/>
              <w:rPr>
                <w:sz w:val="20"/>
                <w:szCs w:val="20"/>
                <w:color w:val="auto"/>
              </w:rPr>
            </w:pPr>
            <w:r>
              <w:rPr>
                <w:rFonts w:ascii="Arial" w:cs="Arial" w:eastAsia="Arial" w:hAnsi="Arial"/>
                <w:sz w:val="18"/>
                <w:szCs w:val="18"/>
                <w:color w:val="auto"/>
                <w:w w:val="90"/>
              </w:rPr>
              <w:t>MC 98000, Monaco</w:t>
            </w:r>
          </w:p>
        </w:tc>
        <w:tc>
          <w:tcPr>
            <w:tcW w:w="2440" w:type="dxa"/>
            <w:vAlign w:val="bottom"/>
          </w:tcPr>
          <w:p>
            <w:pPr>
              <w:spacing w:after="0"/>
              <w:rPr>
                <w:sz w:val="18"/>
                <w:szCs w:val="18"/>
                <w:color w:val="auto"/>
              </w:rPr>
            </w:pPr>
          </w:p>
        </w:tc>
      </w:tr>
      <w:tr>
        <w:trPr>
          <w:trHeight w:val="222"/>
        </w:trPr>
        <w:tc>
          <w:tcPr>
            <w:tcW w:w="1040" w:type="dxa"/>
            <w:vAlign w:val="bottom"/>
          </w:tcPr>
          <w:p>
            <w:pPr>
              <w:spacing w:after="0"/>
              <w:rPr>
                <w:sz w:val="19"/>
                <w:szCs w:val="19"/>
                <w:color w:val="auto"/>
              </w:rPr>
            </w:pPr>
          </w:p>
        </w:tc>
        <w:tc>
          <w:tcPr>
            <w:tcW w:w="7940" w:type="dxa"/>
            <w:vAlign w:val="bottom"/>
          </w:tcPr>
          <w:p>
            <w:pPr>
              <w:jc w:val="center"/>
              <w:ind w:left="1332"/>
              <w:spacing w:after="0"/>
              <w:rPr>
                <w:sz w:val="20"/>
                <w:szCs w:val="20"/>
                <w:color w:val="auto"/>
              </w:rPr>
            </w:pPr>
            <w:r>
              <w:rPr>
                <w:rFonts w:ascii="Arial" w:cs="Arial" w:eastAsia="Arial" w:hAnsi="Arial"/>
                <w:sz w:val="18"/>
                <w:szCs w:val="18"/>
                <w:color w:val="auto"/>
                <w:w w:val="90"/>
              </w:rPr>
              <w:t>(Address of principal executive office)</w:t>
            </w:r>
          </w:p>
        </w:tc>
        <w:tc>
          <w:tcPr>
            <w:tcW w:w="2440" w:type="dxa"/>
            <w:vAlign w:val="bottom"/>
          </w:tcPr>
          <w:p>
            <w:pPr>
              <w:spacing w:after="0"/>
              <w:rPr>
                <w:sz w:val="19"/>
                <w:szCs w:val="19"/>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w w:val="97"/>
              </w:rPr>
              <w:t>Indicate by check mark whether the registrant files or will file annual reports under cover of Form 20-F or Form 40-F.</w:t>
            </w:r>
          </w:p>
        </w:tc>
        <w:tc>
          <w:tcPr>
            <w:tcW w:w="2440" w:type="dxa"/>
            <w:vAlign w:val="bottom"/>
          </w:tcPr>
          <w:p>
            <w:pPr>
              <w:spacing w:after="0"/>
              <w:rPr>
                <w:sz w:val="24"/>
                <w:szCs w:val="24"/>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Form 20-F</w:t>
            </w:r>
          </w:p>
        </w:tc>
        <w:tc>
          <w:tcPr>
            <w:tcW w:w="7940" w:type="dxa"/>
            <w:vAlign w:val="bottom"/>
          </w:tcPr>
          <w:p>
            <w:pPr>
              <w:ind w:left="300"/>
              <w:spacing w:after="0"/>
              <w:rPr>
                <w:sz w:val="20"/>
                <w:szCs w:val="20"/>
                <w:color w:val="auto"/>
              </w:rPr>
            </w:pPr>
            <w:r>
              <w:rPr>
                <w:rFonts w:ascii="Arial" w:cs="Arial" w:eastAsia="Arial" w:hAnsi="Arial"/>
                <w:sz w:val="18"/>
                <w:szCs w:val="18"/>
                <w:color w:val="auto"/>
              </w:rPr>
              <w:t>Form 40-F o</w:t>
            </w:r>
          </w:p>
        </w:tc>
        <w:tc>
          <w:tcPr>
            <w:tcW w:w="2440" w:type="dxa"/>
            <w:vAlign w:val="bottom"/>
          </w:tcPr>
          <w:p>
            <w:pPr>
              <w:spacing w:after="0"/>
              <w:rPr>
                <w:sz w:val="24"/>
                <w:szCs w:val="24"/>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101(b)(1):</w:t>
            </w:r>
          </w:p>
        </w:tc>
        <w:tc>
          <w:tcPr>
            <w:tcW w:w="2440" w:type="dxa"/>
            <w:vAlign w:val="bottom"/>
          </w:tcPr>
          <w:p>
            <w:pPr>
              <w:ind w:left="280"/>
              <w:spacing w:after="0"/>
              <w:rPr>
                <w:sz w:val="20"/>
                <w:szCs w:val="20"/>
                <w:color w:val="auto"/>
              </w:rPr>
            </w:pPr>
            <w:r>
              <w:rPr>
                <w:rFonts w:ascii="Arial" w:cs="Arial" w:eastAsia="Arial" w:hAnsi="Arial"/>
                <w:sz w:val="18"/>
                <w:szCs w:val="18"/>
                <w:color w:val="auto"/>
              </w:rPr>
              <w:t>o</w:t>
            </w: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101(b)(7):</w:t>
            </w:r>
          </w:p>
        </w:tc>
        <w:tc>
          <w:tcPr>
            <w:tcW w:w="2440" w:type="dxa"/>
            <w:vAlign w:val="bottom"/>
          </w:tcPr>
          <w:p>
            <w:pPr>
              <w:ind w:left="280"/>
              <w:spacing w:after="0"/>
              <w:rPr>
                <w:sz w:val="20"/>
                <w:szCs w:val="20"/>
                <w:color w:val="auto"/>
              </w:rPr>
            </w:pPr>
            <w:r>
              <w:rPr>
                <w:rFonts w:ascii="Arial" w:cs="Arial" w:eastAsia="Arial" w:hAnsi="Arial"/>
                <w:sz w:val="18"/>
                <w:szCs w:val="18"/>
                <w:color w:val="auto"/>
              </w:rPr>
              <w:t>o</w:t>
            </w:r>
          </w:p>
        </w:tc>
      </w:tr>
      <w:tr>
        <w:trPr>
          <w:trHeight w:val="228"/>
        </w:trPr>
        <w:tc>
          <w:tcPr>
            <w:tcW w:w="1040" w:type="dxa"/>
            <w:vAlign w:val="bottom"/>
            <w:tcBorders>
              <w:bottom w:val="single" w:sz="8" w:color="808080"/>
            </w:tcBorders>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-842010</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ind w:right="520" w:firstLine="351"/>
        <w:spacing w:after="0" w:line="268" w:lineRule="auto"/>
        <w:rPr>
          <w:sz w:val="20"/>
          <w:szCs w:val="20"/>
          <w:color w:val="auto"/>
        </w:rPr>
      </w:pPr>
      <w:r>
        <w:rPr>
          <w:rFonts w:ascii="Arial" w:cs="Arial" w:eastAsia="Arial" w:hAnsi="Arial"/>
          <w:sz w:val="18"/>
          <w:szCs w:val="18"/>
          <w:color w:val="auto"/>
        </w:rPr>
        <w:t>The press release issued by GasLog Partners LP on July 26, 2018 relating to its results for the three-month period ended June 30, 2018 and the related financial report are attached hereto as Exhibits 99.1 and 99.2, respectively.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Exhibit 99.2, including Appendix A thereto,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9460" w:type="dxa"/>
            <w:vAlign w:val="bottom"/>
          </w:tcPr>
          <w:p>
            <w:pPr>
              <w:ind w:left="3180"/>
              <w:spacing w:after="0"/>
              <w:rPr>
                <w:sz w:val="20"/>
                <w:szCs w:val="20"/>
                <w:color w:val="auto"/>
              </w:rPr>
            </w:pPr>
            <w:r>
              <w:rPr>
                <w:rFonts w:ascii="Arial" w:cs="Arial" w:eastAsia="Arial" w:hAnsi="Arial"/>
                <w:sz w:val="18"/>
                <w:szCs w:val="18"/>
                <w:color w:val="auto"/>
              </w:rPr>
              <w:t>EXHIBIT LIST</w:t>
            </w:r>
          </w:p>
        </w:tc>
      </w:tr>
      <w:tr>
        <w:trPr>
          <w:trHeight w:val="432"/>
        </w:trPr>
        <w:tc>
          <w:tcPr>
            <w:tcW w:w="1960" w:type="dxa"/>
            <w:vAlign w:val="bottom"/>
          </w:tcPr>
          <w:p>
            <w:pPr>
              <w:ind w:left="1140"/>
              <w:spacing w:after="0"/>
              <w:rPr>
                <w:sz w:val="20"/>
                <w:szCs w:val="20"/>
                <w:color w:val="auto"/>
              </w:rPr>
            </w:pPr>
            <w:r>
              <w:rPr>
                <w:rFonts w:ascii="Arial" w:cs="Arial" w:eastAsia="Arial" w:hAnsi="Arial"/>
                <w:sz w:val="18"/>
                <w:szCs w:val="18"/>
                <w:color w:val="auto"/>
              </w:rPr>
              <w:t>Exhibit</w:t>
            </w:r>
          </w:p>
        </w:tc>
        <w:tc>
          <w:tcPr>
            <w:tcW w:w="9460" w:type="dxa"/>
            <w:vAlign w:val="bottom"/>
          </w:tcPr>
          <w:p>
            <w:pPr>
              <w:ind w:left="140"/>
              <w:spacing w:after="0"/>
              <w:rPr>
                <w:sz w:val="20"/>
                <w:szCs w:val="20"/>
                <w:color w:val="auto"/>
              </w:rPr>
            </w:pPr>
            <w:r>
              <w:rPr>
                <w:rFonts w:ascii="Arial" w:cs="Arial" w:eastAsia="Arial" w:hAnsi="Arial"/>
                <w:sz w:val="18"/>
                <w:szCs w:val="18"/>
                <w:color w:val="auto"/>
              </w:rPr>
              <w:t>Description</w:t>
            </w:r>
          </w:p>
        </w:tc>
      </w:tr>
      <w:tr>
        <w:trPr>
          <w:trHeight w:val="648"/>
        </w:trPr>
        <w:tc>
          <w:tcPr>
            <w:tcW w:w="1960" w:type="dxa"/>
            <w:vAlign w:val="bottom"/>
          </w:tcPr>
          <w:p>
            <w:pPr>
              <w:ind w:left="1140"/>
              <w:spacing w:after="0"/>
              <w:rPr>
                <w:sz w:val="20"/>
                <w:szCs w:val="20"/>
                <w:color w:val="auto"/>
              </w:rPr>
            </w:pPr>
            <w:r>
              <w:rPr>
                <w:rFonts w:ascii="Arial" w:cs="Arial" w:eastAsia="Arial" w:hAnsi="Arial"/>
                <w:sz w:val="18"/>
                <w:szCs w:val="18"/>
                <w:color w:val="auto"/>
              </w:rPr>
              <w:t>99.1</w:t>
            </w:r>
          </w:p>
        </w:tc>
        <w:tc>
          <w:tcPr>
            <w:tcW w:w="9460" w:type="dxa"/>
            <w:vAlign w:val="bottom"/>
          </w:tcPr>
          <w:p>
            <w:pPr>
              <w:ind w:left="140"/>
              <w:spacing w:after="0"/>
              <w:rPr>
                <w:sz w:val="20"/>
                <w:szCs w:val="20"/>
                <w:color w:val="auto"/>
              </w:rPr>
            </w:pPr>
            <w:r>
              <w:rPr>
                <w:rFonts w:ascii="Arial" w:cs="Arial" w:eastAsia="Arial" w:hAnsi="Arial"/>
                <w:sz w:val="18"/>
                <w:szCs w:val="18"/>
                <w:color w:val="auto"/>
              </w:rPr>
              <w:t>Press Release dated July 26, 2018</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99.2</w:t>
            </w:r>
          </w:p>
        </w:tc>
        <w:tc>
          <w:tcPr>
            <w:tcW w:w="9460" w:type="dxa"/>
            <w:vAlign w:val="bottom"/>
          </w:tcPr>
          <w:p>
            <w:pPr>
              <w:ind w:left="140"/>
              <w:spacing w:after="0"/>
              <w:rPr>
                <w:sz w:val="20"/>
                <w:szCs w:val="20"/>
                <w:color w:val="auto"/>
              </w:rPr>
            </w:pPr>
            <w:r>
              <w:rPr>
                <w:rFonts w:ascii="Arial" w:cs="Arial" w:eastAsia="Arial" w:hAnsi="Arial"/>
                <w:sz w:val="18"/>
                <w:szCs w:val="18"/>
                <w:color w:val="auto"/>
              </w:rPr>
              <w:t>Financial Report for the Three and Six Months Ended June 30, 2018</w:t>
            </w:r>
          </w:p>
        </w:tc>
      </w:tr>
      <w:tr>
        <w:trPr>
          <w:trHeight w:val="459"/>
        </w:trPr>
        <w:tc>
          <w:tcPr>
            <w:tcW w:w="1960" w:type="dxa"/>
            <w:vAlign w:val="bottom"/>
          </w:tcPr>
          <w:p>
            <w:pPr>
              <w:spacing w:after="0"/>
              <w:rPr>
                <w:sz w:val="24"/>
                <w:szCs w:val="24"/>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r>
      <w:tr>
        <w:trPr>
          <w:trHeight w:val="459"/>
        </w:trPr>
        <w:tc>
          <w:tcPr>
            <w:tcW w:w="1960" w:type="dxa"/>
            <w:vAlign w:val="bottom"/>
          </w:tcPr>
          <w:p>
            <w:pPr>
              <w:spacing w:after="0"/>
              <w:rPr>
                <w:sz w:val="24"/>
                <w:szCs w:val="24"/>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Unaudited Condensed Consolidated Financial Statements</w:t>
            </w:r>
          </w:p>
        </w:tc>
      </w:tr>
      <w:tr>
        <w:trPr>
          <w:trHeight w:val="459"/>
        </w:trPr>
        <w:tc>
          <w:tcPr>
            <w:tcW w:w="1960" w:type="dxa"/>
            <w:vAlign w:val="bottom"/>
          </w:tcPr>
          <w:p>
            <w:pPr>
              <w:spacing w:after="0"/>
              <w:rPr>
                <w:sz w:val="24"/>
                <w:szCs w:val="24"/>
                <w:color w:val="auto"/>
              </w:rPr>
            </w:pPr>
          </w:p>
        </w:tc>
        <w:tc>
          <w:tcPr>
            <w:tcW w:w="9460" w:type="dxa"/>
            <w:vAlign w:val="bottom"/>
          </w:tcPr>
          <w:p>
            <w:pPr>
              <w:ind w:left="140"/>
              <w:spacing w:after="0"/>
              <w:rPr>
                <w:sz w:val="20"/>
                <w:szCs w:val="20"/>
                <w:color w:val="auto"/>
              </w:rPr>
            </w:pPr>
            <w:r>
              <w:rPr>
                <w:rFonts w:ascii="Arial" w:cs="Arial" w:eastAsia="Arial" w:hAnsi="Arial"/>
                <w:sz w:val="18"/>
                <w:szCs w:val="18"/>
                <w:color w:val="auto"/>
              </w:rPr>
              <w:t>Appendix A: Supplemental Non-GAAP Partnership Performance Information and Reconciliation Tables</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101.INS</w:t>
            </w:r>
          </w:p>
        </w:tc>
        <w:tc>
          <w:tcPr>
            <w:tcW w:w="94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101.SCH</w:t>
            </w:r>
          </w:p>
        </w:tc>
        <w:tc>
          <w:tcPr>
            <w:tcW w:w="9460" w:type="dxa"/>
            <w:vAlign w:val="bottom"/>
          </w:tcPr>
          <w:p>
            <w:pPr>
              <w:ind w:left="14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101.CAL</w:t>
            </w:r>
          </w:p>
        </w:tc>
        <w:tc>
          <w:tcPr>
            <w:tcW w:w="9460" w:type="dxa"/>
            <w:vAlign w:val="bottom"/>
          </w:tcPr>
          <w:p>
            <w:pPr>
              <w:ind w:left="140"/>
              <w:spacing w:after="0"/>
              <w:rPr>
                <w:sz w:val="20"/>
                <w:szCs w:val="20"/>
                <w:color w:val="auto"/>
              </w:rPr>
            </w:pPr>
            <w:r>
              <w:rPr>
                <w:rFonts w:ascii="Arial" w:cs="Arial" w:eastAsia="Arial" w:hAnsi="Arial"/>
                <w:sz w:val="18"/>
                <w:szCs w:val="18"/>
                <w:color w:val="auto"/>
              </w:rPr>
              <w:t>XBRL Taxonomy Extension Scheme Calculation Linkbase</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101.DEF</w:t>
            </w:r>
          </w:p>
        </w:tc>
        <w:tc>
          <w:tcPr>
            <w:tcW w:w="9460" w:type="dxa"/>
            <w:vAlign w:val="bottom"/>
          </w:tcPr>
          <w:p>
            <w:pPr>
              <w:ind w:left="140"/>
              <w:spacing w:after="0"/>
              <w:rPr>
                <w:sz w:val="20"/>
                <w:szCs w:val="20"/>
                <w:color w:val="auto"/>
              </w:rPr>
            </w:pPr>
            <w:r>
              <w:rPr>
                <w:rFonts w:ascii="Arial" w:cs="Arial" w:eastAsia="Arial" w:hAnsi="Arial"/>
                <w:sz w:val="18"/>
                <w:szCs w:val="18"/>
                <w:color w:val="auto"/>
              </w:rPr>
              <w:t>XBRL Taxonomy Extension Scheme Definition Linkbase</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101.LAB</w:t>
            </w:r>
          </w:p>
        </w:tc>
        <w:tc>
          <w:tcPr>
            <w:tcW w:w="9460" w:type="dxa"/>
            <w:vAlign w:val="bottom"/>
          </w:tcPr>
          <w:p>
            <w:pPr>
              <w:ind w:left="140"/>
              <w:spacing w:after="0"/>
              <w:rPr>
                <w:sz w:val="20"/>
                <w:szCs w:val="20"/>
                <w:color w:val="auto"/>
              </w:rPr>
            </w:pPr>
            <w:r>
              <w:rPr>
                <w:rFonts w:ascii="Arial" w:cs="Arial" w:eastAsia="Arial" w:hAnsi="Arial"/>
                <w:sz w:val="18"/>
                <w:szCs w:val="18"/>
                <w:color w:val="auto"/>
              </w:rPr>
              <w:t>XBRL Taxonomy Extension Scheme Label Linkbase</w:t>
            </w:r>
          </w:p>
        </w:tc>
      </w:tr>
      <w:tr>
        <w:trPr>
          <w:trHeight w:val="459"/>
        </w:trPr>
        <w:tc>
          <w:tcPr>
            <w:tcW w:w="1960" w:type="dxa"/>
            <w:vAlign w:val="bottom"/>
          </w:tcPr>
          <w:p>
            <w:pPr>
              <w:ind w:left="1140"/>
              <w:spacing w:after="0"/>
              <w:rPr>
                <w:sz w:val="20"/>
                <w:szCs w:val="20"/>
                <w:color w:val="auto"/>
              </w:rPr>
            </w:pPr>
            <w:r>
              <w:rPr>
                <w:rFonts w:ascii="Arial" w:cs="Arial" w:eastAsia="Arial" w:hAnsi="Arial"/>
                <w:sz w:val="18"/>
                <w:szCs w:val="18"/>
                <w:color w:val="auto"/>
              </w:rPr>
              <w:t>101.PRE</w:t>
            </w:r>
          </w:p>
        </w:tc>
        <w:tc>
          <w:tcPr>
            <w:tcW w:w="9460" w:type="dxa"/>
            <w:vAlign w:val="bottom"/>
          </w:tcPr>
          <w:p>
            <w:pPr>
              <w:ind w:left="140"/>
              <w:spacing w:after="0"/>
              <w:rPr>
                <w:sz w:val="20"/>
                <w:szCs w:val="20"/>
                <w:color w:val="auto"/>
              </w:rPr>
            </w:pPr>
            <w:r>
              <w:rPr>
                <w:rFonts w:ascii="Arial" w:cs="Arial" w:eastAsia="Arial" w:hAnsi="Arial"/>
                <w:sz w:val="18"/>
                <w:szCs w:val="18"/>
                <w:color w:val="auto"/>
              </w:rPr>
              <w:t>XBRL Taxonomy Extension Scheme Presentation Linkbase</w:t>
            </w:r>
          </w:p>
        </w:tc>
      </w:tr>
      <w:tr>
        <w:trPr>
          <w:trHeight w:val="432"/>
        </w:trPr>
        <w:tc>
          <w:tcPr>
            <w:tcW w:w="1960" w:type="dxa"/>
            <w:vAlign w:val="bottom"/>
          </w:tcPr>
          <w:p>
            <w:pPr>
              <w:spacing w:after="0"/>
              <w:rPr>
                <w:sz w:val="24"/>
                <w:szCs w:val="24"/>
                <w:color w:val="auto"/>
              </w:rPr>
            </w:pPr>
          </w:p>
        </w:tc>
        <w:tc>
          <w:tcPr>
            <w:tcW w:w="9460" w:type="dxa"/>
            <w:vAlign w:val="bottom"/>
          </w:tcPr>
          <w:p>
            <w:pPr>
              <w:ind w:left="3720"/>
              <w:spacing w:after="0"/>
              <w:rPr>
                <w:sz w:val="20"/>
                <w:szCs w:val="20"/>
                <w:color w:val="auto"/>
              </w:rPr>
            </w:pPr>
            <w:r>
              <w:rPr>
                <w:rFonts w:ascii="Arial" w:cs="Arial" w:eastAsia="Arial" w:hAnsi="Arial"/>
                <w:sz w:val="18"/>
                <w:szCs w:val="18"/>
                <w:color w:val="auto"/>
              </w:rPr>
              <w:t>2</w:t>
            </w:r>
          </w:p>
        </w:tc>
      </w:tr>
      <w:tr>
        <w:trPr>
          <w:trHeight w:val="228"/>
        </w:trPr>
        <w:tc>
          <w:tcPr>
            <w:tcW w:w="1960" w:type="dxa"/>
            <w:vAlign w:val="bottom"/>
            <w:tcBorders>
              <w:bottom w:val="single" w:sz="8" w:color="808080"/>
            </w:tcBorders>
          </w:tcPr>
          <w:p>
            <w:pPr>
              <w:spacing w:after="0"/>
              <w:rPr>
                <w:sz w:val="19"/>
                <w:szCs w:val="19"/>
                <w:color w:val="auto"/>
              </w:rPr>
            </w:pPr>
          </w:p>
        </w:tc>
        <w:tc>
          <w:tcPr>
            <w:tcW w:w="9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GASLOG PARTNERS LP</w:t>
      </w:r>
    </w:p>
    <w:p>
      <w:pPr>
        <w:spacing w:after="0" w:line="252" w:lineRule="exact"/>
        <w:rPr>
          <w:sz w:val="20"/>
          <w:szCs w:val="20"/>
          <w:color w:val="auto"/>
        </w:rPr>
      </w:pPr>
    </w:p>
    <w:tbl>
      <w:tblPr>
        <w:tblLayout w:type="fixed"/>
        <w:tblInd w:w="588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spacing w:after="0"/>
              <w:rPr>
                <w:sz w:val="20"/>
                <w:szCs w:val="20"/>
                <w:color w:val="auto"/>
              </w:rPr>
            </w:pPr>
            <w:r>
              <w:rPr>
                <w:rFonts w:ascii="Arial" w:cs="Arial" w:eastAsia="Arial" w:hAnsi="Arial"/>
                <w:sz w:val="18"/>
                <w:szCs w:val="18"/>
                <w:color w:val="auto"/>
              </w:rPr>
              <w:t>/s/ Andrew Orekar</w:t>
            </w:r>
          </w:p>
        </w:tc>
      </w:tr>
      <w:tr>
        <w:trPr>
          <w:trHeight w:val="97"/>
        </w:trPr>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4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Pr>
          <w:p>
            <w:pPr>
              <w:ind w:left="180"/>
              <w:spacing w:after="0"/>
              <w:rPr>
                <w:sz w:val="20"/>
                <w:szCs w:val="20"/>
                <w:color w:val="auto"/>
              </w:rPr>
            </w:pPr>
            <w:r>
              <w:rPr>
                <w:rFonts w:ascii="Arial" w:cs="Arial" w:eastAsia="Arial" w:hAnsi="Arial"/>
                <w:sz w:val="18"/>
                <w:szCs w:val="18"/>
                <w:color w:val="auto"/>
              </w:rPr>
              <w:t>Andrew Orekar</w:t>
            </w:r>
          </w:p>
        </w:tc>
      </w:tr>
      <w:tr>
        <w:trPr>
          <w:trHeight w:val="222"/>
        </w:trPr>
        <w:tc>
          <w:tcPr>
            <w:tcW w:w="4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bl>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INCORPORATION BY REFERENCE</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EXHIBIT LIST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4" w:name="page5"/>
    <w:bookmarkEnd w:id="4"/>
    <w:p>
      <w:pPr>
        <w:spacing w:after="0"/>
        <w:rPr>
          <w:rFonts w:ascii="Arial" w:cs="Arial" w:eastAsia="Arial" w:hAnsi="Arial"/>
          <w:sz w:val="22"/>
          <w:szCs w:val="22"/>
          <w:color w:val="0000EE"/>
        </w:rPr>
      </w:pPr>
      <w:hyperlink w:anchor="page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GasLog Partners LP Reports Financial Results for the Three-Month Period Ended June 30, 2018 and Declares Cash Distribution</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Monaco, July 26, 2018, GasLog Partners LP ("GasLog Partners" or the "Partnership") (NYSE: GLOP), </w:t>
      </w:r>
      <w:r>
        <w:rPr>
          <w:rFonts w:ascii="Arial" w:cs="Arial" w:eastAsia="Arial" w:hAnsi="Arial"/>
          <w:sz w:val="18"/>
          <w:szCs w:val="18"/>
          <w:color w:val="auto"/>
        </w:rPr>
        <w:t>an international owner and operator of liquefied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("LNG") carriers, today reported its financial results for the three-month period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45" w:lineRule="exact"/>
        <w:rPr>
          <w:sz w:val="20"/>
          <w:szCs w:val="20"/>
          <w:color w:val="auto"/>
        </w:rPr>
      </w:pPr>
    </w:p>
    <w:p>
      <w:pPr>
        <w:ind w:left="540" w:right="120" w:hanging="532"/>
        <w:spacing w:after="0" w:line="286"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Completed the acquisition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GasLog Ltd. ("GasLog") for $207.0 million, with attached multi-year charter to a subsidiary of Royal Dutch Shell plc ("Shell"). The acquisition was partially financed through the private issuance of $45.0 million of common units to GasLog.</w:t>
      </w:r>
    </w:p>
    <w:p>
      <w:pPr>
        <w:spacing w:after="0" w:line="20" w:lineRule="exact"/>
        <w:rPr>
          <w:rFonts w:ascii="Arial" w:cs="Arial" w:eastAsia="Arial" w:hAnsi="Arial"/>
          <w:sz w:val="16"/>
          <w:szCs w:val="16"/>
          <w:color w:val="auto"/>
        </w:rPr>
      </w:pPr>
    </w:p>
    <w:p>
      <w:pPr>
        <w:ind w:left="540" w:right="160" w:hanging="532"/>
        <w:spacing w:after="0" w:line="25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Announced new time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for 18 months with a wholly owned subsidiary of Cheniere Energy, Inc. ("Cheniere"), scheduled to commence between September and December 2018.</w:t>
      </w:r>
    </w:p>
    <w:p>
      <w:pPr>
        <w:spacing w:after="0" w:line="7" w:lineRule="exact"/>
        <w:rPr>
          <w:rFonts w:ascii="Arial" w:cs="Arial" w:eastAsia="Arial" w:hAnsi="Arial"/>
          <w:sz w:val="18"/>
          <w:szCs w:val="18"/>
          <w:color w:val="auto"/>
        </w:rPr>
      </w:pPr>
    </w:p>
    <w:p>
      <w:pPr>
        <w:ind w:left="540" w:right="660" w:hanging="532"/>
        <w:spacing w:after="0" w:line="25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dry-docking of and installation of reliquefaction modules on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thereby enhancing the commercial competitiveness of both vessels.</w:t>
      </w:r>
    </w:p>
    <w:p>
      <w:pPr>
        <w:ind w:left="540" w:hanging="532"/>
        <w:spacing w:after="0" w:line="186" w:lineRule="auto"/>
        <w:tabs>
          <w:tab w:leader="none" w:pos="54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Quarterly Revenues, Profit, Adjusted Profit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 EBITDA</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of $76.9 million, $23.8 million, $22.8 million and $55.0 million, respectively.</w:t>
      </w:r>
    </w:p>
    <w:p>
      <w:pPr>
        <w:ind w:left="540" w:right="780" w:hanging="532"/>
        <w:spacing w:after="0" w:line="190" w:lineRule="auto"/>
        <w:tabs>
          <w:tab w:leader="none" w:pos="54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Partnership Performance Results for Revenues</w:t>
      </w:r>
      <w:r>
        <w:rPr>
          <w:rFonts w:ascii="Arial" w:cs="Arial" w:eastAsia="Arial" w:hAnsi="Arial"/>
          <w:sz w:val="28"/>
          <w:szCs w:val="28"/>
          <w:color w:val="auto"/>
          <w:vertAlign w:val="superscript"/>
        </w:rPr>
        <w:t>(2)</w:t>
      </w:r>
      <w:r>
        <w:rPr>
          <w:rFonts w:ascii="Arial" w:cs="Arial" w:eastAsia="Arial" w:hAnsi="Arial"/>
          <w:sz w:val="17"/>
          <w:szCs w:val="17"/>
          <w:color w:val="auto"/>
        </w:rPr>
        <w:t>, Profit</w:t>
      </w:r>
      <w:r>
        <w:rPr>
          <w:rFonts w:ascii="Arial" w:cs="Arial" w:eastAsia="Arial" w:hAnsi="Arial"/>
          <w:sz w:val="28"/>
          <w:szCs w:val="28"/>
          <w:color w:val="auto"/>
          <w:vertAlign w:val="superscript"/>
        </w:rPr>
        <w:t>(2)</w:t>
      </w:r>
      <w:r>
        <w:rPr>
          <w:rFonts w:ascii="Arial" w:cs="Arial" w:eastAsia="Arial" w:hAnsi="Arial"/>
          <w:sz w:val="17"/>
          <w:szCs w:val="17"/>
          <w:color w:val="auto"/>
        </w:rPr>
        <w:t>, Adjusted Profit</w:t>
      </w:r>
      <w:r>
        <w:rPr>
          <w:rFonts w:ascii="Arial" w:cs="Arial" w:eastAsia="Arial" w:hAnsi="Arial"/>
          <w:sz w:val="28"/>
          <w:szCs w:val="28"/>
          <w:color w:val="auto"/>
          <w:vertAlign w:val="superscript"/>
        </w:rPr>
        <w:t>(1)(2)</w:t>
      </w:r>
      <w:r>
        <w:rPr>
          <w:rFonts w:ascii="Arial" w:cs="Arial" w:eastAsia="Arial" w:hAnsi="Arial"/>
          <w:sz w:val="17"/>
          <w:szCs w:val="17"/>
          <w:color w:val="auto"/>
        </w:rPr>
        <w:t>, EBITDA</w:t>
      </w:r>
      <w:r>
        <w:rPr>
          <w:rFonts w:ascii="Arial" w:cs="Arial" w:eastAsia="Arial" w:hAnsi="Arial"/>
          <w:sz w:val="28"/>
          <w:szCs w:val="28"/>
          <w:color w:val="auto"/>
          <w:vertAlign w:val="superscript"/>
        </w:rPr>
        <w:t>(1)(2)</w:t>
      </w:r>
      <w:r>
        <w:rPr>
          <w:rFonts w:ascii="Arial" w:cs="Arial" w:eastAsia="Arial" w:hAnsi="Arial"/>
          <w:sz w:val="17"/>
          <w:szCs w:val="17"/>
          <w:color w:val="auto"/>
        </w:rPr>
        <w:t xml:space="preserve"> and Distributable cash flow</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of $74.9 million, $22.9 million, $21.9 million, $53.3 million and $22.9 million, respectively.</w:t>
      </w:r>
    </w:p>
    <w:p>
      <w:pPr>
        <w:spacing w:after="0" w:line="8" w:lineRule="exact"/>
        <w:rPr>
          <w:rFonts w:ascii="Arial" w:cs="Arial" w:eastAsia="Arial" w:hAnsi="Arial"/>
          <w:sz w:val="34"/>
          <w:szCs w:val="34"/>
          <w:color w:val="auto"/>
          <w:vertAlign w:val="superscript"/>
        </w:rPr>
      </w:pPr>
    </w:p>
    <w:p>
      <w:pPr>
        <w:ind w:left="540" w:right="300" w:hanging="532"/>
        <w:spacing w:after="0" w:line="25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distribution of $0.53 per common unit for the second quarter of 2018, unchanged from the first quarter of 2018 and 3.9% higher than the second quarter of 2017.</w:t>
      </w:r>
    </w:p>
    <w:p>
      <w:pPr>
        <w:spacing w:after="0" w:line="8" w:lineRule="exact"/>
        <w:rPr>
          <w:rFonts w:ascii="Arial" w:cs="Arial" w:eastAsia="Arial" w:hAnsi="Arial"/>
          <w:sz w:val="18"/>
          <w:szCs w:val="18"/>
          <w:color w:val="auto"/>
        </w:rPr>
      </w:pPr>
    </w:p>
    <w:p>
      <w:pPr>
        <w:ind w:left="540" w:right="80" w:hanging="532"/>
        <w:spacing w:after="0" w:line="188" w:lineRule="auto"/>
        <w:tabs>
          <w:tab w:leader="none" w:pos="540" w:val="left"/>
        </w:tabs>
        <w:numPr>
          <w:ilvl w:val="0"/>
          <w:numId w:val="1"/>
        </w:numPr>
        <w:rPr>
          <w:rFonts w:ascii="Arial" w:cs="Arial" w:eastAsia="Arial" w:hAnsi="Arial"/>
          <w:sz w:val="35"/>
          <w:szCs w:val="35"/>
          <w:color w:val="auto"/>
          <w:vertAlign w:val="superscript"/>
        </w:rPr>
      </w:pPr>
      <w:r>
        <w:rPr>
          <w:rFonts w:ascii="Arial" w:cs="Arial" w:eastAsia="Arial" w:hAnsi="Arial"/>
          <w:sz w:val="18"/>
          <w:szCs w:val="18"/>
          <w:color w:val="auto"/>
        </w:rPr>
        <w:t>Distribution coverage ratio</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of 0.94x, or 1.18x adjusted distribution coverage ratio</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to reflect the impact on revenues of the scheduled dry-dockings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w:t>
      </w:r>
    </w:p>
    <w:p>
      <w:pPr>
        <w:spacing w:after="0" w:line="194" w:lineRule="exact"/>
        <w:rPr>
          <w:sz w:val="20"/>
          <w:szCs w:val="20"/>
          <w:color w:val="auto"/>
        </w:rPr>
      </w:pPr>
    </w:p>
    <w:p>
      <w:pPr>
        <w:ind w:left="540" w:right="320" w:hanging="532"/>
        <w:spacing w:after="0" w:line="220" w:lineRule="auto"/>
        <w:tabs>
          <w:tab w:leader="none" w:pos="540" w:val="left"/>
        </w:tabs>
        <w:numPr>
          <w:ilvl w:val="0"/>
          <w:numId w:val="2"/>
        </w:numPr>
        <w:rPr>
          <w:rFonts w:ascii="Arial" w:cs="Arial" w:eastAsia="Arial" w:hAnsi="Arial"/>
          <w:sz w:val="11"/>
          <w:szCs w:val="11"/>
          <w:color w:val="auto"/>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spacing w:after="0" w:line="1" w:lineRule="exact"/>
        <w:rPr>
          <w:rFonts w:ascii="Arial" w:cs="Arial" w:eastAsia="Arial" w:hAnsi="Arial"/>
          <w:sz w:val="11"/>
          <w:szCs w:val="11"/>
          <w:color w:val="auto"/>
        </w:rPr>
      </w:pPr>
    </w:p>
    <w:p>
      <w:pPr>
        <w:ind w:left="540" w:right="220" w:hanging="532"/>
        <w:spacing w:after="0" w:line="246" w:lineRule="auto"/>
        <w:tabs>
          <w:tab w:leader="none" w:pos="540" w:val="left"/>
        </w:tabs>
        <w:numPr>
          <w:ilvl w:val="0"/>
          <w:numId w:val="2"/>
        </w:numPr>
        <w:rPr>
          <w:rFonts w:ascii="Arial" w:cs="Arial" w:eastAsia="Arial" w:hAnsi="Arial"/>
          <w:sz w:val="10"/>
          <w:szCs w:val="10"/>
          <w:color w:val="auto"/>
        </w:rPr>
      </w:pPr>
      <w:r>
        <w:rPr>
          <w:rFonts w:ascii="Arial" w:cs="Arial" w:eastAsia="Arial" w:hAnsi="Arial"/>
          <w:sz w:val="12"/>
          <w:szCs w:val="12"/>
          <w:color w:val="auto"/>
        </w:rPr>
        <w:t>Partnership Performance Results represent the results attributable to GasLog Partners which are non-GAAP financial measures. For the definitions and reconciliations of these measures to the most directly comparable financial measures calculated and presented in accordance with IFRS, please refer to Exhibit II at the end of this press release.</w:t>
      </w:r>
    </w:p>
    <w:p>
      <w:pPr>
        <w:ind w:left="540" w:right="580" w:hanging="532"/>
        <w:spacing w:after="0" w:line="211" w:lineRule="auto"/>
        <w:tabs>
          <w:tab w:leader="none" w:pos="540" w:val="left"/>
        </w:tabs>
        <w:numPr>
          <w:ilvl w:val="0"/>
          <w:numId w:val="2"/>
        </w:numPr>
        <w:rPr>
          <w:rFonts w:ascii="Arial" w:cs="Arial" w:eastAsia="Arial" w:hAnsi="Arial"/>
          <w:sz w:val="11"/>
          <w:szCs w:val="11"/>
          <w:color w:val="auto"/>
        </w:rPr>
      </w:pPr>
      <w:r>
        <w:rPr>
          <w:rFonts w:ascii="Arial" w:cs="Arial" w:eastAsia="Arial" w:hAnsi="Arial"/>
          <w:sz w:val="14"/>
          <w:szCs w:val="14"/>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ind w:left="540" w:right="20" w:hanging="532"/>
        <w:spacing w:after="0" w:line="277" w:lineRule="auto"/>
        <w:tabs>
          <w:tab w:leader="none" w:pos="540" w:val="left"/>
        </w:tabs>
        <w:numPr>
          <w:ilvl w:val="0"/>
          <w:numId w:val="2"/>
        </w:numPr>
        <w:rPr>
          <w:rFonts w:ascii="Arial" w:cs="Arial" w:eastAsia="Arial" w:hAnsi="Arial"/>
          <w:sz w:val="10"/>
          <w:szCs w:val="10"/>
          <w:color w:val="auto"/>
        </w:rPr>
      </w:pPr>
      <w:r>
        <w:rPr>
          <w:rFonts w:ascii="Arial" w:cs="Arial" w:eastAsia="Arial" w:hAnsi="Arial"/>
          <w:sz w:val="12"/>
          <w:szCs w:val="12"/>
          <w:color w:val="auto"/>
        </w:rPr>
        <w:t xml:space="preserve">Adjusted distribution coverage ratio represents the ratio of Adjusted distributable cash flow to the cash distribution declared. Adjusted distributable cash flow is defined as Distributable cash flow after adjusting for the $5.8 million negative impact on revenues of the scheduled dry-dockings of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Sydney</w:t>
      </w:r>
      <w:r>
        <w:rPr>
          <w:rFonts w:ascii="Arial" w:cs="Arial" w:eastAsia="Arial" w:hAnsi="Arial"/>
          <w:sz w:val="12"/>
          <w:szCs w:val="12"/>
          <w:color w:val="auto"/>
        </w:rPr>
        <w:t>. For the definition and reconciliation of Distributable cash flow to the most directly comparable financial measure calculated and presented in accordance with IFRS, please refer to Exhibit III at the end of this press release.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Mr. Andrew Orekar, Chief Executive Officer, commented: "In the second quarter, GasLog Partners continued to execute our strategy, completing the accretive acquisition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agreeing to a firm 18-month time charter plus two six-month options with Cheniere for the </w:t>
      </w:r>
      <w:r>
        <w:rPr>
          <w:rFonts w:ascii="Arial" w:cs="Arial" w:eastAsia="Arial" w:hAnsi="Arial"/>
          <w:sz w:val="16"/>
          <w:szCs w:val="16"/>
          <w:i w:val="1"/>
          <w:iCs w:val="1"/>
          <w:color w:val="auto"/>
        </w:rPr>
        <w:t>GasLog Sydney</w:t>
      </w:r>
      <w:r>
        <w:rPr>
          <w:rFonts w:ascii="Arial" w:cs="Arial" w:eastAsia="Arial" w:hAnsi="Arial"/>
          <w:sz w:val="16"/>
          <w:szCs w:val="16"/>
          <w:color w:val="auto"/>
        </w:rPr>
        <w:t>. This charter is the Partnership's second agreement this year with a new, high-quality counterparty and increases our contracted days to 91% in both 2018 and 2019.</w:t>
      </w:r>
    </w:p>
    <w:p>
      <w:pPr>
        <w:spacing w:after="0" w:line="16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As previously communicated, the dry-dockings of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in the second quarter temporarily impacted our EBITDA and Distributable cash flow. As a result, we have elected to maintain our quarterly distribution at $0.53 per unit, or $2.12 per unit annualized. Adjusted for the impact of these scheduled dry-dockings, our distribution coverage ratio was 1.18x and in-line with our historical performance.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 w:name="page6"/>
    <w:bookmarkEnd w:id="5"/>
    <w:p>
      <w:pPr>
        <w:jc w:val="both"/>
        <w:ind w:right="160"/>
        <w:spacing w:after="0" w:line="259" w:lineRule="auto"/>
        <w:rPr>
          <w:sz w:val="20"/>
          <w:szCs w:val="20"/>
          <w:color w:val="auto"/>
        </w:rPr>
      </w:pPr>
      <w:r>
        <w:rPr>
          <w:rFonts w:ascii="Arial" w:cs="Arial" w:eastAsia="Arial" w:hAnsi="Arial"/>
          <w:sz w:val="18"/>
          <w:szCs w:val="18"/>
          <w:color w:val="auto"/>
        </w:rPr>
        <w:t xml:space="preserve">The outlook for LNG demand remains robust, underpinning a requirement for additional investment in liquefaction, regasification and shipping capacity. With current liquidity available to fund our next drop-down acquisition and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exposed to the anticipated strength in spot LNG shipping rates, we are reiterating our year-on-year distribution growth guidance of 5% to 7%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Charter Agreement</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On June 18, 2018, GasLog Partners entered into a new time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for 18 months with Cheniere Marketing International LLP, a wholly owned subsidiary of Cheniere, scheduled to commence between September and December 2018. The charterer has options to extend the charter for up to two consecutive periods of six months at escalating rates.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is a 155,000 cubic meter ("cbm") tri-fuel diesel electric ("TFDE") LNG carrier built in 2013 and currently on a multi-year time charter with a wholly owned subsidiary of Shell through September 2018. The vessel recently completed a scheduled dry-docking during which its commercial competitiveness was enhanced through the installation of a reliquefaction module.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in the Cool Pool</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On May 18, 2018,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which was established by GasLog, Dynagas Ltd. and Golar LNG Ltd. (the "Cool Pool") on October 1, 2015 to market their vessels operating in the LNG shipping spot market. The Cool Pool allows the participating owners to optimize the operation of the pool vessels through improved scheduling ability, cost efficiencies and common marketing. The objective of the Cool Pool is to serve the growing LNG market by providing customers with reliable, flexible, and innovative solutions to meet their increasingly complex shipping requirements. As of June 30, 2018, the Cool Pool consisted of 17 modern efficient TFDE LNG carriers in the 155-170,000 cbm range. The Cool Pool charters the vessels for periods up to one year in duration as agents for the owners, who each remain responsible for the technical and commercial operation of their vessels and performance of the contracts. During June and July 2018, Dynagas Ltd. removed its three vessels from the Cool Pool.</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Pool revenues and Voyage expenses and commissions are recognized on a gross basis and are included under Revenues and Voyage expenses and commissions, respectively. Pool revenues represent time charter revenues earned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under her spot charter agreements in the Cool Pool. Voyage expenses and commissions represent the broker commissions of the aforementioned spot charter agreements and the bunkers consumed during the vessel's unemployed periods. The Partnership's adjustment for the net pool allocation is included under Net pool allocation and represents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The formula takes into account gross revenues, voyage expenses and the number of days that each vessel participates in the pool.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Acquisition of the </w:t>
      </w:r>
      <w:r>
        <w:rPr>
          <w:rFonts w:ascii="Arial" w:cs="Arial" w:eastAsia="Arial" w:hAnsi="Arial"/>
          <w:sz w:val="18"/>
          <w:szCs w:val="18"/>
          <w:b w:val="1"/>
          <w:bCs w:val="1"/>
          <w:i w:val="1"/>
          <w:iCs w:val="1"/>
          <w:u w:val="single" w:color="auto"/>
          <w:color w:val="auto"/>
        </w:rPr>
        <w:t>GasLog Gibraltar</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On April 26, 2018, GasLog Partners acquired from GasLog 100% of the shares in the entity that owns and charters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is a 174,000 cbm TFDE LNG carrier built in 2016 and operated by GasLog since delivery. The vessel is currently on a multi-year time charter with a subsidiary of Shell through October 2023 and Shell has two consecutive extension options which, if exercised, would extend the charter for a period of either five or eight years.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purchase price for the acquisition was $207.0 million, which included $1.0 million for positive net working capital balances transferred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vessel. GasLog Partners financed the acquisition with cash on hand, including proceeds from the Series B Preference Units public offering in January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$45.0 million of new privately placed common units issued to GasLog (1,858,975 common units at a price of $24.21 per unit) and the assumption of the </w:t>
      </w:r>
      <w:r>
        <w:rPr>
          <w:rFonts w:ascii="Arial" w:cs="Arial" w:eastAsia="Arial" w:hAnsi="Arial"/>
          <w:sz w:val="16"/>
          <w:szCs w:val="16"/>
          <w:i w:val="1"/>
          <w:iCs w:val="1"/>
          <w:color w:val="auto"/>
        </w:rPr>
        <w:t>GasLog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Gibraltar</w:t>
      </w:r>
      <w:r>
        <w:rPr>
          <w:rFonts w:ascii="Arial" w:cs="Arial" w:eastAsia="Arial" w:hAnsi="Arial"/>
          <w:sz w:val="18"/>
          <w:szCs w:val="18"/>
          <w:color w:val="auto"/>
        </w:rPr>
        <w:t>'s outstanding indebtedness of $143.6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ATM Common Equity Offering Programme ("ATM Programme")</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ind w:right="100"/>
        <w:spacing w:after="0" w:line="298" w:lineRule="auto"/>
        <w:rPr>
          <w:sz w:val="20"/>
          <w:szCs w:val="20"/>
          <w:color w:val="auto"/>
        </w:rPr>
      </w:pPr>
      <w:r>
        <w:rPr>
          <w:rFonts w:ascii="Arial" w:cs="Arial" w:eastAsia="Arial" w:hAnsi="Arial"/>
          <w:sz w:val="16"/>
          <w:szCs w:val="16"/>
          <w:color w:val="auto"/>
        </w:rPr>
        <w:t>Since the commencement of the ATM Programme through June 30, 2018, GasLog Partners has issued and received payment for a total of 2,738,425 common units, with cumulative gross proceeds of $62.9 million at a weighted average price of $22.97 per unit, representing a discount of 0.5% to the volume weighted average trading price of GasLog Partners' common units on the days on which new common units were issued. In connection with the issuance of common units under the ATM Programme during this period, the Partnership also issued 55,887 general partner units to its general partner.</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second quarter of 2018, GasLog Partners issued and received payment for an additional 1,020 common units at a weighted average price of $24.25 per unit for gross and net proceeds of $0.02 million. In connection with this issuance of common units, the Partnership also issued 21 general partner units to its general partner in order for GasLog to retain its 2.0% general partner interest. As of June 30, 2018, the cumulative net proceeds from the ATM Programme and the issuance of general partner units were $63.4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gridSpan w:val="5"/>
          </w:tcPr>
          <w:p>
            <w:pPr>
              <w:spacing w:after="0"/>
              <w:rPr>
                <w:sz w:val="20"/>
                <w:szCs w:val="20"/>
                <w:color w:val="auto"/>
              </w:rPr>
            </w:pPr>
            <w:r>
              <w:rPr>
                <w:rFonts w:ascii="Arial" w:cs="Arial" w:eastAsia="Arial" w:hAnsi="Arial"/>
                <w:sz w:val="18"/>
                <w:szCs w:val="18"/>
                <w:b w:val="1"/>
                <w:bCs w:val="1"/>
                <w:color w:val="auto"/>
              </w:rPr>
              <w:t>Financial Summary</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93"/>
        </w:trPr>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8"/>
                <w:szCs w:val="18"/>
                <w:b w:val="1"/>
                <w:bCs w:val="1"/>
                <w:color w:val="auto"/>
                <w:w w:val="88"/>
              </w:rPr>
              <w:t>IFRS Common Control Reported Results</w:t>
            </w:r>
            <w:r>
              <w:rPr>
                <w:rFonts w:ascii="Arial" w:cs="Arial" w:eastAsia="Arial" w:hAnsi="Arial"/>
                <w:sz w:val="29"/>
                <w:szCs w:val="29"/>
                <w:b w:val="1"/>
                <w:bCs w:val="1"/>
                <w:color w:val="auto"/>
                <w:w w:val="88"/>
                <w:vertAlign w:val="superscript"/>
              </w:rPr>
              <w:t>(1)</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three months ended</w:t>
            </w:r>
          </w:p>
        </w:tc>
        <w:tc>
          <w:tcPr>
            <w:tcW w:w="18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 Change from</w:t>
            </w:r>
          </w:p>
        </w:tc>
        <w:tc>
          <w:tcPr>
            <w:tcW w:w="40" w:type="dxa"/>
            <w:vAlign w:val="bottom"/>
          </w:tcPr>
          <w:p>
            <w:pPr>
              <w:spacing w:after="0"/>
              <w:rPr>
                <w:sz w:val="18"/>
                <w:szCs w:val="18"/>
                <w:color w:val="auto"/>
              </w:rPr>
            </w:pPr>
          </w:p>
        </w:tc>
      </w:tr>
      <w:tr>
        <w:trPr>
          <w:trHeight w:val="195"/>
        </w:trPr>
        <w:tc>
          <w:tcPr>
            <w:tcW w:w="1140" w:type="dxa"/>
            <w:vAlign w:val="bottom"/>
          </w:tcPr>
          <w:p>
            <w:pPr>
              <w:spacing w:after="0"/>
              <w:rPr>
                <w:sz w:val="16"/>
                <w:szCs w:val="16"/>
                <w:color w:val="auto"/>
              </w:rPr>
            </w:pPr>
          </w:p>
        </w:tc>
        <w:tc>
          <w:tcPr>
            <w:tcW w:w="3600" w:type="dxa"/>
            <w:vAlign w:val="bottom"/>
            <w:gridSpan w:val="4"/>
          </w:tcPr>
          <w:p>
            <w:pPr>
              <w:spacing w:after="0" w:line="195" w:lineRule="exact"/>
              <w:rPr>
                <w:sz w:val="20"/>
                <w:szCs w:val="20"/>
                <w:color w:val="auto"/>
              </w:rPr>
            </w:pPr>
            <w:r>
              <w:rPr>
                <w:rFonts w:ascii="Arial" w:cs="Arial" w:eastAsia="Arial" w:hAnsi="Arial"/>
                <w:sz w:val="18"/>
                <w:szCs w:val="18"/>
                <w:b w:val="1"/>
                <w:bCs w:val="1"/>
                <w:i w:val="1"/>
                <w:iCs w:val="1"/>
                <w:color w:val="auto"/>
              </w:rPr>
              <w:t>(All amounts expressed in thousands of</w:t>
            </w:r>
          </w:p>
        </w:tc>
        <w:tc>
          <w:tcPr>
            <w:tcW w:w="960" w:type="dxa"/>
            <w:vAlign w:val="bottom"/>
          </w:tcPr>
          <w:p>
            <w:pPr>
              <w:jc w:val="right"/>
              <w:ind w:right="72"/>
              <w:spacing w:after="0" w:line="195"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March 31,</w:t>
            </w:r>
          </w:p>
        </w:tc>
        <w:tc>
          <w:tcPr>
            <w:tcW w:w="18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5"/>
              </w:rPr>
              <w:t>June 30,</w:t>
            </w:r>
          </w:p>
        </w:tc>
        <w:tc>
          <w:tcPr>
            <w:tcW w:w="180" w:type="dxa"/>
            <w:vAlign w:val="bottom"/>
          </w:tcPr>
          <w:p>
            <w:pPr>
              <w:spacing w:after="0"/>
              <w:rPr>
                <w:sz w:val="16"/>
                <w:szCs w:val="16"/>
                <w:color w:val="auto"/>
              </w:rPr>
            </w:pPr>
          </w:p>
        </w:tc>
        <w:tc>
          <w:tcPr>
            <w:tcW w:w="112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85"/>
              </w:rPr>
              <w:t>June 30,</w:t>
            </w:r>
          </w:p>
        </w:tc>
        <w:tc>
          <w:tcPr>
            <w:tcW w:w="960" w:type="dxa"/>
            <w:vAlign w:val="bottom"/>
          </w:tcPr>
          <w:p>
            <w:pPr>
              <w:jc w:val="right"/>
              <w:ind w:right="32"/>
              <w:spacing w:after="0" w:line="195" w:lineRule="exact"/>
              <w:rPr>
                <w:sz w:val="20"/>
                <w:szCs w:val="20"/>
                <w:color w:val="auto"/>
              </w:rPr>
            </w:pPr>
            <w:r>
              <w:rPr>
                <w:rFonts w:ascii="Arial" w:cs="Arial" w:eastAsia="Arial" w:hAnsi="Arial"/>
                <w:sz w:val="18"/>
                <w:szCs w:val="18"/>
                <w:b w:val="1"/>
                <w:bCs w:val="1"/>
                <w:color w:val="auto"/>
                <w:w w:val="98"/>
              </w:rPr>
              <w:t>March 31,</w:t>
            </w:r>
          </w:p>
        </w:tc>
        <w:tc>
          <w:tcPr>
            <w:tcW w:w="40" w:type="dxa"/>
            <w:vAlign w:val="bottom"/>
          </w:tcPr>
          <w:p>
            <w:pPr>
              <w:spacing w:after="0"/>
              <w:rPr>
                <w:sz w:val="16"/>
                <w:szCs w:val="16"/>
                <w:color w:val="auto"/>
              </w:rPr>
            </w:pPr>
          </w:p>
        </w:tc>
      </w:tr>
      <w:tr>
        <w:trPr>
          <w:trHeight w:val="229"/>
        </w:trPr>
        <w:tc>
          <w:tcPr>
            <w:tcW w:w="114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U.S. dollars)</w:t>
            </w: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112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9"/>
              </w:rPr>
              <w:t>2018</w:t>
            </w:r>
          </w:p>
        </w:tc>
        <w:tc>
          <w:tcPr>
            <w:tcW w:w="11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9"/>
                <w:szCs w:val="19"/>
                <w:color w:val="auto"/>
              </w:rPr>
            </w:pPr>
          </w:p>
        </w:tc>
      </w:tr>
      <w:tr>
        <w:trPr>
          <w:trHeight w:val="211"/>
        </w:trPr>
        <w:tc>
          <w:tcPr>
            <w:tcW w:w="1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2"/>
            <w:shd w:val="clear" w:color="auto" w:fill="E8FFFA"/>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84,351</w:t>
            </w:r>
          </w:p>
        </w:tc>
        <w:tc>
          <w:tcPr>
            <w:tcW w:w="180" w:type="dxa"/>
            <w:vAlign w:val="bottom"/>
            <w:shd w:val="clear" w:color="auto" w:fill="E8FFFA"/>
          </w:tcPr>
          <w:p>
            <w:pPr>
              <w:spacing w:after="0"/>
              <w:rPr>
                <w:sz w:val="18"/>
                <w:szCs w:val="18"/>
                <w:color w:val="auto"/>
              </w:rPr>
            </w:pPr>
          </w:p>
        </w:tc>
        <w:tc>
          <w:tcPr>
            <w:tcW w:w="9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76,934</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ind w:left="560"/>
              <w:spacing w:after="0"/>
              <w:rPr>
                <w:sz w:val="20"/>
                <w:szCs w:val="20"/>
                <w:color w:val="auto"/>
              </w:rPr>
            </w:pPr>
            <w:r>
              <w:rPr>
                <w:rFonts w:ascii="Arial" w:cs="Arial" w:eastAsia="Arial" w:hAnsi="Arial"/>
                <w:sz w:val="18"/>
                <w:szCs w:val="18"/>
                <w:color w:val="auto"/>
                <w:w w:val="79"/>
              </w:rPr>
              <w:t>(10%)</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Profit</w:t>
            </w:r>
          </w:p>
        </w:tc>
        <w:tc>
          <w:tcPr>
            <w:tcW w:w="960" w:type="dxa"/>
            <w:vAlign w:val="bottom"/>
          </w:tcPr>
          <w:p>
            <w:pPr>
              <w:jc w:val="right"/>
              <w:spacing w:after="0"/>
              <w:rPr>
                <w:sz w:val="20"/>
                <w:szCs w:val="20"/>
                <w:color w:val="auto"/>
              </w:rPr>
            </w:pPr>
            <w:r>
              <w:rPr>
                <w:rFonts w:ascii="Arial" w:cs="Arial" w:eastAsia="Arial" w:hAnsi="Arial"/>
                <w:sz w:val="18"/>
                <w:szCs w:val="18"/>
                <w:color w:val="auto"/>
              </w:rPr>
              <w:t>29,200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34,735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23,841</w:t>
            </w:r>
          </w:p>
        </w:tc>
        <w:tc>
          <w:tcPr>
            <w:tcW w:w="1300" w:type="dxa"/>
            <w:vAlign w:val="bottom"/>
            <w:gridSpan w:val="3"/>
          </w:tcPr>
          <w:p>
            <w:pPr>
              <w:ind w:left="740"/>
              <w:spacing w:after="0"/>
              <w:rPr>
                <w:sz w:val="20"/>
                <w:szCs w:val="20"/>
                <w:color w:val="auto"/>
              </w:rPr>
            </w:pPr>
            <w:r>
              <w:rPr>
                <w:rFonts w:ascii="Arial" w:cs="Arial" w:eastAsia="Arial" w:hAnsi="Arial"/>
                <w:sz w:val="18"/>
                <w:szCs w:val="18"/>
                <w:color w:val="auto"/>
              </w:rPr>
              <w:t>(18%)</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gridSpan w:val="3"/>
            <w:shd w:val="clear" w:color="auto" w:fill="E8FFFA"/>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(2)</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31,057</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29,265</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22,840</w:t>
            </w:r>
          </w:p>
        </w:tc>
        <w:tc>
          <w:tcPr>
            <w:tcW w:w="1300" w:type="dxa"/>
            <w:vAlign w:val="bottom"/>
            <w:gridSpan w:val="3"/>
            <w:shd w:val="clear" w:color="auto" w:fill="E8FFFA"/>
          </w:tcPr>
          <w:p>
            <w:pPr>
              <w:ind w:left="740"/>
              <w:spacing w:after="0"/>
              <w:rPr>
                <w:sz w:val="20"/>
                <w:szCs w:val="20"/>
                <w:color w:val="auto"/>
              </w:rPr>
            </w:pPr>
            <w:r>
              <w:rPr>
                <w:rFonts w:ascii="Arial" w:cs="Arial" w:eastAsia="Arial" w:hAnsi="Arial"/>
                <w:sz w:val="18"/>
                <w:szCs w:val="18"/>
                <w:color w:val="auto"/>
              </w:rPr>
              <w:t>(26%)</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r>
      <w:tr>
        <w:trPr>
          <w:trHeight w:val="38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64,515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61,459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54,992</w:t>
            </w:r>
          </w:p>
        </w:tc>
        <w:tc>
          <w:tcPr>
            <w:tcW w:w="1300" w:type="dxa"/>
            <w:vAlign w:val="bottom"/>
            <w:gridSpan w:val="3"/>
          </w:tcPr>
          <w:p>
            <w:pPr>
              <w:ind w:left="740"/>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pacing w:after="0" w:line="67" w:lineRule="exact"/>
        <w:rPr>
          <w:sz w:val="20"/>
          <w:szCs w:val="20"/>
          <w:color w:val="auto"/>
        </w:rPr>
      </w:pPr>
    </w:p>
    <w:p>
      <w:pPr>
        <w:ind w:left="2220" w:right="140" w:hanging="531"/>
        <w:spacing w:after="0" w:line="230" w:lineRule="auto"/>
        <w:tabs>
          <w:tab w:leader="none" w:pos="2220" w:val="left"/>
        </w:tabs>
        <w:numPr>
          <w:ilvl w:val="0"/>
          <w:numId w:val="3"/>
        </w:numPr>
        <w:rPr>
          <w:rFonts w:ascii="Arial" w:cs="Arial" w:eastAsia="Arial" w:hAnsi="Arial"/>
          <w:sz w:val="11"/>
          <w:szCs w:val="11"/>
          <w:color w:val="auto"/>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12" w:lineRule="exact"/>
        <w:rPr>
          <w:rFonts w:ascii="Arial" w:cs="Arial" w:eastAsia="Arial" w:hAnsi="Arial"/>
          <w:sz w:val="11"/>
          <w:szCs w:val="11"/>
          <w:color w:val="auto"/>
        </w:rPr>
      </w:pPr>
    </w:p>
    <w:p>
      <w:pPr>
        <w:ind w:left="2220" w:right="320" w:hanging="531"/>
        <w:spacing w:after="0" w:line="239" w:lineRule="auto"/>
        <w:tabs>
          <w:tab w:leader="none" w:pos="2220" w:val="left"/>
        </w:tabs>
        <w:numPr>
          <w:ilvl w:val="0"/>
          <w:numId w:val="3"/>
        </w:numPr>
        <w:rPr>
          <w:rFonts w:ascii="Arial" w:cs="Arial" w:eastAsia="Arial" w:hAnsi="Arial"/>
          <w:sz w:val="11"/>
          <w:szCs w:val="11"/>
          <w:color w:val="auto"/>
        </w:rPr>
      </w:pPr>
      <w:r>
        <w:rPr>
          <w:rFonts w:ascii="Arial" w:cs="Arial" w:eastAsia="Arial" w:hAnsi="Arial"/>
          <w:sz w:val="14"/>
          <w:szCs w:val="14"/>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19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The decrease in profit in the second quarter of 2018 as compared to the same period in 2017 is mainly attributable to decreased revenues due to two scheduled dry-dockings (with additional off-hire days required for the installation of a reliquefaction module on each vessel) and also due to the expiration of the time charter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her entering the spot market in May 2018 and an increase in administrative fees, partially offset by a decrease in loss on derivatives.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profit in the second quarter of 2018 as compared to the first quarter of 2018 is mainly attributable to decreased revenues due to two scheduled dry-dockings (with additional off-hire days required for the installation of a reliquefaction module on each vessel), partially offset by a decrease in loss on interest rate swaps.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8"/>
                <w:szCs w:val="18"/>
                <w:b w:val="1"/>
                <w:bCs w:val="1"/>
                <w:color w:val="auto"/>
                <w:w w:val="86"/>
              </w:rPr>
              <w:t>Partnership Performance Results</w:t>
            </w:r>
            <w:r>
              <w:rPr>
                <w:rFonts w:ascii="Arial" w:cs="Arial" w:eastAsia="Arial" w:hAnsi="Arial"/>
                <w:sz w:val="29"/>
                <w:szCs w:val="29"/>
                <w:b w:val="1"/>
                <w:bCs w:val="1"/>
                <w:color w:val="auto"/>
                <w:w w:val="86"/>
                <w:vertAlign w:val="superscript"/>
              </w:rPr>
              <w:t>(1)</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For the three months ended</w:t>
            </w:r>
          </w:p>
        </w:tc>
        <w:tc>
          <w:tcPr>
            <w:tcW w:w="18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 Change from</w:t>
            </w:r>
          </w:p>
        </w:tc>
        <w:tc>
          <w:tcPr>
            <w:tcW w:w="40" w:type="dxa"/>
            <w:vAlign w:val="bottom"/>
          </w:tcPr>
          <w:p>
            <w:pPr>
              <w:spacing w:after="0"/>
              <w:rPr>
                <w:sz w:val="18"/>
                <w:szCs w:val="18"/>
                <w:color w:val="auto"/>
              </w:rPr>
            </w:pPr>
          </w:p>
        </w:tc>
      </w:tr>
      <w:tr>
        <w:trPr>
          <w:trHeight w:val="195"/>
        </w:trPr>
        <w:tc>
          <w:tcPr>
            <w:tcW w:w="3600" w:type="dxa"/>
            <w:vAlign w:val="bottom"/>
            <w:gridSpan w:val="3"/>
          </w:tcPr>
          <w:p>
            <w:pPr>
              <w:spacing w:after="0" w:line="195" w:lineRule="exact"/>
              <w:rPr>
                <w:sz w:val="20"/>
                <w:szCs w:val="20"/>
                <w:color w:val="auto"/>
              </w:rPr>
            </w:pPr>
            <w:r>
              <w:rPr>
                <w:rFonts w:ascii="Arial" w:cs="Arial" w:eastAsia="Arial" w:hAnsi="Arial"/>
                <w:sz w:val="18"/>
                <w:szCs w:val="18"/>
                <w:b w:val="1"/>
                <w:bCs w:val="1"/>
                <w:i w:val="1"/>
                <w:iCs w:val="1"/>
                <w:color w:val="auto"/>
              </w:rPr>
              <w:t>(All amounts expressed in thousands of</w:t>
            </w:r>
          </w:p>
        </w:tc>
        <w:tc>
          <w:tcPr>
            <w:tcW w:w="960" w:type="dxa"/>
            <w:vAlign w:val="bottom"/>
          </w:tcPr>
          <w:p>
            <w:pPr>
              <w:jc w:val="right"/>
              <w:ind w:right="72"/>
              <w:spacing w:after="0" w:line="195"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March 31,</w:t>
            </w:r>
          </w:p>
        </w:tc>
        <w:tc>
          <w:tcPr>
            <w:tcW w:w="18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5"/>
              </w:rPr>
              <w:t>June 30,</w:t>
            </w:r>
          </w:p>
        </w:tc>
        <w:tc>
          <w:tcPr>
            <w:tcW w:w="180" w:type="dxa"/>
            <w:vAlign w:val="bottom"/>
          </w:tcPr>
          <w:p>
            <w:pPr>
              <w:spacing w:after="0"/>
              <w:rPr>
                <w:sz w:val="16"/>
                <w:szCs w:val="16"/>
                <w:color w:val="auto"/>
              </w:rPr>
            </w:pPr>
          </w:p>
        </w:tc>
        <w:tc>
          <w:tcPr>
            <w:tcW w:w="1120" w:type="dxa"/>
            <w:vAlign w:val="bottom"/>
            <w:gridSpan w:val="2"/>
          </w:tcPr>
          <w:p>
            <w:pPr>
              <w:jc w:val="right"/>
              <w:ind w:right="340"/>
              <w:spacing w:after="0" w:line="195" w:lineRule="exact"/>
              <w:rPr>
                <w:sz w:val="20"/>
                <w:szCs w:val="20"/>
                <w:color w:val="auto"/>
              </w:rPr>
            </w:pPr>
            <w:r>
              <w:rPr>
                <w:rFonts w:ascii="Arial" w:cs="Arial" w:eastAsia="Arial" w:hAnsi="Arial"/>
                <w:sz w:val="18"/>
                <w:szCs w:val="18"/>
                <w:b w:val="1"/>
                <w:bCs w:val="1"/>
                <w:color w:val="auto"/>
              </w:rPr>
              <w:t>June 30,</w:t>
            </w:r>
          </w:p>
        </w:tc>
        <w:tc>
          <w:tcPr>
            <w:tcW w:w="960" w:type="dxa"/>
            <w:vAlign w:val="bottom"/>
          </w:tcPr>
          <w:p>
            <w:pPr>
              <w:jc w:val="right"/>
              <w:ind w:right="32"/>
              <w:spacing w:after="0" w:line="195" w:lineRule="exact"/>
              <w:rPr>
                <w:sz w:val="20"/>
                <w:szCs w:val="20"/>
                <w:color w:val="auto"/>
              </w:rPr>
            </w:pPr>
            <w:r>
              <w:rPr>
                <w:rFonts w:ascii="Arial" w:cs="Arial" w:eastAsia="Arial" w:hAnsi="Arial"/>
                <w:sz w:val="18"/>
                <w:szCs w:val="18"/>
                <w:b w:val="1"/>
                <w:bCs w:val="1"/>
                <w:color w:val="auto"/>
                <w:w w:val="98"/>
              </w:rPr>
              <w:t>March 31,</w:t>
            </w:r>
          </w:p>
        </w:tc>
        <w:tc>
          <w:tcPr>
            <w:tcW w:w="40" w:type="dxa"/>
            <w:vAlign w:val="bottom"/>
          </w:tcPr>
          <w:p>
            <w:pPr>
              <w:spacing w:after="0"/>
              <w:rPr>
                <w:sz w:val="16"/>
                <w:szCs w:val="16"/>
                <w:color w:val="auto"/>
              </w:rPr>
            </w:pPr>
          </w:p>
        </w:tc>
      </w:tr>
      <w:tr>
        <w:trPr>
          <w:trHeight w:val="229"/>
        </w:trPr>
        <w:tc>
          <w:tcPr>
            <w:tcW w:w="3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U.S. dollars)</w:t>
            </w: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112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9"/>
              </w:rPr>
              <w:t>2018</w:t>
            </w:r>
          </w:p>
        </w:tc>
        <w:tc>
          <w:tcPr>
            <w:tcW w:w="11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9"/>
                <w:szCs w:val="19"/>
                <w:color w:val="auto"/>
              </w:rPr>
            </w:pPr>
          </w:p>
        </w:tc>
      </w:tr>
      <w:tr>
        <w:trPr>
          <w:trHeight w:val="211"/>
        </w:trPr>
        <w:tc>
          <w:tcPr>
            <w:tcW w:w="2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shd w:val="clear" w:color="auto" w:fill="E8FFFA"/>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62,582</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77,061</w:t>
            </w:r>
          </w:p>
        </w:tc>
        <w:tc>
          <w:tcPr>
            <w:tcW w:w="180" w:type="dxa"/>
            <w:vAlign w:val="bottom"/>
            <w:shd w:val="clear" w:color="auto" w:fill="E8FFFA"/>
          </w:tcPr>
          <w:p>
            <w:pPr>
              <w:spacing w:after="0"/>
              <w:rPr>
                <w:sz w:val="18"/>
                <w:szCs w:val="18"/>
                <w:color w:val="auto"/>
              </w:rPr>
            </w:pPr>
          </w:p>
        </w:tc>
        <w:tc>
          <w:tcPr>
            <w:tcW w:w="9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74,909</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Profit</w:t>
            </w:r>
          </w:p>
        </w:tc>
        <w:tc>
          <w:tcPr>
            <w:tcW w:w="960" w:type="dxa"/>
            <w:vAlign w:val="bottom"/>
          </w:tcPr>
          <w:p>
            <w:pPr>
              <w:jc w:val="right"/>
              <w:spacing w:after="0"/>
              <w:rPr>
                <w:sz w:val="20"/>
                <w:szCs w:val="20"/>
                <w:color w:val="auto"/>
              </w:rPr>
            </w:pPr>
            <w:r>
              <w:rPr>
                <w:rFonts w:ascii="Arial" w:cs="Arial" w:eastAsia="Arial" w:hAnsi="Arial"/>
                <w:sz w:val="18"/>
                <w:szCs w:val="18"/>
                <w:color w:val="auto"/>
              </w:rPr>
              <w:t>19,358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32,002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22,901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580" w:type="dxa"/>
            <w:vAlign w:val="bottom"/>
            <w:gridSpan w:val="2"/>
            <w:shd w:val="clear" w:color="auto" w:fill="E8FFFA"/>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(2)</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21,215</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26,532</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21,900</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E8FFFA"/>
          </w:tcPr>
          <w:p>
            <w:pPr>
              <w:spacing w:after="0"/>
              <w:rPr>
                <w:sz w:val="22"/>
                <w:szCs w:val="22"/>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8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45,220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55,830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53,260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20" w:type="dxa"/>
            <w:vAlign w:val="bottom"/>
          </w:tcPr>
          <w:p>
            <w:pPr>
              <w:spacing w:after="0"/>
              <w:rPr>
                <w:sz w:val="22"/>
                <w:szCs w:val="22"/>
                <w:color w:val="auto"/>
              </w:rPr>
            </w:pPr>
          </w:p>
        </w:tc>
        <w:tc>
          <w:tcPr>
            <w:tcW w:w="3580" w:type="dxa"/>
            <w:vAlign w:val="bottom"/>
            <w:gridSpan w:val="2"/>
            <w:shd w:val="clear" w:color="auto" w:fill="E8FFFA"/>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(2)</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23,254</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27,462</w:t>
            </w:r>
          </w:p>
        </w:tc>
        <w:tc>
          <w:tcPr>
            <w:tcW w:w="11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22,915</w:t>
            </w:r>
          </w:p>
        </w:tc>
        <w:tc>
          <w:tcPr>
            <w:tcW w:w="13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2"/>
                <w:szCs w:val="22"/>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Cash distributions declared</w:t>
            </w:r>
          </w:p>
        </w:tc>
        <w:tc>
          <w:tcPr>
            <w:tcW w:w="960" w:type="dxa"/>
            <w:vAlign w:val="bottom"/>
          </w:tcPr>
          <w:p>
            <w:pPr>
              <w:jc w:val="right"/>
              <w:spacing w:after="0"/>
              <w:rPr>
                <w:sz w:val="20"/>
                <w:szCs w:val="20"/>
                <w:color w:val="auto"/>
              </w:rPr>
            </w:pPr>
            <w:r>
              <w:rPr>
                <w:rFonts w:ascii="Arial" w:cs="Arial" w:eastAsia="Arial" w:hAnsi="Arial"/>
                <w:sz w:val="18"/>
                <w:szCs w:val="18"/>
                <w:color w:val="auto"/>
              </w:rPr>
              <w:t>21,001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24,272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24,272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bl>
    <w:p>
      <w:pPr>
        <w:spacing w:after="0" w:line="185" w:lineRule="exact"/>
        <w:rPr>
          <w:sz w:val="20"/>
          <w:szCs w:val="20"/>
          <w:color w:val="auto"/>
        </w:rPr>
      </w:pPr>
    </w:p>
    <w:p>
      <w:pPr>
        <w:ind w:left="1080" w:right="80" w:hanging="532"/>
        <w:spacing w:after="0" w:line="230" w:lineRule="auto"/>
        <w:tabs>
          <w:tab w:leader="none" w:pos="1080" w:val="left"/>
        </w:tabs>
        <w:numPr>
          <w:ilvl w:val="0"/>
          <w:numId w:val="4"/>
        </w:numPr>
        <w:rPr>
          <w:rFonts w:ascii="Arial" w:cs="Arial" w:eastAsia="Arial" w:hAnsi="Arial"/>
          <w:sz w:val="11"/>
          <w:szCs w:val="11"/>
          <w:color w:val="auto"/>
        </w:rPr>
      </w:pPr>
      <w:r>
        <w:rPr>
          <w:rFonts w:ascii="Arial" w:cs="Arial" w:eastAsia="Arial" w:hAnsi="Arial"/>
          <w:sz w:val="14"/>
          <w:szCs w:val="14"/>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ind w:left="1080" w:right="20"/>
        <w:spacing w:after="0" w:line="270" w:lineRule="auto"/>
        <w:rPr>
          <w:sz w:val="20"/>
          <w:szCs w:val="20"/>
          <w:color w:val="auto"/>
        </w:rPr>
      </w:pPr>
      <w:r>
        <w:rPr>
          <w:rFonts w:ascii="Arial" w:cs="Arial" w:eastAsia="Arial" w:hAnsi="Arial"/>
          <w:sz w:val="12"/>
          <w:szCs w:val="12"/>
          <w:color w:val="auto"/>
        </w:rPr>
        <w:t>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62" w:lineRule="exact"/>
        <w:rPr>
          <w:sz w:val="20"/>
          <w:szCs w:val="20"/>
          <w:color w:val="auto"/>
        </w:rPr>
      </w:pPr>
    </w:p>
    <w:p>
      <w:pPr>
        <w:ind w:left="1080" w:right="20" w:hanging="532"/>
        <w:spacing w:after="0" w:line="233" w:lineRule="auto"/>
        <w:tabs>
          <w:tab w:leader="none" w:pos="1080" w:val="left"/>
        </w:tabs>
        <w:numPr>
          <w:ilvl w:val="0"/>
          <w:numId w:val="5"/>
        </w:numPr>
        <w:rPr>
          <w:rFonts w:ascii="Arial" w:cs="Arial" w:eastAsia="Arial" w:hAnsi="Arial"/>
          <w:sz w:val="11"/>
          <w:szCs w:val="11"/>
          <w:color w:val="auto"/>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The increase in profit for the second quarter of 2018 as compared to the same period in 2017 is mainly attributable to the profit from operations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Greece,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acquired by the Partnership on May 3, 2017, July 3, 2017, October 20, 2017 and April 26,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 respectively, and the decrease in mark-to-market loss on derivatives attributable to the Partnership, which were offset by the decreased revenues due to the two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spot market exposure of the </w:t>
      </w:r>
      <w:r>
        <w:rPr>
          <w:rFonts w:ascii="Arial" w:cs="Arial" w:eastAsia="Arial" w:hAnsi="Arial"/>
          <w:sz w:val="16"/>
          <w:szCs w:val="16"/>
          <w:i w:val="1"/>
          <w:iCs w:val="1"/>
          <w:color w:val="auto"/>
        </w:rPr>
        <w:t>GasLog Shanghai</w:t>
      </w:r>
      <w:r>
        <w:rPr>
          <w:rFonts w:ascii="Arial" w:cs="Arial" w:eastAsia="Arial" w:hAnsi="Arial"/>
          <w:sz w:val="16"/>
          <w:szCs w:val="16"/>
          <w:color w:val="auto"/>
        </w:rPr>
        <w:t>, the increased financial costs and the increased administrative fees pursuant to the acquisitions of the aforementioned vessels.</w:t>
      </w:r>
    </w:p>
    <w:p>
      <w:pPr>
        <w:spacing w:after="0" w:line="17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The decrease in profit in the second quarter of 2018 as compared to the first quarter of 2018 is mainly attributable to decreased revenues due to two scheduled dry-dockings (with additional off-hire days required for the installation of a reliquefaction module on each vessel) and a decrease in gain on interest rate swaps, partially offset by the profit of the </w:t>
      </w:r>
      <w:r>
        <w:rPr>
          <w:rFonts w:ascii="Arial" w:cs="Arial" w:eastAsia="Arial" w:hAnsi="Arial"/>
          <w:sz w:val="16"/>
          <w:szCs w:val="16"/>
          <w:i w:val="1"/>
          <w:iCs w:val="1"/>
          <w:color w:val="auto"/>
        </w:rPr>
        <w:t>GasLog Gibraltar</w:t>
      </w:r>
      <w:r>
        <w:rPr>
          <w:rFonts w:ascii="Arial" w:cs="Arial" w:eastAsia="Arial" w:hAnsi="Arial"/>
          <w:sz w:val="16"/>
          <w:szCs w:val="16"/>
          <w:color w:val="auto"/>
        </w:rPr>
        <w:t>, which was acquired by the Partnership on April 26,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Preference Unit Distributions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11, 2018, the board of directors of GasLog Partners approved and declared a distribution on the Series A Cumulative Redeemable Perpetual Fixed to Floating Rate Preference Units (the "Series A Preference Units") of $0.5390625 per preference unit and a distribution on the Series B Cumulative Redeemable Perpetual Fixed to Floating Rate Preference Units (the "Series B Preference Units") of $0.5125 per preference unit. The cash distributions were paid on June 15, 2018 to all unitholders of record as of June 8,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Unit Distribution</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July 25, 2018, the board of directors of GasLog Partners approved and declared a quarterly cash distribution of $0.53 per common unit for the quarter ended June 30, 2018. The cash distribution is payable on August 10, 2018 to all unitholders of record as of August 6,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Financing</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we had $134.7 million of cash and cash equivalents, of which $52.1 million was held in current accounts and $82.6 million was held in time deposits with an original duration of less than three months. An amount of $13.0 million of time deposits with an original duration greater than three months was classified as short-term investments.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June 30, 2018, we had an aggregate of $1,184.4 million of indebtedness outstanding under our credit facilities, of which $85.0 million is repayable within one year. In addition, we had unused availability under our revolving credit facilities of $55.9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April 26, 2018, in connection with the acquisition of GAS-fourteen Ltd., the entity that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the Partnership paid GasLog</w:t>
      </w:r>
    </w:p>
    <w:p>
      <w:pPr>
        <w:spacing w:after="0" w:line="3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$19.0 million representing the $207.0 million aggregate purchase price, less the $45.0 million new privately placed common units issued to GasLog (1,858,975 common units at a price of $24.21 per unit) and the $143.6 million of outstanding indebtedness of the acquired entity assumed by GasLog Partners plus an adjustment of $0.6 million in order to maintain the agreed working capital position in the acquired entity of $1.0 million.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9" w:right="299" w:bottom="1440" w:gutter="0" w:footer="0" w:header="0"/>
        </w:sectPr>
      </w:pPr>
    </w:p>
    <w:bookmarkStart w:id="8" w:name="page9"/>
    <w:bookmarkEnd w:id="8"/>
    <w:p>
      <w:pPr>
        <w:ind w:right="100"/>
        <w:spacing w:after="0" w:line="259" w:lineRule="auto"/>
        <w:rPr>
          <w:sz w:val="20"/>
          <w:szCs w:val="20"/>
          <w:color w:val="auto"/>
        </w:rPr>
      </w:pPr>
      <w:r>
        <w:rPr>
          <w:rFonts w:ascii="Arial" w:cs="Arial" w:eastAsia="Arial" w:hAnsi="Arial"/>
          <w:sz w:val="18"/>
          <w:szCs w:val="18"/>
          <w:color w:val="auto"/>
        </w:rPr>
        <w:t>On May 23, 2018, the Partnership entered into a new interest rate swap agreement with GasLog with a notional value of $80.0 million, maturing in 2023. On the same date, the Partnership also entered into twelve forward foreign exchange contracts with GasLog with a notional value of €24.0 million and staggered maturities until mid-2019 to mitigate its foreign exchange transaction exposure in its operating expenses.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total, the Partnership has entered into five interest rate swap agreements with GasLog at a notional value of $550.0 million in aggregate, maturing between 2020 and 2023. As a result of its hedging agreements, the Partnership has hedged 45.7% of its floating interest rate exposure on its outstanding debt as of June 30, 2018, at a weighted average interest rate of approximately 1.9% (excluding margin).</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Following the completion of the scheduled dry-dockings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is scheduled to commence her regular dry-docking in the fourth quarter of 2018.</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of June 30, 2018, our current assets totaled $161.0 million and current liabilities totaled $155.0 million, resulting in a positive working capital position of $6.0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Demand for natural gas and LNG remains robust, underpinned in the second quarter by significant increases in demand from major Asian consumers. According to Poten, LNG imports into China, South Korea and India during the first half of 2018 increased 50%, 14% and 10%, respectively, year-on-year, marginally offset by a 3% reduction in Japan's LNG imports. In particular, the growth in China's LNG demand is attributed to the secular driver of coal-to-gas switching, strong industrial demand and constrained domestic gas production. The backdrop for growth in global LNG demand remains favorable, with Wood Mackenzie estimating compound annual growth of 6% over the 2017-2023 period.</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Wood Mackenzie estimates that during the second quarter of 2018 global LNG supply increased by 8% year-over-year, but declined 3% from the first quarter of 2018. The year-on-year increase was driven by the start-up of new liquefaction capacity in the United States ("US"), Russia and Australia, while the sequential decline is attributed to normal seasonal weakness in the spring shoulder months, supply disruptions from PNG LNG following an earthquake earlier this year, underperformance from projects in Algeria and Trinidad and unplanned downtime of facilities in the United Arab Emirates. These disruptions offset new liquefaction startups in the quarter which included Cameroon Floating LNG, Cove Point and Wheatstone LNG Train 2. In the second quarter of 2018, 75 cargoes were exported from the US, with around half of these cargoes delivered to Asia. Data from the second quarter of 2018 suggests that 1.91 vessels were required for each million tonnes of LNG exported from the US, compared to an average of 1.86 ships per million tonnes of LNG since the start-up of Sabine Pass.</w:t>
      </w:r>
    </w:p>
    <w:p>
      <w:pPr>
        <w:spacing w:after="0" w:line="172" w:lineRule="exact"/>
        <w:rPr>
          <w:sz w:val="20"/>
          <w:szCs w:val="20"/>
          <w:color w:val="auto"/>
        </w:rPr>
      </w:pPr>
    </w:p>
    <w:p>
      <w:pPr>
        <w:ind w:right="500"/>
        <w:spacing w:after="0" w:line="305" w:lineRule="auto"/>
        <w:rPr>
          <w:sz w:val="20"/>
          <w:szCs w:val="20"/>
          <w:color w:val="auto"/>
        </w:rPr>
      </w:pPr>
      <w:r>
        <w:rPr>
          <w:rFonts w:ascii="Arial" w:cs="Arial" w:eastAsia="Arial" w:hAnsi="Arial"/>
          <w:sz w:val="15"/>
          <w:szCs w:val="15"/>
          <w:color w:val="auto"/>
        </w:rPr>
        <w:t>Progress was made during the quarter on projects that underpin Wood Mackenzie's 2018 LNG supply growth forecast of 9%. Commissioning cargoes were introduced to the Ichthys and Prelude facilities, while Yamal Train 2 (Russia) and Elba Island (US) are also expected onstream before year-end. A further</w:t>
      </w:r>
    </w:p>
    <w:p>
      <w:pPr>
        <w:ind w:right="200"/>
        <w:spacing w:after="0" w:line="261" w:lineRule="auto"/>
        <w:rPr>
          <w:sz w:val="20"/>
          <w:szCs w:val="20"/>
          <w:color w:val="auto"/>
        </w:rPr>
      </w:pPr>
      <w:r>
        <w:rPr>
          <w:rFonts w:ascii="Arial" w:cs="Arial" w:eastAsia="Arial" w:hAnsi="Arial"/>
          <w:sz w:val="18"/>
          <w:szCs w:val="18"/>
          <w:color w:val="auto"/>
        </w:rPr>
        <w:t>41 million tonnes per annum ("mtpa") of new supply, or 13% growth, is expected in 2019, principally driven by additions in the US and the ramp-up of Ichthys and Prelude in Australia.</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May, Cheniere announced a final investment decision ("FID") on Train 3 at the Corpus Christi Liquefaction Project, the first approval of a new liquefaction project since June 2017 and the first in the US since 2015. According to Wood Mackenzie and press reports, in the second quarter of 2018, 15 mtpa of long-term supply contracts were agreed or signed, bringing the total volume of long-term supply contracts concluded since the beginning of 2017 to 52 mtpa. Buyers include Asian and European utilities as well as portfolio suppliers and traders. Several recent offtake contracts for projects yet to reach FID have been for a duration of 20 years or more, giving these projects greater visibility on cashflows which may de-risk the financing required for FID. LNG Canada, which is targeting 24 mtpa of capacity in a phased approach and where Petronas took a 25% stake in May, may take FID later in 2018, while FID on the Golden Pass project (16 mtpa capacity) in the US may be taken in early 2019. Mozambique Area 1 LNG (13 mtpa capacity) and the Calcasieu Pass (10 mtpa capacity) project in the US have also made progress in the second quarter towards potential FIDs in 2019.</w:t>
      </w:r>
    </w:p>
    <w:p>
      <w:pPr>
        <w:spacing w:after="0" w:line="173"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During the second quarter, Panama became the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country to import LNG after commencing operations at its Costa Norte terminal. Plans have also progressed to import LNG into eastern Australia's gas market to alleviate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t>potential shortages in the future. Pakistan's Ambassador to the US outlined plans in early July to import more gas from the US, claiming that the country is on its way to becoming "one of the world's largest gas importers". In May, Chinese gas distributor ENN was reportedly seeking a commissioning cargo for the country's first privately owned LNG regasification terminal. The Zhoushan terminal has a planned capacity of 3 mtpa and is expected to come onstream in the coming months.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Headline daily spot TFDE LNG shipping rates as reported by Clarksons averaged $54,000 in the second quarter, compared to $34,000 in the second quarter of 2017. During the period, rates exhibited counter-seasonal strength, rising to $87,000 per day in late June from $38,000 per day in late April. This recent, sharp increase in headline spot rates was driven by increased vessel demand, as LNG suppliers sought to capitalize on the arbitrage between the Atlantic basin and Asian markets, which was widened by counter-seasonal strength in Asian LNG prices (as measured by the Platts Japan-Korea Marker ("JKM") assessment). As a result, the number of spot fixtures rose to 110 during the second quarter of 2018, an all-time high and an increase over the 70 and 78 fixtures in the first quarter of 2018 and second quarter of 2017, respectively. Spot TFDE shipping rates have moderated in recent weeks, with a current Clarksons assessment of $75,000 per day, as softening Asia LNG prices have narrowed the near-term arbitrage opportunity. However, based on current JKM pricing, the arbitrage between the Atlantic and Pacific Basins is expected to remain open for the 2018/19 Northern Hemisphere winter, suggesting that the recent increase in LNG shipping rates could potentially be sustained throughout the remainder of 2018 and into early 2019.</w:t>
      </w:r>
    </w:p>
    <w:p>
      <w:pPr>
        <w:spacing w:after="0" w:line="1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According to Poten and press reports, 26 firm orders for LNG carriers have been made so far in 2018, of which three are GasLog vessels. The pace of firm newbuild orders has recently increased, as shipowners look to lock in attractive yard pricing against a positive backdrop for LNG vessel demand. However, even after taking into account the current orderbook, we believe that the LNG shipping market could be short of vessels as soon as 2019 based on current supply and demand projections. The earliest a newbuilding can now be delivered is 2021, which points towards a tighter market in 2019 and 2020, again underpinning the outlook for shipping rates. Based on our analysis and excluding the current orderbook, 28-56 additional vessels may be needed by 2022 to satisfy projected market growth, with this range increasing to 105-137 additional vessels by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GasLog Partners will host a conference call to discuss its results for the second quarter of 2018 at 8:30 a.m. EDT (1:30 p.m. BST) on Thursday, July 26, 2018. Andrew Orekar, Chief Executive Officer, and Alastair Maxwell, Chief Financial Officer, will review the Partnership's operational and financial performance for the period. Management's presentation will be followed by a Q&amp;A session.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+1 855 253 8928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3597854</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live webcast of the conference call will also be available on the investor relations page of the Partnership's website at http://www.gaslogmlp.com/investor-relations.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those unable to participate in the conference call, a replay will also be available from 12:00 p.m. EDT (5:00 p.m. BST) on Thursday, July 26, 2018 until 12:00 p.m. EDT (5:00 p.m. BST) on Thursday, August 2,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3597854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replay will also be available via a webcast on the investor relations page of the Partnership's website at http://www.gaslogmlp.com/investor-relations.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3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13 LNG carriers with an average carrying capacity of approximately 156,000 cbm. GasLog Partners' principal executive offices are located at Gildo Pastor Center, 7 Rue du Gabian, MC 98000, Monaco. Visit GasLog Partners' website at http://www.gaslogmlp.com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60" w:hanging="532"/>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59"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 w:lineRule="exact"/>
        <w:rPr>
          <w:rFonts w:ascii="Arial" w:cs="Arial" w:eastAsia="Arial" w:hAnsi="Arial"/>
          <w:sz w:val="18"/>
          <w:szCs w:val="18"/>
          <w:color w:val="auto"/>
        </w:rPr>
      </w:pPr>
    </w:p>
    <w:p>
      <w:pPr>
        <w:ind w:left="1080" w:right="200" w:hanging="532"/>
        <w:spacing w:after="0" w:line="25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36"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45"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operations, including the discharge of pollutants;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ind w:left="1080" w:right="32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36" w:lineRule="exact"/>
        <w:rPr>
          <w:rFonts w:ascii="Arial" w:cs="Arial" w:eastAsia="Arial" w:hAnsi="Arial"/>
          <w:sz w:val="18"/>
          <w:szCs w:val="18"/>
          <w:color w:val="auto"/>
        </w:rPr>
      </w:pPr>
    </w:p>
    <w:p>
      <w:pPr>
        <w:ind w:left="1080" w:right="90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w w:val="98"/>
              </w:rPr>
              <w:t>EXHIBIT I—Unaudited Interim Financial Information: IFRS Common Control Reported Results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 and June 30, 2018</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16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1160" w:type="dxa"/>
            <w:vAlign w:val="bottom"/>
            <w:vMerge w:val="restart"/>
          </w:tcPr>
          <w:p>
            <w:pPr>
              <w:spacing w:after="0"/>
              <w:rPr>
                <w:sz w:val="24"/>
                <w:szCs w:val="24"/>
                <w:color w:val="auto"/>
              </w:rPr>
            </w:pPr>
          </w:p>
        </w:tc>
        <w:tc>
          <w:tcPr>
            <w:tcW w:w="67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0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6,038</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11,121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Vessels</w:t>
            </w:r>
          </w:p>
        </w:tc>
        <w:tc>
          <w:tcPr>
            <w:tcW w:w="1080" w:type="dxa"/>
            <w:vAlign w:val="bottom"/>
          </w:tcPr>
          <w:p>
            <w:pPr>
              <w:jc w:val="right"/>
              <w:spacing w:after="0"/>
              <w:rPr>
                <w:sz w:val="20"/>
                <w:szCs w:val="20"/>
                <w:color w:val="auto"/>
              </w:rPr>
            </w:pPr>
            <w:r>
              <w:rPr>
                <w:rFonts w:ascii="Arial" w:cs="Arial" w:eastAsia="Arial" w:hAnsi="Arial"/>
                <w:sz w:val="18"/>
                <w:szCs w:val="18"/>
                <w:color w:val="auto"/>
              </w:rPr>
              <w:t>2,149,751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2,141,529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non-current assets</w:t>
            </w: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2,155,789</w:t>
            </w:r>
          </w:p>
        </w:tc>
        <w:tc>
          <w:tcPr>
            <w:tcW w:w="160" w:type="dxa"/>
            <w:vAlign w:val="bottom"/>
            <w:shd w:val="clear" w:color="auto" w:fill="E8FFFA"/>
          </w:tcPr>
          <w:p>
            <w:pPr>
              <w:spacing w:after="0"/>
              <w:rPr>
                <w:sz w:val="18"/>
                <w:szCs w:val="18"/>
                <w:color w:val="auto"/>
              </w:rPr>
            </w:pPr>
          </w:p>
        </w:tc>
        <w:tc>
          <w:tcPr>
            <w:tcW w:w="10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2,152,650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Trade and other receivables</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3,755</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2,739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Inventories</w:t>
            </w:r>
          </w:p>
        </w:tc>
        <w:tc>
          <w:tcPr>
            <w:tcW w:w="1080" w:type="dxa"/>
            <w:vAlign w:val="bottom"/>
          </w:tcPr>
          <w:p>
            <w:pPr>
              <w:jc w:val="right"/>
              <w:spacing w:after="0"/>
              <w:rPr>
                <w:sz w:val="20"/>
                <w:szCs w:val="20"/>
                <w:color w:val="auto"/>
              </w:rPr>
            </w:pPr>
            <w:r>
              <w:rPr>
                <w:rFonts w:ascii="Arial" w:cs="Arial" w:eastAsia="Arial" w:hAnsi="Arial"/>
                <w:sz w:val="18"/>
                <w:szCs w:val="18"/>
                <w:color w:val="auto"/>
              </w:rPr>
              <w:t>2,857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4,149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Due from related parties</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3,712</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1,083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1,579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577</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3,924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146,721</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134,686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159,201</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160,980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2,314,990</w:t>
            </w:r>
          </w:p>
        </w:tc>
        <w:tc>
          <w:tcPr>
            <w:tcW w:w="160" w:type="dxa"/>
            <w:vAlign w:val="bottom"/>
            <w:shd w:val="clear" w:color="auto" w:fill="E8FFFA"/>
          </w:tcPr>
          <w:p>
            <w:pPr>
              <w:spacing w:after="0"/>
              <w:rPr>
                <w:sz w:val="18"/>
                <w:szCs w:val="18"/>
                <w:color w:val="auto"/>
              </w:rPr>
            </w:pPr>
          </w:p>
        </w:tc>
        <w:tc>
          <w:tcPr>
            <w:tcW w:w="10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2,313,630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Partners' equity and liabilities</w:t>
            </w: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8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Partners' equity</w:t>
            </w:r>
          </w:p>
        </w:tc>
        <w:tc>
          <w:tcPr>
            <w:tcW w:w="10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0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Owners' capital</w:t>
            </w:r>
          </w:p>
        </w:tc>
        <w:tc>
          <w:tcPr>
            <w:tcW w:w="1080" w:type="dxa"/>
            <w:vAlign w:val="bottom"/>
          </w:tcPr>
          <w:p>
            <w:pPr>
              <w:jc w:val="right"/>
              <w:spacing w:after="0"/>
              <w:rPr>
                <w:sz w:val="20"/>
                <w:szCs w:val="20"/>
                <w:color w:val="auto"/>
              </w:rPr>
            </w:pPr>
            <w:r>
              <w:rPr>
                <w:rFonts w:ascii="Arial" w:cs="Arial" w:eastAsia="Arial" w:hAnsi="Arial"/>
                <w:sz w:val="18"/>
                <w:szCs w:val="18"/>
                <w:color w:val="auto"/>
              </w:rPr>
              <w:t>53,354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w w:val="90"/>
              </w:rPr>
              <w:t>Common unitholders (41,002,121 units issued and outstanding as of December 31, 2017 and</w:t>
            </w:r>
          </w:p>
        </w:tc>
        <w:tc>
          <w:tcPr>
            <w:tcW w:w="10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0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7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42,896,114 units issued and outstanding as of June 30, 2018)</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752,456</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788,087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9"/>
              </w:rPr>
              <w:t>General partner (836,779 units issued and outstanding as of December 31, 2017 and 875,432</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units issued and outstanding as of June 30, 2018)</w:t>
            </w:r>
          </w:p>
        </w:tc>
        <w:tc>
          <w:tcPr>
            <w:tcW w:w="1080" w:type="dxa"/>
            <w:vAlign w:val="bottom"/>
          </w:tcPr>
          <w:p>
            <w:pPr>
              <w:jc w:val="right"/>
              <w:spacing w:after="0"/>
              <w:rPr>
                <w:sz w:val="20"/>
                <w:szCs w:val="20"/>
                <w:color w:val="auto"/>
              </w:rPr>
            </w:pPr>
            <w:r>
              <w:rPr>
                <w:rFonts w:ascii="Arial" w:cs="Arial" w:eastAsia="Arial" w:hAnsi="Arial"/>
                <w:sz w:val="18"/>
                <w:szCs w:val="18"/>
                <w:color w:val="auto"/>
              </w:rPr>
              <w:t>11,781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12,183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Incentive distribution rights ("IDR")</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6,596</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7,068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Preference unitholders (5,750,000 Series A Preference Units issued and outstanding as of</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5"/>
              </w:rPr>
              <w:t>December 31, 2017 and 5,750,000 Series A Preference Units and 4,600,000 Series B</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Preference Units issued and outstanding as of June 30, 2018)</w:t>
            </w:r>
          </w:p>
        </w:tc>
        <w:tc>
          <w:tcPr>
            <w:tcW w:w="1080" w:type="dxa"/>
            <w:vAlign w:val="bottom"/>
          </w:tcPr>
          <w:p>
            <w:pPr>
              <w:jc w:val="right"/>
              <w:spacing w:after="0"/>
              <w:rPr>
                <w:sz w:val="20"/>
                <w:szCs w:val="20"/>
                <w:color w:val="auto"/>
              </w:rPr>
            </w:pPr>
            <w:r>
              <w:rPr>
                <w:rFonts w:ascii="Arial" w:cs="Arial" w:eastAsia="Arial" w:hAnsi="Arial"/>
                <w:sz w:val="18"/>
                <w:szCs w:val="18"/>
                <w:color w:val="auto"/>
              </w:rPr>
              <w:t>139,321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250,934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partners' equity</w:t>
            </w: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963,508</w:t>
            </w:r>
          </w:p>
        </w:tc>
        <w:tc>
          <w:tcPr>
            <w:tcW w:w="160" w:type="dxa"/>
            <w:vAlign w:val="bottom"/>
            <w:shd w:val="clear" w:color="auto" w:fill="E8FFFA"/>
          </w:tcPr>
          <w:p>
            <w:pPr>
              <w:spacing w:after="0"/>
              <w:rPr>
                <w:sz w:val="18"/>
                <w:szCs w:val="18"/>
                <w:color w:val="auto"/>
              </w:rPr>
            </w:pPr>
          </w:p>
        </w:tc>
        <w:tc>
          <w:tcPr>
            <w:tcW w:w="10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1,058,272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Trade accounts payable</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4,785</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7,428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080" w:type="dxa"/>
            <w:vAlign w:val="bottom"/>
          </w:tcPr>
          <w:p>
            <w:pPr>
              <w:jc w:val="right"/>
              <w:spacing w:after="0"/>
              <w:rPr>
                <w:sz w:val="20"/>
                <w:szCs w:val="20"/>
                <w:color w:val="auto"/>
              </w:rPr>
            </w:pPr>
            <w:r>
              <w:rPr>
                <w:rFonts w:ascii="Arial" w:cs="Arial" w:eastAsia="Arial" w:hAnsi="Arial"/>
                <w:sz w:val="18"/>
                <w:szCs w:val="18"/>
                <w:color w:val="auto"/>
              </w:rPr>
              <w:t>2,613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269</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657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080" w:type="dxa"/>
            <w:vAlign w:val="bottom"/>
          </w:tcPr>
          <w:p>
            <w:pPr>
              <w:jc w:val="right"/>
              <w:spacing w:after="0"/>
              <w:rPr>
                <w:sz w:val="20"/>
                <w:szCs w:val="20"/>
                <w:color w:val="auto"/>
              </w:rPr>
            </w:pPr>
            <w:r>
              <w:rPr>
                <w:rFonts w:ascii="Arial" w:cs="Arial" w:eastAsia="Arial" w:hAnsi="Arial"/>
                <w:sz w:val="18"/>
                <w:szCs w:val="18"/>
                <w:color w:val="auto"/>
              </w:rPr>
              <w:t>43,000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59,619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Borrowings—current portion</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114,570</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84,961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165,237</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155,047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Non-current liabilities</w:t>
            </w:r>
          </w:p>
        </w:tc>
        <w:tc>
          <w:tcPr>
            <w:tcW w:w="10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0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color w:val="auto"/>
              </w:rPr>
              <w:t>Borrowings—non-current portion</w:t>
            </w: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1,185,995</w:t>
            </w:r>
          </w:p>
        </w:tc>
        <w:tc>
          <w:tcPr>
            <w:tcW w:w="11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1,099,482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non-current liabilities</w:t>
            </w: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1,186,245</w:t>
            </w:r>
          </w:p>
        </w:tc>
        <w:tc>
          <w:tcPr>
            <w:tcW w:w="160" w:type="dxa"/>
            <w:vAlign w:val="bottom"/>
            <w:shd w:val="clear" w:color="auto" w:fill="E8FFFA"/>
          </w:tcPr>
          <w:p>
            <w:pPr>
              <w:spacing w:after="0"/>
              <w:rPr>
                <w:sz w:val="18"/>
                <w:szCs w:val="18"/>
                <w:color w:val="auto"/>
              </w:rPr>
            </w:pPr>
          </w:p>
        </w:tc>
        <w:tc>
          <w:tcPr>
            <w:tcW w:w="10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1,100,311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2,314,990</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2,313,630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2017 and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5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2"/>
              </w:rPr>
              <w:t>For the three months ended</w:t>
            </w:r>
          </w:p>
        </w:tc>
        <w:tc>
          <w:tcPr>
            <w:tcW w:w="3620" w:type="dxa"/>
            <w:vAlign w:val="bottom"/>
            <w:gridSpan w:val="4"/>
          </w:tcPr>
          <w:p>
            <w:pPr>
              <w:ind w:left="2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2017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2018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2017</w:t>
            </w:r>
          </w:p>
        </w:tc>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76,934</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169,882</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161,285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pool allocation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2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(1,070)</w:t>
            </w:r>
          </w:p>
        </w:tc>
        <w:tc>
          <w:tcPr>
            <w:tcW w:w="12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(1,536)</w:t>
            </w:r>
          </w:p>
        </w:tc>
        <w:tc>
          <w:tcPr>
            <w:tcW w:w="12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(2,128)</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(2,683)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(16,232)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(15,351)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(31,220)</w:t>
            </w:r>
          </w:p>
        </w:tc>
        <w:tc>
          <w:tcPr>
            <w:tcW w:w="1100" w:type="dxa"/>
            <w:vAlign w:val="bottom"/>
          </w:tcPr>
          <w:p>
            <w:pPr>
              <w:jc w:val="right"/>
              <w:spacing w:after="0"/>
              <w:rPr>
                <w:sz w:val="20"/>
                <w:szCs w:val="20"/>
                <w:color w:val="auto"/>
              </w:rPr>
            </w:pPr>
            <w:r>
              <w:rPr>
                <w:rFonts w:ascii="Arial" w:cs="Arial" w:eastAsia="Arial" w:hAnsi="Arial"/>
                <w:sz w:val="18"/>
                <w:szCs w:val="18"/>
                <w:color w:val="auto"/>
              </w:rPr>
              <w:t>(32,413)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2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(18,330)</w:t>
            </w:r>
          </w:p>
        </w:tc>
        <w:tc>
          <w:tcPr>
            <w:tcW w:w="126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(18,375)</w:t>
            </w:r>
          </w:p>
        </w:tc>
        <w:tc>
          <w:tcPr>
            <w:tcW w:w="12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(36,464)</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(36,604)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(3,588)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(7,078)</w:t>
            </w:r>
          </w:p>
        </w:tc>
        <w:tc>
          <w:tcPr>
            <w:tcW w:w="1100" w:type="dxa"/>
            <w:vAlign w:val="bottom"/>
          </w:tcPr>
          <w:p>
            <w:pPr>
              <w:jc w:val="right"/>
              <w:spacing w:after="0"/>
              <w:rPr>
                <w:sz w:val="20"/>
                <w:szCs w:val="20"/>
                <w:color w:val="auto"/>
              </w:rPr>
            </w:pPr>
            <w:r>
              <w:rPr>
                <w:rFonts w:ascii="Arial" w:cs="Arial" w:eastAsia="Arial" w:hAnsi="Arial"/>
                <w:sz w:val="18"/>
                <w:szCs w:val="18"/>
                <w:color w:val="auto"/>
              </w:rPr>
              <w:t>(9,381)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46,185</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36,617</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92,992</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79,847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(14,892)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(29,066)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(2,336)</w:t>
            </w:r>
          </w:p>
        </w:tc>
        <w:tc>
          <w:tcPr>
            <w:tcW w:w="110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(2,313)</w:t>
            </w:r>
          </w:p>
        </w:tc>
        <w:tc>
          <w:tcPr>
            <w:tcW w:w="1100" w:type="dxa"/>
            <w:vAlign w:val="bottom"/>
          </w:tcPr>
          <w:p>
            <w:pPr>
              <w:jc w:val="right"/>
              <w:spacing w:after="0"/>
              <w:rPr>
                <w:sz w:val="20"/>
                <w:szCs w:val="20"/>
                <w:color w:val="auto"/>
              </w:rPr>
            </w:pPr>
            <w:r>
              <w:rPr>
                <w:rFonts w:ascii="Arial" w:cs="Arial" w:eastAsia="Arial" w:hAnsi="Arial"/>
                <w:sz w:val="18"/>
                <w:szCs w:val="18"/>
                <w:color w:val="auto"/>
              </w:rPr>
              <w:t>7,915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other expenses, net</w:t>
            </w: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(16,985)</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(12,776)</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(31,006)</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(21,271)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29,200</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23,841</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61,986</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58,576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20" w:type="dxa"/>
            <w:vAlign w:val="bottom"/>
            <w:shd w:val="clear" w:color="auto" w:fill="E8FFFA"/>
          </w:tcPr>
          <w:p>
            <w:pPr>
              <w:spacing w:after="0" w:line="196" w:lineRule="exact"/>
              <w:rPr>
                <w:sz w:val="20"/>
                <w:szCs w:val="20"/>
                <w:color w:val="auto"/>
              </w:rPr>
            </w:pPr>
            <w:r>
              <w:rPr>
                <w:rFonts w:ascii="Arial" w:cs="Arial" w:eastAsia="Arial" w:hAnsi="Arial"/>
                <w:sz w:val="18"/>
                <w:szCs w:val="18"/>
                <w:color w:val="auto"/>
              </w:rPr>
              <w:t>Less:</w:t>
            </w: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00" w:type="dxa"/>
            <w:vAlign w:val="bottom"/>
            <w:shd w:val="clear" w:color="auto" w:fill="E8FFFA"/>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Profit attributable to GasLog's operations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(9,842)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(21,606)</w:t>
            </w:r>
          </w:p>
        </w:tc>
        <w:tc>
          <w:tcPr>
            <w:tcW w:w="1100" w:type="dxa"/>
            <w:vAlign w:val="bottom"/>
          </w:tcPr>
          <w:p>
            <w:pPr>
              <w:jc w:val="right"/>
              <w:spacing w:after="0"/>
              <w:rPr>
                <w:sz w:val="20"/>
                <w:szCs w:val="20"/>
                <w:color w:val="auto"/>
              </w:rPr>
            </w:pPr>
            <w:r>
              <w:rPr>
                <w:rFonts w:ascii="Arial" w:cs="Arial" w:eastAsia="Arial" w:hAnsi="Arial"/>
                <w:sz w:val="18"/>
                <w:szCs w:val="18"/>
                <w:color w:val="auto"/>
              </w:rPr>
              <w:t>(3,673)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19,358</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22,901</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40,380</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54,903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Partnership's profit attributable to:</w:t>
            </w: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Common units</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17,349</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17,095</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32,073</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41,152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Subordinated units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00" w:type="dxa"/>
            <w:vAlign w:val="bottom"/>
          </w:tcPr>
          <w:p>
            <w:pPr>
              <w:jc w:val="right"/>
              <w:spacing w:after="0"/>
              <w:rPr>
                <w:sz w:val="20"/>
                <w:szCs w:val="20"/>
                <w:color w:val="auto"/>
              </w:rPr>
            </w:pPr>
            <w:r>
              <w:rPr>
                <w:rFonts w:ascii="Arial" w:cs="Arial" w:eastAsia="Arial" w:hAnsi="Arial"/>
                <w:sz w:val="18"/>
                <w:szCs w:val="18"/>
                <w:color w:val="auto"/>
              </w:rPr>
              <w:t>5,085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General partner units</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888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Incentive distribution rights</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Preference units</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5,457</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10,495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w w:val="93"/>
              </w:rPr>
              <w:t>Earnings per unit for the period (basic and diluted):</w:t>
            </w:r>
          </w:p>
        </w:tc>
        <w:tc>
          <w:tcPr>
            <w:tcW w:w="11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Common unit (basic)</w:t>
            </w:r>
          </w:p>
        </w:tc>
        <w:tc>
          <w:tcPr>
            <w:tcW w:w="1100" w:type="dxa"/>
            <w:vAlign w:val="bottom"/>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Common unit (diluted)</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Subordinated unit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0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General partner unit</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 and June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22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vMerge w:val="restart"/>
          </w:tcPr>
          <w:p>
            <w:pPr>
              <w:spacing w:after="0"/>
              <w:rPr>
                <w:sz w:val="18"/>
                <w:szCs w:val="18"/>
                <w:color w:val="auto"/>
              </w:rPr>
            </w:pPr>
          </w:p>
        </w:tc>
        <w:tc>
          <w:tcPr>
            <w:tcW w:w="68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61,986</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58,576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Adjustments for:</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36,464</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36,604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Financial costs</w:t>
            </w:r>
          </w:p>
        </w:tc>
        <w:tc>
          <w:tcPr>
            <w:tcW w:w="960" w:type="dxa"/>
            <w:vAlign w:val="bottom"/>
          </w:tcPr>
          <w:p>
            <w:pPr>
              <w:jc w:val="right"/>
              <w:spacing w:after="0"/>
              <w:rPr>
                <w:sz w:val="20"/>
                <w:szCs w:val="20"/>
                <w:color w:val="auto"/>
              </w:rPr>
            </w:pPr>
            <w:r>
              <w:rPr>
                <w:rFonts w:ascii="Arial" w:cs="Arial" w:eastAsia="Arial" w:hAnsi="Arial"/>
                <w:sz w:val="18"/>
                <w:szCs w:val="18"/>
                <w:color w:val="auto"/>
              </w:rPr>
              <w:t>29,066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(373)</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(1,107)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Unrealized loss/(gain) on derivatives</w:t>
            </w:r>
          </w:p>
        </w:tc>
        <w:tc>
          <w:tcPr>
            <w:tcW w:w="960" w:type="dxa"/>
            <w:vAlign w:val="bottom"/>
          </w:tcPr>
          <w:p>
            <w:pPr>
              <w:jc w:val="right"/>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E8FFFA"/>
          </w:tcPr>
          <w:p>
            <w:pPr>
              <w:spacing w:after="0"/>
              <w:rPr>
                <w:sz w:val="18"/>
                <w:szCs w:val="18"/>
                <w:color w:val="auto"/>
              </w:rPr>
            </w:pP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498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128,723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117,493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Movements in working capital</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(9,025)</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5,915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Cash provided by operations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119,698</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123,408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Interest paid</w:t>
            </w: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(25,921)</w:t>
            </w:r>
          </w:p>
        </w:tc>
        <w:tc>
          <w:tcPr>
            <w:tcW w:w="180" w:type="dxa"/>
            <w:vAlign w:val="bottom"/>
            <w:shd w:val="clear" w:color="auto" w:fill="E8FFFA"/>
          </w:tcPr>
          <w:p>
            <w:pPr>
              <w:spacing w:after="0"/>
              <w:rPr>
                <w:sz w:val="18"/>
                <w:szCs w:val="18"/>
                <w:color w:val="auto"/>
              </w:rPr>
            </w:pP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(25,519)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93,777</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Payments for vessels' additions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960" w:type="dxa"/>
            <w:vAlign w:val="bottom"/>
          </w:tcPr>
          <w:p>
            <w:pPr>
              <w:jc w:val="right"/>
              <w:spacing w:after="0"/>
              <w:rPr>
                <w:sz w:val="20"/>
                <w:szCs w:val="20"/>
                <w:color w:val="auto"/>
              </w:rPr>
            </w:pPr>
            <w:r>
              <w:rPr>
                <w:rFonts w:ascii="Arial" w:cs="Arial" w:eastAsia="Arial" w:hAnsi="Arial"/>
                <w:sz w:val="18"/>
                <w:szCs w:val="18"/>
                <w:color w:val="auto"/>
              </w:rPr>
              <w:t>(13,590)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 received</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928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Purchase of short-term investments</w:t>
            </w:r>
          </w:p>
        </w:tc>
        <w:tc>
          <w:tcPr>
            <w:tcW w:w="114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Borrowings drawdowns</w:t>
            </w: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Borrowings repayments</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(120,129)</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(119,757)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(1,499)</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w w:val="92"/>
              </w:rPr>
              <w:t>Proceeds from public offerings and issuances of common units and general partner units (net</w:t>
            </w:r>
          </w:p>
        </w:tc>
        <w:tc>
          <w:tcPr>
            <w:tcW w:w="96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60" w:type="dxa"/>
            <w:vAlign w:val="bottom"/>
            <w:shd w:val="clear" w:color="auto" w:fill="E8FFFA"/>
          </w:tcPr>
          <w:p>
            <w:pPr>
              <w:ind w:left="160"/>
              <w:spacing w:after="0"/>
              <w:rPr>
                <w:sz w:val="20"/>
                <w:szCs w:val="20"/>
                <w:color w:val="auto"/>
              </w:rPr>
            </w:pPr>
            <w:r>
              <w:rPr>
                <w:rFonts w:ascii="Arial" w:cs="Arial" w:eastAsia="Arial" w:hAnsi="Arial"/>
                <w:sz w:val="18"/>
                <w:szCs w:val="18"/>
                <w:color w:val="auto"/>
              </w:rPr>
              <w:t>of underwriting discounts and commissions)</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89,649</w:t>
            </w:r>
          </w:p>
        </w:tc>
        <w:tc>
          <w:tcPr>
            <w:tcW w:w="180" w:type="dxa"/>
            <w:vAlign w:val="bottom"/>
            <w:shd w:val="clear" w:color="auto" w:fill="E8FFFA"/>
          </w:tcPr>
          <w:p>
            <w:pPr>
              <w:spacing w:after="0"/>
              <w:rPr>
                <w:sz w:val="19"/>
                <w:szCs w:val="19"/>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960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2"/>
              </w:rPr>
              <w:t>Proceeds from issuance of preference units (net of underwriting discounts and commissions)</w:t>
            </w:r>
          </w:p>
        </w:tc>
        <w:tc>
          <w:tcPr>
            <w:tcW w:w="960" w:type="dxa"/>
            <w:vAlign w:val="bottom"/>
          </w:tcPr>
          <w:p>
            <w:pPr>
              <w:jc w:val="right"/>
              <w:spacing w:after="0"/>
              <w:rPr>
                <w:sz w:val="20"/>
                <w:szCs w:val="20"/>
                <w:color w:val="auto"/>
              </w:rPr>
            </w:pPr>
            <w:r>
              <w:rPr>
                <w:rFonts w:ascii="Arial" w:cs="Arial" w:eastAsia="Arial" w:hAnsi="Arial"/>
                <w:sz w:val="18"/>
                <w:szCs w:val="18"/>
                <w:color w:val="auto"/>
              </w:rPr>
              <w:t>139,222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111,544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Payment of offering costs</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(336)</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payment to GasLog in exchange for contribution of net assets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(66,643)</w:t>
            </w:r>
          </w:p>
        </w:tc>
        <w:tc>
          <w:tcPr>
            <w:tcW w:w="960" w:type="dxa"/>
            <w:vAlign w:val="bottom"/>
          </w:tcPr>
          <w:p>
            <w:pPr>
              <w:jc w:val="right"/>
              <w:spacing w:after="0"/>
              <w:rPr>
                <w:sz w:val="20"/>
                <w:szCs w:val="20"/>
                <w:color w:val="auto"/>
              </w:rPr>
            </w:pPr>
            <w:r>
              <w:rPr>
                <w:rFonts w:ascii="Arial" w:cs="Arial" w:eastAsia="Arial" w:hAnsi="Arial"/>
                <w:sz w:val="18"/>
                <w:szCs w:val="18"/>
                <w:color w:val="auto"/>
              </w:rPr>
              <w:t>(19,086)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color w:val="auto"/>
              </w:rPr>
              <w:t>Distributions paid</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(39,670)</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(57,193)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60,594</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161,545</w:t>
            </w:r>
          </w:p>
        </w:tc>
        <w:tc>
          <w:tcPr>
            <w:tcW w:w="180" w:type="dxa"/>
            <w:vAlign w:val="bottom"/>
            <w:shd w:val="clear" w:color="auto" w:fill="E8FFFA"/>
          </w:tcPr>
          <w:p>
            <w:pPr>
              <w:spacing w:after="0"/>
              <w:rPr>
                <w:sz w:val="18"/>
                <w:szCs w:val="18"/>
                <w:color w:val="auto"/>
              </w:rPr>
            </w:pP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(12,035)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59,875</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221,420</w:t>
            </w:r>
          </w:p>
        </w:tc>
        <w:tc>
          <w:tcPr>
            <w:tcW w:w="180" w:type="dxa"/>
            <w:vAlign w:val="bottom"/>
            <w:shd w:val="clear" w:color="auto" w:fill="E8FFFA"/>
          </w:tcPr>
          <w:p>
            <w:pPr>
              <w:spacing w:after="0"/>
              <w:rPr>
                <w:sz w:val="18"/>
                <w:szCs w:val="18"/>
                <w:color w:val="auto"/>
              </w:rPr>
            </w:pP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134,686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32"/>
              <w:spacing w:after="0"/>
              <w:rPr>
                <w:sz w:val="20"/>
                <w:szCs w:val="20"/>
                <w:color w:val="auto"/>
              </w:rPr>
            </w:pPr>
            <w:r>
              <w:rPr>
                <w:rFonts w:ascii="Arial" w:cs="Arial" w:eastAsia="Arial" w:hAnsi="Arial"/>
                <w:sz w:val="18"/>
                <w:szCs w:val="18"/>
                <w:color w:val="auto"/>
              </w:rPr>
              <w:t>14</w:t>
            </w: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IFRS Common Control Reported Results in our Financial Statements to Partnership Performance Results:</w:t>
      </w:r>
    </w:p>
    <w:p>
      <w:pPr>
        <w:spacing w:after="0" w:line="2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Our Partnership Performance Results presented below are non-GAAP measures and exclude amounts related to GAS-eleven Ltd. (the owner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Greece</w:t>
      </w:r>
      <w:r>
        <w:rPr>
          <w:rFonts w:ascii="Arial" w:cs="Arial" w:eastAsia="Arial" w:hAnsi="Arial"/>
          <w:sz w:val="16"/>
          <w:szCs w:val="16"/>
          <w:color w:val="auto"/>
        </w:rPr>
        <w:t>), GAS-thirteen Ltd. (the owner of 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GAS-eight Ltd. (the owner of the</w:t>
      </w:r>
      <w:r>
        <w:rPr>
          <w:rFonts w:ascii="Arial" w:cs="Arial" w:eastAsia="Arial" w:hAnsi="Arial"/>
          <w:sz w:val="16"/>
          <w:szCs w:val="16"/>
          <w:i w:val="1"/>
          <w:iCs w:val="1"/>
          <w:color w:val="auto"/>
        </w:rPr>
        <w:t xml:space="preserve"> Solaris</w:t>
      </w:r>
      <w:r>
        <w:rPr>
          <w:rFonts w:ascii="Arial" w:cs="Arial" w:eastAsia="Arial" w:hAnsi="Arial"/>
          <w:sz w:val="16"/>
          <w:szCs w:val="16"/>
          <w:color w:val="auto"/>
        </w:rPr>
        <w:t>) and GAS-fourteen Ltd. (the owner of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for the periods prior to their transfers to the Partnership on May 3, 2017, July 3, 2017, October 20, 2017 and April 26, 2018, respectively. While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are reflected in the Partnership's unaudited condensed consolidated financial statements because the transfers to the Partnership were accounted for as reorganizations of entities under common control under IFRS, GAS-eleven Ltd., GAS-thirteen Ltd., GAS-eight Ltd. and GAS-fourteen Ltd. were not owned by the Partnership prior to their respective transfers to the Partnership on May 3, 2017, July 3, 2017, October 20, 2017 and April 26, 2018, respectively, and accordingly the Partnership was not entitled to the cash or results generated in the periods prior to such transfers.</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three months ended June 30, 2017</w:t>
            </w:r>
          </w:p>
        </w:tc>
        <w:tc>
          <w:tcPr>
            <w:tcW w:w="0" w:type="dxa"/>
            <w:vAlign w:val="bottom"/>
          </w:tcPr>
          <w:p>
            <w:pPr>
              <w:spacing w:after="0"/>
              <w:rPr>
                <w:sz w:val="1"/>
                <w:szCs w:val="1"/>
                <w:color w:val="auto"/>
              </w:rPr>
            </w:pPr>
          </w:p>
        </w:tc>
      </w:tr>
      <w:tr>
        <w:trPr>
          <w:trHeight w:val="216"/>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w w:val="91"/>
              </w:rPr>
              <w:t>(All amounts expressed in thousands of U.S. dollars)</w:t>
            </w:r>
          </w:p>
        </w:tc>
        <w:tc>
          <w:tcPr>
            <w:tcW w:w="4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Results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Partnership</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attributable to</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Performance</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0"/>
              </w:rPr>
              <w:t>Control</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GasLog</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Results</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7"/>
              </w:rPr>
              <w:t>Reported 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22,823</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62,582</w:t>
            </w:r>
          </w:p>
        </w:tc>
        <w:tc>
          <w:tcPr>
            <w:tcW w:w="160" w:type="dxa"/>
            <w:vAlign w:val="bottom"/>
            <w:shd w:val="clear" w:color="auto" w:fill="E8FFFA"/>
          </w:tcPr>
          <w:p>
            <w:pPr>
              <w:spacing w:after="0"/>
              <w:rPr>
                <w:sz w:val="18"/>
                <w:szCs w:val="18"/>
                <w:color w:val="auto"/>
              </w:rPr>
            </w:pPr>
          </w:p>
        </w:tc>
        <w:tc>
          <w:tcPr>
            <w:tcW w:w="152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(284)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1520" w:type="dxa"/>
            <w:vAlign w:val="bottom"/>
          </w:tcPr>
          <w:p>
            <w:pPr>
              <w:jc w:val="right"/>
              <w:spacing w:after="0"/>
              <w:rPr>
                <w:sz w:val="20"/>
                <w:szCs w:val="20"/>
                <w:color w:val="auto"/>
              </w:rPr>
            </w:pPr>
            <w:r>
              <w:rPr>
                <w:rFonts w:ascii="Arial" w:cs="Arial" w:eastAsia="Arial" w:hAnsi="Arial"/>
                <w:sz w:val="18"/>
                <w:szCs w:val="18"/>
                <w:color w:val="auto"/>
              </w:rPr>
              <w:t>(1,070)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Vessel operating costs</w:t>
            </w:r>
          </w:p>
        </w:tc>
        <w:tc>
          <w:tcPr>
            <w:tcW w:w="19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(2,923)</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(13,309)</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(16,232)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(4,864)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(13,466)</w:t>
            </w:r>
          </w:p>
        </w:tc>
        <w:tc>
          <w:tcPr>
            <w:tcW w:w="1520" w:type="dxa"/>
            <w:vAlign w:val="bottom"/>
          </w:tcPr>
          <w:p>
            <w:pPr>
              <w:jc w:val="right"/>
              <w:spacing w:after="0"/>
              <w:rPr>
                <w:sz w:val="20"/>
                <w:szCs w:val="20"/>
                <w:color w:val="auto"/>
              </w:rPr>
            </w:pPr>
            <w:r>
              <w:rPr>
                <w:rFonts w:ascii="Arial" w:cs="Arial" w:eastAsia="Arial" w:hAnsi="Arial"/>
                <w:sz w:val="18"/>
                <w:szCs w:val="18"/>
                <w:color w:val="auto"/>
              </w:rPr>
              <w:t>(18,330)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(321)</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(3,267)</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(3,588)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4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14,431</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1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46,185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48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(4,604)</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(10,288)</w:t>
            </w:r>
          </w:p>
        </w:tc>
        <w:tc>
          <w:tcPr>
            <w:tcW w:w="160" w:type="dxa"/>
            <w:vAlign w:val="bottom"/>
            <w:shd w:val="clear" w:color="auto" w:fill="E8FFFA"/>
          </w:tcPr>
          <w:p>
            <w:pPr>
              <w:spacing w:after="0"/>
              <w:rPr>
                <w:sz w:val="18"/>
                <w:szCs w:val="18"/>
                <w:color w:val="auto"/>
              </w:rPr>
            </w:pP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(14,892)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Loss on derivatives</w:t>
            </w:r>
          </w:p>
        </w:tc>
        <w:tc>
          <w:tcPr>
            <w:tcW w:w="480" w:type="dxa"/>
            <w:vAlign w:val="bottom"/>
            <w:shd w:val="clear" w:color="auto" w:fill="E8FFFA"/>
          </w:tcPr>
          <w:p>
            <w:pPr>
              <w:spacing w:after="0"/>
              <w:rPr>
                <w:sz w:val="18"/>
                <w:szCs w:val="18"/>
                <w:color w:val="auto"/>
              </w:rPr>
            </w:pPr>
          </w:p>
        </w:tc>
        <w:tc>
          <w:tcPr>
            <w:tcW w:w="142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(2,336)</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(2,336)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4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(4,589)</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1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480" w:type="dxa"/>
            <w:vAlign w:val="bottom"/>
            <w:shd w:val="clear" w:color="auto" w:fill="E8FFFA"/>
          </w:tcPr>
          <w:p>
            <w:pPr>
              <w:spacing w:after="0"/>
              <w:rPr>
                <w:sz w:val="18"/>
                <w:szCs w:val="18"/>
                <w:color w:val="auto"/>
              </w:rPr>
            </w:pP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9,842</w:t>
            </w:r>
          </w:p>
        </w:tc>
        <w:tc>
          <w:tcPr>
            <w:tcW w:w="160" w:type="dxa"/>
            <w:vAlign w:val="bottom"/>
            <w:shd w:val="clear" w:color="auto" w:fill="E8FFFA"/>
          </w:tcPr>
          <w:p>
            <w:pPr>
              <w:spacing w:after="0"/>
              <w:rPr>
                <w:sz w:val="18"/>
                <w:szCs w:val="18"/>
                <w:color w:val="auto"/>
              </w:rPr>
            </w:pPr>
          </w:p>
        </w:tc>
        <w:tc>
          <w:tcPr>
            <w:tcW w:w="12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19,358</w:t>
            </w:r>
          </w:p>
        </w:tc>
        <w:tc>
          <w:tcPr>
            <w:tcW w:w="160" w:type="dxa"/>
            <w:vAlign w:val="bottom"/>
            <w:shd w:val="clear" w:color="auto" w:fill="E8FFFA"/>
          </w:tcPr>
          <w:p>
            <w:pPr>
              <w:spacing w:after="0"/>
              <w:rPr>
                <w:sz w:val="18"/>
                <w:szCs w:val="18"/>
                <w:color w:val="auto"/>
              </w:rPr>
            </w:pPr>
          </w:p>
        </w:tc>
        <w:tc>
          <w:tcPr>
            <w:tcW w:w="15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29,200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40" w:type="dxa"/>
            <w:vAlign w:val="bottom"/>
            <w:gridSpan w:val="2"/>
          </w:tcPr>
          <w:p>
            <w:pPr>
              <w:jc w:val="right"/>
              <w:ind w:right="115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4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w w:val="88"/>
              </w:rPr>
              <w:t>For the three months ended March 31, 2018</w:t>
            </w:r>
          </w:p>
        </w:tc>
        <w:tc>
          <w:tcPr>
            <w:tcW w:w="0" w:type="dxa"/>
            <w:vAlign w:val="bottom"/>
          </w:tcPr>
          <w:p>
            <w:pPr>
              <w:spacing w:after="0"/>
              <w:rPr>
                <w:sz w:val="1"/>
                <w:szCs w:val="1"/>
                <w:color w:val="auto"/>
              </w:rPr>
            </w:pPr>
          </w:p>
        </w:tc>
      </w:tr>
      <w:tr>
        <w:trPr>
          <w:trHeight w:val="216"/>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w w:val="91"/>
              </w:rPr>
              <w:t>(All amounts expressed in thousands of U.S. dollars)</w:t>
            </w:r>
          </w:p>
        </w:tc>
        <w:tc>
          <w:tcPr>
            <w:tcW w:w="4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Results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Partnership</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attributable to</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Performance</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0"/>
              </w:rPr>
              <w:t>Control</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GasLog</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Results</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7"/>
              </w:rPr>
              <w:t>Reported 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7,290</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77,061</w:t>
            </w:r>
          </w:p>
        </w:tc>
        <w:tc>
          <w:tcPr>
            <w:tcW w:w="160" w:type="dxa"/>
            <w:vAlign w:val="bottom"/>
            <w:shd w:val="clear" w:color="auto" w:fill="E8FFFA"/>
          </w:tcPr>
          <w:p>
            <w:pPr>
              <w:spacing w:after="0"/>
              <w:rPr>
                <w:sz w:val="18"/>
                <w:szCs w:val="18"/>
                <w:color w:val="auto"/>
              </w:rPr>
            </w:pPr>
          </w:p>
        </w:tc>
        <w:tc>
          <w:tcPr>
            <w:tcW w:w="152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84,351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(92)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1520" w:type="dxa"/>
            <w:vAlign w:val="bottom"/>
          </w:tcPr>
          <w:p>
            <w:pPr>
              <w:jc w:val="right"/>
              <w:spacing w:after="0"/>
              <w:rPr>
                <w:sz w:val="20"/>
                <w:szCs w:val="20"/>
                <w:color w:val="auto"/>
              </w:rPr>
            </w:pPr>
            <w:r>
              <w:rPr>
                <w:rFonts w:ascii="Arial" w:cs="Arial" w:eastAsia="Arial" w:hAnsi="Arial"/>
                <w:sz w:val="18"/>
                <w:szCs w:val="18"/>
                <w:color w:val="auto"/>
              </w:rPr>
              <w:t>(1,147)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Vessel operating costs</w:t>
            </w:r>
          </w:p>
        </w:tc>
        <w:tc>
          <w:tcPr>
            <w:tcW w:w="19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(1,471)</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(15,591)</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(17,062)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(1,443)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(16,786)</w:t>
            </w:r>
          </w:p>
        </w:tc>
        <w:tc>
          <w:tcPr>
            <w:tcW w:w="1520" w:type="dxa"/>
            <w:vAlign w:val="bottom"/>
          </w:tcPr>
          <w:p>
            <w:pPr>
              <w:jc w:val="right"/>
              <w:spacing w:after="0"/>
              <w:rPr>
                <w:sz w:val="20"/>
                <w:szCs w:val="20"/>
                <w:color w:val="auto"/>
              </w:rPr>
            </w:pPr>
            <w:r>
              <w:rPr>
                <w:rFonts w:ascii="Arial" w:cs="Arial" w:eastAsia="Arial" w:hAnsi="Arial"/>
                <w:sz w:val="18"/>
                <w:szCs w:val="18"/>
                <w:color w:val="auto"/>
              </w:rPr>
              <w:t>(18,229)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(98)</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(4,585)</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(4,683)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4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4,186</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39,044</w:t>
            </w:r>
          </w:p>
        </w:tc>
        <w:tc>
          <w:tcPr>
            <w:tcW w:w="1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43,230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48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(1,459)</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(13,888)</w:t>
            </w:r>
          </w:p>
        </w:tc>
        <w:tc>
          <w:tcPr>
            <w:tcW w:w="160" w:type="dxa"/>
            <w:vAlign w:val="bottom"/>
            <w:shd w:val="clear" w:color="auto" w:fill="E8FFFA"/>
          </w:tcPr>
          <w:p>
            <w:pPr>
              <w:spacing w:after="0"/>
              <w:rPr>
                <w:sz w:val="18"/>
                <w:szCs w:val="18"/>
                <w:color w:val="auto"/>
              </w:rPr>
            </w:pP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(15,347)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Gain on derivatives</w:t>
            </w:r>
          </w:p>
        </w:tc>
        <w:tc>
          <w:tcPr>
            <w:tcW w:w="480" w:type="dxa"/>
            <w:vAlign w:val="bottom"/>
            <w:shd w:val="clear" w:color="auto" w:fill="E8FFFA"/>
          </w:tcPr>
          <w:p>
            <w:pPr>
              <w:spacing w:after="0"/>
              <w:rPr>
                <w:sz w:val="18"/>
                <w:szCs w:val="18"/>
                <w:color w:val="auto"/>
              </w:rPr>
            </w:pPr>
          </w:p>
        </w:tc>
        <w:tc>
          <w:tcPr>
            <w:tcW w:w="142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6,327</w:t>
            </w:r>
          </w:p>
        </w:tc>
        <w:tc>
          <w:tcPr>
            <w:tcW w:w="160" w:type="dxa"/>
            <w:vAlign w:val="bottom"/>
            <w:shd w:val="clear" w:color="auto" w:fill="E8FFFA"/>
          </w:tcPr>
          <w:p>
            <w:pPr>
              <w:spacing w:after="0"/>
              <w:rPr>
                <w:sz w:val="18"/>
                <w:szCs w:val="18"/>
                <w:color w:val="auto"/>
              </w:rPr>
            </w:pP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6,327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4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(7,042)</w:t>
            </w:r>
          </w:p>
        </w:tc>
        <w:tc>
          <w:tcPr>
            <w:tcW w:w="1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480" w:type="dxa"/>
            <w:vAlign w:val="bottom"/>
            <w:shd w:val="clear" w:color="auto" w:fill="E8FFFA"/>
          </w:tcPr>
          <w:p>
            <w:pPr>
              <w:spacing w:after="0"/>
              <w:rPr>
                <w:sz w:val="18"/>
                <w:szCs w:val="18"/>
                <w:color w:val="auto"/>
              </w:rPr>
            </w:pPr>
          </w:p>
        </w:tc>
        <w:tc>
          <w:tcPr>
            <w:tcW w:w="12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2,733</w:t>
            </w:r>
          </w:p>
        </w:tc>
        <w:tc>
          <w:tcPr>
            <w:tcW w:w="160" w:type="dxa"/>
            <w:vAlign w:val="bottom"/>
            <w:shd w:val="clear" w:color="auto" w:fill="E8FFFA"/>
          </w:tcPr>
          <w:p>
            <w:pPr>
              <w:spacing w:after="0"/>
              <w:rPr>
                <w:sz w:val="18"/>
                <w:szCs w:val="18"/>
                <w:color w:val="auto"/>
              </w:rPr>
            </w:pPr>
          </w:p>
        </w:tc>
        <w:tc>
          <w:tcPr>
            <w:tcW w:w="124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32,002</w:t>
            </w:r>
          </w:p>
        </w:tc>
        <w:tc>
          <w:tcPr>
            <w:tcW w:w="160" w:type="dxa"/>
            <w:vAlign w:val="bottom"/>
            <w:shd w:val="clear" w:color="auto" w:fill="E8FFFA"/>
          </w:tcPr>
          <w:p>
            <w:pPr>
              <w:spacing w:after="0"/>
              <w:rPr>
                <w:sz w:val="18"/>
                <w:szCs w:val="18"/>
                <w:color w:val="auto"/>
              </w:rPr>
            </w:pPr>
          </w:p>
        </w:tc>
        <w:tc>
          <w:tcPr>
            <w:tcW w:w="15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34,735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40" w:type="dxa"/>
            <w:vAlign w:val="bottom"/>
            <w:gridSpan w:val="6"/>
          </w:tcPr>
          <w:p>
            <w:pPr>
              <w:jc w:val="center"/>
              <w:ind w:right="1300"/>
              <w:spacing w:after="0"/>
              <w:rPr>
                <w:sz w:val="20"/>
                <w:szCs w:val="20"/>
                <w:color w:val="auto"/>
              </w:rPr>
            </w:pPr>
            <w:r>
              <w:rPr>
                <w:rFonts w:ascii="Arial" w:cs="Arial" w:eastAsia="Arial" w:hAnsi="Arial"/>
                <w:sz w:val="18"/>
                <w:szCs w:val="18"/>
                <w:b w:val="1"/>
                <w:bCs w:val="1"/>
                <w:color w:val="auto"/>
                <w:w w:val="87"/>
              </w:rPr>
              <w:t>For the three months ended June 30, 2018</w:t>
            </w:r>
          </w:p>
        </w:tc>
        <w:tc>
          <w:tcPr>
            <w:tcW w:w="0" w:type="dxa"/>
            <w:vAlign w:val="bottom"/>
          </w:tcPr>
          <w:p>
            <w:pPr>
              <w:spacing w:after="0"/>
              <w:rPr>
                <w:sz w:val="1"/>
                <w:szCs w:val="1"/>
                <w:color w:val="auto"/>
              </w:rPr>
            </w:pPr>
          </w:p>
        </w:tc>
      </w:tr>
      <w:tr>
        <w:trPr>
          <w:trHeight w:val="216"/>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w w:val="91"/>
              </w:rPr>
              <w:t>(All amounts expressed in thousands of U.S. dollars)</w:t>
            </w:r>
          </w:p>
        </w:tc>
        <w:tc>
          <w:tcPr>
            <w:tcW w:w="4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Results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Partnership</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attributable to</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Performance</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0"/>
              </w:rPr>
              <w:t>Control</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GasLog</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Results</w:t>
            </w:r>
          </w:p>
        </w:tc>
        <w:tc>
          <w:tcPr>
            <w:tcW w:w="28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7"/>
              </w:rPr>
              <w:t>Reported 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E8FFFA"/>
          </w:tcPr>
          <w:p>
            <w:pPr>
              <w:spacing w:after="0"/>
              <w:rPr>
                <w:sz w:val="18"/>
                <w:szCs w:val="18"/>
                <w:color w:val="auto"/>
              </w:rPr>
            </w:pPr>
          </w:p>
        </w:tc>
        <w:tc>
          <w:tcPr>
            <w:tcW w:w="12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74,909</w:t>
            </w:r>
          </w:p>
        </w:tc>
        <w:tc>
          <w:tcPr>
            <w:tcW w:w="160" w:type="dxa"/>
            <w:vAlign w:val="bottom"/>
            <w:shd w:val="clear" w:color="auto" w:fill="E8FFFA"/>
          </w:tcPr>
          <w:p>
            <w:pPr>
              <w:spacing w:after="0"/>
              <w:rPr>
                <w:sz w:val="18"/>
                <w:szCs w:val="18"/>
                <w:color w:val="auto"/>
              </w:rPr>
            </w:pPr>
          </w:p>
        </w:tc>
        <w:tc>
          <w:tcPr>
            <w:tcW w:w="152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76,934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pool allocation</w:t>
            </w:r>
          </w:p>
        </w:tc>
        <w:tc>
          <w:tcPr>
            <w:tcW w:w="4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520" w:type="dxa"/>
            <w:vAlign w:val="bottom"/>
          </w:tcPr>
          <w:p>
            <w:pPr>
              <w:jc w:val="right"/>
              <w:spacing w:after="0"/>
              <w:rPr>
                <w:sz w:val="20"/>
                <w:szCs w:val="20"/>
                <w:color w:val="auto"/>
              </w:rPr>
            </w:pPr>
            <w:r>
              <w:rPr>
                <w:rFonts w:ascii="Arial" w:cs="Arial" w:eastAsia="Arial" w:hAnsi="Arial"/>
                <w:sz w:val="18"/>
                <w:szCs w:val="18"/>
                <w:color w:val="auto"/>
              </w:rPr>
              <w:t>(357)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9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(1,511)</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(1,536)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(241)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(15,110)</w:t>
            </w:r>
          </w:p>
        </w:tc>
        <w:tc>
          <w:tcPr>
            <w:tcW w:w="1520" w:type="dxa"/>
            <w:vAlign w:val="bottom"/>
          </w:tcPr>
          <w:p>
            <w:pPr>
              <w:jc w:val="right"/>
              <w:spacing w:after="0"/>
              <w:rPr>
                <w:sz w:val="20"/>
                <w:szCs w:val="20"/>
                <w:color w:val="auto"/>
              </w:rPr>
            </w:pPr>
            <w:r>
              <w:rPr>
                <w:rFonts w:ascii="Arial" w:cs="Arial" w:eastAsia="Arial" w:hAnsi="Arial"/>
                <w:sz w:val="18"/>
                <w:szCs w:val="18"/>
                <w:color w:val="auto"/>
              </w:rPr>
              <w:t>(15,351)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9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(401)</w:t>
            </w:r>
          </w:p>
        </w:tc>
        <w:tc>
          <w:tcPr>
            <w:tcW w:w="140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(17,974)</w:t>
            </w: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(18,375)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(4,671)</w:t>
            </w:r>
          </w:p>
        </w:tc>
        <w:tc>
          <w:tcPr>
            <w:tcW w:w="1520" w:type="dxa"/>
            <w:vAlign w:val="bottom"/>
          </w:tcPr>
          <w:p>
            <w:pPr>
              <w:jc w:val="right"/>
              <w:spacing w:after="0"/>
              <w:rPr>
                <w:sz w:val="20"/>
                <w:szCs w:val="20"/>
                <w:color w:val="auto"/>
              </w:rPr>
            </w:pPr>
            <w:r>
              <w:rPr>
                <w:rFonts w:ascii="Arial" w:cs="Arial" w:eastAsia="Arial" w:hAnsi="Arial"/>
                <w:sz w:val="18"/>
                <w:szCs w:val="18"/>
                <w:color w:val="auto"/>
              </w:rPr>
              <w:t>(4,698)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48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1,331</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35,286</w:t>
            </w:r>
          </w:p>
        </w:tc>
        <w:tc>
          <w:tcPr>
            <w:tcW w:w="160" w:type="dxa"/>
            <w:vAlign w:val="bottom"/>
            <w:shd w:val="clear" w:color="auto" w:fill="E8FFFA"/>
          </w:tcPr>
          <w:p>
            <w:pPr>
              <w:spacing w:after="0"/>
              <w:rPr>
                <w:sz w:val="18"/>
                <w:szCs w:val="18"/>
                <w:color w:val="auto"/>
              </w:rPr>
            </w:pPr>
          </w:p>
        </w:tc>
        <w:tc>
          <w:tcPr>
            <w:tcW w:w="15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36,617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(14,552)</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(14,946)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E8FFFA"/>
          </w:tcPr>
          <w:p>
            <w:pPr>
              <w:spacing w:after="0"/>
              <w:rPr>
                <w:sz w:val="18"/>
                <w:szCs w:val="18"/>
                <w:color w:val="auto"/>
              </w:rPr>
            </w:pPr>
          </w:p>
        </w:tc>
        <w:tc>
          <w:tcPr>
            <w:tcW w:w="15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Gain on derivatives</w:t>
            </w:r>
          </w:p>
        </w:tc>
        <w:tc>
          <w:tcPr>
            <w:tcW w:w="4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other expenses, net</w:t>
            </w:r>
          </w:p>
        </w:tc>
        <w:tc>
          <w:tcPr>
            <w:tcW w:w="48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(391)</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(12,385)</w:t>
            </w:r>
          </w:p>
        </w:tc>
        <w:tc>
          <w:tcPr>
            <w:tcW w:w="160" w:type="dxa"/>
            <w:vAlign w:val="bottom"/>
            <w:shd w:val="clear" w:color="auto" w:fill="E8FFFA"/>
          </w:tcPr>
          <w:p>
            <w:pPr>
              <w:spacing w:after="0"/>
              <w:rPr>
                <w:sz w:val="18"/>
                <w:szCs w:val="18"/>
                <w:color w:val="auto"/>
              </w:rPr>
            </w:pPr>
          </w:p>
        </w:tc>
        <w:tc>
          <w:tcPr>
            <w:tcW w:w="15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(12,776)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22,901</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40" w:type="dxa"/>
            <w:vAlign w:val="bottom"/>
            <w:gridSpan w:val="2"/>
          </w:tcPr>
          <w:p>
            <w:pPr>
              <w:jc w:val="right"/>
              <w:ind w:right="115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EBITDA is defined as earnings before interest income and expense, gain/loss on derivatives, taxes, depreciation and amortization. Adjusted Profit represents earnings before (a) non-cash gain/loss on derivatives that includes unrealized gain/loss on derivative financial instruments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derivatives, taxes, depreciation and amortization; and in the case of Adjusted Profit, non-cash gain/loss on derivatives and write-off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Profit to EBITDA:</w:t>
            </w: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34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w w:val="89"/>
              </w:rPr>
              <w:t>IFRS Common Control Reported Results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34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w w:val="86"/>
              </w:rPr>
              <w:t>For the three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2017</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March 31, 2018</w:t>
            </w:r>
          </w:p>
        </w:tc>
        <w:tc>
          <w:tcPr>
            <w:tcW w:w="25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46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4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29,200</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34,735</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23,841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Depreciation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18,330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18,229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18,375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27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14,892</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15,347</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14,946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Financial income</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(243)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240" w:type="dxa"/>
            <w:vAlign w:val="bottom"/>
          </w:tcPr>
          <w:p>
            <w:pPr>
              <w:jc w:val="right"/>
              <w:spacing w:after="0"/>
              <w:rPr>
                <w:sz w:val="20"/>
                <w:szCs w:val="20"/>
                <w:color w:val="auto"/>
              </w:rPr>
            </w:pPr>
            <w:r>
              <w:rPr>
                <w:rFonts w:ascii="Arial" w:cs="Arial" w:eastAsia="Arial" w:hAnsi="Arial"/>
                <w:sz w:val="18"/>
                <w:szCs w:val="18"/>
                <w:color w:val="auto"/>
              </w:rPr>
              <w:t>(582)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E8FFFA"/>
          </w:tcPr>
          <w:p>
            <w:pPr>
              <w:spacing w:after="0"/>
              <w:rPr>
                <w:sz w:val="20"/>
                <w:szCs w:val="20"/>
                <w:color w:val="auto"/>
              </w:rPr>
            </w:pPr>
            <w:r>
              <w:rPr>
                <w:rFonts w:ascii="Arial" w:cs="Arial" w:eastAsia="Arial" w:hAnsi="Arial"/>
                <w:sz w:val="18"/>
                <w:szCs w:val="18"/>
                <w:color w:val="auto"/>
              </w:rPr>
              <w:t>Loss/(gain) on derivatives</w:t>
            </w:r>
          </w:p>
        </w:tc>
        <w:tc>
          <w:tcPr>
            <w:tcW w:w="27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E8FFFA"/>
          </w:tcPr>
          <w:p>
            <w:pPr>
              <w:spacing w:after="0"/>
              <w:rPr>
                <w:sz w:val="18"/>
                <w:szCs w:val="18"/>
                <w:color w:val="auto"/>
              </w:rPr>
            </w:pPr>
          </w:p>
        </w:tc>
        <w:tc>
          <w:tcPr>
            <w:tcW w:w="140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(6,327)</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(1,588)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4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64,515</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61,459</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54,992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7"/>
              </w:rPr>
              <w:t>Partnership Performance Results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6"/>
              </w:rPr>
              <w:t>For the three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2017</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March 31, 2018</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19,358</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32,002</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w:t>
            </w:r>
          </w:p>
        </w:tc>
        <w:tc>
          <w:tcPr>
            <w:tcW w:w="1240" w:type="dxa"/>
            <w:vAlign w:val="bottom"/>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16,786</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10,288</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13,888</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Financial income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124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Loss/(gain) on derivatives</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E8FFFA"/>
          </w:tcPr>
          <w:p>
            <w:pPr>
              <w:spacing w:after="0"/>
              <w:rPr>
                <w:sz w:val="18"/>
                <w:szCs w:val="18"/>
                <w:color w:val="auto"/>
              </w:rPr>
            </w:pPr>
          </w:p>
        </w:tc>
        <w:tc>
          <w:tcPr>
            <w:tcW w:w="140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(6,327)</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45,220</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55,830</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Profit to Adjusted Profit:</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IFRS Common Control Reported Results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6"/>
              </w:rPr>
              <w:t>For the three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2017</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March 31, 2018</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29,200</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34,735</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23,841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Non-cash loss/(gain) on derivatives</w:t>
            </w:r>
          </w:p>
        </w:tc>
        <w:tc>
          <w:tcPr>
            <w:tcW w:w="1240" w:type="dxa"/>
            <w:vAlign w:val="bottom"/>
          </w:tcPr>
          <w:p>
            <w:pPr>
              <w:jc w:val="right"/>
              <w:spacing w:after="0"/>
              <w:rPr>
                <w:sz w:val="20"/>
                <w:szCs w:val="20"/>
                <w:color w:val="auto"/>
              </w:rPr>
            </w:pPr>
            <w:r>
              <w:rPr>
                <w:rFonts w:ascii="Arial" w:cs="Arial" w:eastAsia="Arial" w:hAnsi="Arial"/>
                <w:sz w:val="18"/>
                <w:szCs w:val="18"/>
                <w:color w:val="auto"/>
              </w:rPr>
              <w:t>1,857</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(6,370)</w:t>
            </w:r>
          </w:p>
        </w:tc>
        <w:tc>
          <w:tcPr>
            <w:tcW w:w="124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w w:val="96"/>
              </w:rPr>
              <w:t>Write-off and accelerated amortization of unamortized loan fees</w:t>
            </w:r>
          </w:p>
        </w:tc>
        <w:tc>
          <w:tcPr>
            <w:tcW w:w="140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31,057</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29,265</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7"/>
              </w:rPr>
              <w:t>Partnership Performance Results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6"/>
              </w:rPr>
              <w:t>For the three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2017</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March 31, 2018</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19,358</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32,002</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Non-cash loss/(gain) on derivatives</w:t>
            </w:r>
          </w:p>
        </w:tc>
        <w:tc>
          <w:tcPr>
            <w:tcW w:w="1240" w:type="dxa"/>
            <w:vAlign w:val="bottom"/>
          </w:tcPr>
          <w:p>
            <w:pPr>
              <w:jc w:val="right"/>
              <w:spacing w:after="0"/>
              <w:rPr>
                <w:sz w:val="20"/>
                <w:szCs w:val="20"/>
                <w:color w:val="auto"/>
              </w:rPr>
            </w:pPr>
            <w:r>
              <w:rPr>
                <w:rFonts w:ascii="Arial" w:cs="Arial" w:eastAsia="Arial" w:hAnsi="Arial"/>
                <w:sz w:val="18"/>
                <w:szCs w:val="18"/>
                <w:color w:val="auto"/>
              </w:rPr>
              <w:t>1,857</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(6,370)</w:t>
            </w:r>
          </w:p>
        </w:tc>
        <w:tc>
          <w:tcPr>
            <w:tcW w:w="124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shd w:val="clear" w:color="auto" w:fill="E8FFFA"/>
          </w:tcPr>
          <w:p>
            <w:pPr>
              <w:spacing w:after="0"/>
              <w:rPr>
                <w:sz w:val="20"/>
                <w:szCs w:val="20"/>
                <w:color w:val="auto"/>
              </w:rPr>
            </w:pPr>
            <w:r>
              <w:rPr>
                <w:rFonts w:ascii="Arial" w:cs="Arial" w:eastAsia="Arial" w:hAnsi="Arial"/>
                <w:sz w:val="18"/>
                <w:szCs w:val="18"/>
                <w:color w:val="auto"/>
                <w:w w:val="96"/>
              </w:rPr>
              <w:t>Write-off and accelerated amortization of unamortized loan fees</w:t>
            </w:r>
          </w:p>
        </w:tc>
        <w:tc>
          <w:tcPr>
            <w:tcW w:w="140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21,215</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26,532</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Cash Flow</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Distributable cash flow means EBITDA, on the basis of the Partnership Performance Results, after considering financial costs for the period, including realized loss on derivatives (interest rate swaps and forward foreign exchange contracts)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Distributable Cash Flow to Partnership's Profit:</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3"/>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600" w:type="dxa"/>
            <w:vAlign w:val="bottom"/>
            <w:gridSpan w:val="6"/>
          </w:tcPr>
          <w:p>
            <w:pPr>
              <w:ind w:left="1240"/>
              <w:spacing w:after="0"/>
              <w:rPr>
                <w:sz w:val="20"/>
                <w:szCs w:val="20"/>
                <w:color w:val="auto"/>
              </w:rPr>
            </w:pPr>
            <w:r>
              <w:rPr>
                <w:rFonts w:ascii="Arial" w:cs="Arial" w:eastAsia="Arial" w:hAnsi="Arial"/>
                <w:sz w:val="18"/>
                <w:szCs w:val="18"/>
                <w:b w:val="1"/>
                <w:bCs w:val="1"/>
                <w:color w:val="auto"/>
              </w:rPr>
              <w:t>For the three months ended</w:t>
            </w:r>
          </w:p>
        </w:tc>
      </w:tr>
      <w:tr>
        <w:trPr>
          <w:trHeight w:val="268"/>
        </w:trPr>
        <w:tc>
          <w:tcPr>
            <w:tcW w:w="116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580" w:type="dxa"/>
            <w:vAlign w:val="bottom"/>
            <w:gridSpan w:val="2"/>
          </w:tcPr>
          <w:p>
            <w:pPr>
              <w:jc w:val="right"/>
              <w:ind w:right="260"/>
              <w:spacing w:after="0" w:line="267" w:lineRule="exact"/>
              <w:rPr>
                <w:sz w:val="20"/>
                <w:szCs w:val="20"/>
                <w:color w:val="auto"/>
              </w:rPr>
            </w:pPr>
            <w:r>
              <w:rPr>
                <w:rFonts w:ascii="Arial" w:cs="Arial" w:eastAsia="Arial" w:hAnsi="Arial"/>
                <w:sz w:val="18"/>
                <w:szCs w:val="18"/>
                <w:b w:val="1"/>
                <w:bCs w:val="1"/>
                <w:color w:val="auto"/>
                <w:w w:val="89"/>
              </w:rPr>
              <w:t xml:space="preserve">June 30, 2017 </w:t>
            </w:r>
            <w:r>
              <w:rPr>
                <w:rFonts w:ascii="Arial" w:cs="Arial" w:eastAsia="Arial" w:hAnsi="Arial"/>
                <w:sz w:val="29"/>
                <w:szCs w:val="29"/>
                <w:b w:val="1"/>
                <w:bCs w:val="1"/>
                <w:color w:val="auto"/>
                <w:w w:val="89"/>
                <w:vertAlign w:val="superscript"/>
              </w:rPr>
              <w:t>(1)</w:t>
            </w:r>
          </w:p>
        </w:tc>
        <w:tc>
          <w:tcPr>
            <w:tcW w:w="1560" w:type="dxa"/>
            <w:vAlign w:val="bottom"/>
            <w:gridSpan w:val="2"/>
          </w:tcPr>
          <w:p>
            <w:pPr>
              <w:jc w:val="right"/>
              <w:ind w:right="180"/>
              <w:spacing w:after="0" w:line="267" w:lineRule="exact"/>
              <w:rPr>
                <w:sz w:val="20"/>
                <w:szCs w:val="20"/>
                <w:color w:val="auto"/>
              </w:rPr>
            </w:pPr>
            <w:r>
              <w:rPr>
                <w:rFonts w:ascii="Arial" w:cs="Arial" w:eastAsia="Arial" w:hAnsi="Arial"/>
                <w:sz w:val="18"/>
                <w:szCs w:val="18"/>
                <w:b w:val="1"/>
                <w:bCs w:val="1"/>
                <w:color w:val="auto"/>
                <w:w w:val="86"/>
              </w:rPr>
              <w:t xml:space="preserve">March 31, 2018 </w:t>
            </w:r>
            <w:r>
              <w:rPr>
                <w:rFonts w:ascii="Arial" w:cs="Arial" w:eastAsia="Arial" w:hAnsi="Arial"/>
                <w:sz w:val="29"/>
                <w:szCs w:val="29"/>
                <w:b w:val="1"/>
                <w:bCs w:val="1"/>
                <w:color w:val="auto"/>
                <w:w w:val="86"/>
                <w:vertAlign w:val="superscript"/>
              </w:rPr>
              <w:t>(1)</w:t>
            </w:r>
          </w:p>
        </w:tc>
        <w:tc>
          <w:tcPr>
            <w:tcW w:w="1460" w:type="dxa"/>
            <w:vAlign w:val="bottom"/>
            <w:gridSpan w:val="2"/>
          </w:tcPr>
          <w:p>
            <w:pPr>
              <w:ind w:left="80"/>
              <w:spacing w:after="0" w:line="267" w:lineRule="exact"/>
              <w:rPr>
                <w:sz w:val="20"/>
                <w:szCs w:val="20"/>
                <w:color w:val="auto"/>
              </w:rPr>
            </w:pPr>
            <w:r>
              <w:rPr>
                <w:rFonts w:ascii="Arial" w:cs="Arial" w:eastAsia="Arial" w:hAnsi="Arial"/>
                <w:sz w:val="18"/>
                <w:szCs w:val="18"/>
                <w:b w:val="1"/>
                <w:bCs w:val="1"/>
                <w:color w:val="auto"/>
                <w:w w:val="93"/>
              </w:rPr>
              <w:t xml:space="preserve">June 30, 2018 </w:t>
            </w:r>
            <w:r>
              <w:rPr>
                <w:rFonts w:ascii="Arial" w:cs="Arial" w:eastAsia="Arial" w:hAnsi="Arial"/>
                <w:sz w:val="29"/>
                <w:szCs w:val="29"/>
                <w:b w:val="1"/>
                <w:bCs w:val="1"/>
                <w:color w:val="auto"/>
                <w:w w:val="93"/>
                <w:vertAlign w:val="superscript"/>
              </w:rPr>
              <w:t>(1)</w:t>
            </w:r>
          </w:p>
        </w:tc>
      </w:tr>
      <w:tr>
        <w:trPr>
          <w:trHeight w:val="210"/>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Partnership's profit for the period</w:t>
            </w:r>
          </w:p>
        </w:tc>
        <w:tc>
          <w:tcPr>
            <w:tcW w:w="142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19,358</w:t>
            </w:r>
          </w:p>
        </w:tc>
        <w:tc>
          <w:tcPr>
            <w:tcW w:w="160" w:type="dxa"/>
            <w:vAlign w:val="bottom"/>
            <w:shd w:val="clear" w:color="auto" w:fill="E8FFFA"/>
          </w:tcPr>
          <w:p>
            <w:pPr>
              <w:spacing w:after="0"/>
              <w:rPr>
                <w:sz w:val="18"/>
                <w:szCs w:val="18"/>
                <w:color w:val="auto"/>
              </w:rPr>
            </w:pPr>
          </w:p>
        </w:tc>
        <w:tc>
          <w:tcPr>
            <w:tcW w:w="14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32,002</w:t>
            </w:r>
          </w:p>
        </w:tc>
        <w:tc>
          <w:tcPr>
            <w:tcW w:w="160" w:type="dxa"/>
            <w:vAlign w:val="bottom"/>
            <w:shd w:val="clear" w:color="auto" w:fill="E8FFFA"/>
          </w:tcPr>
          <w:p>
            <w:pPr>
              <w:spacing w:after="0"/>
              <w:rPr>
                <w:sz w:val="18"/>
                <w:szCs w:val="18"/>
                <w:color w:val="auto"/>
              </w:rPr>
            </w:pPr>
          </w:p>
        </w:tc>
        <w:tc>
          <w:tcPr>
            <w:tcW w:w="14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22,901</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Depreciation</w:t>
            </w:r>
          </w:p>
        </w:tc>
        <w:tc>
          <w:tcPr>
            <w:tcW w:w="1420" w:type="dxa"/>
            <w:vAlign w:val="bottom"/>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16,786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17,974</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14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10,288</w:t>
            </w:r>
          </w:p>
        </w:tc>
        <w:tc>
          <w:tcPr>
            <w:tcW w:w="160" w:type="dxa"/>
            <w:vAlign w:val="bottom"/>
            <w:shd w:val="clear" w:color="auto" w:fill="E8FFFA"/>
          </w:tcPr>
          <w:p>
            <w:pPr>
              <w:spacing w:after="0"/>
              <w:rPr>
                <w:sz w:val="18"/>
                <w:szCs w:val="18"/>
                <w:color w:val="auto"/>
              </w:rPr>
            </w:pPr>
          </w:p>
        </w:tc>
        <w:tc>
          <w:tcPr>
            <w:tcW w:w="14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13,888</w:t>
            </w:r>
          </w:p>
        </w:tc>
        <w:tc>
          <w:tcPr>
            <w:tcW w:w="160" w:type="dxa"/>
            <w:vAlign w:val="bottom"/>
            <w:shd w:val="clear" w:color="auto" w:fill="E8FFFA"/>
          </w:tcPr>
          <w:p>
            <w:pPr>
              <w:spacing w:after="0"/>
              <w:rPr>
                <w:sz w:val="18"/>
                <w:szCs w:val="18"/>
                <w:color w:val="auto"/>
              </w:rPr>
            </w:pPr>
          </w:p>
        </w:tc>
        <w:tc>
          <w:tcPr>
            <w:tcW w:w="14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14,552</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Financial income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140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Loss/(gain) on derivatives</w:t>
            </w:r>
          </w:p>
        </w:tc>
        <w:tc>
          <w:tcPr>
            <w:tcW w:w="14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E8FFFA"/>
          </w:tcPr>
          <w:p>
            <w:pPr>
              <w:spacing w:after="0"/>
              <w:rPr>
                <w:sz w:val="18"/>
                <w:szCs w:val="18"/>
                <w:color w:val="auto"/>
              </w:rPr>
            </w:pPr>
          </w:p>
        </w:tc>
        <w:tc>
          <w:tcPr>
            <w:tcW w:w="15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(6,327)</w:t>
            </w:r>
          </w:p>
        </w:tc>
        <w:tc>
          <w:tcPr>
            <w:tcW w:w="14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(1,588)</w:t>
            </w:r>
          </w:p>
        </w:tc>
        <w:tc>
          <w:tcPr>
            <w:tcW w:w="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45,220</w:t>
            </w: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55,830</w:t>
            </w: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53,260</w:t>
            </w:r>
          </w:p>
        </w:tc>
        <w:tc>
          <w:tcPr>
            <w:tcW w:w="60" w:type="dxa"/>
            <w:vAlign w:val="bottom"/>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4420" w:type="dxa"/>
            <w:vAlign w:val="bottom"/>
            <w:shd w:val="clear" w:color="auto" w:fill="E8FFFA"/>
          </w:tcPr>
          <w:p>
            <w:pPr>
              <w:spacing w:after="0" w:line="201" w:lineRule="exact"/>
              <w:rPr>
                <w:sz w:val="20"/>
                <w:szCs w:val="20"/>
                <w:color w:val="auto"/>
              </w:rPr>
            </w:pPr>
            <w:r>
              <w:rPr>
                <w:rFonts w:ascii="Arial" w:cs="Arial" w:eastAsia="Arial" w:hAnsi="Arial"/>
                <w:sz w:val="18"/>
                <w:szCs w:val="18"/>
                <w:color w:val="auto"/>
                <w:w w:val="98"/>
              </w:rPr>
              <w:t>Financial costs (excluding amortization of loan fees) and</w:t>
            </w:r>
          </w:p>
        </w:tc>
        <w:tc>
          <w:tcPr>
            <w:tcW w:w="142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4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400" w:type="dxa"/>
            <w:vAlign w:val="bottom"/>
            <w:shd w:val="clear" w:color="auto" w:fill="E8FFFA"/>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44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realized loss/gain on derivatives</w:t>
            </w:r>
          </w:p>
        </w:tc>
        <w:tc>
          <w:tcPr>
            <w:tcW w:w="15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(9,591)</w:t>
            </w:r>
          </w:p>
        </w:tc>
        <w:tc>
          <w:tcPr>
            <w:tcW w:w="15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(11,771)</w:t>
            </w:r>
          </w:p>
        </w:tc>
        <w:tc>
          <w:tcPr>
            <w:tcW w:w="14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(12,674)</w:t>
            </w:r>
          </w:p>
        </w:tc>
        <w:tc>
          <w:tcPr>
            <w:tcW w:w="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Dry-docking capital reserve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(2,871)</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(3,245)</w:t>
            </w:r>
          </w:p>
        </w:tc>
        <w:tc>
          <w:tcPr>
            <w:tcW w:w="1400" w:type="dxa"/>
            <w:vAlign w:val="bottom"/>
          </w:tcPr>
          <w:p>
            <w:pPr>
              <w:jc w:val="right"/>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color w:val="auto"/>
              </w:rPr>
              <w:t>Replacement capital reserve</w:t>
            </w:r>
          </w:p>
        </w:tc>
        <w:tc>
          <w:tcPr>
            <w:tcW w:w="158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(7,955)</w:t>
            </w:r>
          </w:p>
        </w:tc>
        <w:tc>
          <w:tcPr>
            <w:tcW w:w="15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(8,314)</w:t>
            </w:r>
          </w:p>
        </w:tc>
        <w:tc>
          <w:tcPr>
            <w:tcW w:w="14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(8,767)</w:t>
            </w:r>
          </w:p>
        </w:tc>
        <w:tc>
          <w:tcPr>
            <w:tcW w:w="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preferred equity distribution</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(1,549)</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(5,038)</w:t>
            </w:r>
          </w:p>
        </w:tc>
        <w:tc>
          <w:tcPr>
            <w:tcW w:w="1400" w:type="dxa"/>
            <w:vAlign w:val="bottom"/>
          </w:tcPr>
          <w:p>
            <w:pPr>
              <w:jc w:val="right"/>
              <w:spacing w:after="0"/>
              <w:rPr>
                <w:sz w:val="20"/>
                <w:szCs w:val="20"/>
                <w:color w:val="auto"/>
              </w:rPr>
            </w:pPr>
            <w:r>
              <w:rPr>
                <w:rFonts w:ascii="Arial" w:cs="Arial" w:eastAsia="Arial" w:hAnsi="Arial"/>
                <w:sz w:val="18"/>
                <w:szCs w:val="18"/>
                <w:color w:val="auto"/>
              </w:rPr>
              <w:t>(5,457)</w:t>
            </w:r>
          </w:p>
        </w:tc>
        <w:tc>
          <w:tcPr>
            <w:tcW w:w="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Distributable cash flow</w:t>
            </w:r>
          </w:p>
        </w:tc>
        <w:tc>
          <w:tcPr>
            <w:tcW w:w="14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23,254</w:t>
            </w:r>
          </w:p>
        </w:tc>
        <w:tc>
          <w:tcPr>
            <w:tcW w:w="160" w:type="dxa"/>
            <w:vAlign w:val="bottom"/>
            <w:shd w:val="clear" w:color="auto" w:fill="E8FFFA"/>
          </w:tcPr>
          <w:p>
            <w:pPr>
              <w:spacing w:after="0"/>
              <w:rPr>
                <w:sz w:val="18"/>
                <w:szCs w:val="18"/>
                <w:color w:val="auto"/>
              </w:rPr>
            </w:pPr>
          </w:p>
        </w:tc>
        <w:tc>
          <w:tcPr>
            <w:tcW w:w="14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27,462</w:t>
            </w:r>
          </w:p>
        </w:tc>
        <w:tc>
          <w:tcPr>
            <w:tcW w:w="160" w:type="dxa"/>
            <w:vAlign w:val="bottom"/>
            <w:shd w:val="clear" w:color="auto" w:fill="E8FFFA"/>
          </w:tcPr>
          <w:p>
            <w:pPr>
              <w:spacing w:after="0"/>
              <w:rPr>
                <w:sz w:val="18"/>
                <w:szCs w:val="18"/>
                <w:color w:val="auto"/>
              </w:rPr>
            </w:pPr>
          </w:p>
        </w:tc>
        <w:tc>
          <w:tcPr>
            <w:tcW w:w="14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22,915</w:t>
            </w:r>
          </w:p>
        </w:tc>
        <w:tc>
          <w:tcPr>
            <w:tcW w:w="60" w:type="dxa"/>
            <w:vAlign w:val="bottom"/>
          </w:tcPr>
          <w:p>
            <w:pPr>
              <w:spacing w:after="0"/>
              <w:rPr>
                <w:sz w:val="18"/>
                <w:szCs w:val="18"/>
                <w:color w:val="auto"/>
              </w:rPr>
            </w:pPr>
          </w:p>
        </w:tc>
      </w:tr>
      <w:tr>
        <w:trPr>
          <w:trHeight w:val="250"/>
        </w:trPr>
        <w:tc>
          <w:tcPr>
            <w:tcW w:w="5580" w:type="dxa"/>
            <w:vAlign w:val="bottom"/>
            <w:gridSpan w:val="2"/>
          </w:tcPr>
          <w:p>
            <w:pPr>
              <w:ind w:left="1140"/>
              <w:spacing w:after="0" w:line="250" w:lineRule="exact"/>
              <w:rPr>
                <w:sz w:val="20"/>
                <w:szCs w:val="20"/>
                <w:color w:val="auto"/>
              </w:rPr>
            </w:pPr>
            <w:r>
              <w:rPr>
                <w:rFonts w:ascii="Arial" w:cs="Arial" w:eastAsia="Arial" w:hAnsi="Arial"/>
                <w:sz w:val="17"/>
                <w:szCs w:val="17"/>
                <w:color w:val="auto"/>
              </w:rPr>
              <w:t xml:space="preserve">Other reserves </w:t>
            </w:r>
            <w:r>
              <w:rPr>
                <w:rFonts w:ascii="Arial" w:cs="Arial" w:eastAsia="Arial" w:hAnsi="Arial"/>
                <w:sz w:val="28"/>
                <w:szCs w:val="28"/>
                <w:color w:val="auto"/>
                <w:vertAlign w:val="superscript"/>
              </w:rPr>
              <w:t>(2)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(2,253)</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(3,190)</w:t>
            </w:r>
          </w:p>
        </w:tc>
        <w:tc>
          <w:tcPr>
            <w:tcW w:w="1400" w:type="dxa"/>
            <w:vAlign w:val="bottom"/>
          </w:tcPr>
          <w:p>
            <w:pPr>
              <w:jc w:val="right"/>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21"/>
                <w:szCs w:val="2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Cash distribution declared</w:t>
            </w:r>
          </w:p>
        </w:tc>
        <w:tc>
          <w:tcPr>
            <w:tcW w:w="14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21,001</w:t>
            </w:r>
          </w:p>
        </w:tc>
        <w:tc>
          <w:tcPr>
            <w:tcW w:w="160" w:type="dxa"/>
            <w:vAlign w:val="bottom"/>
            <w:shd w:val="clear" w:color="auto" w:fill="E8FFFA"/>
          </w:tcPr>
          <w:p>
            <w:pPr>
              <w:spacing w:after="0"/>
              <w:rPr>
                <w:sz w:val="18"/>
                <w:szCs w:val="18"/>
                <w:color w:val="auto"/>
              </w:rPr>
            </w:pPr>
          </w:p>
        </w:tc>
        <w:tc>
          <w:tcPr>
            <w:tcW w:w="14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24,272</w:t>
            </w:r>
          </w:p>
        </w:tc>
        <w:tc>
          <w:tcPr>
            <w:tcW w:w="160" w:type="dxa"/>
            <w:vAlign w:val="bottom"/>
            <w:shd w:val="clear" w:color="auto" w:fill="E8FFFA"/>
          </w:tcPr>
          <w:p>
            <w:pPr>
              <w:spacing w:after="0"/>
              <w:rPr>
                <w:sz w:val="18"/>
                <w:szCs w:val="18"/>
                <w:color w:val="auto"/>
              </w:rPr>
            </w:pPr>
          </w:p>
        </w:tc>
        <w:tc>
          <w:tcPr>
            <w:tcW w:w="14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24,272</w:t>
            </w:r>
          </w:p>
        </w:tc>
        <w:tc>
          <w:tcPr>
            <w:tcW w:w="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line="227" w:lineRule="auto"/>
        <w:tabs>
          <w:tab w:leader="none" w:pos="1680" w:val="left"/>
        </w:tabs>
        <w:numPr>
          <w:ilvl w:val="0"/>
          <w:numId w:val="8"/>
        </w:numPr>
        <w:rPr>
          <w:rFonts w:ascii="Arial" w:cs="Arial" w:eastAsia="Arial" w:hAnsi="Arial"/>
          <w:sz w:val="11"/>
          <w:szCs w:val="11"/>
          <w:color w:val="auto"/>
        </w:rPr>
      </w:pPr>
      <w:r>
        <w:rPr>
          <w:rFonts w:ascii="Arial" w:cs="Arial" w:eastAsia="Arial" w:hAnsi="Arial"/>
          <w:sz w:val="14"/>
          <w:szCs w:val="14"/>
          <w:color w:val="auto"/>
        </w:rPr>
        <w:t xml:space="preserve">Excludes amounts related to GAS-eleven Ltd., the owner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GAS-thirteen Ltd., the owner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GAS-eight Ltd., the owner of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and GAS-fourteen Ltd., the owner of the </w:t>
      </w:r>
      <w:r>
        <w:rPr>
          <w:rFonts w:ascii="Arial" w:cs="Arial" w:eastAsia="Arial" w:hAnsi="Arial"/>
          <w:sz w:val="14"/>
          <w:szCs w:val="14"/>
          <w:i w:val="1"/>
          <w:iCs w:val="1"/>
          <w:color w:val="auto"/>
        </w:rPr>
        <w:t>GasLog Gibraltar</w:t>
      </w:r>
      <w:r>
        <w:rPr>
          <w:rFonts w:ascii="Arial" w:cs="Arial" w:eastAsia="Arial" w:hAnsi="Arial"/>
          <w:sz w:val="14"/>
          <w:szCs w:val="14"/>
          <w:color w:val="auto"/>
        </w:rPr>
        <w:t>, for the periods prior to their transfers to the Partnership on May 3, 2017, July 3, 2017, October 20, 2017 and April 26, 2018,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in May 2017, July 2017, October 2017 and April 2018, respectively, and accordingly the Partnership was not entitled to the cash or results generated in the period prior to such transfers.</w:t>
      </w:r>
    </w:p>
    <w:p>
      <w:pPr>
        <w:spacing w:after="0" w:line="112" w:lineRule="exact"/>
        <w:rPr>
          <w:rFonts w:ascii="Arial" w:cs="Arial" w:eastAsia="Arial" w:hAnsi="Arial"/>
          <w:sz w:val="11"/>
          <w:szCs w:val="11"/>
          <w:color w:val="auto"/>
        </w:rPr>
      </w:pPr>
    </w:p>
    <w:p>
      <w:pPr>
        <w:ind w:left="1680" w:hanging="531"/>
        <w:spacing w:after="0"/>
        <w:tabs>
          <w:tab w:leader="none" w:pos="1680" w:val="left"/>
        </w:tabs>
        <w:numPr>
          <w:ilvl w:val="0"/>
          <w:numId w:val="8"/>
        </w:numPr>
        <w:rPr>
          <w:rFonts w:ascii="Arial" w:cs="Arial" w:eastAsia="Arial" w:hAnsi="Arial"/>
          <w:sz w:val="10"/>
          <w:szCs w:val="10"/>
          <w:color w:val="auto"/>
        </w:rPr>
      </w:pPr>
      <w:r>
        <w:rPr>
          <w:rFonts w:ascii="Arial" w:cs="Arial" w:eastAsia="Arial" w:hAnsi="Arial"/>
          <w:sz w:val="12"/>
          <w:szCs w:val="12"/>
          <w:color w:val="auto"/>
        </w:rPr>
        <w:t>Refers to movements in reserves (other than the dry-docking and replacement capital reserves) for the proper conduct of the business of the Partnership and its subsidiaries.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Exhibit 99.1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w:t>
        </w:r>
      </w:hyperlink>
    </w:p>
    <w:p>
      <w:pPr>
        <w:sectPr>
          <w:pgSz w:w="11900" w:h="16838" w:orient="portrait"/>
          <w:cols w:equalWidth="0" w:num="1">
            <w:col w:w="10219"/>
          </w:cols>
          <w:pgMar w:left="240" w:top="820" w:right="1440" w:bottom="1440" w:gutter="0" w:footer="0" w:header="0"/>
        </w:sectPr>
      </w:pPr>
    </w:p>
    <w:bookmarkStart w:id="21" w:name="page22"/>
    <w:bookmarkEnd w:id="21"/>
    <w:p>
      <w:pPr>
        <w:ind w:left="10460"/>
        <w:spacing w:after="0"/>
        <w:rPr>
          <w:sz w:val="20"/>
          <w:szCs w:val="20"/>
          <w:color w:val="auto"/>
        </w:rPr>
      </w:pPr>
      <w:r>
        <w:rPr>
          <w:rFonts w:ascii="Arial" w:cs="Arial" w:eastAsia="Arial" w:hAnsi="Arial"/>
          <w:sz w:val="16"/>
          <w:szCs w:val="16"/>
          <w:b w:val="1"/>
          <w:bCs w:val="1"/>
          <w:color w:val="auto"/>
        </w:rPr>
        <w:t>Exhibit 99.2</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Financial Report for the Three and Six Months Ended June 30, 2018</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is a discussion of our financial condition and results of operations for the three- and six-month periods ended June 30, 2018 and June 30, 2017.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12, 2018.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41"/>
        <w:spacing w:after="0" w:line="289"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400" w:hanging="532"/>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59"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 w:lineRule="exact"/>
        <w:rPr>
          <w:rFonts w:ascii="Arial" w:cs="Arial" w:eastAsia="Arial" w:hAnsi="Arial"/>
          <w:sz w:val="18"/>
          <w:szCs w:val="18"/>
          <w:color w:val="auto"/>
        </w:rPr>
      </w:pPr>
    </w:p>
    <w:p>
      <w:pPr>
        <w:ind w:left="1080" w:right="260" w:hanging="532"/>
        <w:spacing w:after="0" w:line="25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 Ltd. ("GasLog");</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2" w:name="page23"/>
    <w:bookmarkEnd w:id="22"/>
    <w:p>
      <w:pPr>
        <w:ind w:left="1080" w:right="40" w:hanging="532"/>
        <w:spacing w:after="0" w:line="25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45" w:lineRule="exact"/>
        <w:rPr>
          <w:rFonts w:ascii="Arial" w:cs="Arial" w:eastAsia="Arial" w:hAnsi="Arial"/>
          <w:sz w:val="16"/>
          <w:szCs w:val="16"/>
          <w:color w:val="auto"/>
        </w:rPr>
      </w:pPr>
    </w:p>
    <w:p>
      <w:pPr>
        <w:ind w:left="1080" w:right="60" w:hanging="532"/>
        <w:spacing w:after="0" w:line="25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inherent in ship operations, including the discharge of pollutants;</w:t>
      </w:r>
    </w:p>
    <w:p>
      <w:pPr>
        <w:spacing w:after="0" w:line="36" w:lineRule="exact"/>
        <w:rPr>
          <w:rFonts w:ascii="Arial" w:cs="Arial" w:eastAsia="Arial" w:hAnsi="Arial"/>
          <w:sz w:val="18"/>
          <w:szCs w:val="18"/>
          <w:color w:val="auto"/>
        </w:rPr>
      </w:pPr>
    </w:p>
    <w:p>
      <w:pPr>
        <w:ind w:left="1080" w:right="30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 w:lineRule="exact"/>
        <w:rPr>
          <w:rFonts w:ascii="Arial" w:cs="Arial" w:eastAsia="Arial" w:hAnsi="Arial"/>
          <w:sz w:val="18"/>
          <w:szCs w:val="18"/>
          <w:color w:val="auto"/>
        </w:rPr>
      </w:pPr>
    </w:p>
    <w:p>
      <w:pPr>
        <w:ind w:left="1080" w:right="90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report,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July 25, 2018, the board of directors of GasLog Partners approved and declared a quarterly cash distribution of $0.53 per common unit for the quarter ended June 30, 2018. The cash distribution is payable on August 10, 2018 to all unitholders of record as of August 6, 2018. The aggregate amount of the declared distribution will be $24.3 million based on the number of units issued and outstanding as of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April 26, 2018, GasLog Partners acquired 100% of the shares in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GasLog.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is a 174,000 cubic meter ("cbm") tri-fuel diesel electric ("TFDE") LNG carrier built in 2016 which is chartered to Royal Dutch Shell plc ("Shell")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October 2023. The aggregate purchase price for the acquisition was $207.0 million, which included $1.0 million for positive net working capital balances transferred with the vessel. GasLog Partners financed the acquisition with cash on hand, including proceeds from the Series B Preference Units' public offering in January 2018, $45.0 million of new privately placed common units issued to GasLog (1,858,975 common units at a price of $24.21 per unit) and the assumption of the </w:t>
      </w:r>
      <w:r>
        <w:rPr>
          <w:rFonts w:ascii="Arial" w:cs="Arial" w:eastAsia="Arial" w:hAnsi="Arial"/>
          <w:sz w:val="16"/>
          <w:szCs w:val="16"/>
          <w:i w:val="1"/>
          <w:iCs w:val="1"/>
          <w:color w:val="auto"/>
        </w:rPr>
        <w:t>GasLog Gibraltar</w:t>
      </w:r>
      <w:r>
        <w:rPr>
          <w:rFonts w:ascii="Arial" w:cs="Arial" w:eastAsia="Arial" w:hAnsi="Arial"/>
          <w:sz w:val="16"/>
          <w:szCs w:val="16"/>
          <w:color w:val="auto"/>
        </w:rPr>
        <w:t>'s outstanding indebtedness of $143.6 million.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May 18, 2018,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an LNG carrier pooling arrangement which was established by GasLog, Dynagas Ltd. and Golar LNG Ltd. (the "Cool Pool") on October 1, 2015 to market their vessels operating in the LNG shipping spot market. The Cool Pool allows the participating owners to optimize the operation of the pool vessels through improved scheduling ability, cost efficiencies and common marketing. The objective of the Cool Pool is to serve the growing LNG market by providing customers with reliable, flexible, and innovative solutions to meet their increasingly complex shipping requirements. As of June 30, 2018, the Cool Pool consisted of 17 modern efficient TFDE LNG carriers in the 155-170,000 cbm range. The Cool Pool charters the vessels for periods up to one year in duration as agents for the owners, who each remain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3" w:name="page24"/>
    <w:bookmarkEnd w:id="23"/>
    <w:p>
      <w:pPr>
        <w:ind w:right="200"/>
        <w:spacing w:after="0" w:line="268" w:lineRule="auto"/>
        <w:rPr>
          <w:sz w:val="20"/>
          <w:szCs w:val="20"/>
          <w:color w:val="auto"/>
        </w:rPr>
      </w:pPr>
      <w:r>
        <w:rPr>
          <w:rFonts w:ascii="Arial" w:cs="Arial" w:eastAsia="Arial" w:hAnsi="Arial"/>
          <w:sz w:val="18"/>
          <w:szCs w:val="18"/>
          <w:color w:val="auto"/>
        </w:rPr>
        <w:t>responsible for the technical and commercial operation of their vessels and performance of the contracts. During June and July 2018, Dynagas Ltd. removed its three vessels from the Cool Pool.</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Pool revenues and Voyage expenses and commissions are recognized on a gross basis and are included under Revenues and Voyage expenses and commissions, respectively. Pool revenues represent time charter revenues earned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under her spot charter agreements in the Cool Pool. Voyage expenses and commissions represent the broker commissions of the aforementioned spot charter agreements and the bunkers consumed during the vessel's unemployed periods. The Partnership's adjustment for the net pool allocation is included under Net pool allocation and represents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The formula takes into account, gross revenues, voyage expenses and the number of days that each vessel participates in the pool.</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On June 18, 2018, GasLog Partners entered into a new time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for 18 months with Cheniere Marketing International LLP, a wholly owned subsidiary of Cheniere Energy, Inc. ("Cheniere") scheduled to commence between September and December 2018. The charterer has options to extend the charter for up to two consecutive periods of six months at escalating rates.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is a 155,000 cbm TFDE LNG carrier built in 2013 and currently on a multi-year time charter with a wholly owned subsidiary of Shell through September 2018. The vessel recently completed a scheduled dry-docking during which its commercial competitiveness was enhanced through the installation of a reliquefaction module.</w:t>
      </w:r>
    </w:p>
    <w:p>
      <w:pPr>
        <w:spacing w:after="0" w:line="170"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As of June 30, 2018, GasLog held a 29.1% interest in the Partnership (including 2.0%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June 30, 2018, our fleet consisted of 13 LNG carriers, including eight vessels with modern TFDE propulsion and five modern steam propulsion vessels ("Steam").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 One of our vessels currently operates in the spot market through the Cool Pool. We intend to grow our portfolio through further acquisitions of LNG carriers or other LNG infrastructure assets from GasLog and third parties.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fleet currently consists of the following vessels: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Built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Propulsion</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 Expiration</w:t>
            </w:r>
          </w:p>
        </w:tc>
        <w:tc>
          <w:tcPr>
            <w:tcW w:w="160" w:type="dxa"/>
            <w:vAlign w:val="bottom"/>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Optional 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shd w:val="clear" w:color="auto" w:fill="E8FFFA"/>
          </w:tcPr>
          <w:p>
            <w:pPr>
              <w:spacing w:after="0" w:line="142" w:lineRule="exact"/>
              <w:rPr>
                <w:sz w:val="20"/>
                <w:szCs w:val="20"/>
                <w:color w:val="auto"/>
              </w:rPr>
            </w:pPr>
            <w:r>
              <w:rPr>
                <w:rFonts w:ascii="Arial" w:cs="Arial" w:eastAsia="Arial" w:hAnsi="Arial"/>
                <w:sz w:val="14"/>
                <w:szCs w:val="14"/>
                <w:b w:val="1"/>
                <w:bCs w:val="1"/>
                <w:color w:val="auto"/>
              </w:rPr>
              <w:t>1</w:t>
            </w:r>
          </w:p>
        </w:tc>
        <w:tc>
          <w:tcPr>
            <w:tcW w:w="2280" w:type="dxa"/>
            <w:vAlign w:val="bottom"/>
            <w:gridSpan w:val="2"/>
            <w:shd w:val="clear" w:color="auto" w:fill="E8FFFA"/>
          </w:tcPr>
          <w:p>
            <w:pPr>
              <w:ind w:left="140"/>
              <w:spacing w:after="0" w:line="142" w:lineRule="exact"/>
              <w:rPr>
                <w:sz w:val="20"/>
                <w:szCs w:val="20"/>
                <w:color w:val="auto"/>
              </w:rPr>
            </w:pPr>
            <w:r>
              <w:rPr>
                <w:rFonts w:ascii="Arial" w:cs="Arial" w:eastAsia="Arial" w:hAnsi="Arial"/>
                <w:sz w:val="14"/>
                <w:szCs w:val="14"/>
                <w:i w:val="1"/>
                <w:iCs w:val="1"/>
                <w:color w:val="auto"/>
              </w:rPr>
              <w:t>Methane Rita Andrea</w:t>
            </w:r>
          </w:p>
        </w:tc>
        <w:tc>
          <w:tcPr>
            <w:tcW w:w="180" w:type="dxa"/>
            <w:vAlign w:val="bottom"/>
            <w:shd w:val="clear" w:color="auto" w:fill="E8FFFA"/>
          </w:tcPr>
          <w:p>
            <w:pPr>
              <w:spacing w:after="0"/>
              <w:rPr>
                <w:sz w:val="12"/>
                <w:szCs w:val="12"/>
                <w:color w:val="auto"/>
              </w:rPr>
            </w:pPr>
          </w:p>
        </w:tc>
        <w:tc>
          <w:tcPr>
            <w:tcW w:w="62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3"/>
              </w:rPr>
              <w:t>2006</w:t>
            </w:r>
          </w:p>
        </w:tc>
        <w:tc>
          <w:tcPr>
            <w:tcW w:w="160" w:type="dxa"/>
            <w:vAlign w:val="bottom"/>
            <w:shd w:val="clear" w:color="auto" w:fill="E8FFFA"/>
          </w:tcPr>
          <w:p>
            <w:pPr>
              <w:spacing w:after="0"/>
              <w:rPr>
                <w:sz w:val="12"/>
                <w:szCs w:val="12"/>
                <w:color w:val="auto"/>
              </w:rPr>
            </w:pPr>
          </w:p>
        </w:tc>
        <w:tc>
          <w:tcPr>
            <w:tcW w:w="6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145,000</w:t>
            </w:r>
          </w:p>
        </w:tc>
        <w:tc>
          <w:tcPr>
            <w:tcW w:w="160" w:type="dxa"/>
            <w:vAlign w:val="bottom"/>
            <w:shd w:val="clear" w:color="auto" w:fill="E8FFFA"/>
          </w:tcPr>
          <w:p>
            <w:pPr>
              <w:spacing w:after="0"/>
              <w:rPr>
                <w:sz w:val="12"/>
                <w:szCs w:val="12"/>
                <w:color w:val="auto"/>
              </w:rPr>
            </w:pPr>
          </w:p>
        </w:tc>
        <w:tc>
          <w:tcPr>
            <w:tcW w:w="110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78"/>
              </w:rPr>
              <w:t>Steam</w:t>
            </w:r>
          </w:p>
        </w:tc>
        <w:tc>
          <w:tcPr>
            <w:tcW w:w="160" w:type="dxa"/>
            <w:vAlign w:val="bottom"/>
            <w:shd w:val="clear" w:color="auto" w:fill="E8FFFA"/>
          </w:tcPr>
          <w:p>
            <w:pPr>
              <w:spacing w:after="0"/>
              <w:rPr>
                <w:sz w:val="12"/>
                <w:szCs w:val="12"/>
                <w:color w:val="auto"/>
              </w:rPr>
            </w:pPr>
          </w:p>
        </w:tc>
        <w:tc>
          <w:tcPr>
            <w:tcW w:w="12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95"/>
              </w:rPr>
              <w:t>April 2020</w:t>
            </w:r>
          </w:p>
        </w:tc>
        <w:tc>
          <w:tcPr>
            <w:tcW w:w="160" w:type="dxa"/>
            <w:vAlign w:val="bottom"/>
            <w:shd w:val="clear" w:color="auto" w:fill="E8FFFA"/>
          </w:tcPr>
          <w:p>
            <w:pPr>
              <w:spacing w:after="0"/>
              <w:rPr>
                <w:sz w:val="12"/>
                <w:szCs w:val="12"/>
                <w:color w:val="auto"/>
              </w:rPr>
            </w:pPr>
          </w:p>
        </w:tc>
        <w:tc>
          <w:tcPr>
            <w:tcW w:w="10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2</w:t>
            </w:r>
          </w:p>
        </w:tc>
        <w:tc>
          <w:tcPr>
            <w:tcW w:w="2280" w:type="dxa"/>
            <w:vAlign w:val="bottom"/>
            <w:gridSpan w:val="2"/>
          </w:tcPr>
          <w:p>
            <w:pPr>
              <w:ind w:left="140"/>
              <w:spacing w:after="0"/>
              <w:rPr>
                <w:sz w:val="20"/>
                <w:szCs w:val="20"/>
                <w:color w:val="auto"/>
              </w:rPr>
            </w:pPr>
            <w:r>
              <w:rPr>
                <w:rFonts w:ascii="Arial" w:cs="Arial" w:eastAsia="Arial" w:hAnsi="Arial"/>
                <w:sz w:val="14"/>
                <w:szCs w:val="14"/>
                <w:i w:val="1"/>
                <w:iCs w:val="1"/>
                <w:color w:val="auto"/>
              </w:rPr>
              <w:t>Methane Jane Elizabeth</w:t>
            </w: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3"/>
              </w:rPr>
              <w:t>2006</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145,000</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78"/>
              </w:rPr>
              <w:t>Steam</w:t>
            </w:r>
          </w:p>
        </w:tc>
        <w:tc>
          <w:tcPr>
            <w:tcW w:w="16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3"/>
                <w:szCs w:val="13"/>
                <w:color w:val="auto"/>
                <w:w w:val="91"/>
              </w:rPr>
              <w:t xml:space="preserve">October 2019 </w:t>
            </w:r>
            <w:r>
              <w:rPr>
                <w:rFonts w:ascii="Arial" w:cs="Arial" w:eastAsia="Arial" w:hAnsi="Arial"/>
                <w:sz w:val="20"/>
                <w:szCs w:val="20"/>
                <w:color w:val="auto"/>
                <w:w w:val="91"/>
                <w:vertAlign w:val="superscript"/>
              </w:rPr>
              <w:t>(1)</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3</w:t>
            </w:r>
          </w:p>
        </w:tc>
        <w:tc>
          <w:tcPr>
            <w:tcW w:w="2280" w:type="dxa"/>
            <w:vAlign w:val="bottom"/>
            <w:gridSpan w:val="2"/>
            <w:shd w:val="clear" w:color="auto" w:fill="E8FFFA"/>
          </w:tcPr>
          <w:p>
            <w:pPr>
              <w:ind w:left="140"/>
              <w:spacing w:after="0"/>
              <w:rPr>
                <w:sz w:val="20"/>
                <w:szCs w:val="20"/>
                <w:color w:val="auto"/>
              </w:rPr>
            </w:pPr>
            <w:r>
              <w:rPr>
                <w:rFonts w:ascii="Arial" w:cs="Arial" w:eastAsia="Arial" w:hAnsi="Arial"/>
                <w:sz w:val="14"/>
                <w:szCs w:val="14"/>
                <w:i w:val="1"/>
                <w:iCs w:val="1"/>
                <w:color w:val="auto"/>
              </w:rPr>
              <w:t>Methane Alison Victoria</w:t>
            </w:r>
          </w:p>
        </w:tc>
        <w:tc>
          <w:tcPr>
            <w:tcW w:w="80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3"/>
              </w:rPr>
              <w:t>2007</w:t>
            </w:r>
          </w:p>
        </w:tc>
        <w:tc>
          <w:tcPr>
            <w:tcW w:w="82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6"/>
              </w:rPr>
              <w:t>145,000</w:t>
            </w:r>
          </w:p>
        </w:tc>
        <w:tc>
          <w:tcPr>
            <w:tcW w:w="160" w:type="dxa"/>
            <w:vAlign w:val="bottom"/>
            <w:shd w:val="clear" w:color="auto" w:fill="E8FFFA"/>
          </w:tcPr>
          <w:p>
            <w:pPr>
              <w:spacing w:after="0"/>
              <w:rPr>
                <w:sz w:val="15"/>
                <w:szCs w:val="15"/>
                <w:color w:val="auto"/>
              </w:rPr>
            </w:pPr>
          </w:p>
        </w:tc>
        <w:tc>
          <w:tcPr>
            <w:tcW w:w="110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78"/>
              </w:rPr>
              <w:t>Steam</w:t>
            </w:r>
          </w:p>
        </w:tc>
        <w:tc>
          <w:tcPr>
            <w:tcW w:w="160" w:type="dxa"/>
            <w:vAlign w:val="bottom"/>
            <w:shd w:val="clear" w:color="auto" w:fill="E8FFFA"/>
          </w:tcPr>
          <w:p>
            <w:pPr>
              <w:spacing w:after="0"/>
              <w:rPr>
                <w:sz w:val="15"/>
                <w:szCs w:val="15"/>
                <w:color w:val="auto"/>
              </w:rPr>
            </w:pPr>
          </w:p>
        </w:tc>
        <w:tc>
          <w:tcPr>
            <w:tcW w:w="128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0"/>
              </w:rPr>
              <w:t xml:space="preserve">December 2019 </w:t>
            </w:r>
            <w:r>
              <w:rPr>
                <w:rFonts w:ascii="Arial" w:cs="Arial" w:eastAsia="Arial" w:hAnsi="Arial"/>
                <w:sz w:val="20"/>
                <w:szCs w:val="20"/>
                <w:color w:val="auto"/>
                <w:w w:val="90"/>
                <w:vertAlign w:val="superscript"/>
              </w:rPr>
              <w:t>(1)</w:t>
            </w:r>
          </w:p>
        </w:tc>
        <w:tc>
          <w:tcPr>
            <w:tcW w:w="160" w:type="dxa"/>
            <w:vAlign w:val="bottom"/>
            <w:shd w:val="clear" w:color="auto" w:fill="E8FFFA"/>
          </w:tcPr>
          <w:p>
            <w:pPr>
              <w:spacing w:after="0"/>
              <w:rPr>
                <w:sz w:val="15"/>
                <w:szCs w:val="15"/>
                <w:color w:val="auto"/>
              </w:rPr>
            </w:pPr>
          </w:p>
        </w:tc>
        <w:tc>
          <w:tcPr>
            <w:tcW w:w="10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80" w:type="dxa"/>
            <w:vAlign w:val="bottom"/>
            <w:gridSpan w:val="2"/>
          </w:tcPr>
          <w:p>
            <w:pPr>
              <w:ind w:left="140"/>
              <w:spacing w:after="0" w:line="133" w:lineRule="exact"/>
              <w:rPr>
                <w:sz w:val="20"/>
                <w:szCs w:val="20"/>
                <w:color w:val="auto"/>
              </w:rPr>
            </w:pPr>
            <w:r>
              <w:rPr>
                <w:rFonts w:ascii="Arial" w:cs="Arial" w:eastAsia="Arial" w:hAnsi="Arial"/>
                <w:sz w:val="14"/>
                <w:szCs w:val="14"/>
                <w:i w:val="1"/>
                <w:iCs w:val="1"/>
                <w:color w:val="auto"/>
                <w:w w:val="94"/>
              </w:rPr>
              <w:t xml:space="preserve">Methane Jane Elizabeth </w:t>
            </w:r>
            <w:r>
              <w:rPr>
                <w:rFonts w:ascii="Arial" w:cs="Arial" w:eastAsia="Arial" w:hAnsi="Arial"/>
                <w:sz w:val="14"/>
                <w:szCs w:val="14"/>
                <w:color w:val="auto"/>
                <w:w w:val="94"/>
              </w:rPr>
              <w:t>or</w:t>
            </w:r>
            <w:r>
              <w:rPr>
                <w:rFonts w:ascii="Arial" w:cs="Arial" w:eastAsia="Arial" w:hAnsi="Arial"/>
                <w:sz w:val="14"/>
                <w:szCs w:val="14"/>
                <w:i w:val="1"/>
                <w:iCs w:val="1"/>
                <w:color w:val="auto"/>
                <w:w w:val="94"/>
              </w:rPr>
              <w:t xml:space="preserve"> Methane</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4"/>
                <w:szCs w:val="14"/>
                <w:color w:val="auto"/>
                <w:w w:val="88"/>
              </w:rPr>
              <w:t>November or</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2"/>
          </w:tcPr>
          <w:p>
            <w:pPr>
              <w:ind w:left="140"/>
              <w:spacing w:after="0" w:line="191" w:lineRule="exact"/>
              <w:rPr>
                <w:sz w:val="20"/>
                <w:szCs w:val="20"/>
                <w:color w:val="auto"/>
              </w:rPr>
            </w:pPr>
            <w:r>
              <w:rPr>
                <w:rFonts w:ascii="Arial" w:cs="Arial" w:eastAsia="Arial" w:hAnsi="Arial"/>
                <w:sz w:val="14"/>
                <w:szCs w:val="14"/>
                <w:i w:val="1"/>
                <w:iCs w:val="1"/>
                <w:color w:val="auto"/>
              </w:rPr>
              <w:t xml:space="preserve">Alison Victoria </w:t>
            </w:r>
            <w:r>
              <w:rPr>
                <w:rFonts w:ascii="Arial" w:cs="Arial" w:eastAsia="Arial" w:hAnsi="Arial"/>
                <w:sz w:val="22"/>
                <w:szCs w:val="22"/>
                <w:color w:val="auto"/>
                <w:vertAlign w:val="superscript"/>
              </w:rPr>
              <w:t>(1)</w:t>
            </w: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7"/>
              </w:rPr>
              <w:t>2006/2007</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145,000</w:t>
            </w: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6"/>
              </w:rPr>
              <w:t>New Customer</w:t>
            </w: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78"/>
              </w:rPr>
              <w:t>Steam</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December 2020</w:t>
            </w:r>
          </w:p>
        </w:tc>
        <w:tc>
          <w:tcPr>
            <w:tcW w:w="16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4"/>
                <w:szCs w:val="14"/>
                <w:color w:val="auto"/>
                <w:w w:val="84"/>
              </w:rPr>
              <w:t xml:space="preserve">2021–2024 </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4</w:t>
            </w:r>
          </w:p>
        </w:tc>
        <w:tc>
          <w:tcPr>
            <w:tcW w:w="2280" w:type="dxa"/>
            <w:vAlign w:val="bottom"/>
            <w:gridSpan w:val="2"/>
            <w:shd w:val="clear" w:color="auto" w:fill="E8FFFA"/>
          </w:tcPr>
          <w:p>
            <w:pPr>
              <w:ind w:left="140"/>
              <w:spacing w:after="0"/>
              <w:rPr>
                <w:sz w:val="20"/>
                <w:szCs w:val="20"/>
                <w:color w:val="auto"/>
              </w:rPr>
            </w:pPr>
            <w:r>
              <w:rPr>
                <w:rFonts w:ascii="Arial" w:cs="Arial" w:eastAsia="Arial" w:hAnsi="Arial"/>
                <w:sz w:val="14"/>
                <w:szCs w:val="14"/>
                <w:i w:val="1"/>
                <w:iCs w:val="1"/>
                <w:color w:val="auto"/>
              </w:rPr>
              <w:t>Methane Shirley Elisabeth</w:t>
            </w:r>
          </w:p>
        </w:tc>
        <w:tc>
          <w:tcPr>
            <w:tcW w:w="80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3"/>
              </w:rPr>
              <w:t>2007</w:t>
            </w:r>
          </w:p>
        </w:tc>
        <w:tc>
          <w:tcPr>
            <w:tcW w:w="82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6"/>
              </w:rPr>
              <w:t>145,000</w:t>
            </w:r>
          </w:p>
        </w:tc>
        <w:tc>
          <w:tcPr>
            <w:tcW w:w="160" w:type="dxa"/>
            <w:vAlign w:val="bottom"/>
            <w:shd w:val="clear" w:color="auto" w:fill="E8FFFA"/>
          </w:tcPr>
          <w:p>
            <w:pPr>
              <w:spacing w:after="0"/>
              <w:rPr>
                <w:sz w:val="15"/>
                <w:szCs w:val="15"/>
                <w:color w:val="auto"/>
              </w:rPr>
            </w:pPr>
          </w:p>
        </w:tc>
        <w:tc>
          <w:tcPr>
            <w:tcW w:w="110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78"/>
              </w:rPr>
              <w:t>Steam</w:t>
            </w:r>
          </w:p>
        </w:tc>
        <w:tc>
          <w:tcPr>
            <w:tcW w:w="160" w:type="dxa"/>
            <w:vAlign w:val="bottom"/>
            <w:shd w:val="clear" w:color="auto" w:fill="E8FFFA"/>
          </w:tcPr>
          <w:p>
            <w:pPr>
              <w:spacing w:after="0"/>
              <w:rPr>
                <w:sz w:val="15"/>
                <w:szCs w:val="15"/>
                <w:color w:val="auto"/>
              </w:rPr>
            </w:pPr>
          </w:p>
        </w:tc>
        <w:tc>
          <w:tcPr>
            <w:tcW w:w="12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5"/>
              </w:rPr>
              <w:t>June 2020</w:t>
            </w:r>
          </w:p>
        </w:tc>
        <w:tc>
          <w:tcPr>
            <w:tcW w:w="160" w:type="dxa"/>
            <w:vAlign w:val="bottom"/>
            <w:shd w:val="clear" w:color="auto" w:fill="E8FFFA"/>
          </w:tcPr>
          <w:p>
            <w:pPr>
              <w:spacing w:after="0"/>
              <w:rPr>
                <w:sz w:val="15"/>
                <w:szCs w:val="15"/>
                <w:color w:val="auto"/>
              </w:rPr>
            </w:pPr>
          </w:p>
        </w:tc>
        <w:tc>
          <w:tcPr>
            <w:tcW w:w="108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1"/>
              </w:rPr>
              <w:t xml:space="preserve">2023–2025 </w:t>
            </w:r>
            <w:r>
              <w:rPr>
                <w:rFonts w:ascii="Arial" w:cs="Arial" w:eastAsia="Arial" w:hAnsi="Arial"/>
                <w:sz w:val="20"/>
                <w:szCs w:val="20"/>
                <w:color w:val="auto"/>
                <w:w w:val="91"/>
                <w:vertAlign w:val="superscript"/>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5</w:t>
            </w:r>
          </w:p>
        </w:tc>
        <w:tc>
          <w:tcPr>
            <w:tcW w:w="2280" w:type="dxa"/>
            <w:vAlign w:val="bottom"/>
            <w:gridSpan w:val="2"/>
          </w:tcPr>
          <w:p>
            <w:pPr>
              <w:ind w:left="140"/>
              <w:spacing w:after="0"/>
              <w:rPr>
                <w:sz w:val="20"/>
                <w:szCs w:val="20"/>
                <w:color w:val="auto"/>
              </w:rPr>
            </w:pPr>
            <w:r>
              <w:rPr>
                <w:rFonts w:ascii="Arial" w:cs="Arial" w:eastAsia="Arial" w:hAnsi="Arial"/>
                <w:sz w:val="14"/>
                <w:szCs w:val="14"/>
                <w:i w:val="1"/>
                <w:iCs w:val="1"/>
                <w:color w:val="auto"/>
              </w:rPr>
              <w:t>Methane Heather Sally</w:t>
            </w: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3"/>
              </w:rPr>
              <w:t>2007</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145,000</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78"/>
              </w:rPr>
              <w:t>Steam</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December 2020</w:t>
            </w:r>
          </w:p>
        </w:tc>
        <w:tc>
          <w:tcPr>
            <w:tcW w:w="1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3"/>
                <w:szCs w:val="13"/>
                <w:color w:val="auto"/>
                <w:w w:val="91"/>
              </w:rPr>
              <w:t xml:space="preserve">2023–2025 </w:t>
            </w:r>
            <w:r>
              <w:rPr>
                <w:rFonts w:ascii="Arial" w:cs="Arial" w:eastAsia="Arial" w:hAnsi="Arial"/>
                <w:sz w:val="20"/>
                <w:szCs w:val="20"/>
                <w:color w:val="auto"/>
                <w:w w:val="91"/>
                <w:vertAlign w:val="superscript"/>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6</w:t>
            </w:r>
          </w:p>
        </w:tc>
        <w:tc>
          <w:tcPr>
            <w:tcW w:w="2280" w:type="dxa"/>
            <w:vAlign w:val="bottom"/>
            <w:gridSpan w:val="2"/>
            <w:shd w:val="clear" w:color="auto" w:fill="E8FFFA"/>
          </w:tcPr>
          <w:p>
            <w:pPr>
              <w:ind w:left="140"/>
              <w:spacing w:after="0"/>
              <w:rPr>
                <w:sz w:val="20"/>
                <w:szCs w:val="20"/>
                <w:color w:val="auto"/>
              </w:rPr>
            </w:pPr>
            <w:r>
              <w:rPr>
                <w:rFonts w:ascii="Arial" w:cs="Arial" w:eastAsia="Arial" w:hAnsi="Arial"/>
                <w:sz w:val="14"/>
                <w:szCs w:val="14"/>
                <w:i w:val="1"/>
                <w:iCs w:val="1"/>
                <w:color w:val="auto"/>
              </w:rPr>
              <w:t>GasLog Shanghai</w:t>
            </w:r>
          </w:p>
        </w:tc>
        <w:tc>
          <w:tcPr>
            <w:tcW w:w="80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3"/>
              </w:rPr>
              <w:t>2013</w:t>
            </w:r>
          </w:p>
        </w:tc>
        <w:tc>
          <w:tcPr>
            <w:tcW w:w="82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6"/>
              </w:rPr>
              <w:t>155,000</w:t>
            </w:r>
          </w:p>
        </w:tc>
        <w:tc>
          <w:tcPr>
            <w:tcW w:w="160" w:type="dxa"/>
            <w:vAlign w:val="bottom"/>
            <w:shd w:val="clear" w:color="auto" w:fill="E8FFFA"/>
          </w:tcPr>
          <w:p>
            <w:pPr>
              <w:spacing w:after="0"/>
              <w:rPr>
                <w:sz w:val="15"/>
                <w:szCs w:val="15"/>
                <w:color w:val="auto"/>
              </w:rPr>
            </w:pPr>
          </w:p>
        </w:tc>
        <w:tc>
          <w:tcPr>
            <w:tcW w:w="110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3"/>
              </w:rPr>
              <w:t xml:space="preserve">Spot Market </w:t>
            </w:r>
            <w:r>
              <w:rPr>
                <w:rFonts w:ascii="Arial" w:cs="Arial" w:eastAsia="Arial" w:hAnsi="Arial"/>
                <w:sz w:val="20"/>
                <w:szCs w:val="20"/>
                <w:color w:val="auto"/>
                <w:w w:val="93"/>
                <w:vertAlign w:val="superscript"/>
              </w:rPr>
              <w:t>(4)</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shd w:val="clear" w:color="auto" w:fill="E8FFFA"/>
          </w:tcPr>
          <w:p>
            <w:pPr>
              <w:spacing w:after="0"/>
              <w:rPr>
                <w:sz w:val="15"/>
                <w:szCs w:val="15"/>
                <w:color w:val="auto"/>
              </w:rPr>
            </w:pPr>
          </w:p>
        </w:tc>
        <w:tc>
          <w:tcPr>
            <w:tcW w:w="12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8FFFA"/>
          </w:tcPr>
          <w:p>
            <w:pPr>
              <w:spacing w:after="0"/>
              <w:rPr>
                <w:sz w:val="15"/>
                <w:szCs w:val="15"/>
                <w:color w:val="auto"/>
              </w:rPr>
            </w:pPr>
          </w:p>
        </w:tc>
        <w:tc>
          <w:tcPr>
            <w:tcW w:w="10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7</w:t>
            </w:r>
          </w:p>
        </w:tc>
        <w:tc>
          <w:tcPr>
            <w:tcW w:w="2280" w:type="dxa"/>
            <w:vAlign w:val="bottom"/>
            <w:gridSpan w:val="2"/>
          </w:tcPr>
          <w:p>
            <w:pPr>
              <w:ind w:left="140"/>
              <w:spacing w:after="0"/>
              <w:rPr>
                <w:sz w:val="20"/>
                <w:szCs w:val="20"/>
                <w:color w:val="auto"/>
              </w:rPr>
            </w:pPr>
            <w:r>
              <w:rPr>
                <w:rFonts w:ascii="Arial" w:cs="Arial" w:eastAsia="Arial" w:hAnsi="Arial"/>
                <w:sz w:val="14"/>
                <w:szCs w:val="14"/>
                <w:i w:val="1"/>
                <w:iCs w:val="1"/>
                <w:color w:val="auto"/>
              </w:rPr>
              <w:t>GasLog Santiago</w:t>
            </w: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3"/>
              </w:rPr>
              <w:t>2013</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155,000</w:t>
            </w:r>
          </w:p>
        </w:tc>
        <w:tc>
          <w:tcPr>
            <w:tcW w:w="16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Arial" w:cs="Arial" w:eastAsia="Arial" w:hAnsi="Arial"/>
                <w:sz w:val="12"/>
                <w:szCs w:val="12"/>
                <w:color w:val="auto"/>
              </w:rPr>
              <w:t>New Customer</w:t>
            </w:r>
            <w:r>
              <w:rPr>
                <w:rFonts w:ascii="Arial" w:cs="Arial" w:eastAsia="Arial" w:hAnsi="Arial"/>
                <w:sz w:val="19"/>
                <w:szCs w:val="19"/>
                <w:color w:val="auto"/>
                <w:vertAlign w:val="superscript"/>
              </w:rPr>
              <w:t>(5)</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August 2018</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6"/>
              </w:rPr>
              <w:t>New Customer</w:t>
            </w:r>
            <w:r>
              <w:rPr>
                <w:rFonts w:ascii="Arial" w:cs="Arial" w:eastAsia="Arial" w:hAnsi="Arial"/>
                <w:sz w:val="22"/>
                <w:szCs w:val="22"/>
                <w:color w:val="auto"/>
                <w:w w:val="86"/>
                <w:vertAlign w:val="superscript"/>
              </w:rPr>
              <w:t>(5)</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2021 or</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84"/>
              </w:rPr>
              <w:t xml:space="preserve">2022–2028 </w:t>
            </w:r>
            <w:r>
              <w:rPr>
                <w:rFonts w:ascii="Arial" w:cs="Arial" w:eastAsia="Arial" w:hAnsi="Arial"/>
                <w:sz w:val="22"/>
                <w:szCs w:val="22"/>
                <w:color w:val="auto"/>
                <w:w w:val="84"/>
                <w:vertAlign w:val="superscript"/>
              </w:rPr>
              <w:t>(6)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4"/>
              </w:rPr>
              <w:t>January 2022</w:t>
            </w: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 w:type="dxa"/>
            <w:vAlign w:val="bottom"/>
            <w:shd w:val="clear" w:color="auto" w:fill="E8FFFA"/>
          </w:tcPr>
          <w:p>
            <w:pPr>
              <w:spacing w:after="0" w:line="133" w:lineRule="exact"/>
              <w:rPr>
                <w:sz w:val="20"/>
                <w:szCs w:val="20"/>
                <w:color w:val="auto"/>
              </w:rPr>
            </w:pPr>
            <w:r>
              <w:rPr>
                <w:rFonts w:ascii="Arial" w:cs="Arial" w:eastAsia="Arial" w:hAnsi="Arial"/>
                <w:sz w:val="14"/>
                <w:szCs w:val="14"/>
                <w:b w:val="1"/>
                <w:bCs w:val="1"/>
                <w:color w:val="auto"/>
              </w:rPr>
              <w:t>8</w:t>
            </w:r>
          </w:p>
        </w:tc>
        <w:tc>
          <w:tcPr>
            <w:tcW w:w="2280" w:type="dxa"/>
            <w:vAlign w:val="bottom"/>
            <w:gridSpan w:val="2"/>
            <w:shd w:val="clear" w:color="auto" w:fill="E8FFFA"/>
          </w:tcPr>
          <w:p>
            <w:pPr>
              <w:ind w:left="140"/>
              <w:spacing w:after="0" w:line="133" w:lineRule="exact"/>
              <w:rPr>
                <w:sz w:val="20"/>
                <w:szCs w:val="20"/>
                <w:color w:val="auto"/>
              </w:rPr>
            </w:pPr>
            <w:r>
              <w:rPr>
                <w:rFonts w:ascii="Arial" w:cs="Arial" w:eastAsia="Arial" w:hAnsi="Arial"/>
                <w:sz w:val="14"/>
                <w:szCs w:val="14"/>
                <w:i w:val="1"/>
                <w:iCs w:val="1"/>
                <w:color w:val="auto"/>
              </w:rPr>
              <w:t>GasLog Sydney</w:t>
            </w:r>
          </w:p>
        </w:tc>
        <w:tc>
          <w:tcPr>
            <w:tcW w:w="800" w:type="dxa"/>
            <w:vAlign w:val="bottom"/>
            <w:gridSpan w:val="2"/>
            <w:shd w:val="clear" w:color="auto" w:fill="E8FFFA"/>
          </w:tcPr>
          <w:p>
            <w:pPr>
              <w:jc w:val="center"/>
              <w:ind w:left="72"/>
              <w:spacing w:after="0" w:line="133" w:lineRule="exact"/>
              <w:rPr>
                <w:sz w:val="20"/>
                <w:szCs w:val="20"/>
                <w:color w:val="auto"/>
              </w:rPr>
            </w:pPr>
            <w:r>
              <w:rPr>
                <w:rFonts w:ascii="Arial" w:cs="Arial" w:eastAsia="Arial" w:hAnsi="Arial"/>
                <w:sz w:val="14"/>
                <w:szCs w:val="14"/>
                <w:color w:val="auto"/>
                <w:w w:val="83"/>
              </w:rPr>
              <w:t>2013</w:t>
            </w:r>
          </w:p>
        </w:tc>
        <w:tc>
          <w:tcPr>
            <w:tcW w:w="820" w:type="dxa"/>
            <w:vAlign w:val="bottom"/>
            <w:gridSpan w:val="2"/>
            <w:shd w:val="clear" w:color="auto" w:fill="E8FFFA"/>
          </w:tcPr>
          <w:p>
            <w:pPr>
              <w:jc w:val="center"/>
              <w:ind w:left="72"/>
              <w:spacing w:after="0" w:line="133" w:lineRule="exact"/>
              <w:rPr>
                <w:sz w:val="20"/>
                <w:szCs w:val="20"/>
                <w:color w:val="auto"/>
              </w:rPr>
            </w:pPr>
            <w:r>
              <w:rPr>
                <w:rFonts w:ascii="Arial" w:cs="Arial" w:eastAsia="Arial" w:hAnsi="Arial"/>
                <w:sz w:val="14"/>
                <w:szCs w:val="14"/>
                <w:color w:val="auto"/>
                <w:w w:val="86"/>
              </w:rPr>
              <w:t>155,000</w:t>
            </w:r>
          </w:p>
        </w:tc>
        <w:tc>
          <w:tcPr>
            <w:tcW w:w="160" w:type="dxa"/>
            <w:vAlign w:val="bottom"/>
            <w:shd w:val="clear" w:color="auto" w:fill="E8FFFA"/>
          </w:tcPr>
          <w:p>
            <w:pPr>
              <w:spacing w:after="0"/>
              <w:rPr>
                <w:sz w:val="11"/>
                <w:szCs w:val="11"/>
                <w:color w:val="auto"/>
              </w:rPr>
            </w:pPr>
          </w:p>
        </w:tc>
        <w:tc>
          <w:tcPr>
            <w:tcW w:w="1100" w:type="dxa"/>
            <w:vAlign w:val="bottom"/>
            <w:shd w:val="clear" w:color="auto" w:fill="E8FFFA"/>
          </w:tcPr>
          <w:p>
            <w:pPr>
              <w:jc w:val="center"/>
              <w:spacing w:after="0" w:line="133" w:lineRule="exact"/>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1"/>
                <w:szCs w:val="11"/>
                <w:color w:val="auto"/>
              </w:rPr>
            </w:pPr>
          </w:p>
        </w:tc>
        <w:tc>
          <w:tcPr>
            <w:tcW w:w="980" w:type="dxa"/>
            <w:vAlign w:val="bottom"/>
            <w:shd w:val="clear" w:color="auto" w:fill="E8FFFA"/>
          </w:tcPr>
          <w:p>
            <w:pPr>
              <w:jc w:val="center"/>
              <w:spacing w:after="0" w:line="133" w:lineRule="exact"/>
              <w:rPr>
                <w:sz w:val="20"/>
                <w:szCs w:val="20"/>
                <w:color w:val="auto"/>
              </w:rPr>
            </w:pPr>
            <w:r>
              <w:rPr>
                <w:rFonts w:ascii="Arial" w:cs="Arial" w:eastAsia="Arial" w:hAnsi="Arial"/>
                <w:sz w:val="14"/>
                <w:szCs w:val="14"/>
                <w:color w:val="auto"/>
                <w:w w:val="87"/>
              </w:rPr>
              <w:t>TFDE</w:t>
            </w:r>
          </w:p>
        </w:tc>
        <w:tc>
          <w:tcPr>
            <w:tcW w:w="160" w:type="dxa"/>
            <w:vAlign w:val="bottom"/>
            <w:shd w:val="clear" w:color="auto" w:fill="E8FFFA"/>
          </w:tcPr>
          <w:p>
            <w:pPr>
              <w:spacing w:after="0"/>
              <w:rPr>
                <w:sz w:val="11"/>
                <w:szCs w:val="11"/>
                <w:color w:val="auto"/>
              </w:rPr>
            </w:pPr>
          </w:p>
        </w:tc>
        <w:tc>
          <w:tcPr>
            <w:tcW w:w="1280" w:type="dxa"/>
            <w:vAlign w:val="bottom"/>
            <w:shd w:val="clear" w:color="auto" w:fill="E8FFFA"/>
          </w:tcPr>
          <w:p>
            <w:pPr>
              <w:jc w:val="center"/>
              <w:spacing w:after="0" w:line="133" w:lineRule="exact"/>
              <w:rPr>
                <w:sz w:val="20"/>
                <w:szCs w:val="20"/>
                <w:color w:val="auto"/>
              </w:rPr>
            </w:pPr>
            <w:r>
              <w:rPr>
                <w:rFonts w:ascii="Arial" w:cs="Arial" w:eastAsia="Arial" w:hAnsi="Arial"/>
                <w:sz w:val="14"/>
                <w:szCs w:val="14"/>
                <w:color w:val="auto"/>
                <w:w w:val="84"/>
              </w:rPr>
              <w:t>September 2018</w:t>
            </w:r>
          </w:p>
        </w:tc>
        <w:tc>
          <w:tcPr>
            <w:tcW w:w="160" w:type="dxa"/>
            <w:vAlign w:val="bottom"/>
            <w:shd w:val="clear" w:color="auto" w:fill="E8FFFA"/>
          </w:tcPr>
          <w:p>
            <w:pPr>
              <w:spacing w:after="0"/>
              <w:rPr>
                <w:sz w:val="11"/>
                <w:szCs w:val="11"/>
                <w:color w:val="auto"/>
              </w:rPr>
            </w:pPr>
          </w:p>
        </w:tc>
        <w:tc>
          <w:tcPr>
            <w:tcW w:w="1080" w:type="dxa"/>
            <w:vAlign w:val="bottom"/>
            <w:shd w:val="clear" w:color="auto" w:fill="E8FFFA"/>
          </w:tcPr>
          <w:p>
            <w:pPr>
              <w:jc w:val="center"/>
              <w:spacing w:after="0" w:line="13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0" w:type="dxa"/>
            <w:vAlign w:val="bottom"/>
            <w:shd w:val="clear" w:color="auto" w:fill="E8FFFA"/>
          </w:tcPr>
          <w:p>
            <w:pPr>
              <w:spacing w:after="0"/>
              <w:rPr>
                <w:sz w:val="16"/>
                <w:szCs w:val="16"/>
                <w:color w:val="auto"/>
              </w:rPr>
            </w:pPr>
          </w:p>
        </w:tc>
        <w:tc>
          <w:tcPr>
            <w:tcW w:w="1360" w:type="dxa"/>
            <w:vAlign w:val="bottom"/>
            <w:shd w:val="clear" w:color="auto" w:fill="E8FFFA"/>
          </w:tcPr>
          <w:p>
            <w:pPr>
              <w:spacing w:after="0"/>
              <w:rPr>
                <w:sz w:val="16"/>
                <w:szCs w:val="16"/>
                <w:color w:val="auto"/>
              </w:rPr>
            </w:pPr>
          </w:p>
        </w:tc>
        <w:tc>
          <w:tcPr>
            <w:tcW w:w="920" w:type="dxa"/>
            <w:vAlign w:val="bottom"/>
            <w:shd w:val="clear" w:color="auto" w:fill="E8FFFA"/>
          </w:tcPr>
          <w:p>
            <w:pPr>
              <w:spacing w:after="0"/>
              <w:rPr>
                <w:sz w:val="16"/>
                <w:szCs w:val="16"/>
                <w:color w:val="auto"/>
              </w:rPr>
            </w:pPr>
          </w:p>
        </w:tc>
        <w:tc>
          <w:tcPr>
            <w:tcW w:w="180" w:type="dxa"/>
            <w:vAlign w:val="bottom"/>
            <w:shd w:val="clear" w:color="auto" w:fill="E8FFFA"/>
          </w:tcPr>
          <w:p>
            <w:pPr>
              <w:spacing w:after="0"/>
              <w:rPr>
                <w:sz w:val="16"/>
                <w:szCs w:val="16"/>
                <w:color w:val="auto"/>
              </w:rPr>
            </w:pPr>
          </w:p>
        </w:tc>
        <w:tc>
          <w:tcPr>
            <w:tcW w:w="620" w:type="dxa"/>
            <w:vAlign w:val="bottom"/>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660" w:type="dxa"/>
            <w:vAlign w:val="bottom"/>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110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4"/>
              </w:rPr>
              <w:t>Cheniere</w:t>
            </w:r>
          </w:p>
        </w:tc>
        <w:tc>
          <w:tcPr>
            <w:tcW w:w="160" w:type="dxa"/>
            <w:vAlign w:val="bottom"/>
            <w:shd w:val="clear" w:color="auto" w:fill="E8FFFA"/>
          </w:tcPr>
          <w:p>
            <w:pPr>
              <w:spacing w:after="0"/>
              <w:rPr>
                <w:sz w:val="16"/>
                <w:szCs w:val="16"/>
                <w:color w:val="auto"/>
              </w:rPr>
            </w:pPr>
          </w:p>
        </w:tc>
        <w:tc>
          <w:tcPr>
            <w:tcW w:w="980" w:type="dxa"/>
            <w:vAlign w:val="bottom"/>
            <w:shd w:val="clear" w:color="auto" w:fill="E8FFFA"/>
          </w:tcPr>
          <w:p>
            <w:pPr>
              <w:spacing w:after="0"/>
              <w:rPr>
                <w:sz w:val="16"/>
                <w:szCs w:val="16"/>
                <w:color w:val="auto"/>
              </w:rPr>
            </w:pPr>
          </w:p>
        </w:tc>
        <w:tc>
          <w:tcPr>
            <w:tcW w:w="160" w:type="dxa"/>
            <w:vAlign w:val="bottom"/>
            <w:shd w:val="clear" w:color="auto" w:fill="E8FFFA"/>
          </w:tcPr>
          <w:p>
            <w:pPr>
              <w:spacing w:after="0"/>
              <w:rPr>
                <w:sz w:val="16"/>
                <w:szCs w:val="16"/>
                <w:color w:val="auto"/>
              </w:rPr>
            </w:pPr>
          </w:p>
        </w:tc>
        <w:tc>
          <w:tcPr>
            <w:tcW w:w="12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9"/>
              </w:rPr>
              <w:t>March 2020</w:t>
            </w:r>
          </w:p>
        </w:tc>
        <w:tc>
          <w:tcPr>
            <w:tcW w:w="1240" w:type="dxa"/>
            <w:vAlign w:val="bottom"/>
            <w:gridSpan w:val="2"/>
            <w:shd w:val="clear" w:color="auto" w:fill="E8FFFA"/>
          </w:tcPr>
          <w:p>
            <w:pPr>
              <w:jc w:val="center"/>
              <w:ind w:left="75"/>
              <w:spacing w:after="0" w:line="191" w:lineRule="exact"/>
              <w:rPr>
                <w:sz w:val="20"/>
                <w:szCs w:val="20"/>
                <w:color w:val="auto"/>
              </w:rPr>
            </w:pPr>
            <w:r>
              <w:rPr>
                <w:rFonts w:ascii="Arial" w:cs="Arial" w:eastAsia="Arial" w:hAnsi="Arial"/>
                <w:sz w:val="14"/>
                <w:szCs w:val="14"/>
                <w:color w:val="auto"/>
                <w:w w:val="83"/>
              </w:rPr>
              <w:t xml:space="preserve">2020-2021 </w:t>
            </w:r>
            <w:r>
              <w:rPr>
                <w:rFonts w:ascii="Arial" w:cs="Arial" w:eastAsia="Arial" w:hAnsi="Arial"/>
                <w:sz w:val="22"/>
                <w:szCs w:val="22"/>
                <w:color w:val="auto"/>
                <w:w w:val="83"/>
                <w:vertAlign w:val="superscript"/>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9</w:t>
            </w:r>
          </w:p>
        </w:tc>
        <w:tc>
          <w:tcPr>
            <w:tcW w:w="2280" w:type="dxa"/>
            <w:vAlign w:val="bottom"/>
            <w:gridSpan w:val="2"/>
          </w:tcPr>
          <w:p>
            <w:pPr>
              <w:ind w:left="140"/>
              <w:spacing w:after="0"/>
              <w:rPr>
                <w:sz w:val="20"/>
                <w:szCs w:val="20"/>
                <w:color w:val="auto"/>
              </w:rPr>
            </w:pPr>
            <w:r>
              <w:rPr>
                <w:rFonts w:ascii="Arial" w:cs="Arial" w:eastAsia="Arial" w:hAnsi="Arial"/>
                <w:sz w:val="14"/>
                <w:szCs w:val="14"/>
                <w:i w:val="1"/>
                <w:iCs w:val="1"/>
                <w:color w:val="auto"/>
              </w:rPr>
              <w:t>GasLog Seattle</w:t>
            </w: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3"/>
              </w:rPr>
              <w:t>2013</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155,000</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December 2020</w:t>
            </w:r>
          </w:p>
        </w:tc>
        <w:tc>
          <w:tcPr>
            <w:tcW w:w="1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3"/>
                <w:szCs w:val="13"/>
                <w:color w:val="auto"/>
                <w:w w:val="91"/>
              </w:rPr>
              <w:t xml:space="preserve">2025–2030 </w:t>
            </w:r>
            <w:r>
              <w:rPr>
                <w:rFonts w:ascii="Arial" w:cs="Arial" w:eastAsia="Arial" w:hAnsi="Arial"/>
                <w:sz w:val="20"/>
                <w:szCs w:val="20"/>
                <w:color w:val="auto"/>
                <w:w w:val="91"/>
                <w:vertAlign w:val="superscript"/>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10</w:t>
            </w:r>
          </w:p>
        </w:tc>
        <w:tc>
          <w:tcPr>
            <w:tcW w:w="2280" w:type="dxa"/>
            <w:vAlign w:val="bottom"/>
            <w:gridSpan w:val="2"/>
            <w:shd w:val="clear" w:color="auto" w:fill="E8FFFA"/>
          </w:tcPr>
          <w:p>
            <w:pPr>
              <w:ind w:left="140"/>
              <w:spacing w:after="0"/>
              <w:rPr>
                <w:sz w:val="20"/>
                <w:szCs w:val="20"/>
                <w:color w:val="auto"/>
              </w:rPr>
            </w:pPr>
            <w:r>
              <w:rPr>
                <w:rFonts w:ascii="Arial" w:cs="Arial" w:eastAsia="Arial" w:hAnsi="Arial"/>
                <w:sz w:val="14"/>
                <w:szCs w:val="14"/>
                <w:i w:val="1"/>
                <w:iCs w:val="1"/>
                <w:color w:val="auto"/>
              </w:rPr>
              <w:t>Solaris</w:t>
            </w:r>
          </w:p>
        </w:tc>
        <w:tc>
          <w:tcPr>
            <w:tcW w:w="80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3"/>
              </w:rPr>
              <w:t>2014</w:t>
            </w:r>
          </w:p>
        </w:tc>
        <w:tc>
          <w:tcPr>
            <w:tcW w:w="82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6"/>
              </w:rPr>
              <w:t>155,000</w:t>
            </w:r>
          </w:p>
        </w:tc>
        <w:tc>
          <w:tcPr>
            <w:tcW w:w="160" w:type="dxa"/>
            <w:vAlign w:val="bottom"/>
            <w:shd w:val="clear" w:color="auto" w:fill="E8FFFA"/>
          </w:tcPr>
          <w:p>
            <w:pPr>
              <w:spacing w:after="0"/>
              <w:rPr>
                <w:sz w:val="15"/>
                <w:szCs w:val="15"/>
                <w:color w:val="auto"/>
              </w:rPr>
            </w:pPr>
          </w:p>
        </w:tc>
        <w:tc>
          <w:tcPr>
            <w:tcW w:w="110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shd w:val="clear" w:color="auto" w:fill="E8FFFA"/>
          </w:tcPr>
          <w:p>
            <w:pPr>
              <w:spacing w:after="0"/>
              <w:rPr>
                <w:sz w:val="15"/>
                <w:szCs w:val="15"/>
                <w:color w:val="auto"/>
              </w:rPr>
            </w:pPr>
          </w:p>
        </w:tc>
        <w:tc>
          <w:tcPr>
            <w:tcW w:w="12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5"/>
              </w:rPr>
              <w:t>June 2021</w:t>
            </w:r>
          </w:p>
        </w:tc>
        <w:tc>
          <w:tcPr>
            <w:tcW w:w="160" w:type="dxa"/>
            <w:vAlign w:val="bottom"/>
            <w:shd w:val="clear" w:color="auto" w:fill="E8FFFA"/>
          </w:tcPr>
          <w:p>
            <w:pPr>
              <w:spacing w:after="0"/>
              <w:rPr>
                <w:sz w:val="15"/>
                <w:szCs w:val="15"/>
                <w:color w:val="auto"/>
              </w:rPr>
            </w:pPr>
          </w:p>
        </w:tc>
        <w:tc>
          <w:tcPr>
            <w:tcW w:w="108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1"/>
              </w:rPr>
              <w:t xml:space="preserve">2026–2031 </w:t>
            </w:r>
            <w:r>
              <w:rPr>
                <w:rFonts w:ascii="Arial" w:cs="Arial" w:eastAsia="Arial" w:hAnsi="Arial"/>
                <w:sz w:val="20"/>
                <w:szCs w:val="20"/>
                <w:color w:val="auto"/>
                <w:w w:val="91"/>
                <w:vertAlign w:val="superscript"/>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11</w:t>
            </w:r>
          </w:p>
        </w:tc>
        <w:tc>
          <w:tcPr>
            <w:tcW w:w="2280" w:type="dxa"/>
            <w:vAlign w:val="bottom"/>
            <w:gridSpan w:val="2"/>
          </w:tcPr>
          <w:p>
            <w:pPr>
              <w:ind w:left="140"/>
              <w:spacing w:after="0"/>
              <w:rPr>
                <w:sz w:val="20"/>
                <w:szCs w:val="20"/>
                <w:color w:val="auto"/>
              </w:rPr>
            </w:pPr>
            <w:r>
              <w:rPr>
                <w:rFonts w:ascii="Arial" w:cs="Arial" w:eastAsia="Arial" w:hAnsi="Arial"/>
                <w:sz w:val="14"/>
                <w:szCs w:val="14"/>
                <w:i w:val="1"/>
                <w:iCs w:val="1"/>
                <w:color w:val="auto"/>
              </w:rPr>
              <w:t>GasLog Greece</w:t>
            </w: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3"/>
              </w:rPr>
              <w:t>2016</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174,000</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March 2026</w:t>
            </w:r>
          </w:p>
        </w:tc>
        <w:tc>
          <w:tcPr>
            <w:tcW w:w="1240" w:type="dxa"/>
            <w:vAlign w:val="bottom"/>
            <w:gridSpan w:val="2"/>
          </w:tcPr>
          <w:p>
            <w:pPr>
              <w:jc w:val="center"/>
              <w:ind w:left="95"/>
              <w:spacing w:after="0" w:line="176" w:lineRule="exact"/>
              <w:rPr>
                <w:sz w:val="20"/>
                <w:szCs w:val="20"/>
                <w:color w:val="auto"/>
              </w:rPr>
            </w:pPr>
            <w:r>
              <w:rPr>
                <w:rFonts w:ascii="Arial" w:cs="Arial" w:eastAsia="Arial" w:hAnsi="Arial"/>
                <w:sz w:val="13"/>
                <w:szCs w:val="13"/>
                <w:color w:val="auto"/>
                <w:w w:val="90"/>
              </w:rPr>
              <w:t xml:space="preserve">2031 </w:t>
            </w:r>
            <w:r>
              <w:rPr>
                <w:rFonts w:ascii="Arial" w:cs="Arial" w:eastAsia="Arial" w:hAnsi="Arial"/>
                <w:sz w:val="20"/>
                <w:szCs w:val="20"/>
                <w:color w:val="auto"/>
                <w:w w:val="90"/>
                <w:vertAlign w:val="superscript"/>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shd w:val="clear" w:color="auto" w:fill="E8FFFA"/>
          </w:tcPr>
          <w:p>
            <w:pPr>
              <w:spacing w:after="0"/>
              <w:rPr>
                <w:sz w:val="20"/>
                <w:szCs w:val="20"/>
                <w:color w:val="auto"/>
              </w:rPr>
            </w:pPr>
            <w:r>
              <w:rPr>
                <w:rFonts w:ascii="Arial" w:cs="Arial" w:eastAsia="Arial" w:hAnsi="Arial"/>
                <w:sz w:val="14"/>
                <w:szCs w:val="14"/>
                <w:b w:val="1"/>
                <w:bCs w:val="1"/>
                <w:color w:val="auto"/>
              </w:rPr>
              <w:t>12</w:t>
            </w:r>
          </w:p>
        </w:tc>
        <w:tc>
          <w:tcPr>
            <w:tcW w:w="2280" w:type="dxa"/>
            <w:vAlign w:val="bottom"/>
            <w:gridSpan w:val="2"/>
            <w:shd w:val="clear" w:color="auto" w:fill="E8FFFA"/>
          </w:tcPr>
          <w:p>
            <w:pPr>
              <w:ind w:left="140"/>
              <w:spacing w:after="0"/>
              <w:rPr>
                <w:sz w:val="20"/>
                <w:szCs w:val="20"/>
                <w:color w:val="auto"/>
              </w:rPr>
            </w:pPr>
            <w:r>
              <w:rPr>
                <w:rFonts w:ascii="Arial" w:cs="Arial" w:eastAsia="Arial" w:hAnsi="Arial"/>
                <w:sz w:val="14"/>
                <w:szCs w:val="14"/>
                <w:i w:val="1"/>
                <w:iCs w:val="1"/>
                <w:color w:val="auto"/>
              </w:rPr>
              <w:t>GasLog Geneva</w:t>
            </w:r>
          </w:p>
        </w:tc>
        <w:tc>
          <w:tcPr>
            <w:tcW w:w="80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3"/>
              </w:rPr>
              <w:t>2016</w:t>
            </w:r>
          </w:p>
        </w:tc>
        <w:tc>
          <w:tcPr>
            <w:tcW w:w="82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6"/>
              </w:rPr>
              <w:t>174,000</w:t>
            </w:r>
          </w:p>
        </w:tc>
        <w:tc>
          <w:tcPr>
            <w:tcW w:w="160" w:type="dxa"/>
            <w:vAlign w:val="bottom"/>
            <w:shd w:val="clear" w:color="auto" w:fill="E8FFFA"/>
          </w:tcPr>
          <w:p>
            <w:pPr>
              <w:spacing w:after="0"/>
              <w:rPr>
                <w:sz w:val="15"/>
                <w:szCs w:val="15"/>
                <w:color w:val="auto"/>
              </w:rPr>
            </w:pPr>
          </w:p>
        </w:tc>
        <w:tc>
          <w:tcPr>
            <w:tcW w:w="110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shd w:val="clear" w:color="auto" w:fill="E8FFFA"/>
          </w:tcPr>
          <w:p>
            <w:pPr>
              <w:spacing w:after="0"/>
              <w:rPr>
                <w:sz w:val="15"/>
                <w:szCs w:val="15"/>
                <w:color w:val="auto"/>
              </w:rPr>
            </w:pPr>
          </w:p>
        </w:tc>
        <w:tc>
          <w:tcPr>
            <w:tcW w:w="12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4"/>
              </w:rPr>
              <w:t>September 2023</w:t>
            </w:r>
          </w:p>
        </w:tc>
        <w:tc>
          <w:tcPr>
            <w:tcW w:w="160" w:type="dxa"/>
            <w:vAlign w:val="bottom"/>
            <w:shd w:val="clear" w:color="auto" w:fill="E8FFFA"/>
          </w:tcPr>
          <w:p>
            <w:pPr>
              <w:spacing w:after="0"/>
              <w:rPr>
                <w:sz w:val="15"/>
                <w:szCs w:val="15"/>
                <w:color w:val="auto"/>
              </w:rPr>
            </w:pPr>
          </w:p>
        </w:tc>
        <w:tc>
          <w:tcPr>
            <w:tcW w:w="108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88"/>
              </w:rPr>
              <w:t xml:space="preserve">2028–2031 </w:t>
            </w:r>
            <w:r>
              <w:rPr>
                <w:rFonts w:ascii="Arial" w:cs="Arial" w:eastAsia="Arial" w:hAnsi="Arial"/>
                <w:sz w:val="20"/>
                <w:szCs w:val="20"/>
                <w:color w:val="auto"/>
                <w:w w:val="88"/>
                <w:vertAlign w:val="superscript"/>
              </w:rPr>
              <w:t>(10)</w:t>
            </w:r>
          </w:p>
        </w:tc>
        <w:tc>
          <w:tcPr>
            <w:tcW w:w="0" w:type="dxa"/>
            <w:vAlign w:val="bottom"/>
          </w:tcPr>
          <w:p>
            <w:pPr>
              <w:spacing w:after="0"/>
              <w:rPr>
                <w:sz w:val="1"/>
                <w:szCs w:val="1"/>
                <w:color w:val="auto"/>
              </w:rPr>
            </w:pPr>
          </w:p>
        </w:tc>
      </w:tr>
      <w:tr>
        <w:trPr>
          <w:trHeight w:val="284"/>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13</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w w:val="87"/>
              </w:rPr>
              <w:t xml:space="preserve">GasLog Gibraltar </w:t>
            </w:r>
            <w:r>
              <w:rPr>
                <w:rFonts w:ascii="Arial" w:cs="Arial" w:eastAsia="Arial" w:hAnsi="Arial"/>
                <w:sz w:val="22"/>
                <w:szCs w:val="22"/>
                <w:color w:val="auto"/>
                <w:w w:val="87"/>
                <w:vertAlign w:val="superscript"/>
              </w:rPr>
              <w:t>(11)</w:t>
            </w:r>
          </w:p>
        </w:tc>
        <w:tc>
          <w:tcPr>
            <w:tcW w:w="920" w:type="dxa"/>
            <w:vAlign w:val="bottom"/>
          </w:tcPr>
          <w:p>
            <w:pPr>
              <w:spacing w:after="0"/>
              <w:rPr>
                <w:sz w:val="24"/>
                <w:szCs w:val="24"/>
                <w:color w:val="auto"/>
              </w:rPr>
            </w:pPr>
          </w:p>
        </w:tc>
        <w:tc>
          <w:tcPr>
            <w:tcW w:w="800" w:type="dxa"/>
            <w:vAlign w:val="bottom"/>
            <w:gridSpan w:val="2"/>
          </w:tcPr>
          <w:p>
            <w:pPr>
              <w:jc w:val="center"/>
              <w:ind w:left="72"/>
              <w:spacing w:after="0"/>
              <w:rPr>
                <w:sz w:val="20"/>
                <w:szCs w:val="20"/>
                <w:color w:val="auto"/>
              </w:rPr>
            </w:pPr>
            <w:r>
              <w:rPr>
                <w:rFonts w:ascii="Arial" w:cs="Arial" w:eastAsia="Arial" w:hAnsi="Arial"/>
                <w:sz w:val="14"/>
                <w:szCs w:val="14"/>
                <w:color w:val="auto"/>
                <w:w w:val="83"/>
              </w:rPr>
              <w:t>2016</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174,000</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TFDE</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October 2023</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1"/>
              </w:rPr>
              <w:t xml:space="preserve">2028–2031 </w:t>
            </w:r>
            <w:r>
              <w:rPr>
                <w:rFonts w:ascii="Arial" w:cs="Arial" w:eastAsia="Arial" w:hAnsi="Arial"/>
                <w:sz w:val="22"/>
                <w:szCs w:val="22"/>
                <w:color w:val="auto"/>
                <w:w w:val="81"/>
                <w:vertAlign w:val="superscript"/>
              </w:rPr>
              <w:t>(10)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 xml:space="preserve">GasLog Partners has secured a one-year charter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w:t>
      </w:r>
    </w:p>
    <w:p>
      <w:pPr>
        <w:spacing w:after="0" w:line="111" w:lineRule="exact"/>
        <w:rPr>
          <w:rFonts w:ascii="Arial" w:cs="Arial" w:eastAsia="Arial" w:hAnsi="Arial"/>
          <w:sz w:val="11"/>
          <w:szCs w:val="11"/>
          <w:color w:val="auto"/>
        </w:rPr>
      </w:pPr>
    </w:p>
    <w:p>
      <w:pPr>
        <w:ind w:left="1680" w:right="20" w:hanging="531"/>
        <w:spacing w:after="0" w:line="239"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360" w:hanging="531"/>
        <w:spacing w:after="0" w:line="318" w:lineRule="auto"/>
        <w:tabs>
          <w:tab w:leader="none" w:pos="1680" w:val="left"/>
        </w:tabs>
        <w:numPr>
          <w:ilvl w:val="0"/>
          <w:numId w:val="11"/>
        </w:numPr>
        <w:rPr>
          <w:rFonts w:ascii="Arial" w:cs="Arial" w:eastAsia="Arial" w:hAnsi="Arial"/>
          <w:sz w:val="10"/>
          <w:szCs w:val="10"/>
          <w:color w:val="auto"/>
        </w:rPr>
      </w:pPr>
      <w:r>
        <w:rPr>
          <w:rFonts w:ascii="Arial" w:cs="Arial" w:eastAsia="Arial" w:hAnsi="Arial"/>
          <w:sz w:val="12"/>
          <w:szCs w:val="12"/>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680" w:hanging="531"/>
        <w:spacing w:after="0"/>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Vessel currently operating in the spot market under the Cool Pool.</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The vessel is currently on a short-term charter to a major LNG producer and thereafter will operate under a multi-year charter with another customer.</w:t>
      </w:r>
    </w:p>
    <w:p>
      <w:pPr>
        <w:spacing w:after="0" w:line="122" w:lineRule="exact"/>
        <w:rPr>
          <w:rFonts w:ascii="Arial" w:cs="Arial" w:eastAsia="Arial" w:hAnsi="Arial"/>
          <w:sz w:val="11"/>
          <w:szCs w:val="11"/>
          <w:color w:val="auto"/>
        </w:rPr>
      </w:pPr>
    </w:p>
    <w:p>
      <w:pPr>
        <w:ind w:left="1680" w:right="320" w:hanging="531"/>
        <w:spacing w:after="0" w:line="239"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40" w:hanging="531"/>
        <w:spacing w:after="0" w:line="239"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Charterer may extend the term of these time charters for a period ranging from five to ten years, provided that the charterer gives us advance notice of its exercise of any extension option.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gives us advance notice of declaration.</w:t>
      </w:r>
    </w:p>
    <w:p>
      <w:pPr>
        <w:spacing w:after="0" w:line="122"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 xml:space="preserve">On April 26, 2018, GasLog Partners acquired from GasLog 100% of the shares in the entity that owns and charters the </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August 2018 and September 2018, respectively, each plus or minus 30 days. In addition,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are due to come off charter in October 2019, December 2019 and April 2020, respectively, each plus or minus 30 days. GasLog Partners has secured an approximately three-and-a-half-year charter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commencing in either August or September at the Partnership's option and a one-year charter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Victoria </w:t>
      </w:r>
      <w:r>
        <w:rPr>
          <w:rFonts w:ascii="Arial" w:cs="Arial" w:eastAsia="Arial" w:hAnsi="Arial"/>
          <w:sz w:val="16"/>
          <w:szCs w:val="16"/>
          <w:color w:val="auto"/>
        </w:rPr>
        <w:t>(as nominated by the Partnership), commencing in either November or December 2019 at the Partnership's option. In addition, GasLog Partners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secured an 18-month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commencing between September and December 2018.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within 36 months after GasLog notifies our board of directors of her acceptance by her charterers and (ii)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multi-year charter with Shell. In each case, our option to purchase is at fair market value as determined pursuant to the omnibus agreement. Our options to acquire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expired in March 2018, while the options to acquire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expired in April 2018.</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Propulsion</w:t>
            </w:r>
            <w:r>
              <w:rPr>
                <w:rFonts w:ascii="Arial" w:cs="Arial" w:eastAsia="Arial" w:hAnsi="Arial"/>
                <w:sz w:val="22"/>
                <w:szCs w:val="22"/>
                <w:b w:val="1"/>
                <w:bCs w:val="1"/>
                <w:color w:val="auto"/>
                <w:w w:val="83"/>
                <w:vertAlign w:val="superscript"/>
              </w:rPr>
              <w:t>(1)</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 Built</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shd w:val="clear" w:color="auto" w:fill="E8FFFA"/>
          </w:tcPr>
          <w:p>
            <w:pPr>
              <w:jc w:val="right"/>
              <w:spacing w:after="0"/>
              <w:rPr>
                <w:sz w:val="20"/>
                <w:szCs w:val="20"/>
                <w:color w:val="auto"/>
              </w:rPr>
            </w:pPr>
            <w:r>
              <w:rPr>
                <w:rFonts w:ascii="Arial" w:cs="Arial" w:eastAsia="Arial" w:hAnsi="Arial"/>
                <w:sz w:val="10"/>
                <w:szCs w:val="10"/>
                <w:b w:val="1"/>
                <w:bCs w:val="1"/>
                <w:color w:val="auto"/>
                <w:w w:val="71"/>
              </w:rPr>
              <w:t>1</w:t>
            </w:r>
          </w:p>
        </w:tc>
        <w:tc>
          <w:tcPr>
            <w:tcW w:w="3420" w:type="dxa"/>
            <w:vAlign w:val="bottom"/>
            <w:gridSpan w:val="2"/>
            <w:shd w:val="clear" w:color="auto" w:fill="E8FFFA"/>
          </w:tcPr>
          <w:p>
            <w:pPr>
              <w:ind w:left="20"/>
              <w:spacing w:after="0" w:line="142" w:lineRule="exact"/>
              <w:rPr>
                <w:sz w:val="20"/>
                <w:szCs w:val="20"/>
                <w:color w:val="auto"/>
              </w:rPr>
            </w:pPr>
            <w:r>
              <w:rPr>
                <w:rFonts w:ascii="Arial" w:cs="Arial" w:eastAsia="Arial" w:hAnsi="Arial"/>
                <w:sz w:val="14"/>
                <w:szCs w:val="14"/>
                <w:i w:val="1"/>
                <w:iCs w:val="1"/>
                <w:color w:val="auto"/>
              </w:rPr>
              <w:t>GasLog Glasgow</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174,000</w:t>
            </w:r>
          </w:p>
        </w:tc>
        <w:tc>
          <w:tcPr>
            <w:tcW w:w="18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92"/>
              </w:rPr>
              <w:t>TFDE</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5"/>
              </w:rPr>
              <w:t>June 2026</w:t>
            </w:r>
          </w:p>
        </w:tc>
        <w:tc>
          <w:tcPr>
            <w:tcW w:w="0" w:type="dxa"/>
            <w:vAlign w:val="bottom"/>
          </w:tcPr>
          <w:p>
            <w:pPr>
              <w:spacing w:after="0"/>
              <w:rPr>
                <w:sz w:val="1"/>
                <w:szCs w:val="1"/>
                <w:color w:val="auto"/>
              </w:rPr>
            </w:pPr>
          </w:p>
        </w:tc>
      </w:tr>
      <w:tr>
        <w:trPr>
          <w:trHeight w:val="284"/>
        </w:trPr>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xml:space="preserve">GasLog Houston </w:t>
            </w:r>
            <w:r>
              <w:rPr>
                <w:rFonts w:ascii="Arial" w:cs="Arial" w:eastAsia="Arial" w:hAnsi="Arial"/>
                <w:sz w:val="22"/>
                <w:szCs w:val="22"/>
                <w:color w:val="auto"/>
                <w:vertAlign w:val="superscript"/>
              </w:rPr>
              <w:t>(3)</w:t>
            </w:r>
          </w:p>
        </w:tc>
        <w:tc>
          <w:tcPr>
            <w:tcW w:w="1660" w:type="dxa"/>
            <w:vAlign w:val="bottom"/>
          </w:tcPr>
          <w:p>
            <w:pPr>
              <w:spacing w:after="0"/>
              <w:rPr>
                <w:sz w:val="24"/>
                <w:szCs w:val="24"/>
                <w:color w:val="auto"/>
              </w:rPr>
            </w:pPr>
          </w:p>
        </w:tc>
        <w:tc>
          <w:tcPr>
            <w:tcW w:w="1140" w:type="dxa"/>
            <w:vAlign w:val="bottom"/>
            <w:gridSpan w:val="2"/>
          </w:tcPr>
          <w:p>
            <w:pPr>
              <w:jc w:val="center"/>
              <w:ind w:left="72"/>
              <w:spacing w:after="0"/>
              <w:rPr>
                <w:sz w:val="20"/>
                <w:szCs w:val="20"/>
                <w:color w:val="auto"/>
              </w:rPr>
            </w:pPr>
            <w:r>
              <w:rPr>
                <w:rFonts w:ascii="Arial" w:cs="Arial" w:eastAsia="Arial" w:hAnsi="Arial"/>
                <w:sz w:val="14"/>
                <w:szCs w:val="14"/>
                <w:color w:val="auto"/>
                <w:w w:val="89"/>
              </w:rPr>
              <w:t>2018</w:t>
            </w:r>
          </w:p>
        </w:tc>
        <w:tc>
          <w:tcPr>
            <w:tcW w:w="1120" w:type="dxa"/>
            <w:vAlign w:val="bottom"/>
            <w:gridSpan w:val="2"/>
          </w:tcPr>
          <w:p>
            <w:pPr>
              <w:jc w:val="center"/>
              <w:ind w:left="92"/>
              <w:spacing w:after="0"/>
              <w:rPr>
                <w:sz w:val="20"/>
                <w:szCs w:val="20"/>
                <w:color w:val="auto"/>
              </w:rPr>
            </w:pPr>
            <w:r>
              <w:rPr>
                <w:rFonts w:ascii="Arial" w:cs="Arial" w:eastAsia="Arial" w:hAnsi="Arial"/>
                <w:sz w:val="14"/>
                <w:szCs w:val="14"/>
                <w:color w:val="auto"/>
                <w:w w:val="86"/>
              </w:rPr>
              <w:t>174,000</w:t>
            </w: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Shell</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LP-2S</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May 2028</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Reference to "LP-2S" refers to low pressure dual-fuel two-stroke engine propulsion.</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2"/>
        </w:numPr>
        <w:rPr>
          <w:rFonts w:ascii="Arial" w:cs="Arial" w:eastAsia="Arial" w:hAnsi="Arial"/>
          <w:sz w:val="10"/>
          <w:szCs w:val="10"/>
          <w:color w:val="auto"/>
        </w:rPr>
      </w:pPr>
      <w:r>
        <w:rPr>
          <w:rFonts w:ascii="Arial" w:cs="Arial" w:eastAsia="Arial" w:hAnsi="Arial"/>
          <w:sz w:val="12"/>
          <w:szCs w:val="12"/>
          <w:color w:val="auto"/>
        </w:rPr>
        <w:t>The vessel is currently on a short-term charter until the commencement of her multi-year charter party with a subsidiary of Shell, from the beginning of 2019 until May 2028.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three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each vessel has been acquired or has become a Five-Year Vessel.</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Year Built</w:t>
            </w:r>
            <w:r>
              <w:rPr>
                <w:rFonts w:ascii="Arial" w:cs="Arial" w:eastAsia="Arial" w:hAnsi="Arial"/>
                <w:sz w:val="22"/>
                <w:szCs w:val="22"/>
                <w:b w:val="1"/>
                <w:bCs w:val="1"/>
                <w:color w:val="auto"/>
                <w:w w:val="86"/>
                <w:vertAlign w:val="superscript"/>
              </w:rPr>
              <w:t>(1)</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shd w:val="clear" w:color="auto" w:fill="E8FFFA"/>
          </w:tcPr>
          <w:p>
            <w:pPr>
              <w:jc w:val="right"/>
              <w:spacing w:after="0"/>
              <w:rPr>
                <w:sz w:val="20"/>
                <w:szCs w:val="20"/>
                <w:color w:val="auto"/>
              </w:rPr>
            </w:pPr>
            <w:r>
              <w:rPr>
                <w:rFonts w:ascii="Arial" w:cs="Arial" w:eastAsia="Arial" w:hAnsi="Arial"/>
                <w:sz w:val="10"/>
                <w:szCs w:val="10"/>
                <w:b w:val="1"/>
                <w:bCs w:val="1"/>
                <w:color w:val="auto"/>
                <w:w w:val="71"/>
              </w:rPr>
              <w:t>1</w:t>
            </w:r>
          </w:p>
        </w:tc>
        <w:tc>
          <w:tcPr>
            <w:tcW w:w="3420" w:type="dxa"/>
            <w:vAlign w:val="bottom"/>
            <w:gridSpan w:val="2"/>
            <w:shd w:val="clear" w:color="auto" w:fill="E8FFFA"/>
          </w:tcPr>
          <w:p>
            <w:pPr>
              <w:ind w:left="20"/>
              <w:spacing w:after="0" w:line="142" w:lineRule="exact"/>
              <w:rPr>
                <w:sz w:val="20"/>
                <w:szCs w:val="20"/>
                <w:color w:val="auto"/>
              </w:rPr>
            </w:pPr>
            <w:r>
              <w:rPr>
                <w:rFonts w:ascii="Arial" w:cs="Arial" w:eastAsia="Arial" w:hAnsi="Arial"/>
                <w:sz w:val="14"/>
                <w:szCs w:val="14"/>
                <w:color w:val="auto"/>
              </w:rPr>
              <w:t>Hull No. 2131</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Q1 2019</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174,000</w:t>
            </w:r>
          </w:p>
        </w:tc>
        <w:tc>
          <w:tcPr>
            <w:tcW w:w="18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Shell</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7"/>
              </w:rPr>
              <w:t>LP-2S</w:t>
            </w:r>
          </w:p>
        </w:tc>
        <w:tc>
          <w:tcPr>
            <w:tcW w:w="160" w:type="dxa"/>
            <w:vAlign w:val="bottom"/>
            <w:shd w:val="clear" w:color="auto" w:fill="E8FFFA"/>
          </w:tcPr>
          <w:p>
            <w:pPr>
              <w:spacing w:after="0"/>
              <w:rPr>
                <w:sz w:val="12"/>
                <w:szCs w:val="12"/>
                <w:color w:val="auto"/>
              </w:rPr>
            </w:pPr>
          </w:p>
        </w:tc>
        <w:tc>
          <w:tcPr>
            <w:tcW w:w="9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76"/>
        </w:trPr>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w:t>
            </w: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Hull No. 2213</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Q2 2020</w:t>
            </w:r>
          </w:p>
        </w:tc>
        <w:tc>
          <w:tcPr>
            <w:tcW w:w="1120" w:type="dxa"/>
            <w:vAlign w:val="bottom"/>
            <w:gridSpan w:val="2"/>
          </w:tcPr>
          <w:p>
            <w:pPr>
              <w:jc w:val="center"/>
              <w:ind w:left="92"/>
              <w:spacing w:after="0"/>
              <w:rPr>
                <w:sz w:val="20"/>
                <w:szCs w:val="20"/>
                <w:color w:val="auto"/>
              </w:rPr>
            </w:pPr>
            <w:r>
              <w:rPr>
                <w:rFonts w:ascii="Arial" w:cs="Arial" w:eastAsia="Arial" w:hAnsi="Arial"/>
                <w:sz w:val="14"/>
                <w:szCs w:val="14"/>
                <w:color w:val="auto"/>
                <w:w w:val="86"/>
              </w:rPr>
              <w:t>180,000</w:t>
            </w:r>
          </w:p>
        </w:tc>
        <w:tc>
          <w:tcPr>
            <w:tcW w:w="18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3"/>
                <w:szCs w:val="13"/>
                <w:color w:val="auto"/>
                <w:w w:val="90"/>
              </w:rPr>
              <w:t xml:space="preserve">Centrica </w:t>
            </w:r>
            <w:r>
              <w:rPr>
                <w:rFonts w:ascii="Arial" w:cs="Arial" w:eastAsia="Arial" w:hAnsi="Arial"/>
                <w:sz w:val="20"/>
                <w:szCs w:val="20"/>
                <w:color w:val="auto"/>
                <w:w w:val="90"/>
                <w:vertAlign w:val="superscript"/>
              </w:rPr>
              <w:t>(2)</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LP-2S</w:t>
            </w:r>
          </w:p>
        </w:tc>
        <w:tc>
          <w:tcPr>
            <w:tcW w:w="1140" w:type="dxa"/>
            <w:vAlign w:val="bottom"/>
            <w:gridSpan w:val="2"/>
          </w:tcPr>
          <w:p>
            <w:pPr>
              <w:jc w:val="center"/>
              <w:ind w:left="72"/>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E8FFFA"/>
          </w:tcPr>
          <w:p>
            <w:pPr>
              <w:jc w:val="right"/>
              <w:spacing w:after="0"/>
              <w:rPr>
                <w:sz w:val="20"/>
                <w:szCs w:val="20"/>
                <w:color w:val="auto"/>
              </w:rPr>
            </w:pPr>
            <w:r>
              <w:rPr>
                <w:rFonts w:ascii="Arial" w:cs="Arial" w:eastAsia="Arial" w:hAnsi="Arial"/>
                <w:sz w:val="10"/>
                <w:szCs w:val="10"/>
                <w:b w:val="1"/>
                <w:bCs w:val="1"/>
                <w:color w:val="auto"/>
                <w:w w:val="71"/>
              </w:rPr>
              <w:t>3</w:t>
            </w:r>
          </w:p>
        </w:tc>
        <w:tc>
          <w:tcPr>
            <w:tcW w:w="3420" w:type="dxa"/>
            <w:vAlign w:val="bottom"/>
            <w:gridSpan w:val="2"/>
            <w:shd w:val="clear" w:color="auto" w:fill="E8FFFA"/>
          </w:tcPr>
          <w:p>
            <w:pPr>
              <w:ind w:left="20"/>
              <w:spacing w:after="0"/>
              <w:rPr>
                <w:sz w:val="20"/>
                <w:szCs w:val="20"/>
                <w:color w:val="auto"/>
              </w:rPr>
            </w:pPr>
            <w:r>
              <w:rPr>
                <w:rFonts w:ascii="Arial" w:cs="Arial" w:eastAsia="Arial" w:hAnsi="Arial"/>
                <w:sz w:val="14"/>
                <w:szCs w:val="14"/>
                <w:color w:val="auto"/>
              </w:rPr>
              <w:t>Hull No. 2262</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9"/>
              </w:rPr>
              <w:t>Q3 2020</w:t>
            </w:r>
          </w:p>
        </w:tc>
        <w:tc>
          <w:tcPr>
            <w:tcW w:w="1120" w:type="dxa"/>
            <w:vAlign w:val="bottom"/>
            <w:gridSpan w:val="2"/>
            <w:shd w:val="clear" w:color="auto" w:fill="E8FFFA"/>
          </w:tcPr>
          <w:p>
            <w:pPr>
              <w:jc w:val="center"/>
              <w:ind w:left="92"/>
              <w:spacing w:after="0"/>
              <w:rPr>
                <w:sz w:val="20"/>
                <w:szCs w:val="20"/>
                <w:color w:val="auto"/>
              </w:rPr>
            </w:pPr>
            <w:r>
              <w:rPr>
                <w:rFonts w:ascii="Arial" w:cs="Arial" w:eastAsia="Arial" w:hAnsi="Arial"/>
                <w:sz w:val="14"/>
                <w:szCs w:val="14"/>
                <w:color w:val="auto"/>
                <w:w w:val="86"/>
              </w:rPr>
              <w:t>180,000</w:t>
            </w:r>
          </w:p>
        </w:tc>
        <w:tc>
          <w:tcPr>
            <w:tcW w:w="180" w:type="dxa"/>
            <w:vAlign w:val="bottom"/>
            <w:shd w:val="clear" w:color="auto" w:fill="E8FFFA"/>
          </w:tcPr>
          <w:p>
            <w:pPr>
              <w:spacing w:after="0"/>
              <w:rPr>
                <w:sz w:val="15"/>
                <w:szCs w:val="15"/>
                <w:color w:val="auto"/>
              </w:rPr>
            </w:pPr>
          </w:p>
        </w:tc>
        <w:tc>
          <w:tcPr>
            <w:tcW w:w="960" w:type="dxa"/>
            <w:vAlign w:val="bottom"/>
            <w:shd w:val="clear" w:color="auto" w:fill="E8FFFA"/>
          </w:tcPr>
          <w:p>
            <w:pPr>
              <w:jc w:val="center"/>
              <w:spacing w:after="0" w:line="176" w:lineRule="exact"/>
              <w:rPr>
                <w:sz w:val="20"/>
                <w:szCs w:val="20"/>
                <w:color w:val="auto"/>
              </w:rPr>
            </w:pPr>
            <w:r>
              <w:rPr>
                <w:rFonts w:ascii="Arial" w:cs="Arial" w:eastAsia="Arial" w:hAnsi="Arial"/>
                <w:sz w:val="13"/>
                <w:szCs w:val="13"/>
                <w:color w:val="auto"/>
                <w:w w:val="90"/>
              </w:rPr>
              <w:t xml:space="preserve">Centrica </w:t>
            </w:r>
            <w:r>
              <w:rPr>
                <w:rFonts w:ascii="Arial" w:cs="Arial" w:eastAsia="Arial" w:hAnsi="Arial"/>
                <w:sz w:val="20"/>
                <w:szCs w:val="20"/>
                <w:color w:val="auto"/>
                <w:w w:val="90"/>
                <w:vertAlign w:val="superscript"/>
              </w:rPr>
              <w:t>(2)</w:t>
            </w:r>
          </w:p>
        </w:tc>
        <w:tc>
          <w:tcPr>
            <w:tcW w:w="160" w:type="dxa"/>
            <w:vAlign w:val="bottom"/>
            <w:shd w:val="clear" w:color="auto" w:fill="E8FFFA"/>
          </w:tcPr>
          <w:p>
            <w:pPr>
              <w:spacing w:after="0"/>
              <w:rPr>
                <w:sz w:val="15"/>
                <w:szCs w:val="15"/>
                <w:color w:val="auto"/>
              </w:rPr>
            </w:pPr>
          </w:p>
        </w:tc>
        <w:tc>
          <w:tcPr>
            <w:tcW w:w="980" w:type="dxa"/>
            <w:vAlign w:val="bottom"/>
            <w:shd w:val="clear" w:color="auto" w:fill="E8FFFA"/>
          </w:tcPr>
          <w:p>
            <w:pPr>
              <w:jc w:val="center"/>
              <w:spacing w:after="0"/>
              <w:rPr>
                <w:sz w:val="20"/>
                <w:szCs w:val="20"/>
                <w:color w:val="auto"/>
              </w:rPr>
            </w:pPr>
            <w:r>
              <w:rPr>
                <w:rFonts w:ascii="Arial" w:cs="Arial" w:eastAsia="Arial" w:hAnsi="Arial"/>
                <w:sz w:val="14"/>
                <w:szCs w:val="14"/>
                <w:color w:val="auto"/>
                <w:w w:val="87"/>
              </w:rPr>
              <w:t>LP-2S</w:t>
            </w:r>
          </w:p>
        </w:tc>
        <w:tc>
          <w:tcPr>
            <w:tcW w:w="1140" w:type="dxa"/>
            <w:vAlign w:val="bottom"/>
            <w:gridSpan w:val="2"/>
            <w:shd w:val="clear" w:color="auto" w:fill="E8FFFA"/>
          </w:tcPr>
          <w:p>
            <w:pPr>
              <w:jc w:val="center"/>
              <w:ind w:left="72"/>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vessel is chartered to Pioneer Shipping Limited, a wholly owned subsidiary of Centrica plc ("Centrica").</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Our results set forth below are derived from the unaudited condensed consolidated financial statements of the Partnership. The transfers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Greece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w:t>
      </w:r>
      <w:r>
        <w:rPr>
          <w:rFonts w:ascii="Arial" w:cs="Arial" w:eastAsia="Arial" w:hAnsi="Arial"/>
          <w:sz w:val="18"/>
          <w:szCs w:val="18"/>
          <w:color w:val="auto"/>
        </w:rPr>
        <w:t>, the</w:t>
      </w:r>
      <w:r>
        <w:rPr>
          <w:rFonts w:ascii="Arial" w:cs="Arial" w:eastAsia="Arial" w:hAnsi="Arial"/>
          <w:sz w:val="18"/>
          <w:szCs w:val="18"/>
          <w:i w:val="1"/>
          <w:iCs w:val="1"/>
          <w:color w:val="auto"/>
        </w:rPr>
        <w:t xml:space="preserve"> Solaris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from GasLog to the Partnership on May 3, 2017, July 3, 2017, October 20, 2017, and April 26,</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were accounted for as reorganizations of 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Three-month period ended June 30, 2017 compared to the three-month period ended June 30, 2018</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300" w:type="dxa"/>
            <w:vAlign w:val="bottom"/>
            <w:gridSpan w:val="6"/>
          </w:tcPr>
          <w:p>
            <w:pPr>
              <w:ind w:left="60"/>
              <w:spacing w:after="0"/>
              <w:rPr>
                <w:sz w:val="20"/>
                <w:szCs w:val="20"/>
                <w:color w:val="auto"/>
              </w:rPr>
            </w:pPr>
            <w:r>
              <w:rPr>
                <w:rFonts w:ascii="Arial" w:cs="Arial" w:eastAsia="Arial" w:hAnsi="Arial"/>
                <w:sz w:val="18"/>
                <w:szCs w:val="18"/>
                <w:b w:val="1"/>
                <w:bCs w:val="1"/>
                <w:color w:val="auto"/>
                <w:w w:val="92"/>
              </w:rPr>
              <w:t>IFRS Reported Common Control Results</w:t>
            </w:r>
          </w:p>
        </w:tc>
        <w:tc>
          <w:tcPr>
            <w:tcW w:w="0" w:type="dxa"/>
            <w:vAlign w:val="bottom"/>
          </w:tcPr>
          <w:p>
            <w:pPr>
              <w:spacing w:after="0"/>
              <w:rPr>
                <w:sz w:val="1"/>
                <w:szCs w:val="1"/>
                <w:color w:val="auto"/>
              </w:rPr>
            </w:pPr>
          </w:p>
        </w:tc>
      </w:tr>
      <w:tr>
        <w:trPr>
          <w:trHeight w:val="212"/>
        </w:trPr>
        <w:tc>
          <w:tcPr>
            <w:tcW w:w="5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9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76,934</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pool allocation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(1,070)</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(1,536)</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(16,232)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(15,351)</w:t>
            </w:r>
          </w:p>
        </w:tc>
        <w:tc>
          <w:tcPr>
            <w:tcW w:w="96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(18,330)</w:t>
            </w:r>
          </w:p>
        </w:tc>
        <w:tc>
          <w:tcPr>
            <w:tcW w:w="11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(18,375)</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(3,588)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(4,698)</w:t>
            </w:r>
          </w:p>
        </w:tc>
        <w:tc>
          <w:tcPr>
            <w:tcW w:w="960" w:type="dxa"/>
            <w:vAlign w:val="bottom"/>
          </w:tcPr>
          <w:p>
            <w:pPr>
              <w:jc w:val="right"/>
              <w:spacing w:after="0"/>
              <w:rPr>
                <w:sz w:val="20"/>
                <w:szCs w:val="20"/>
                <w:color w:val="auto"/>
              </w:rPr>
            </w:pPr>
            <w:r>
              <w:rPr>
                <w:rFonts w:ascii="Arial" w:cs="Arial" w:eastAsia="Arial" w:hAnsi="Arial"/>
                <w:sz w:val="18"/>
                <w:szCs w:val="18"/>
                <w:color w:val="auto"/>
              </w:rPr>
              <w:t>(1,110)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9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46,185</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36,617</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980" w:type="dxa"/>
            <w:vAlign w:val="bottom"/>
          </w:tcPr>
          <w:p>
            <w:pPr>
              <w:jc w:val="right"/>
              <w:spacing w:after="0"/>
              <w:rPr>
                <w:sz w:val="20"/>
                <w:szCs w:val="20"/>
                <w:color w:val="auto"/>
              </w:rPr>
            </w:pPr>
            <w:r>
              <w:rPr>
                <w:rFonts w:ascii="Arial" w:cs="Arial" w:eastAsia="Arial" w:hAnsi="Arial"/>
                <w:sz w:val="18"/>
                <w:szCs w:val="18"/>
                <w:color w:val="auto"/>
              </w:rPr>
              <w:t>(14,892)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9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(2,336)</w:t>
            </w:r>
          </w:p>
        </w:tc>
        <w:tc>
          <w:tcPr>
            <w:tcW w:w="960" w:type="dxa"/>
            <w:vAlign w:val="bottom"/>
          </w:tcPr>
          <w:p>
            <w:pPr>
              <w:jc w:val="right"/>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9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29,200</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23,841</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2"/>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19,358</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22,901</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For the three-month period ended June 30, 2017, we had an average of 13.0 vessels operating in our owned fleet having 1,183 operating days, while during the three-month period ended June 30, 2018, we had an average of 13.0 vessels operating in our owned fleet having 1,098 operating days.</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decreased by $8.5 million, or 10.0%, from $85.4 million for the three-month period ended June 30, 2017 to $76.9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period in 2018. The decrease in revenues is attributable to a decrease of $5.8 million due to the off-hire days from the scheduled dry-dockings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Santiago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Sydney </w:t>
      </w:r>
      <w:r>
        <w:rPr>
          <w:rFonts w:ascii="Arial" w:cs="Arial" w:eastAsia="Arial" w:hAnsi="Arial"/>
          <w:sz w:val="18"/>
          <w:szCs w:val="18"/>
          <w:color w:val="auto"/>
        </w:rPr>
        <w:t>and a further decrease of $2.3 million due to the expiration of the time charter of the</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 her entering the spot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 May 2018. As a result, the average daily hire rate decreased from $72,194 for the three-month period ended June 30, 2017, to $70,067 for the three-month period ended June 30, 2018.</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$0.0 million during the three-month period ended June 30, 2017 and $(0.4) million during the three-month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ended June 30, 2018. The $(0.4) million of net pool allocation in the three-month period ended June 30, 2018, represents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GasLog Partners recognized gross revenues and gross voyage expenses and commissions of $1.5 million and $0.1 million, respectively, from the operation of the </w:t>
      </w:r>
      <w:r>
        <w:rPr>
          <w:rFonts w:ascii="Arial" w:cs="Arial" w:eastAsia="Arial" w:hAnsi="Arial"/>
          <w:sz w:val="16"/>
          <w:szCs w:val="16"/>
          <w:i w:val="1"/>
          <w:iCs w:val="1"/>
          <w:color w:val="auto"/>
        </w:rPr>
        <w:t>GasLog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right="180"/>
        <w:spacing w:after="0" w:line="268" w:lineRule="auto"/>
        <w:rPr>
          <w:sz w:val="20"/>
          <w:szCs w:val="20"/>
          <w:color w:val="auto"/>
        </w:rPr>
      </w:pPr>
      <w:r>
        <w:rPr>
          <w:rFonts w:ascii="Arial" w:cs="Arial" w:eastAsia="Arial" w:hAnsi="Arial"/>
          <w:sz w:val="18"/>
          <w:szCs w:val="18"/>
          <w:i w:val="1"/>
          <w:iCs w:val="1"/>
          <w:color w:val="auto"/>
        </w:rPr>
        <w:t xml:space="preserve">Shanghai </w:t>
      </w:r>
      <w:r>
        <w:rPr>
          <w:rFonts w:ascii="Arial" w:cs="Arial" w:eastAsia="Arial" w:hAnsi="Arial"/>
          <w:sz w:val="18"/>
          <w:szCs w:val="18"/>
          <w:color w:val="auto"/>
        </w:rPr>
        <w:t>which entered the Cool Pool in May 2018 (June 30, 2017: $0.0 million and $0.0 million, respectively). GasLog Partners' total net pool performance 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gridSpan w:val="4"/>
          </w:tcPr>
          <w:p>
            <w:pPr>
              <w:ind w:left="120"/>
              <w:spacing w:after="0"/>
              <w:rPr>
                <w:sz w:val="20"/>
                <w:szCs w:val="20"/>
                <w:color w:val="auto"/>
              </w:rPr>
            </w:pPr>
            <w:r>
              <w:rPr>
                <w:rFonts w:ascii="Arial" w:cs="Arial" w:eastAsia="Arial" w:hAnsi="Arial"/>
                <w:sz w:val="18"/>
                <w:szCs w:val="18"/>
                <w:b w:val="1"/>
                <w:bCs w:val="1"/>
                <w:color w:val="auto"/>
                <w:w w:val="94"/>
              </w:rPr>
              <w:t>For the three months ended</w:t>
            </w: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June 30, 2018</w:t>
            </w: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E8FFFA"/>
          </w:tcPr>
          <w:p>
            <w:pPr>
              <w:spacing w:after="0"/>
              <w:rPr>
                <w:sz w:val="20"/>
                <w:szCs w:val="20"/>
                <w:color w:val="auto"/>
              </w:rPr>
            </w:pPr>
            <w:r>
              <w:rPr>
                <w:rFonts w:ascii="Arial" w:cs="Arial" w:eastAsia="Arial" w:hAnsi="Arial"/>
                <w:sz w:val="18"/>
                <w:szCs w:val="18"/>
                <w:color w:val="auto"/>
              </w:rPr>
              <w:t>Pool gross revenues (included in Revenues)</w:t>
            </w:r>
          </w:p>
        </w:tc>
        <w:tc>
          <w:tcPr>
            <w:tcW w:w="1080" w:type="dxa"/>
            <w:vAlign w:val="bottom"/>
            <w:shd w:val="clear" w:color="auto" w:fill="E8FFFA"/>
          </w:tcPr>
          <w:p>
            <w:pPr>
              <w:ind w:left="900"/>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Pool gross voyage expenses and commissions (included in Voyage expenses and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18"/>
        </w:trPr>
        <w:tc>
          <w:tcPr>
            <w:tcW w:w="20" w:type="dxa"/>
            <w:vAlign w:val="bottom"/>
          </w:tcPr>
          <w:p>
            <w:pPr>
              <w:spacing w:after="0"/>
              <w:rPr>
                <w:sz w:val="18"/>
                <w:szCs w:val="18"/>
                <w:color w:val="auto"/>
              </w:rPr>
            </w:pPr>
          </w:p>
        </w:tc>
        <w:tc>
          <w:tcPr>
            <w:tcW w:w="6620" w:type="dxa"/>
            <w:vAlign w:val="bottom"/>
            <w:shd w:val="clear" w:color="auto" w:fill="E8FFFA"/>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080" w:type="dxa"/>
            <w:vAlign w:val="bottom"/>
            <w:shd w:val="clear" w:color="auto" w:fill="E8FFFA"/>
          </w:tcPr>
          <w:p>
            <w:pPr>
              <w:ind w:left="900"/>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GasLog Partners' total net pool performance</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decreased by $0.8 million, or 4.9%, from $16.2 million for the three-month period ended June 30,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$15.4 million for the same period in 2018. The decrease is mainly attributable to a decrease in crew wages of $0.6 million, primarily driven by one-off savings, and a decrease of $0.2 million in insurance expenses. As a result, daily operating cost per vessel decreased from $14,865 per day for the three-month period ended June 30, 2017, to $14,058 per day for the three-month period ended June 30, 2018.</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$1.1 million, or 30.6%, from $3.6 million for the three-month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period ended June 30, 2017 to $4.7 million for the same period in 2018. The increase is attributable to an increase in administrative expenses of $1.1 million for services provided under the administrative services agreement with GasLog due to the increase of the annual administrative fees in 2018 by $0.2 million per vessel and the incremental fees due to the acquisitions from GasLog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in May 2017,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in July 2017,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in October 2017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in April 2018.</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were $14.9 million for the three-month periods ended June 30, 2017 and June 30, 2018, due to an increase of $0.4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interest expense on loans, offset by an equal decrease in amortization of loan fees, due to the prepayment in January 2018 of the remaining $29.8 million balance of the junior tranche of the credit agreement entered into on February 18, 2016 (the "Five Vessel Refinancing"). During the three-month period ended June 30, 2017, we had an average of $1,380.8 million of outstanding indebtedness with a weighted average interest rate of 3.7%, compared to an average of $1,207.4 million of outstanding indebtedness with a weighted average interest rate of 4.4% during the three-month period ended June 30, 2018.</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(Loss)/gain on Derivatives: </w:t>
      </w:r>
      <w:r>
        <w:rPr>
          <w:rFonts w:ascii="Arial" w:cs="Arial" w:eastAsia="Arial" w:hAnsi="Arial"/>
          <w:sz w:val="18"/>
          <w:szCs w:val="18"/>
          <w:color w:val="auto"/>
        </w:rPr>
        <w:t>Gain on derivatives increased by $3.9 million, from a loss of $2.3 million for the three-month period ended June 30, 2017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of $1.6 million for the same period in 2018. The increase is attributable to a decrease in realized loss from interest rate swaps held for trading of $2.9 million and a decrease in loss of $1.0 million from the mark-to-market valuation of our derivatives carried at fair value through profit or loss, derived mainly from the higher London Interbank Offered Rate ("LIBOR") yield curve, which was used to calculate the present value of the estimated future cash flows, as compared to the agreed fixed interest rates.</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decreased by $5.4 million, or 18.5%, from $29.2 million for the three-month period ended June 30,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$23.8 million for the same period in 2018, as a result of the aforementioned factors.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increased by $3.5 million, or 18.0%, from $19.4 million for the three-month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ended June 30, 2017 to $22.9 million for the three-month period ended June 30, 2018. The increase is mainly attributable to the profits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Greece,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acquired by the Partnership on May 3, 2017, July 3, 2017, October 20, 2017 and April 26,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 respectively, and the decrease in mark-to-market loss on interest rate swaps attributable to the Partnership, which were offset by the decreased revenues due to the two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spot market exposure of the </w:t>
      </w:r>
      <w:r>
        <w:rPr>
          <w:rFonts w:ascii="Arial" w:cs="Arial" w:eastAsia="Arial" w:hAnsi="Arial"/>
          <w:sz w:val="16"/>
          <w:szCs w:val="16"/>
          <w:i w:val="1"/>
          <w:iCs w:val="1"/>
          <w:color w:val="auto"/>
        </w:rPr>
        <w:t>GasLog Shanghai</w:t>
      </w:r>
      <w:r>
        <w:rPr>
          <w:rFonts w:ascii="Arial" w:cs="Arial" w:eastAsia="Arial" w:hAnsi="Arial"/>
          <w:sz w:val="16"/>
          <w:szCs w:val="16"/>
          <w:color w:val="auto"/>
        </w:rPr>
        <w:t>.</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 xml:space="preserve">Specifically, the profit attributable to the Partnership was mainly affected by (a) an increase in revenues of $20.8 million contributed by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partially offset by a decrease in net revenues of $2.7 million from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entering the spot market and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decrease of $6.1 million from the remaining vessels (b) an increase in operating expenses attributable to the Partnership of $1.8 million mainly attributable to the operating expenses of the aforementioned vessels, and (c) an increase in depreciation expense attributable to the Partnership of $4.5 million, resulting primarily from the acquisition of the aforementioned vessels.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general and administrative expenses attributable to the Partnership of $1.4 million, which is primarily attributable to an increase in administrative fees, (b) an increase in financial costs attributable to the Partnership of $4.3 million, mainly due to increased financial costs of $5.1 million with respect to the aggregate outstanding debt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after their respective drop-downs to the Partnership and (c) a decrease of $3.9 million in loss on derivatives.</w:t>
      </w:r>
    </w:p>
    <w:p>
      <w:pPr>
        <w:spacing w:after="0" w:line="16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above discussion of revenues, net pool allocation, operating expenses, depreciation expense, general and administrative expenses, financial costs and loss/gain on derivatives in relation to the Profit attributable to the Partnership for the three-month period ended June 30, 2017 and June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Six-month period ended June 30, 2017 compared to the six-month period ended June 30, 2018</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6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5"/>
              </w:rPr>
              <w:t>IFRS Reported Common Control Results</w:t>
            </w:r>
          </w:p>
        </w:tc>
        <w:tc>
          <w:tcPr>
            <w:tcW w:w="0" w:type="dxa"/>
            <w:vAlign w:val="bottom"/>
          </w:tcPr>
          <w:p>
            <w:pPr>
              <w:spacing w:after="0"/>
              <w:rPr>
                <w:sz w:val="1"/>
                <w:szCs w:val="1"/>
                <w:color w:val="auto"/>
              </w:rPr>
            </w:pPr>
          </w:p>
        </w:tc>
      </w:tr>
      <w:tr>
        <w:trPr>
          <w:trHeight w:val="212"/>
        </w:trPr>
        <w:tc>
          <w:tcPr>
            <w:tcW w:w="5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169,882</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161,285</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pool allocation</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2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(2,128)</w:t>
            </w:r>
          </w:p>
        </w:tc>
        <w:tc>
          <w:tcPr>
            <w:tcW w:w="124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(2,683)</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(31,220)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(32,413)</w:t>
            </w:r>
          </w:p>
        </w:tc>
        <w:tc>
          <w:tcPr>
            <w:tcW w:w="1100" w:type="dxa"/>
            <w:vAlign w:val="bottom"/>
          </w:tcPr>
          <w:p>
            <w:pPr>
              <w:jc w:val="right"/>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2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(36,464)</w:t>
            </w:r>
          </w:p>
        </w:tc>
        <w:tc>
          <w:tcPr>
            <w:tcW w:w="124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(36,604)</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(9,381)</w:t>
            </w:r>
          </w:p>
        </w:tc>
        <w:tc>
          <w:tcPr>
            <w:tcW w:w="1100" w:type="dxa"/>
            <w:vAlign w:val="bottom"/>
          </w:tcPr>
          <w:p>
            <w:pPr>
              <w:jc w:val="right"/>
              <w:spacing w:after="0"/>
              <w:rPr>
                <w:sz w:val="20"/>
                <w:szCs w:val="20"/>
                <w:color w:val="auto"/>
              </w:rPr>
            </w:pPr>
            <w:r>
              <w:rPr>
                <w:rFonts w:ascii="Arial" w:cs="Arial" w:eastAsia="Arial" w:hAnsi="Arial"/>
                <w:sz w:val="18"/>
                <w:szCs w:val="18"/>
                <w:color w:val="auto"/>
              </w:rPr>
              <w:t>(2,303)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92,992</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79,847</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(29,066)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(30,293)</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(2,313)</w:t>
            </w:r>
          </w:p>
        </w:tc>
        <w:tc>
          <w:tcPr>
            <w:tcW w:w="1080" w:type="dxa"/>
            <w:vAlign w:val="bottom"/>
          </w:tcPr>
          <w:p>
            <w:pPr>
              <w:jc w:val="right"/>
              <w:spacing w:after="0"/>
              <w:rPr>
                <w:sz w:val="20"/>
                <w:szCs w:val="20"/>
                <w:color w:val="auto"/>
              </w:rPr>
            </w:pPr>
            <w:r>
              <w:rPr>
                <w:rFonts w:ascii="Arial" w:cs="Arial" w:eastAsia="Arial" w:hAnsi="Arial"/>
                <w:sz w:val="18"/>
                <w:szCs w:val="18"/>
                <w:color w:val="auto"/>
              </w:rPr>
              <w:t>7,915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61,986</w:t>
            </w:r>
          </w:p>
        </w:tc>
        <w:tc>
          <w:tcPr>
            <w:tcW w:w="160" w:type="dxa"/>
            <w:vAlign w:val="bottom"/>
            <w:shd w:val="clear" w:color="auto" w:fill="E8FFFA"/>
          </w:tcPr>
          <w:p>
            <w:pPr>
              <w:spacing w:after="0"/>
              <w:rPr>
                <w:sz w:val="18"/>
                <w:szCs w:val="18"/>
                <w:color w:val="auto"/>
              </w:rPr>
            </w:pPr>
          </w:p>
        </w:tc>
        <w:tc>
          <w:tcPr>
            <w:tcW w:w="10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58,576</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40,380</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54,903</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14,523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the six-month period ended June 30, 2017, we had an average of 13.0 vessels operating in our owned fleet having 2,353 operating days, while during the six-month period ended June 30, 2018, we had an average of 13.0 vessels operating in our owned fleet having 2,266 operating days.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decreased by $8.6 million, or 5.1%, from $169.9 million for the six-month period ended June 30, 2017 to $161.3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period in 2018. The decrease in revenues is attributable to a decrease of $6.0 million due to the off-hire days from the scheduled dry-dockings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Santiago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Sydney </w:t>
      </w:r>
      <w:r>
        <w:rPr>
          <w:rFonts w:ascii="Arial" w:cs="Arial" w:eastAsia="Arial" w:hAnsi="Arial"/>
          <w:sz w:val="18"/>
          <w:szCs w:val="18"/>
          <w:color w:val="auto"/>
        </w:rPr>
        <w:t>and a further decrease of $2.3 million due to the expiration of the time charter of the</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 her entering the spot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 May 2018. The average daily hire rate decreased from $72,198 for the six-month period ended June 30, 2017, to $71,176 for the six-month period ended June 30, 2018.</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Net Pool Allocation: </w:t>
      </w:r>
      <w:r>
        <w:rPr>
          <w:rFonts w:ascii="Arial" w:cs="Arial" w:eastAsia="Arial" w:hAnsi="Arial"/>
          <w:sz w:val="18"/>
          <w:szCs w:val="18"/>
          <w:color w:val="auto"/>
        </w:rPr>
        <w:t>Net pool allocation was $0.0 million during the six-month period ended June 30, 2017 and $(0.4) million during the six-month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June 30, 2018. The $(0.4) million of net pool allocation in the six-month period ended June 30, 2018, represents the adjustment of the net results generated by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in accordance with the pool distribution formula. GasLog Partners recognized gross revenues and gross voyage expenses and commissions of $1.5 million and $0.1 million, respectively, from the operation of the </w:t>
      </w:r>
      <w:r>
        <w:rPr>
          <w:rFonts w:ascii="Arial" w:cs="Arial" w:eastAsia="Arial" w:hAnsi="Arial"/>
          <w:sz w:val="18"/>
          <w:szCs w:val="18"/>
          <w:i w:val="1"/>
          <w:iCs w:val="1"/>
          <w:color w:val="auto"/>
        </w:rPr>
        <w:t>GasLog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ind w:right="160"/>
        <w:spacing w:after="0" w:line="268" w:lineRule="auto"/>
        <w:rPr>
          <w:sz w:val="20"/>
          <w:szCs w:val="20"/>
          <w:color w:val="auto"/>
        </w:rPr>
      </w:pPr>
      <w:r>
        <w:rPr>
          <w:rFonts w:ascii="Arial" w:cs="Arial" w:eastAsia="Arial" w:hAnsi="Arial"/>
          <w:sz w:val="18"/>
          <w:szCs w:val="18"/>
          <w:i w:val="1"/>
          <w:iCs w:val="1"/>
          <w:color w:val="auto"/>
        </w:rPr>
        <w:t xml:space="preserve">Shanghai </w:t>
      </w:r>
      <w:r>
        <w:rPr>
          <w:rFonts w:ascii="Arial" w:cs="Arial" w:eastAsia="Arial" w:hAnsi="Arial"/>
          <w:sz w:val="18"/>
          <w:szCs w:val="18"/>
          <w:color w:val="auto"/>
        </w:rPr>
        <w:t>which entered the Cool Pool in May 2018 (June 30, 2017: $0.0 million and $0.0 million, respectively). GasLog Partners' total net pool performance 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0" w:type="dxa"/>
            <w:vAlign w:val="bottom"/>
            <w:gridSpan w:val="4"/>
          </w:tcPr>
          <w:p>
            <w:pPr>
              <w:ind w:left="220"/>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w w:val="88"/>
              </w:rPr>
              <w:t>June 30, 2017</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June 30, 2018</w:t>
            </w: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E8FFFA"/>
          </w:tcPr>
          <w:p>
            <w:pPr>
              <w:spacing w:after="0"/>
              <w:rPr>
                <w:sz w:val="20"/>
                <w:szCs w:val="20"/>
                <w:color w:val="auto"/>
              </w:rPr>
            </w:pPr>
            <w:r>
              <w:rPr>
                <w:rFonts w:ascii="Arial" w:cs="Arial" w:eastAsia="Arial" w:hAnsi="Arial"/>
                <w:sz w:val="18"/>
                <w:szCs w:val="18"/>
                <w:color w:val="auto"/>
              </w:rPr>
              <w:t>Pool gross revenues (included in Revenues)</w:t>
            </w:r>
          </w:p>
        </w:tc>
        <w:tc>
          <w:tcPr>
            <w:tcW w:w="1080" w:type="dxa"/>
            <w:vAlign w:val="bottom"/>
            <w:shd w:val="clear" w:color="auto" w:fill="E8FFFA"/>
          </w:tcPr>
          <w:p>
            <w:pPr>
              <w:ind w:left="900"/>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Pool gross voyage expenses and commissions (included in Voyage expenses and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18"/>
        </w:trPr>
        <w:tc>
          <w:tcPr>
            <w:tcW w:w="20" w:type="dxa"/>
            <w:vAlign w:val="bottom"/>
          </w:tcPr>
          <w:p>
            <w:pPr>
              <w:spacing w:after="0"/>
              <w:rPr>
                <w:sz w:val="18"/>
                <w:szCs w:val="18"/>
                <w:color w:val="auto"/>
              </w:rPr>
            </w:pPr>
          </w:p>
        </w:tc>
        <w:tc>
          <w:tcPr>
            <w:tcW w:w="6620" w:type="dxa"/>
            <w:vAlign w:val="bottom"/>
            <w:shd w:val="clear" w:color="auto" w:fill="E8FFFA"/>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080" w:type="dxa"/>
            <w:vAlign w:val="bottom"/>
            <w:shd w:val="clear" w:color="auto" w:fill="E8FFFA"/>
          </w:tcPr>
          <w:p>
            <w:pPr>
              <w:ind w:left="900"/>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GasLog Partners' total net pool performance</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$1.2 million, or 3.8%, from $31.2 million for the six-month period ended June 30,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$32.4 million for the same period in 2018. The increase is mainly attributable to increased scheduled technical maintenance costs related to performed dry-dockings and intermediate surveys, as well as engine maintenance and various certifications costs. As a result, daily operating cost per vessel increased from $14,374 per day for the six-month period ended June 30, 2017, to $14,923 per day for the six-month period ended June 30, 2018.</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$2.3 million, or 32.4%, from $7.1 million for the six-month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period ended June 30, 2017 to $9.4 million for the same period in 2018. The increase is mainly attributable to an increase in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for services provided under the administrative services agreement with GasLog due to the increase of the annual administrative fees in 2018 by</w:t>
      </w:r>
    </w:p>
    <w:p>
      <w:pPr>
        <w:spacing w:after="0" w:line="3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$0.2 million per vessel and the incremental fees due to the acquisitions from GasLog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in May 2017,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in July 2017, the </w:t>
      </w:r>
      <w:r>
        <w:rPr>
          <w:rFonts w:ascii="Arial" w:cs="Arial" w:eastAsia="Arial" w:hAnsi="Arial"/>
          <w:sz w:val="18"/>
          <w:szCs w:val="18"/>
          <w:i w:val="1"/>
          <w:iCs w:val="1"/>
          <w:color w:val="auto"/>
        </w:rPr>
        <w:t xml:space="preserve">Solaris </w:t>
      </w:r>
      <w:r>
        <w:rPr>
          <w:rFonts w:ascii="Arial" w:cs="Arial" w:eastAsia="Arial" w:hAnsi="Arial"/>
          <w:sz w:val="18"/>
          <w:szCs w:val="18"/>
          <w:color w:val="auto"/>
        </w:rPr>
        <w:t>in October 2017 and 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in April 2018.</w:t>
      </w:r>
    </w:p>
    <w:p>
      <w:pPr>
        <w:spacing w:after="0" w:line="19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$1.2 million, or 4.1%, from $29.1 million for the six-month period ended June 30, 2017 to $30.3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2018. The increase is attributable to an increase of $0.9 million in interest expense on loans and an increase in amortization of loan fees of $0.4 million, mainly driven by a write-off of $0.9 million of unamortized loan fees associated with the term loan facility with GasLog that was prepaid and terminated in March 2018, partially offset by a decrease in commitment fees of $0.1 million. During the six-month period ended June 30, 2017, we had an average of $1,396.5 million of outstanding indebtedness with a weighted average interest rate of 3.6%, compared to an average of $1,241.0 million of outstanding indebtedness with a weighted average interest rate of 4.2% during the six-month period ended June 30, 2018.</w:t>
      </w:r>
    </w:p>
    <w:p>
      <w:pPr>
        <w:spacing w:after="0" w:line="174"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b w:val="1"/>
          <w:bCs w:val="1"/>
          <w:i w:val="1"/>
          <w:iCs w:val="1"/>
          <w:color w:val="auto"/>
        </w:rPr>
        <w:t xml:space="preserve">(Loss)/gain on Derivatives: </w:t>
      </w:r>
      <w:r>
        <w:rPr>
          <w:rFonts w:ascii="Arial" w:cs="Arial" w:eastAsia="Arial" w:hAnsi="Arial"/>
          <w:sz w:val="15"/>
          <w:szCs w:val="15"/>
          <w:color w:val="auto"/>
        </w:rPr>
        <w:t>Gain on derivatives increased by $10.2 million, from a loss of $2.3 million for the six-month period ended June 30, 2017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gain of $7.9 million for the same period in 2018. The increase is attributable to a decrease in loss of $8.6 million from the mark-to-market valuation of our derivatives carried at fair value through profit or loss, derived mainly from the higher LIBOR yield curve, which was used to calculate the present value of the estimated future cash flows, as compared to the agreed fixed interest rates, and a decrease in realized loss from interest rate swaps held for trading of $1.6 million.</w:t>
      </w:r>
    </w:p>
    <w:p>
      <w:pPr>
        <w:spacing w:after="0" w:line="152"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decreased by $3.4 million, or 5.5%, from $62.0 million for the six-month period ended June 30,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$58.6 million for the same period in 2018, as a result of the aforementioned factors.</w:t>
      </w:r>
    </w:p>
    <w:p>
      <w:pPr>
        <w:spacing w:after="0" w:line="186"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increased by $14.5 million, or 35.9%, from $40.4 million for the six-month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ended June 30, 2017 to $54.9 million for the six-month period ended June 30, 2018. The increase is mainly attributable to the profits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Greece,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w:t>
      </w:r>
      <w:r>
        <w:rPr>
          <w:rFonts w:ascii="Arial" w:cs="Arial" w:eastAsia="Arial" w:hAnsi="Arial"/>
          <w:sz w:val="16"/>
          <w:szCs w:val="16"/>
          <w:color w:val="auto"/>
        </w:rPr>
        <w:t>, acquired by the Partnership on May 3, 2017, July 3, 2017, October 20, 2017 and April 26,</w:t>
      </w:r>
      <w:r>
        <w:rPr>
          <w:rFonts w:ascii="Arial" w:cs="Arial" w:eastAsia="Arial" w:hAnsi="Arial"/>
          <w:sz w:val="16"/>
          <w:szCs w:val="16"/>
          <w:i w:val="1"/>
          <w:iCs w:val="1"/>
          <w:color w:val="auto"/>
        </w:rPr>
        <w:t xml:space="preserve"> </w:t>
      </w:r>
      <w:r>
        <w:rPr>
          <w:rFonts w:ascii="Arial" w:cs="Arial" w:eastAsia="Arial" w:hAnsi="Arial"/>
          <w:sz w:val="16"/>
          <w:szCs w:val="16"/>
          <w:color w:val="auto"/>
        </w:rPr>
        <w:t>2018, respectively, and the decrease in mark-to-market loss on interest rate swaps attributable to the Partnership, which were partially offset by the decreased revenues and net pool allocation and the increased general and administrative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right="100" w:firstLine="351"/>
        <w:spacing w:after="0" w:line="294"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$41.0 million contributed by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partially offset by a decrease in net revenues of $2.7 million from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entering the spot market and a decrease of $6.3 million from the remaining vessels (b) an increase in operating expenses attributable to the Partnership of $6.2 million mainly attributable to the operating expenses of the aforementioned vessels, and (c) an increase in depreciation expense attributable to the Partnership of $8.9 million, resulting primarily from the acquisition of the aforementioned vessels.</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In addition, the profit attributable to the Partnership was further affected by (a) an increase in general and administrative expenses attributable to the Partnership of $2.9 million, which is primarily attributable to an increase in administrative fees, (b) an increase in financial costs attributable to the Partnership of $9.4 million, mainly due to increased financial costs of $9.2 million with respect to the aggregate outstanding debt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after their respective drop-downs to the Partnership and (c) a decrease of $10.2 million in loss on derivatives.</w:t>
      </w:r>
    </w:p>
    <w:p>
      <w:pPr>
        <w:spacing w:after="0" w:line="167" w:lineRule="exact"/>
        <w:rPr>
          <w:sz w:val="20"/>
          <w:szCs w:val="20"/>
          <w:color w:val="auto"/>
        </w:rPr>
      </w:pPr>
    </w:p>
    <w:p>
      <w:pPr>
        <w:jc w:val="both"/>
        <w:ind w:right="280" w:firstLine="348"/>
        <w:spacing w:after="0" w:line="255" w:lineRule="auto"/>
        <w:rPr>
          <w:sz w:val="20"/>
          <w:szCs w:val="20"/>
          <w:color w:val="auto"/>
        </w:rPr>
      </w:pPr>
      <w:r>
        <w:rPr>
          <w:rFonts w:ascii="Arial" w:cs="Arial" w:eastAsia="Arial" w:hAnsi="Arial"/>
          <w:sz w:val="18"/>
          <w:szCs w:val="18"/>
          <w:color w:val="auto"/>
        </w:rPr>
        <w:t>The above discussion of revenues, net pool allocation, operating expenses, depreciation expense, general and administrative expenses, financial costs and loss/gain on derivatives in relation to the Profit attributable to the Partnership for the six-month period ended June 30, 2017 and June 30,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97"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June 30, 2018, we had $134.7 million of cash and cash equivalents, of which $52.1 million was held in current accounts and $82.6 million was held in time deposits with an original duration of less than three months. An amount of $13.0 million of time deposits with an original duration greater than three months was classified as short-term investments.</w:t>
      </w:r>
    </w:p>
    <w:p>
      <w:pPr>
        <w:spacing w:after="0" w:line="194"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of June 30, 2018, we had an aggregate of $1,184.4 million of indebtedness outstanding under our credit facilities, of which $85.0 million is repayable within one year. In addition, we had unused availability under our revolving credit facilities of $55.9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April 26, 2018, in connection with the acquisition of GAS-fourteen Ltd., the entity that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the Partnership paid GasLog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$19.0 million representing the $207.0 million aggregate purchase price, less the $45.0 million of new privately placed common units issued to GasLog (1,858,975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units at a price of $24.21 per unit) and the $143.6 million of outstanding indebtedness of the acquired entity assumed by GasLog Partners plus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adjustment of $0.6 million in order to maintain the agreed working capital position in the acquired entity of $1.0 million.</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May 23, 2018, the Partnership entered into a new interest rate swap agreement with GasLog with a notional value of $80.0 million, maturing in 2023. On the same date, the Partnership also entered into twelve forward foreign exchange contracts with GasLog with a notional value of €24.0 million and staggered maturities until mid-2019 to mitigate its foreign exchange transaction exposure in its operating expenses.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total, the Partnership has entered into five interest rate swap agreements with GasLog at a notional value of $550.0 million in aggregate, maturing between 2020 and 2023. As of June 30, 2018, the Partnership had hedged 45.7% of its floating interest rate exposure on its outstanding debt at a weighted average interest rate of approximately 1.9% (excluding margin).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40" w:firstLine="351"/>
        <w:spacing w:after="0" w:line="268" w:lineRule="auto"/>
        <w:rPr>
          <w:sz w:val="20"/>
          <w:szCs w:val="20"/>
          <w:color w:val="auto"/>
        </w:rPr>
      </w:pPr>
      <w:r>
        <w:rPr>
          <w:rFonts w:ascii="Arial" w:cs="Arial" w:eastAsia="Arial" w:hAnsi="Arial"/>
          <w:sz w:val="18"/>
          <w:szCs w:val="18"/>
          <w:color w:val="auto"/>
        </w:rPr>
        <w:t xml:space="preserve">Following the completion of the scheduled dry-dockings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is scheduled to commence her regular dry-docking in the fourth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June 30, 2018, our current assets totaled $161.0 million and current liabilities totaled $155.0 million, resulting in a positive working capital position of $6.0 million.</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Six-month period ended June 30, 2017 compared to the six-month period ended June 30, 2018</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400" w:type="dxa"/>
            <w:vAlign w:val="bottom"/>
            <w:gridSpan w:val="4"/>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June 30, 2017</w:t>
            </w: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June 30, 2018</w:t>
            </w:r>
          </w:p>
        </w:tc>
      </w:tr>
      <w:tr>
        <w:trPr>
          <w:trHeight w:val="210"/>
        </w:trPr>
        <w:tc>
          <w:tcPr>
            <w:tcW w:w="5480" w:type="dxa"/>
            <w:vAlign w:val="bottom"/>
            <w:shd w:val="clear" w:color="auto" w:fill="E8FFFA"/>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93,777</w:t>
            </w:r>
          </w:p>
        </w:tc>
        <w:tc>
          <w:tcPr>
            <w:tcW w:w="160" w:type="dxa"/>
            <w:vAlign w:val="bottom"/>
            <w:shd w:val="clear" w:color="auto" w:fill="E8FFFA"/>
          </w:tcPr>
          <w:p>
            <w:pPr>
              <w:spacing w:after="0"/>
              <w:rPr>
                <w:sz w:val="18"/>
                <w:szCs w:val="18"/>
                <w:color w:val="auto"/>
              </w:rPr>
            </w:pPr>
          </w:p>
        </w:tc>
        <w:tc>
          <w:tcPr>
            <w:tcW w:w="110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97,889</w:t>
            </w:r>
          </w:p>
        </w:tc>
        <w:tc>
          <w:tcPr>
            <w:tcW w:w="6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7,174</w:t>
            </w:r>
          </w:p>
        </w:tc>
        <w:tc>
          <w:tcPr>
            <w:tcW w:w="1100" w:type="dxa"/>
            <w:vAlign w:val="bottom"/>
          </w:tcPr>
          <w:p>
            <w:pPr>
              <w:jc w:val="right"/>
              <w:spacing w:after="0"/>
              <w:rPr>
                <w:sz w:val="20"/>
                <w:szCs w:val="20"/>
                <w:color w:val="auto"/>
              </w:rPr>
            </w:pPr>
            <w:r>
              <w:rPr>
                <w:rFonts w:ascii="Arial" w:cs="Arial" w:eastAsia="Arial" w:hAnsi="Arial"/>
                <w:sz w:val="18"/>
                <w:szCs w:val="18"/>
                <w:color w:val="auto"/>
              </w:rPr>
              <w:t>(25,662)</w:t>
            </w:r>
          </w:p>
        </w:tc>
        <w:tc>
          <w:tcPr>
            <w:tcW w:w="60" w:type="dxa"/>
            <w:vAlign w:val="bottom"/>
          </w:tcPr>
          <w:p>
            <w:pPr>
              <w:spacing w:after="0"/>
              <w:rPr>
                <w:sz w:val="18"/>
                <w:szCs w:val="18"/>
                <w:color w:val="auto"/>
              </w:rPr>
            </w:pPr>
          </w:p>
        </w:tc>
      </w:tr>
      <w:tr>
        <w:trPr>
          <w:trHeight w:val="216"/>
        </w:trPr>
        <w:tc>
          <w:tcPr>
            <w:tcW w:w="5480" w:type="dxa"/>
            <w:vAlign w:val="bottom"/>
            <w:shd w:val="clear" w:color="auto" w:fill="E8FFFA"/>
          </w:tcPr>
          <w:p>
            <w:pPr>
              <w:spacing w:after="0"/>
              <w:rPr>
                <w:sz w:val="20"/>
                <w:szCs w:val="20"/>
                <w:color w:val="auto"/>
              </w:rPr>
            </w:pPr>
            <w:r>
              <w:rPr>
                <w:rFonts w:ascii="Arial" w:cs="Arial" w:eastAsia="Arial" w:hAnsi="Arial"/>
                <w:sz w:val="18"/>
                <w:szCs w:val="18"/>
                <w:color w:val="auto"/>
              </w:rPr>
              <w:t>Net cash provided by/(used in) financing activities</w:t>
            </w:r>
          </w:p>
        </w:tc>
        <w:tc>
          <w:tcPr>
            <w:tcW w:w="12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60,594</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(84,262)</w:t>
            </w:r>
          </w:p>
        </w:tc>
        <w:tc>
          <w:tcPr>
            <w:tcW w:w="6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provided by operating activities increased by $4.1 million, from $93.8 million in the six-month period ended June 30, 2017 to $97.9 million in the six-month period ended June 30, 2018. The increase of $4.1 million is mainly attributable to a $14.9 million movement in working capital accounts, a decrease of $1.6 million in realized loss on interest rate swaps held for trading and a decrease of $0.4 million in cash paid for interest, partially offset by a decrease in revenues and net pool allocation of $9.0 million and an increase of $4.1 million in vessel operating costs, voyage expenses and commissions and general and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by/(used in) Investing Activities:</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Net cash provided by investing activities decreased by $32.9 million, from cash provided by investing activities of $7.2 million in the six-month period ended June 30, 2017 to cash used in investing activities of $25.7 million in the six-month period ended June 30, 2018. The decrease of $32.9 million is attributable to an increase in net cash used in short-term investments of $20.5 million, an increase of net cash used in payments for vessels of $12.9 million, partially offset by an increase in financial income received of $0.5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by/(used in) Financing Activities: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Net cash provided by financing activities decreased by $144.9 million, from cash provided by financing activities of $60.6 million in the six-month period ended June 30, 2017 to cash used in financing activities of $84.3 million in the six-month period ended June 30, 2018. The decrease of $144.9 million is attributable to a decrease in net public offering proceeds of $116.7 million, a decrease in bank loan drawdowns of $60.0 million and an increase of $17.5 million in distributions paid, partially offset by a decrease in cash distributions to GasLog in exchange for contribution of net assets of $47.6 million, a decrease of $1.4 million in payments of loan issuance costs and a decrease of $0.3 million in bank loan repayments.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Contracted Charter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July 1, 2018:</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On and after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8"/>
            <w:vMerge w:val="restart"/>
          </w:tcPr>
          <w:p>
            <w:pPr>
              <w:jc w:val="right"/>
              <w:ind w:right="460"/>
              <w:spacing w:after="0"/>
              <w:rPr>
                <w:sz w:val="20"/>
                <w:szCs w:val="20"/>
                <w:color w:val="auto"/>
              </w:rPr>
            </w:pPr>
            <w:r>
              <w:rPr>
                <w:rFonts w:ascii="Arial" w:cs="Arial" w:eastAsia="Arial" w:hAnsi="Arial"/>
                <w:sz w:val="18"/>
                <w:szCs w:val="18"/>
                <w:b w:val="1"/>
                <w:bCs w:val="1"/>
                <w:color w:val="auto"/>
                <w:w w:val="95"/>
              </w:rPr>
              <w:t>For the years ending December 31,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July 1,</w:t>
            </w: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gridSpan w:val="8"/>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2018</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2023-2026</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12"/>
          </w:tcPr>
          <w:p>
            <w:pPr>
              <w:jc w:val="right"/>
              <w:ind w:right="260"/>
              <w:spacing w:after="0"/>
              <w:rPr>
                <w:sz w:val="20"/>
                <w:szCs w:val="20"/>
                <w:color w:val="auto"/>
              </w:rPr>
            </w:pPr>
            <w:r>
              <w:rPr>
                <w:rFonts w:ascii="Arial" w:cs="Arial" w:eastAsia="Arial" w:hAnsi="Arial"/>
                <w:sz w:val="18"/>
                <w:szCs w:val="18"/>
                <w:b w:val="1"/>
                <w:bCs w:val="1"/>
                <w:i w:val="1"/>
                <w:iCs w:val="1"/>
                <w:color w:val="auto"/>
              </w:rPr>
              <w:t>(in millions of U.S. dollars, except days and percentages)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80" w:type="dxa"/>
            <w:vAlign w:val="bottom"/>
            <w:gridSpan w:val="2"/>
            <w:shd w:val="clear" w:color="auto" w:fill="E8FFFA"/>
          </w:tcPr>
          <w:p>
            <w:pPr>
              <w:spacing w:after="0" w:line="249" w:lineRule="exact"/>
              <w:rPr>
                <w:sz w:val="20"/>
                <w:szCs w:val="20"/>
                <w:color w:val="auto"/>
              </w:rPr>
            </w:pPr>
            <w:r>
              <w:rPr>
                <w:rFonts w:ascii="Arial" w:cs="Arial" w:eastAsia="Arial" w:hAnsi="Arial"/>
                <w:sz w:val="17"/>
                <w:szCs w:val="17"/>
                <w:color w:val="auto"/>
                <w:w w:val="92"/>
              </w:rPr>
              <w:t>Contracted time charter revenues</w:t>
            </w:r>
            <w:r>
              <w:rPr>
                <w:rFonts w:ascii="Arial" w:cs="Arial" w:eastAsia="Arial" w:hAnsi="Arial"/>
                <w:sz w:val="28"/>
                <w:szCs w:val="28"/>
                <w:color w:val="auto"/>
                <w:w w:val="92"/>
                <w:vertAlign w:val="superscript"/>
              </w:rPr>
              <w:t>(1)(2)</w:t>
            </w:r>
          </w:p>
        </w:tc>
        <w:tc>
          <w:tcPr>
            <w:tcW w:w="1100" w:type="dxa"/>
            <w:vAlign w:val="bottom"/>
            <w:gridSpan w:val="2"/>
            <w:vMerge w:val="restart"/>
            <w:shd w:val="clear" w:color="auto" w:fill="E8FFFA"/>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E8FFFA"/>
          </w:tcPr>
          <w:p>
            <w:pPr>
              <w:spacing w:after="0"/>
              <w:rPr>
                <w:sz w:val="21"/>
                <w:szCs w:val="21"/>
                <w:color w:val="auto"/>
              </w:rPr>
            </w:pPr>
          </w:p>
        </w:tc>
        <w:tc>
          <w:tcPr>
            <w:tcW w:w="62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298.4</w:t>
            </w:r>
          </w:p>
        </w:tc>
        <w:tc>
          <w:tcPr>
            <w:tcW w:w="160" w:type="dxa"/>
            <w:vAlign w:val="bottom"/>
            <w:shd w:val="clear" w:color="auto" w:fill="E8FFFA"/>
          </w:tcPr>
          <w:p>
            <w:pPr>
              <w:spacing w:after="0"/>
              <w:rPr>
                <w:sz w:val="21"/>
                <w:szCs w:val="21"/>
                <w:color w:val="auto"/>
              </w:rPr>
            </w:pPr>
          </w:p>
        </w:tc>
        <w:tc>
          <w:tcPr>
            <w:tcW w:w="60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217.9</w:t>
            </w:r>
          </w:p>
        </w:tc>
        <w:tc>
          <w:tcPr>
            <w:tcW w:w="160" w:type="dxa"/>
            <w:vAlign w:val="bottom"/>
            <w:shd w:val="clear" w:color="auto" w:fill="E8FFFA"/>
          </w:tcPr>
          <w:p>
            <w:pPr>
              <w:spacing w:after="0"/>
              <w:rPr>
                <w:sz w:val="21"/>
                <w:szCs w:val="21"/>
                <w:color w:val="auto"/>
              </w:rPr>
            </w:pPr>
          </w:p>
        </w:tc>
        <w:tc>
          <w:tcPr>
            <w:tcW w:w="62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E8FFFA"/>
          </w:tcPr>
          <w:p>
            <w:pPr>
              <w:spacing w:after="0"/>
              <w:rPr>
                <w:sz w:val="21"/>
                <w:szCs w:val="21"/>
                <w:color w:val="auto"/>
              </w:rPr>
            </w:pPr>
          </w:p>
        </w:tc>
        <w:tc>
          <w:tcPr>
            <w:tcW w:w="60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E8FFFA"/>
          </w:tcPr>
          <w:p>
            <w:pPr>
              <w:spacing w:after="0"/>
              <w:rPr>
                <w:sz w:val="21"/>
                <w:szCs w:val="21"/>
                <w:color w:val="auto"/>
              </w:rPr>
            </w:pPr>
          </w:p>
        </w:tc>
        <w:tc>
          <w:tcPr>
            <w:tcW w:w="88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E8FFFA"/>
          </w:tcPr>
          <w:p>
            <w:pPr>
              <w:spacing w:after="0"/>
              <w:rPr>
                <w:sz w:val="21"/>
                <w:szCs w:val="21"/>
                <w:color w:val="auto"/>
              </w:rPr>
            </w:pPr>
          </w:p>
        </w:tc>
        <w:tc>
          <w:tcPr>
            <w:tcW w:w="620" w:type="dxa"/>
            <w:vAlign w:val="bottom"/>
            <w:vMerge w:val="restart"/>
            <w:shd w:val="clear" w:color="auto" w:fill="E8FFFA"/>
          </w:tcPr>
          <w:p>
            <w:pPr>
              <w:jc w:val="right"/>
              <w:spacing w:after="0"/>
              <w:rPr>
                <w:sz w:val="20"/>
                <w:szCs w:val="20"/>
                <w:color w:val="auto"/>
              </w:rPr>
            </w:pPr>
            <w:r>
              <w:rPr>
                <w:rFonts w:ascii="Arial" w:cs="Arial" w:eastAsia="Arial" w:hAnsi="Arial"/>
                <w:sz w:val="18"/>
                <w:szCs w:val="18"/>
                <w:color w:val="auto"/>
                <w:w w:val="96"/>
              </w:rPr>
              <w:t>1,019.4</w:t>
            </w:r>
          </w:p>
        </w:tc>
        <w:tc>
          <w:tcPr>
            <w:tcW w:w="300" w:type="dxa"/>
            <w:vAlign w:val="bottom"/>
            <w:shd w:val="clear" w:color="auto" w:fill="E8FFFA"/>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E8FFFA"/>
          </w:tcPr>
          <w:p>
            <w:pPr>
              <w:ind w:left="160"/>
              <w:spacing w:after="0"/>
              <w:rPr>
                <w:sz w:val="20"/>
                <w:szCs w:val="20"/>
                <w:color w:val="auto"/>
              </w:rPr>
            </w:pPr>
            <w:r>
              <w:rPr>
                <w:rFonts w:ascii="Arial" w:cs="Arial" w:eastAsia="Arial" w:hAnsi="Arial"/>
                <w:sz w:val="15"/>
                <w:szCs w:val="15"/>
                <w:color w:val="auto"/>
              </w:rPr>
              <w:t>(3)(4)</w:t>
            </w:r>
          </w:p>
        </w:tc>
        <w:tc>
          <w:tcPr>
            <w:tcW w:w="1640" w:type="dxa"/>
            <w:vAlign w:val="bottom"/>
            <w:shd w:val="clear" w:color="auto" w:fill="E8FFFA"/>
          </w:tcPr>
          <w:p>
            <w:pPr>
              <w:spacing w:after="0"/>
              <w:rPr>
                <w:sz w:val="18"/>
                <w:szCs w:val="18"/>
                <w:color w:val="auto"/>
              </w:rPr>
            </w:pPr>
          </w:p>
        </w:tc>
        <w:tc>
          <w:tcPr>
            <w:tcW w:w="1100" w:type="dxa"/>
            <w:vAlign w:val="bottom"/>
            <w:gridSpan w:val="2"/>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2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0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2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0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vMerge w:val="continue"/>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20" w:type="dxa"/>
            <w:vAlign w:val="bottom"/>
            <w:vMerge w:val="continue"/>
            <w:shd w:val="clear" w:color="auto" w:fill="E8FFFA"/>
          </w:tcPr>
          <w:p>
            <w:pPr>
              <w:spacing w:after="0"/>
              <w:rPr>
                <w:sz w:val="18"/>
                <w:szCs w:val="18"/>
                <w:color w:val="auto"/>
              </w:rPr>
            </w:pPr>
          </w:p>
        </w:tc>
        <w:tc>
          <w:tcPr>
            <w:tcW w:w="30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4,268</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3,159</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1,732</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13,946</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2"/>
            <w:shd w:val="clear" w:color="auto" w:fill="E8FFFA"/>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(5)</w:t>
            </w:r>
          </w:p>
        </w:tc>
        <w:tc>
          <w:tcPr>
            <w:tcW w:w="110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E8FFFA"/>
          </w:tcPr>
          <w:p>
            <w:pPr>
              <w:spacing w:after="0"/>
              <w:rPr>
                <w:sz w:val="22"/>
                <w:szCs w:val="22"/>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4,715</w:t>
            </w:r>
          </w:p>
        </w:tc>
        <w:tc>
          <w:tcPr>
            <w:tcW w:w="160" w:type="dxa"/>
            <w:vAlign w:val="bottom"/>
            <w:shd w:val="clear" w:color="auto" w:fill="E8FFFA"/>
          </w:tcPr>
          <w:p>
            <w:pPr>
              <w:spacing w:after="0"/>
              <w:rPr>
                <w:sz w:val="22"/>
                <w:szCs w:val="22"/>
                <w:color w:val="auto"/>
              </w:rPr>
            </w:pPr>
          </w:p>
        </w:tc>
        <w:tc>
          <w:tcPr>
            <w:tcW w:w="6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4,668</w:t>
            </w:r>
          </w:p>
        </w:tc>
        <w:tc>
          <w:tcPr>
            <w:tcW w:w="160" w:type="dxa"/>
            <w:vAlign w:val="bottom"/>
            <w:shd w:val="clear" w:color="auto" w:fill="E8FFFA"/>
          </w:tcPr>
          <w:p>
            <w:pPr>
              <w:spacing w:after="0"/>
              <w:rPr>
                <w:sz w:val="22"/>
                <w:szCs w:val="22"/>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4,595</w:t>
            </w:r>
          </w:p>
        </w:tc>
        <w:tc>
          <w:tcPr>
            <w:tcW w:w="160" w:type="dxa"/>
            <w:vAlign w:val="bottom"/>
            <w:shd w:val="clear" w:color="auto" w:fill="E8FFFA"/>
          </w:tcPr>
          <w:p>
            <w:pPr>
              <w:spacing w:after="0"/>
              <w:rPr>
                <w:sz w:val="22"/>
                <w:szCs w:val="22"/>
                <w:color w:val="auto"/>
              </w:rPr>
            </w:pPr>
          </w:p>
        </w:tc>
        <w:tc>
          <w:tcPr>
            <w:tcW w:w="6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4,745</w:t>
            </w:r>
          </w:p>
        </w:tc>
        <w:tc>
          <w:tcPr>
            <w:tcW w:w="160" w:type="dxa"/>
            <w:vAlign w:val="bottom"/>
            <w:shd w:val="clear" w:color="auto" w:fill="E8FFFA"/>
          </w:tcPr>
          <w:p>
            <w:pPr>
              <w:spacing w:after="0"/>
              <w:rPr>
                <w:sz w:val="22"/>
                <w:szCs w:val="22"/>
                <w:color w:val="auto"/>
              </w:rPr>
            </w:pPr>
          </w:p>
        </w:tc>
        <w:tc>
          <w:tcPr>
            <w:tcW w:w="8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18,603</w:t>
            </w:r>
          </w:p>
        </w:tc>
        <w:tc>
          <w:tcPr>
            <w:tcW w:w="160" w:type="dxa"/>
            <w:vAlign w:val="bottom"/>
            <w:shd w:val="clear" w:color="auto" w:fill="E8FFFA"/>
          </w:tcPr>
          <w:p>
            <w:pPr>
              <w:spacing w:after="0"/>
              <w:rPr>
                <w:sz w:val="22"/>
                <w:szCs w:val="22"/>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39,688</w:t>
            </w:r>
          </w:p>
        </w:tc>
        <w:tc>
          <w:tcPr>
            <w:tcW w:w="300" w:type="dxa"/>
            <w:vAlign w:val="bottom"/>
            <w:shd w:val="clear" w:color="auto" w:fill="E8FFFA"/>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3,044</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16,871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25,742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Percentage of total contracted</w:t>
            </w:r>
          </w:p>
        </w:tc>
        <w:tc>
          <w:tcPr>
            <w:tcW w:w="14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2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8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620" w:type="dxa"/>
            <w:vAlign w:val="bottom"/>
            <w:shd w:val="clear" w:color="auto" w:fill="E8FFFA"/>
          </w:tcPr>
          <w:p>
            <w:pPr>
              <w:spacing w:after="0"/>
              <w:rPr>
                <w:sz w:val="18"/>
                <w:szCs w:val="18"/>
                <w:color w:val="auto"/>
              </w:rPr>
            </w:pPr>
          </w:p>
        </w:tc>
        <w:tc>
          <w:tcPr>
            <w:tcW w:w="30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E8FFFA"/>
          </w:tcPr>
          <w:p>
            <w:pPr>
              <w:ind w:left="160"/>
              <w:spacing w:after="0"/>
              <w:rPr>
                <w:sz w:val="20"/>
                <w:szCs w:val="20"/>
                <w:color w:val="auto"/>
              </w:rPr>
            </w:pPr>
            <w:r>
              <w:rPr>
                <w:rFonts w:ascii="Arial" w:cs="Arial" w:eastAsia="Arial" w:hAnsi="Arial"/>
                <w:sz w:val="18"/>
                <w:szCs w:val="18"/>
                <w:color w:val="auto"/>
              </w:rPr>
              <w:t>days/total available days</w:t>
            </w:r>
          </w:p>
        </w:tc>
        <w:tc>
          <w:tcPr>
            <w:tcW w:w="1260" w:type="dxa"/>
            <w:vAlign w:val="bottom"/>
            <w:gridSpan w:val="3"/>
            <w:shd w:val="clear" w:color="auto" w:fill="E8FFFA"/>
          </w:tcPr>
          <w:p>
            <w:pPr>
              <w:jc w:val="right"/>
              <w:ind w:right="20"/>
              <w:spacing w:after="0"/>
              <w:rPr>
                <w:sz w:val="20"/>
                <w:szCs w:val="20"/>
                <w:color w:val="auto"/>
              </w:rPr>
            </w:pPr>
            <w:r>
              <w:rPr>
                <w:rFonts w:ascii="Arial" w:cs="Arial" w:eastAsia="Arial" w:hAnsi="Arial"/>
                <w:sz w:val="18"/>
                <w:szCs w:val="18"/>
                <w:color w:val="auto"/>
              </w:rPr>
              <w:t>90.6%</w:t>
            </w:r>
          </w:p>
        </w:tc>
        <w:tc>
          <w:tcPr>
            <w:tcW w:w="78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90.5%</w:t>
            </w:r>
          </w:p>
        </w:tc>
        <w:tc>
          <w:tcPr>
            <w:tcW w:w="76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67.7%</w:t>
            </w:r>
          </w:p>
        </w:tc>
        <w:tc>
          <w:tcPr>
            <w:tcW w:w="78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33.8%</w:t>
            </w:r>
          </w:p>
        </w:tc>
        <w:tc>
          <w:tcPr>
            <w:tcW w:w="76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23.1%</w:t>
            </w:r>
          </w:p>
        </w:tc>
        <w:tc>
          <w:tcPr>
            <w:tcW w:w="104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9.3%</w:t>
            </w:r>
          </w:p>
        </w:tc>
        <w:tc>
          <w:tcPr>
            <w:tcW w:w="92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500" w:hanging="531"/>
        <w:spacing w:after="0" w:line="239" w:lineRule="auto"/>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Reflects time charter revenues and contracted days for the 13 LNG carriers in our fleet as of July 1, 2018. Does not include charter revenues for the vessel operating in the spot/short-term market under the Cool Pool.</w:t>
      </w:r>
    </w:p>
    <w:p>
      <w:pPr>
        <w:spacing w:after="0" w:line="111" w:lineRule="exact"/>
        <w:rPr>
          <w:rFonts w:ascii="Arial" w:cs="Arial" w:eastAsia="Arial" w:hAnsi="Arial"/>
          <w:sz w:val="11"/>
          <w:szCs w:val="11"/>
          <w:color w:val="auto"/>
        </w:rPr>
      </w:pPr>
    </w:p>
    <w:p>
      <w:pPr>
        <w:ind w:left="1680" w:right="160" w:hanging="531"/>
        <w:spacing w:after="0" w:line="239" w:lineRule="auto"/>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For time charters that include an operating cost component, revenue calculations include an estimate of the amount of that operating cost component.</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Revenue calculations assume no exercise of any option to extend the terms of the charters.</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4"/>
        </w:numPr>
        <w:rPr>
          <w:rFonts w:ascii="Arial" w:cs="Arial" w:eastAsia="Arial" w:hAnsi="Arial"/>
          <w:sz w:val="10"/>
          <w:szCs w:val="10"/>
          <w:color w:val="auto"/>
        </w:rPr>
      </w:pPr>
      <w:r>
        <w:rPr>
          <w:rFonts w:ascii="Arial" w:cs="Arial" w:eastAsia="Arial" w:hAnsi="Arial"/>
          <w:sz w:val="12"/>
          <w:szCs w:val="12"/>
          <w:color w:val="auto"/>
        </w:rPr>
        <w:t>Represents available days for the ships after the expiration of the existing charters (assuming charterers do not exercise any option to extend the terms of the charters).</w:t>
      </w:r>
    </w:p>
    <w:p>
      <w:pPr>
        <w:spacing w:after="0" w:line="229"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table above provides information about our contracted charter revenues and ship utilization based on contracts in effect for the 13 LNG carriers in our fleet as of July 1, 2018.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revenues from the vessel that is operating in the Cool Pool, any time charter revenues from any additional ships we may acquire in the future, nor does it reflect the options under our time charters that permit our charterers to extend the time charter terms for successive multi-year periods at comparable charter hire rates. The entry into a time charter contract for the vessel operating in the Cool Pool, or the exercise of the options to extend the terms of our existing charters would result in an increase in the number of contracted days and the contracted revenues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12, 2018. For these reasons, the contracted charter revenues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9700" w:type="dxa"/>
            <w:vAlign w:val="bottom"/>
          </w:tcPr>
          <w:p>
            <w:pPr>
              <w:jc w:val="center"/>
              <w:ind w:left="1632"/>
              <w:spacing w:after="0"/>
              <w:rPr>
                <w:sz w:val="20"/>
                <w:szCs w:val="20"/>
                <w:color w:val="auto"/>
              </w:rPr>
            </w:pPr>
            <w:r>
              <w:rPr>
                <w:rFonts w:ascii="Arial" w:cs="Arial" w:eastAsia="Arial" w:hAnsi="Arial"/>
                <w:sz w:val="18"/>
                <w:szCs w:val="18"/>
                <w:b w:val="1"/>
                <w:bCs w:val="1"/>
                <w:color w:val="auto"/>
                <w:w w:val="94"/>
              </w:rPr>
              <w:t>GASLOG PARTNERS LP</w:t>
            </w:r>
          </w:p>
        </w:tc>
        <w:tc>
          <w:tcPr>
            <w:tcW w:w="1720" w:type="dxa"/>
            <w:vAlign w:val="bottom"/>
          </w:tcPr>
          <w:p>
            <w:pPr>
              <w:spacing w:after="0"/>
              <w:rPr>
                <w:sz w:val="19"/>
                <w:szCs w:val="19"/>
                <w:color w:val="auto"/>
              </w:rPr>
            </w:pPr>
          </w:p>
        </w:tc>
      </w:tr>
      <w:tr>
        <w:trPr>
          <w:trHeight w:val="432"/>
        </w:trPr>
        <w:tc>
          <w:tcPr>
            <w:tcW w:w="9700" w:type="dxa"/>
            <w:vAlign w:val="bottom"/>
          </w:tcPr>
          <w:p>
            <w:pPr>
              <w:jc w:val="center"/>
              <w:ind w:left="1592"/>
              <w:spacing w:after="0"/>
              <w:rPr>
                <w:sz w:val="20"/>
                <w:szCs w:val="20"/>
                <w:color w:val="auto"/>
              </w:rPr>
            </w:pPr>
            <w:r>
              <w:rPr>
                <w:rFonts w:ascii="Arial" w:cs="Arial" w:eastAsia="Arial" w:hAnsi="Arial"/>
                <w:sz w:val="18"/>
                <w:szCs w:val="18"/>
                <w:b w:val="1"/>
                <w:bCs w:val="1"/>
                <w:color w:val="auto"/>
                <w:w w:val="98"/>
              </w:rPr>
              <w:t>INDEX TO UNAUDITED CONDENSED CONSOLIDATED FINANCIAL STATEMENTS</w:t>
            </w:r>
          </w:p>
        </w:tc>
        <w:tc>
          <w:tcPr>
            <w:tcW w:w="1720" w:type="dxa"/>
            <w:vAlign w:val="bottom"/>
          </w:tcPr>
          <w:p>
            <w:pPr>
              <w:spacing w:after="0"/>
              <w:rPr>
                <w:sz w:val="24"/>
                <w:szCs w:val="24"/>
                <w:color w:val="auto"/>
              </w:rPr>
            </w:pPr>
          </w:p>
        </w:tc>
      </w:tr>
      <w:tr>
        <w:trPr>
          <w:trHeight w:val="426"/>
        </w:trPr>
        <w:tc>
          <w:tcPr>
            <w:tcW w:w="9700" w:type="dxa"/>
            <w:vAlign w:val="bottom"/>
          </w:tcPr>
          <w:p>
            <w:pPr>
              <w:spacing w:after="0"/>
              <w:rPr>
                <w:sz w:val="24"/>
                <w:szCs w:val="24"/>
                <w:color w:val="auto"/>
              </w:rPr>
            </w:pPr>
          </w:p>
        </w:tc>
        <w:tc>
          <w:tcPr>
            <w:tcW w:w="1720" w:type="dxa"/>
            <w:vAlign w:val="bottom"/>
          </w:tcPr>
          <w:p>
            <w:pPr>
              <w:jc w:val="right"/>
              <w:ind w:right="1052"/>
              <w:spacing w:after="0"/>
              <w:rPr>
                <w:sz w:val="20"/>
                <w:szCs w:val="20"/>
                <w:color w:val="auto"/>
              </w:rPr>
            </w:pPr>
            <w:r>
              <w:rPr>
                <w:rFonts w:ascii="Arial" w:cs="Arial" w:eastAsia="Arial" w:hAnsi="Arial"/>
                <w:sz w:val="18"/>
                <w:szCs w:val="18"/>
                <w:b w:val="1"/>
                <w:bCs w:val="1"/>
                <w:color w:val="auto"/>
              </w:rPr>
              <w:t>Page</w:t>
            </w:r>
          </w:p>
        </w:tc>
      </w:tr>
      <w:tr>
        <w:trPr>
          <w:trHeight w:val="222"/>
        </w:trPr>
        <w:tc>
          <w:tcPr>
            <w:tcW w:w="9700" w:type="dxa"/>
            <w:vAlign w:val="bottom"/>
          </w:tcPr>
          <w:p>
            <w:pPr>
              <w:ind w:left="1140"/>
              <w:spacing w:after="0"/>
              <w:rPr>
                <w:sz w:val="20"/>
                <w:szCs w:val="20"/>
                <w:color w:val="auto"/>
              </w:rPr>
            </w:pPr>
            <w:r>
              <w:rPr>
                <w:rFonts w:ascii="Arial" w:cs="Arial" w:eastAsia="Arial" w:hAnsi="Arial"/>
                <w:sz w:val="18"/>
                <w:szCs w:val="18"/>
                <w:color w:val="auto"/>
                <w:w w:val="95"/>
              </w:rPr>
              <w:t>Unaudited condensed consolidated statements of financial position as of December 31, 2017 and June 30, 2018</w:t>
            </w:r>
          </w:p>
        </w:tc>
        <w:tc>
          <w:tcPr>
            <w:tcW w:w="1720" w:type="dxa"/>
            <w:vAlign w:val="bottom"/>
          </w:tcPr>
          <w:p>
            <w:pPr>
              <w:jc w:val="right"/>
              <w:ind w:right="1052"/>
              <w:spacing w:after="0"/>
              <w:rPr>
                <w:sz w:val="20"/>
                <w:szCs w:val="20"/>
                <w:color w:val="auto"/>
              </w:rPr>
            </w:pPr>
            <w:r>
              <w:rPr>
                <w:rFonts w:ascii="Arial" w:cs="Arial" w:eastAsia="Arial" w:hAnsi="Arial"/>
                <w:sz w:val="18"/>
                <w:szCs w:val="18"/>
                <w:color w:val="auto"/>
              </w:rPr>
              <w:t>F-2</w:t>
            </w:r>
          </w:p>
        </w:tc>
      </w:tr>
      <w:tr>
        <w:trPr>
          <w:trHeight w:val="412"/>
        </w:trPr>
        <w:tc>
          <w:tcPr>
            <w:tcW w:w="9700" w:type="dxa"/>
            <w:vAlign w:val="bottom"/>
          </w:tcPr>
          <w:p>
            <w:pPr>
              <w:ind w:left="1140"/>
              <w:spacing w:after="0"/>
              <w:rPr>
                <w:sz w:val="20"/>
                <w:szCs w:val="20"/>
                <w:color w:val="auto"/>
              </w:rPr>
            </w:pPr>
            <w:r>
              <w:rPr>
                <w:rFonts w:ascii="Arial" w:cs="Arial" w:eastAsia="Arial" w:hAnsi="Arial"/>
                <w:sz w:val="18"/>
                <w:szCs w:val="18"/>
                <w:color w:val="auto"/>
                <w:w w:val="92"/>
              </w:rPr>
              <w:t>Unaudited condensed consolidated statements of profit or loss and total comprehensive income for the three and six</w:t>
            </w:r>
          </w:p>
        </w:tc>
        <w:tc>
          <w:tcPr>
            <w:tcW w:w="1720" w:type="dxa"/>
            <w:vAlign w:val="bottom"/>
          </w:tcPr>
          <w:p>
            <w:pPr>
              <w:spacing w:after="0"/>
              <w:rPr>
                <w:sz w:val="24"/>
                <w:szCs w:val="24"/>
                <w:color w:val="auto"/>
              </w:rPr>
            </w:pPr>
          </w:p>
        </w:tc>
      </w:tr>
      <w:tr>
        <w:trPr>
          <w:trHeight w:val="222"/>
        </w:trPr>
        <w:tc>
          <w:tcPr>
            <w:tcW w:w="9700" w:type="dxa"/>
            <w:vAlign w:val="bottom"/>
          </w:tcPr>
          <w:p>
            <w:pPr>
              <w:ind w:left="1320"/>
              <w:spacing w:after="0"/>
              <w:rPr>
                <w:sz w:val="20"/>
                <w:szCs w:val="20"/>
                <w:color w:val="auto"/>
              </w:rPr>
            </w:pPr>
            <w:r>
              <w:rPr>
                <w:rFonts w:ascii="Arial" w:cs="Arial" w:eastAsia="Arial" w:hAnsi="Arial"/>
                <w:sz w:val="18"/>
                <w:szCs w:val="18"/>
                <w:color w:val="auto"/>
              </w:rPr>
              <w:t>months ended June 30, 2017 and 2018</w:t>
            </w:r>
          </w:p>
        </w:tc>
        <w:tc>
          <w:tcPr>
            <w:tcW w:w="1720" w:type="dxa"/>
            <w:vAlign w:val="bottom"/>
          </w:tcPr>
          <w:p>
            <w:pPr>
              <w:jc w:val="right"/>
              <w:ind w:right="1052"/>
              <w:spacing w:after="0"/>
              <w:rPr>
                <w:sz w:val="20"/>
                <w:szCs w:val="20"/>
                <w:color w:val="auto"/>
              </w:rPr>
            </w:pPr>
            <w:r>
              <w:rPr>
                <w:rFonts w:ascii="Arial" w:cs="Arial" w:eastAsia="Arial" w:hAnsi="Arial"/>
                <w:sz w:val="18"/>
                <w:szCs w:val="18"/>
                <w:color w:val="auto"/>
              </w:rPr>
              <w:t>F-3</w:t>
            </w:r>
          </w:p>
        </w:tc>
      </w:tr>
      <w:tr>
        <w:trPr>
          <w:trHeight w:val="412"/>
        </w:trPr>
        <w:tc>
          <w:tcPr>
            <w:tcW w:w="9700" w:type="dxa"/>
            <w:vAlign w:val="bottom"/>
          </w:tcPr>
          <w:p>
            <w:pPr>
              <w:ind w:left="1140"/>
              <w:spacing w:after="0"/>
              <w:rPr>
                <w:sz w:val="20"/>
                <w:szCs w:val="20"/>
                <w:color w:val="auto"/>
              </w:rPr>
            </w:pPr>
            <w:r>
              <w:rPr>
                <w:rFonts w:ascii="Arial" w:cs="Arial" w:eastAsia="Arial" w:hAnsi="Arial"/>
                <w:sz w:val="18"/>
                <w:szCs w:val="18"/>
                <w:color w:val="auto"/>
                <w:w w:val="89"/>
              </w:rPr>
              <w:t>Unaudited condensed consolidated statements of changes in owners'/partners' equity for the six months ended June 30,</w:t>
            </w:r>
          </w:p>
        </w:tc>
        <w:tc>
          <w:tcPr>
            <w:tcW w:w="1720" w:type="dxa"/>
            <w:vAlign w:val="bottom"/>
          </w:tcPr>
          <w:p>
            <w:pPr>
              <w:spacing w:after="0"/>
              <w:rPr>
                <w:sz w:val="24"/>
                <w:szCs w:val="24"/>
                <w:color w:val="auto"/>
              </w:rPr>
            </w:pPr>
          </w:p>
        </w:tc>
      </w:tr>
      <w:tr>
        <w:trPr>
          <w:trHeight w:val="222"/>
        </w:trPr>
        <w:tc>
          <w:tcPr>
            <w:tcW w:w="9700" w:type="dxa"/>
            <w:vAlign w:val="bottom"/>
          </w:tcPr>
          <w:p>
            <w:pPr>
              <w:ind w:left="1320"/>
              <w:spacing w:after="0"/>
              <w:rPr>
                <w:sz w:val="20"/>
                <w:szCs w:val="20"/>
                <w:color w:val="auto"/>
              </w:rPr>
            </w:pPr>
            <w:r>
              <w:rPr>
                <w:rFonts w:ascii="Arial" w:cs="Arial" w:eastAsia="Arial" w:hAnsi="Arial"/>
                <w:sz w:val="18"/>
                <w:szCs w:val="18"/>
                <w:color w:val="auto"/>
              </w:rPr>
              <w:t>2017 and 2018</w:t>
            </w:r>
          </w:p>
        </w:tc>
        <w:tc>
          <w:tcPr>
            <w:tcW w:w="1720" w:type="dxa"/>
            <w:vAlign w:val="bottom"/>
          </w:tcPr>
          <w:p>
            <w:pPr>
              <w:jc w:val="right"/>
              <w:ind w:right="1052"/>
              <w:spacing w:after="0"/>
              <w:rPr>
                <w:sz w:val="20"/>
                <w:szCs w:val="20"/>
                <w:color w:val="auto"/>
              </w:rPr>
            </w:pPr>
            <w:r>
              <w:rPr>
                <w:rFonts w:ascii="Arial" w:cs="Arial" w:eastAsia="Arial" w:hAnsi="Arial"/>
                <w:sz w:val="18"/>
                <w:szCs w:val="18"/>
                <w:color w:val="auto"/>
              </w:rPr>
              <w:t>F-4</w:t>
            </w:r>
          </w:p>
        </w:tc>
      </w:tr>
      <w:tr>
        <w:trPr>
          <w:trHeight w:val="432"/>
        </w:trPr>
        <w:tc>
          <w:tcPr>
            <w:tcW w:w="9700" w:type="dxa"/>
            <w:vAlign w:val="bottom"/>
          </w:tcPr>
          <w:p>
            <w:pPr>
              <w:ind w:left="1140"/>
              <w:spacing w:after="0"/>
              <w:rPr>
                <w:sz w:val="20"/>
                <w:szCs w:val="20"/>
                <w:color w:val="auto"/>
              </w:rPr>
            </w:pPr>
            <w:r>
              <w:rPr>
                <w:rFonts w:ascii="Arial" w:cs="Arial" w:eastAsia="Arial" w:hAnsi="Arial"/>
                <w:sz w:val="18"/>
                <w:szCs w:val="18"/>
                <w:color w:val="auto"/>
                <w:w w:val="96"/>
              </w:rPr>
              <w:t>Unaudited condensed consolidated statements of cash flows for the six months ended June 30, 2017 and 2018</w:t>
            </w:r>
          </w:p>
        </w:tc>
        <w:tc>
          <w:tcPr>
            <w:tcW w:w="1720" w:type="dxa"/>
            <w:vAlign w:val="bottom"/>
          </w:tcPr>
          <w:p>
            <w:pPr>
              <w:jc w:val="right"/>
              <w:ind w:right="1052"/>
              <w:spacing w:after="0"/>
              <w:rPr>
                <w:sz w:val="20"/>
                <w:szCs w:val="20"/>
                <w:color w:val="auto"/>
              </w:rPr>
            </w:pPr>
            <w:r>
              <w:rPr>
                <w:rFonts w:ascii="Arial" w:cs="Arial" w:eastAsia="Arial" w:hAnsi="Arial"/>
                <w:sz w:val="18"/>
                <w:szCs w:val="18"/>
                <w:color w:val="auto"/>
              </w:rPr>
              <w:t>F-5</w:t>
            </w:r>
          </w:p>
        </w:tc>
      </w:tr>
      <w:tr>
        <w:trPr>
          <w:trHeight w:val="432"/>
        </w:trPr>
        <w:tc>
          <w:tcPr>
            <w:tcW w:w="9700" w:type="dxa"/>
            <w:vAlign w:val="bottom"/>
          </w:tcPr>
          <w:p>
            <w:pPr>
              <w:ind w:left="114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1720" w:type="dxa"/>
            <w:vAlign w:val="bottom"/>
          </w:tcPr>
          <w:p>
            <w:pPr>
              <w:jc w:val="right"/>
              <w:ind w:right="1052"/>
              <w:spacing w:after="0"/>
              <w:rPr>
                <w:sz w:val="20"/>
                <w:szCs w:val="20"/>
                <w:color w:val="auto"/>
              </w:rPr>
            </w:pPr>
            <w:r>
              <w:rPr>
                <w:rFonts w:ascii="Arial" w:cs="Arial" w:eastAsia="Arial" w:hAnsi="Arial"/>
                <w:sz w:val="18"/>
                <w:szCs w:val="18"/>
                <w:color w:val="auto"/>
              </w:rPr>
              <w:t>F-6</w:t>
            </w:r>
          </w:p>
        </w:tc>
      </w:tr>
      <w:tr>
        <w:trPr>
          <w:trHeight w:val="432"/>
        </w:trPr>
        <w:tc>
          <w:tcPr>
            <w:tcW w:w="9700" w:type="dxa"/>
            <w:vAlign w:val="bottom"/>
          </w:tcPr>
          <w:p>
            <w:pPr>
              <w:jc w:val="center"/>
              <w:ind w:left="1652"/>
              <w:spacing w:after="0"/>
              <w:rPr>
                <w:sz w:val="20"/>
                <w:szCs w:val="20"/>
                <w:color w:val="auto"/>
              </w:rPr>
            </w:pPr>
            <w:r>
              <w:rPr>
                <w:rFonts w:ascii="Arial" w:cs="Arial" w:eastAsia="Arial" w:hAnsi="Arial"/>
                <w:sz w:val="18"/>
                <w:szCs w:val="18"/>
                <w:color w:val="auto"/>
                <w:w w:val="88"/>
              </w:rPr>
              <w:t>F-1</w:t>
            </w:r>
          </w:p>
        </w:tc>
        <w:tc>
          <w:tcPr>
            <w:tcW w:w="1720" w:type="dxa"/>
            <w:vAlign w:val="bottom"/>
          </w:tcPr>
          <w:p>
            <w:pPr>
              <w:spacing w:after="0"/>
              <w:rPr>
                <w:sz w:val="24"/>
                <w:szCs w:val="24"/>
                <w:color w:val="auto"/>
              </w:rPr>
            </w:pPr>
          </w:p>
        </w:tc>
      </w:tr>
      <w:tr>
        <w:trPr>
          <w:trHeight w:val="228"/>
        </w:trPr>
        <w:tc>
          <w:tcPr>
            <w:tcW w:w="97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GasLog Partners LP</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 and June 30, 2018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December 31,</w:t>
            </w:r>
          </w:p>
        </w:tc>
        <w:tc>
          <w:tcPr>
            <w:tcW w:w="18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2017</w:t>
            </w:r>
          </w:p>
        </w:tc>
        <w:tc>
          <w:tcPr>
            <w:tcW w:w="11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Borders>
              <w:top w:val="single" w:sz="8" w:color="auto"/>
            </w:tcBorders>
          </w:tcPr>
          <w:p>
            <w:pPr>
              <w:jc w:val="center"/>
              <w:spacing w:after="0" w:line="251" w:lineRule="exact"/>
              <w:rPr>
                <w:sz w:val="20"/>
                <w:szCs w:val="20"/>
                <w:color w:val="auto"/>
              </w:rPr>
            </w:pPr>
            <w:r>
              <w:rPr>
                <w:rFonts w:ascii="Arial" w:cs="Arial" w:eastAsia="Arial" w:hAnsi="Arial"/>
                <w:sz w:val="18"/>
                <w:szCs w:val="18"/>
                <w:b w:val="1"/>
                <w:bCs w:val="1"/>
                <w:i w:val="1"/>
                <w:iCs w:val="1"/>
                <w:color w:val="auto"/>
                <w:w w:val="81"/>
              </w:rPr>
              <w:t>(restated)</w:t>
            </w:r>
            <w:r>
              <w:rPr>
                <w:rFonts w:ascii="Arial" w:cs="Arial" w:eastAsia="Arial" w:hAnsi="Arial"/>
                <w:sz w:val="29"/>
                <w:szCs w:val="29"/>
                <w:b w:val="1"/>
                <w:bCs w:val="1"/>
                <w:color w:val="auto"/>
                <w:w w:val="81"/>
                <w:vertAlign w:val="superscript"/>
              </w:rPr>
              <w:t>(1)</w:t>
            </w:r>
          </w:p>
        </w:tc>
        <w:tc>
          <w:tcPr>
            <w:tcW w:w="18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2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6,038</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Vessels</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2,149,751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2,141,529</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b w:val="1"/>
                <w:bCs w:val="1"/>
                <w:color w:val="auto"/>
              </w:rPr>
              <w:t>Total non-current assets</w:t>
            </w:r>
          </w:p>
        </w:tc>
        <w:tc>
          <w:tcPr>
            <w:tcW w:w="4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2,155,789</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2,152,650</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Trade and other receivables</w:t>
            </w:r>
          </w:p>
        </w:tc>
        <w:tc>
          <w:tcPr>
            <w:tcW w:w="480" w:type="dxa"/>
            <w:vAlign w:val="bottom"/>
            <w:shd w:val="clear" w:color="auto" w:fill="E8FFFA"/>
          </w:tcPr>
          <w:p>
            <w:pPr>
              <w:spacing w:after="0"/>
              <w:rPr>
                <w:sz w:val="18"/>
                <w:szCs w:val="18"/>
                <w:color w:val="auto"/>
              </w:rPr>
            </w:pP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3,755</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Due from related parties</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3</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3,712</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Prepayments and other current assets</w:t>
            </w:r>
          </w:p>
        </w:tc>
        <w:tc>
          <w:tcPr>
            <w:tcW w:w="4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577</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E8FFFA"/>
          </w:tcPr>
          <w:p>
            <w:pPr>
              <w:spacing w:after="0"/>
              <w:rPr>
                <w:sz w:val="18"/>
                <w:szCs w:val="18"/>
                <w:color w:val="auto"/>
              </w:rPr>
            </w:pP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146,721</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134,686</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159,201</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160,980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2,314,990</w:t>
            </w:r>
          </w:p>
        </w:tc>
        <w:tc>
          <w:tcPr>
            <w:tcW w:w="180" w:type="dxa"/>
            <w:vAlign w:val="bottom"/>
            <w:shd w:val="clear" w:color="auto" w:fill="E8FFFA"/>
          </w:tcPr>
          <w:p>
            <w:pPr>
              <w:spacing w:after="0"/>
              <w:rPr>
                <w:sz w:val="18"/>
                <w:szCs w:val="18"/>
                <w:color w:val="auto"/>
              </w:rPr>
            </w:pPr>
          </w:p>
        </w:tc>
        <w:tc>
          <w:tcPr>
            <w:tcW w:w="9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2,313,630</w:t>
            </w: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Partners' equity and liabilities</w:t>
            </w: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2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b w:val="1"/>
                <w:bCs w:val="1"/>
                <w:color w:val="auto"/>
              </w:rPr>
              <w:t>Partners' equity</w:t>
            </w:r>
          </w:p>
        </w:tc>
        <w:tc>
          <w:tcPr>
            <w:tcW w:w="4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2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Owners' capital</w:t>
            </w:r>
          </w:p>
        </w:tc>
        <w:tc>
          <w:tcPr>
            <w:tcW w:w="4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53,354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w w:val="92"/>
              </w:rPr>
              <w:t>Common unitholders (41,002,121 units issued and outstanding as of December 31,</w:t>
            </w:r>
          </w:p>
        </w:tc>
        <w:tc>
          <w:tcPr>
            <w:tcW w:w="4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2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160" w:type="dxa"/>
            <w:vAlign w:val="bottom"/>
            <w:gridSpan w:val="3"/>
            <w:shd w:val="clear" w:color="auto" w:fill="E8FFFA"/>
          </w:tcPr>
          <w:p>
            <w:pPr>
              <w:ind w:left="140"/>
              <w:spacing w:after="0"/>
              <w:rPr>
                <w:sz w:val="20"/>
                <w:szCs w:val="20"/>
                <w:color w:val="auto"/>
              </w:rPr>
            </w:pPr>
            <w:r>
              <w:rPr>
                <w:rFonts w:ascii="Arial" w:cs="Arial" w:eastAsia="Arial" w:hAnsi="Arial"/>
                <w:sz w:val="18"/>
                <w:szCs w:val="18"/>
                <w:color w:val="auto"/>
              </w:rPr>
              <w:t>2017 and 42,896,114 units issued and outstanding as of June 30, 2018)</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752,456</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788,087</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w w:val="90"/>
              </w:rPr>
              <w:t>General partner (836,779 units issued and outstanding as of December 31, 2017 and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160" w:type="dxa"/>
            <w:vAlign w:val="bottom"/>
            <w:gridSpan w:val="3"/>
          </w:tcPr>
          <w:p>
            <w:pPr>
              <w:ind w:left="140"/>
              <w:spacing w:after="0"/>
              <w:rPr>
                <w:sz w:val="20"/>
                <w:szCs w:val="20"/>
                <w:color w:val="auto"/>
              </w:rPr>
            </w:pPr>
            <w:r>
              <w:rPr>
                <w:rFonts w:ascii="Arial" w:cs="Arial" w:eastAsia="Arial" w:hAnsi="Arial"/>
                <w:sz w:val="18"/>
                <w:szCs w:val="18"/>
                <w:color w:val="auto"/>
              </w:rPr>
              <w:t>875,432 units issued and outstanding as of June 30, 2018)</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Incentive distribution rights ("IDR")</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6,596</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w w:val="91"/>
              </w:rPr>
              <w:t>Preference unitholders (5,750,000 Series A Preference Units issued and outstanding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ind w:left="140"/>
              <w:spacing w:after="0"/>
              <w:rPr>
                <w:sz w:val="20"/>
                <w:szCs w:val="20"/>
                <w:color w:val="auto"/>
              </w:rPr>
            </w:pPr>
            <w:r>
              <w:rPr>
                <w:rFonts w:ascii="Arial" w:cs="Arial" w:eastAsia="Arial" w:hAnsi="Arial"/>
                <w:sz w:val="18"/>
                <w:szCs w:val="18"/>
                <w:color w:val="auto"/>
                <w:w w:val="91"/>
              </w:rPr>
              <w:t>as of December 31, 2017 and 5,750,000 Series A Preference Units and 4,600,000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160" w:type="dxa"/>
            <w:vAlign w:val="bottom"/>
            <w:tcBorders>
              <w:bottom w:val="single" w:sz="8" w:color="E8FFFA"/>
            </w:tcBorders>
            <w:gridSpan w:val="3"/>
          </w:tcPr>
          <w:p>
            <w:pPr>
              <w:ind w:left="140"/>
              <w:spacing w:after="0"/>
              <w:rPr>
                <w:sz w:val="20"/>
                <w:szCs w:val="20"/>
                <w:color w:val="auto"/>
              </w:rPr>
            </w:pPr>
            <w:r>
              <w:rPr>
                <w:rFonts w:ascii="Arial" w:cs="Arial" w:eastAsia="Arial" w:hAnsi="Arial"/>
                <w:sz w:val="18"/>
                <w:szCs w:val="18"/>
                <w:color w:val="auto"/>
              </w:rPr>
              <w:t>Series B Preference Units issued and outstanding as of June 30, 2018)</w:t>
            </w:r>
          </w:p>
        </w:tc>
        <w:tc>
          <w:tcPr>
            <w:tcW w:w="480" w:type="dxa"/>
            <w:vAlign w:val="bottom"/>
            <w:tcBorders>
              <w:bottom w:val="single" w:sz="8" w:color="E8FFFA"/>
            </w:tcBorders>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Borders>
              <w:bottom w:val="single" w:sz="8" w:color="E8FFFA"/>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139,321</w:t>
            </w:r>
          </w:p>
        </w:tc>
        <w:tc>
          <w:tcPr>
            <w:tcW w:w="180" w:type="dxa"/>
            <w:vAlign w:val="bottom"/>
            <w:tcBorders>
              <w:bottom w:val="single" w:sz="8" w:color="E8FFFA"/>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250,934</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00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Total partners' equity</w:t>
            </w:r>
          </w:p>
        </w:tc>
        <w:tc>
          <w:tcPr>
            <w:tcW w:w="160" w:type="dxa"/>
            <w:vAlign w:val="bottom"/>
            <w:shd w:val="clear" w:color="auto" w:fill="E8FFFA"/>
          </w:tcPr>
          <w:p>
            <w:pPr>
              <w:spacing w:after="0"/>
              <w:rPr>
                <w:sz w:val="18"/>
                <w:szCs w:val="18"/>
                <w:color w:val="auto"/>
              </w:rPr>
            </w:pPr>
          </w:p>
        </w:tc>
        <w:tc>
          <w:tcPr>
            <w:tcW w:w="480" w:type="dxa"/>
            <w:vAlign w:val="bottom"/>
            <w:shd w:val="clear" w:color="auto" w:fill="E8FFFA"/>
          </w:tcPr>
          <w:p>
            <w:pPr>
              <w:spacing w:after="0"/>
              <w:rPr>
                <w:sz w:val="18"/>
                <w:szCs w:val="18"/>
                <w:color w:val="auto"/>
              </w:rPr>
            </w:pP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963,508</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1,058,272</w:t>
            </w: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Trade accounts payable</w:t>
            </w:r>
          </w:p>
        </w:tc>
        <w:tc>
          <w:tcPr>
            <w:tcW w:w="480" w:type="dxa"/>
            <w:vAlign w:val="bottom"/>
            <w:shd w:val="clear" w:color="auto" w:fill="E8FFFA"/>
          </w:tcPr>
          <w:p>
            <w:pPr>
              <w:spacing w:after="0"/>
              <w:rPr>
                <w:sz w:val="18"/>
                <w:szCs w:val="18"/>
                <w:color w:val="auto"/>
              </w:rPr>
            </w:pP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4,785</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Due to related parties</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Derivative financial instruments</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269</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Other payables and accruals</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59,619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Borrowings—current portion</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6</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114,570</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84,961</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60" w:type="dxa"/>
            <w:vAlign w:val="bottom"/>
            <w:tcBorders>
              <w:bottom w:val="single" w:sz="8" w:color="E8FFFA"/>
            </w:tcBorders>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Borders>
              <w:bottom w:val="single" w:sz="8" w:color="E8FFFA"/>
            </w:tcBorders>
          </w:tcPr>
          <w:p>
            <w:pPr>
              <w:spacing w:after="0"/>
              <w:rPr>
                <w:sz w:val="18"/>
                <w:szCs w:val="18"/>
                <w:color w:val="auto"/>
              </w:rPr>
            </w:pPr>
          </w:p>
        </w:tc>
        <w:tc>
          <w:tcPr>
            <w:tcW w:w="160" w:type="dxa"/>
            <w:vAlign w:val="bottom"/>
            <w:tcBorders>
              <w:bottom w:val="single" w:sz="8" w:color="E8FFFA"/>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165,237</w:t>
            </w:r>
          </w:p>
        </w:tc>
        <w:tc>
          <w:tcPr>
            <w:tcW w:w="180" w:type="dxa"/>
            <w:vAlign w:val="bottom"/>
            <w:tcBorders>
              <w:bottom w:val="single" w:sz="8" w:color="E8FFFA"/>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155,047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E8FFFA"/>
          </w:tcPr>
          <w:p>
            <w:pPr>
              <w:spacing w:after="0"/>
              <w:rPr>
                <w:sz w:val="18"/>
                <w:szCs w:val="18"/>
                <w:color w:val="auto"/>
              </w:rPr>
            </w:pPr>
          </w:p>
        </w:tc>
        <w:tc>
          <w:tcPr>
            <w:tcW w:w="48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02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3"/>
            <w:shd w:val="clear" w:color="auto" w:fill="E8FFFA"/>
          </w:tcPr>
          <w:p>
            <w:pPr>
              <w:spacing w:after="0"/>
              <w:rPr>
                <w:sz w:val="20"/>
                <w:szCs w:val="20"/>
                <w:color w:val="auto"/>
              </w:rPr>
            </w:pPr>
            <w:r>
              <w:rPr>
                <w:rFonts w:ascii="Arial" w:cs="Arial" w:eastAsia="Arial" w:hAnsi="Arial"/>
                <w:sz w:val="18"/>
                <w:szCs w:val="18"/>
                <w:color w:val="auto"/>
              </w:rPr>
              <w:t>Borrowings—non-current portion</w:t>
            </w:r>
          </w:p>
        </w:tc>
        <w:tc>
          <w:tcPr>
            <w:tcW w:w="4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6</w:t>
            </w: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1,185,995</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1,099,482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tcBorders>
              <w:bottom w:val="single" w:sz="8" w:color="E8FFFA"/>
            </w:tcBorders>
            <w:gridSpan w:val="3"/>
          </w:tcPr>
          <w:p>
            <w:pPr>
              <w:spacing w:after="0"/>
              <w:rPr>
                <w:sz w:val="20"/>
                <w:szCs w:val="20"/>
                <w:color w:val="auto"/>
              </w:rPr>
            </w:pPr>
            <w:r>
              <w:rPr>
                <w:rFonts w:ascii="Arial" w:cs="Arial" w:eastAsia="Arial" w:hAnsi="Arial"/>
                <w:sz w:val="18"/>
                <w:szCs w:val="18"/>
                <w:color w:val="auto"/>
              </w:rPr>
              <w:t>Other non-current liabilities</w:t>
            </w:r>
          </w:p>
        </w:tc>
        <w:tc>
          <w:tcPr>
            <w:tcW w:w="480" w:type="dxa"/>
            <w:vAlign w:val="bottom"/>
            <w:tcBorders>
              <w:bottom w:val="single" w:sz="8" w:color="E8FFFA"/>
            </w:tcBorders>
          </w:tcPr>
          <w:p>
            <w:pPr>
              <w:spacing w:after="0"/>
              <w:rPr>
                <w:sz w:val="18"/>
                <w:szCs w:val="18"/>
                <w:color w:val="auto"/>
              </w:rPr>
            </w:pPr>
          </w:p>
        </w:tc>
        <w:tc>
          <w:tcPr>
            <w:tcW w:w="160" w:type="dxa"/>
            <w:vAlign w:val="bottom"/>
            <w:tcBorders>
              <w:bottom w:val="single" w:sz="8" w:color="E8FFF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E8FFFA"/>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shd w:val="clear" w:color="auto" w:fill="E8FFFA"/>
          </w:tcPr>
          <w:p>
            <w:pPr>
              <w:spacing w:after="0"/>
              <w:rPr>
                <w:sz w:val="18"/>
                <w:szCs w:val="18"/>
                <w:color w:val="auto"/>
              </w:rPr>
            </w:pPr>
          </w:p>
        </w:tc>
        <w:tc>
          <w:tcPr>
            <w:tcW w:w="480" w:type="dxa"/>
            <w:vAlign w:val="bottom"/>
            <w:shd w:val="clear" w:color="auto" w:fill="E8FFFA"/>
          </w:tcPr>
          <w:p>
            <w:pPr>
              <w:spacing w:after="0"/>
              <w:rPr>
                <w:sz w:val="18"/>
                <w:szCs w:val="18"/>
                <w:color w:val="auto"/>
              </w:rPr>
            </w:pPr>
          </w:p>
        </w:tc>
        <w:tc>
          <w:tcPr>
            <w:tcW w:w="1180" w:type="dxa"/>
            <w:vAlign w:val="bottom"/>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1,186,245</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1,100,311</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2,314,990</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2,313,630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statements of GAS-fourteen Ltd., acquired on April 26, 2018 from GasLog Ltd. ("GasLog") (Note 1).</w:t>
      </w:r>
    </w:p>
    <w:p>
      <w:pPr>
        <w:spacing w:after="0" w:line="200" w:lineRule="exact"/>
        <w:rPr>
          <w:sz w:val="20"/>
          <w:szCs w:val="20"/>
          <w:color w:val="auto"/>
        </w:rPr>
      </w:pPr>
    </w:p>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4260"/>
        <w:spacing w:after="0" w:line="289" w:lineRule="auto"/>
        <w:rPr>
          <w:sz w:val="20"/>
          <w:szCs w:val="20"/>
          <w:color w:val="auto"/>
        </w:rPr>
      </w:pPr>
      <w:r>
        <w:rPr>
          <w:rFonts w:ascii="Arial" w:cs="Arial" w:eastAsia="Arial" w:hAnsi="Arial"/>
          <w:sz w:val="16"/>
          <w:szCs w:val="16"/>
          <w:b w:val="1"/>
          <w:bCs w:val="1"/>
          <w:color w:val="auto"/>
        </w:rPr>
        <w:t>Unaudited condensed consolidated statements of profit or loss and total comprehensive income For the three and six months ended June 30, 2017 and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9"/>
              </w:rPr>
              <w:t>For the three months ended</w:t>
            </w:r>
          </w:p>
        </w:tc>
        <w:tc>
          <w:tcPr>
            <w:tcW w:w="2740" w:type="dxa"/>
            <w:vAlign w:val="bottom"/>
            <w:gridSpan w:val="4"/>
          </w:tcPr>
          <w:p>
            <w:pPr>
              <w:ind w:left="3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Note</w:t>
            </w:r>
          </w:p>
        </w:tc>
        <w:tc>
          <w:tcPr>
            <w:tcW w:w="1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June 30, 2017</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June 30, 2018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June 30, 2017</w:t>
            </w: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top w:val="single" w:sz="8" w:color="auto"/>
            </w:tcBorders>
          </w:tcPr>
          <w:p>
            <w:pPr>
              <w:jc w:val="right"/>
              <w:ind w:right="132"/>
              <w:spacing w:after="0" w:line="251" w:lineRule="exact"/>
              <w:rPr>
                <w:sz w:val="20"/>
                <w:szCs w:val="20"/>
                <w:color w:val="auto"/>
              </w:rPr>
            </w:pPr>
            <w:r>
              <w:rPr>
                <w:rFonts w:ascii="Arial" w:cs="Arial" w:eastAsia="Arial" w:hAnsi="Arial"/>
                <w:sz w:val="18"/>
                <w:szCs w:val="18"/>
                <w:b w:val="1"/>
                <w:bCs w:val="1"/>
                <w:i w:val="1"/>
                <w:iCs w:val="1"/>
                <w:color w:val="auto"/>
                <w:w w:val="98"/>
              </w:rPr>
              <w:t>(restated)</w:t>
            </w:r>
            <w:r>
              <w:rPr>
                <w:rFonts w:ascii="Arial" w:cs="Arial" w:eastAsia="Arial" w:hAnsi="Arial"/>
                <w:sz w:val="29"/>
                <w:szCs w:val="29"/>
                <w:b w:val="1"/>
                <w:bCs w:val="1"/>
                <w:color w:val="auto"/>
                <w:w w:val="98"/>
                <w:vertAlign w:val="superscript"/>
              </w:rPr>
              <w:t>(1)</w:t>
            </w:r>
          </w:p>
        </w:tc>
        <w:tc>
          <w:tcPr>
            <w:tcW w:w="16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Borders>
              <w:top w:val="single" w:sz="8" w:color="auto"/>
            </w:tcBorders>
          </w:tcPr>
          <w:p>
            <w:pPr>
              <w:jc w:val="right"/>
              <w:ind w:right="132"/>
              <w:spacing w:after="0" w:line="251" w:lineRule="exact"/>
              <w:rPr>
                <w:sz w:val="20"/>
                <w:szCs w:val="20"/>
                <w:color w:val="auto"/>
              </w:rPr>
            </w:pPr>
            <w:r>
              <w:rPr>
                <w:rFonts w:ascii="Arial" w:cs="Arial" w:eastAsia="Arial" w:hAnsi="Arial"/>
                <w:sz w:val="18"/>
                <w:szCs w:val="18"/>
                <w:b w:val="1"/>
                <w:bCs w:val="1"/>
                <w:i w:val="1"/>
                <w:iCs w:val="1"/>
                <w:color w:val="auto"/>
                <w:w w:val="96"/>
              </w:rPr>
              <w:t>(restated)</w:t>
            </w:r>
            <w:r>
              <w:rPr>
                <w:rFonts w:ascii="Arial" w:cs="Arial" w:eastAsia="Arial" w:hAnsi="Arial"/>
                <w:sz w:val="29"/>
                <w:szCs w:val="29"/>
                <w:b w:val="1"/>
                <w:bCs w:val="1"/>
                <w:color w:val="auto"/>
                <w:w w:val="96"/>
                <w:vertAlign w:val="superscript"/>
              </w:rPr>
              <w:t>(1)</w:t>
            </w:r>
          </w:p>
        </w:tc>
        <w:tc>
          <w:tcPr>
            <w:tcW w:w="16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9</w:t>
            </w:r>
          </w:p>
        </w:tc>
        <w:tc>
          <w:tcPr>
            <w:tcW w:w="14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76,934</w:t>
            </w:r>
          </w:p>
        </w:tc>
        <w:tc>
          <w:tcPr>
            <w:tcW w:w="18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169,882</w:t>
            </w:r>
          </w:p>
        </w:tc>
        <w:tc>
          <w:tcPr>
            <w:tcW w:w="160" w:type="dxa"/>
            <w:vAlign w:val="bottom"/>
            <w:shd w:val="clear" w:color="auto" w:fill="E8FFFA"/>
          </w:tcPr>
          <w:p>
            <w:pPr>
              <w:spacing w:after="0"/>
              <w:rPr>
                <w:sz w:val="18"/>
                <w:szCs w:val="18"/>
                <w:color w:val="auto"/>
              </w:rPr>
            </w:pP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161,285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Net pool allocation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400" w:type="dxa"/>
            <w:vAlign w:val="bottom"/>
            <w:shd w:val="clear" w:color="auto" w:fill="E8FFFA"/>
          </w:tcPr>
          <w:p>
            <w:pPr>
              <w:spacing w:after="0"/>
              <w:rPr>
                <w:sz w:val="18"/>
                <w:szCs w:val="18"/>
                <w:color w:val="auto"/>
              </w:rPr>
            </w:pPr>
          </w:p>
        </w:tc>
        <w:tc>
          <w:tcPr>
            <w:tcW w:w="16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(1,070)</w:t>
            </w:r>
          </w:p>
        </w:tc>
        <w:tc>
          <w:tcPr>
            <w:tcW w:w="14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(1,536)</w:t>
            </w:r>
          </w:p>
        </w:tc>
        <w:tc>
          <w:tcPr>
            <w:tcW w:w="14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(2,128)</w:t>
            </w: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4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(16,232)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(15,351)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(31,220)</w:t>
            </w:r>
          </w:p>
        </w:tc>
        <w:tc>
          <w:tcPr>
            <w:tcW w:w="1280" w:type="dxa"/>
            <w:vAlign w:val="bottom"/>
          </w:tcPr>
          <w:p>
            <w:pPr>
              <w:jc w:val="right"/>
              <w:spacing w:after="0"/>
              <w:rPr>
                <w:sz w:val="20"/>
                <w:szCs w:val="20"/>
                <w:color w:val="auto"/>
              </w:rPr>
            </w:pPr>
            <w:r>
              <w:rPr>
                <w:rFonts w:ascii="Arial" w:cs="Arial" w:eastAsia="Arial" w:hAnsi="Arial"/>
                <w:sz w:val="18"/>
                <w:szCs w:val="18"/>
                <w:color w:val="auto"/>
              </w:rPr>
              <w:t>(32,413)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79"/>
              </w:rPr>
              <w:t>4</w:t>
            </w:r>
          </w:p>
        </w:tc>
        <w:tc>
          <w:tcPr>
            <w:tcW w:w="16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(18,330)</w:t>
            </w:r>
          </w:p>
        </w:tc>
        <w:tc>
          <w:tcPr>
            <w:tcW w:w="14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(18,375)</w:t>
            </w:r>
          </w:p>
        </w:tc>
        <w:tc>
          <w:tcPr>
            <w:tcW w:w="14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(36,464)</w:t>
            </w: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8"/>
              </w:rPr>
              <w:t>General and administrative expenses</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(3,588)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(4,698)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c>
          <w:tcPr>
            <w:tcW w:w="1280" w:type="dxa"/>
            <w:vAlign w:val="bottom"/>
          </w:tcPr>
          <w:p>
            <w:pPr>
              <w:jc w:val="right"/>
              <w:spacing w:after="0"/>
              <w:rPr>
                <w:sz w:val="20"/>
                <w:szCs w:val="20"/>
                <w:color w:val="auto"/>
              </w:rPr>
            </w:pPr>
            <w:r>
              <w:rPr>
                <w:rFonts w:ascii="Arial" w:cs="Arial" w:eastAsia="Arial" w:hAnsi="Arial"/>
                <w:sz w:val="18"/>
                <w:szCs w:val="18"/>
                <w:color w:val="auto"/>
              </w:rPr>
              <w:t>(9,381)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4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46,185</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36,617</w:t>
            </w:r>
          </w:p>
        </w:tc>
        <w:tc>
          <w:tcPr>
            <w:tcW w:w="18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92,992</w:t>
            </w:r>
          </w:p>
        </w:tc>
        <w:tc>
          <w:tcPr>
            <w:tcW w:w="160" w:type="dxa"/>
            <w:vAlign w:val="bottom"/>
            <w:shd w:val="clear" w:color="auto" w:fill="E8FFFA"/>
          </w:tcPr>
          <w:p>
            <w:pPr>
              <w:spacing w:after="0"/>
              <w:rPr>
                <w:sz w:val="18"/>
                <w:szCs w:val="18"/>
                <w:color w:val="auto"/>
              </w:rPr>
            </w:pP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79,847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3"/>
          </w:tcPr>
          <w:p>
            <w:pPr>
              <w:spacing w:after="0"/>
              <w:rPr>
                <w:sz w:val="20"/>
                <w:szCs w:val="20"/>
                <w:color w:val="auto"/>
              </w:rPr>
            </w:pPr>
            <w:r>
              <w:rPr>
                <w:rFonts w:ascii="Arial" w:cs="Arial" w:eastAsia="Arial" w:hAnsi="Arial"/>
                <w:sz w:val="18"/>
                <w:szCs w:val="18"/>
                <w:color w:val="auto"/>
              </w:rPr>
              <w:t>Financial costs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(14,892)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(29,066)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400" w:type="dxa"/>
            <w:vAlign w:val="bottom"/>
            <w:shd w:val="clear" w:color="auto" w:fill="E8FFFA"/>
          </w:tcPr>
          <w:p>
            <w:pPr>
              <w:spacing w:after="0"/>
              <w:rPr>
                <w:sz w:val="18"/>
                <w:szCs w:val="18"/>
                <w:color w:val="auto"/>
              </w:rPr>
            </w:pPr>
          </w:p>
        </w:tc>
        <w:tc>
          <w:tcPr>
            <w:tcW w:w="14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E8FFFA"/>
          </w:tcPr>
          <w:p>
            <w:pPr>
              <w:spacing w:after="0"/>
              <w:rPr>
                <w:sz w:val="18"/>
                <w:szCs w:val="18"/>
                <w:color w:val="auto"/>
              </w:rPr>
            </w:pP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(Loss)/gain on derivatives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(2,336)</w:t>
            </w:r>
          </w:p>
        </w:tc>
        <w:tc>
          <w:tcPr>
            <w:tcW w:w="1260" w:type="dxa"/>
            <w:vAlign w:val="bottom"/>
          </w:tcPr>
          <w:p>
            <w:pPr>
              <w:jc w:val="right"/>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1280" w:type="dxa"/>
            <w:vAlign w:val="bottom"/>
          </w:tcPr>
          <w:p>
            <w:pPr>
              <w:jc w:val="right"/>
              <w:spacing w:after="0"/>
              <w:rPr>
                <w:sz w:val="20"/>
                <w:szCs w:val="20"/>
                <w:color w:val="auto"/>
              </w:rPr>
            </w:pPr>
            <w:r>
              <w:rPr>
                <w:rFonts w:ascii="Arial" w:cs="Arial" w:eastAsia="Arial" w:hAnsi="Arial"/>
                <w:sz w:val="18"/>
                <w:szCs w:val="18"/>
                <w:color w:val="auto"/>
              </w:rPr>
              <w:t>7,915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Total other expenses, net</w:t>
            </w:r>
          </w:p>
        </w:tc>
        <w:tc>
          <w:tcPr>
            <w:tcW w:w="40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(16,985)</w:t>
            </w:r>
          </w:p>
        </w:tc>
        <w:tc>
          <w:tcPr>
            <w:tcW w:w="16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(12,776)</w:t>
            </w:r>
          </w:p>
        </w:tc>
        <w:tc>
          <w:tcPr>
            <w:tcW w:w="18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(31,006)</w:t>
            </w:r>
          </w:p>
        </w:tc>
        <w:tc>
          <w:tcPr>
            <w:tcW w:w="160" w:type="dxa"/>
            <w:vAlign w:val="bottom"/>
            <w:shd w:val="clear" w:color="auto" w:fill="E8FFFA"/>
          </w:tcPr>
          <w:p>
            <w:pPr>
              <w:spacing w:after="0"/>
              <w:rPr>
                <w:sz w:val="18"/>
                <w:szCs w:val="18"/>
                <w:color w:val="auto"/>
              </w:rPr>
            </w:pPr>
          </w:p>
        </w:tc>
        <w:tc>
          <w:tcPr>
            <w:tcW w:w="12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Profit and total comprehensive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 for the period</w:t>
            </w:r>
          </w:p>
        </w:tc>
        <w:tc>
          <w:tcPr>
            <w:tcW w:w="4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29,200</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23,841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61,986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58,576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E8FFFA"/>
          </w:tcPr>
          <w:p>
            <w:pPr>
              <w:spacing w:after="0" w:line="201" w:lineRule="exact"/>
              <w:rPr>
                <w:sz w:val="20"/>
                <w:szCs w:val="20"/>
                <w:color w:val="auto"/>
              </w:rPr>
            </w:pPr>
            <w:r>
              <w:rPr>
                <w:rFonts w:ascii="Arial" w:cs="Arial" w:eastAsia="Arial" w:hAnsi="Arial"/>
                <w:sz w:val="18"/>
                <w:szCs w:val="18"/>
                <w:b w:val="1"/>
                <w:bCs w:val="1"/>
                <w:color w:val="auto"/>
                <w:w w:val="95"/>
              </w:rPr>
              <w:t>Earnings per unit attributable to the</w:t>
            </w:r>
          </w:p>
        </w:tc>
        <w:tc>
          <w:tcPr>
            <w:tcW w:w="40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8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60" w:type="dxa"/>
            <w:vAlign w:val="bottom"/>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260" w:type="dxa"/>
            <w:vAlign w:val="bottom"/>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280" w:type="dxa"/>
            <w:vAlign w:val="bottom"/>
            <w:shd w:val="clear" w:color="auto" w:fill="E8FFFA"/>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E8FFFA"/>
          </w:tcPr>
          <w:p>
            <w:pPr>
              <w:ind w:left="160"/>
              <w:spacing w:after="0"/>
              <w:rPr>
                <w:sz w:val="20"/>
                <w:szCs w:val="20"/>
                <w:color w:val="auto"/>
              </w:rPr>
            </w:pPr>
            <w:r>
              <w:rPr>
                <w:rFonts w:ascii="Arial" w:cs="Arial" w:eastAsia="Arial" w:hAnsi="Arial"/>
                <w:sz w:val="18"/>
                <w:szCs w:val="18"/>
                <w:b w:val="1"/>
                <w:bCs w:val="1"/>
                <w:color w:val="auto"/>
              </w:rPr>
              <w:t>Partnership, basic and diluted:</w:t>
            </w:r>
          </w:p>
        </w:tc>
        <w:tc>
          <w:tcPr>
            <w:tcW w:w="40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shd w:val="clear" w:color="auto" w:fill="E8FFFA"/>
          </w:tcPr>
          <w:p>
            <w:pPr>
              <w:spacing w:after="0"/>
              <w:rPr>
                <w:sz w:val="20"/>
                <w:szCs w:val="20"/>
                <w:color w:val="auto"/>
              </w:rPr>
            </w:pPr>
          </w:p>
        </w:tc>
        <w:tc>
          <w:tcPr>
            <w:tcW w:w="128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260" w:type="dxa"/>
            <w:vAlign w:val="bottom"/>
            <w:shd w:val="clear" w:color="auto" w:fill="E8FFFA"/>
          </w:tcPr>
          <w:p>
            <w:pPr>
              <w:spacing w:after="0"/>
              <w:rPr>
                <w:sz w:val="20"/>
                <w:szCs w:val="20"/>
                <w:color w:val="auto"/>
              </w:rPr>
            </w:pPr>
          </w:p>
        </w:tc>
        <w:tc>
          <w:tcPr>
            <w:tcW w:w="180" w:type="dxa"/>
            <w:vAlign w:val="bottom"/>
            <w:shd w:val="clear" w:color="auto" w:fill="E8FFFA"/>
          </w:tcPr>
          <w:p>
            <w:pPr>
              <w:spacing w:after="0"/>
              <w:rPr>
                <w:sz w:val="20"/>
                <w:szCs w:val="20"/>
                <w:color w:val="auto"/>
              </w:rPr>
            </w:pPr>
          </w:p>
        </w:tc>
        <w:tc>
          <w:tcPr>
            <w:tcW w:w="1260" w:type="dxa"/>
            <w:vAlign w:val="bottom"/>
            <w:shd w:val="clear" w:color="auto" w:fill="E8FFFA"/>
          </w:tcPr>
          <w:p>
            <w:pPr>
              <w:spacing w:after="0"/>
              <w:rPr>
                <w:sz w:val="20"/>
                <w:szCs w:val="20"/>
                <w:color w:val="auto"/>
              </w:rPr>
            </w:pPr>
          </w:p>
        </w:tc>
        <w:tc>
          <w:tcPr>
            <w:tcW w:w="160" w:type="dxa"/>
            <w:vAlign w:val="bottom"/>
            <w:shd w:val="clear" w:color="auto" w:fill="E8FFFA"/>
          </w:tcPr>
          <w:p>
            <w:pPr>
              <w:spacing w:after="0"/>
              <w:rPr>
                <w:sz w:val="20"/>
                <w:szCs w:val="20"/>
                <w:color w:val="auto"/>
              </w:rPr>
            </w:pPr>
          </w:p>
        </w:tc>
        <w:tc>
          <w:tcPr>
            <w:tcW w:w="1280" w:type="dxa"/>
            <w:vAlign w:val="bottom"/>
            <w:shd w:val="clear" w:color="auto" w:fill="E8FFFA"/>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Common unit (basic)</w:t>
            </w:r>
          </w:p>
        </w:tc>
        <w:tc>
          <w:tcPr>
            <w:tcW w:w="4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Common unit (diluted)</w:t>
            </w:r>
          </w:p>
        </w:tc>
        <w:tc>
          <w:tcPr>
            <w:tcW w:w="400" w:type="dxa"/>
            <w:vAlign w:val="bottom"/>
            <w:shd w:val="clear" w:color="auto" w:fill="E8FFFA"/>
          </w:tcPr>
          <w:p>
            <w:pPr>
              <w:spacing w:after="0"/>
              <w:rPr>
                <w:sz w:val="18"/>
                <w:szCs w:val="18"/>
                <w:color w:val="auto"/>
              </w:rPr>
            </w:pPr>
          </w:p>
        </w:tc>
        <w:tc>
          <w:tcPr>
            <w:tcW w:w="14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E8FFFA"/>
          </w:tcPr>
          <w:p>
            <w:pPr>
              <w:spacing w:after="0"/>
              <w:rPr>
                <w:sz w:val="18"/>
                <w:szCs w:val="18"/>
                <w:color w:val="auto"/>
              </w:rPr>
            </w:pP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Subordinated unit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General partner unit</w:t>
            </w:r>
          </w:p>
        </w:tc>
        <w:tc>
          <w:tcPr>
            <w:tcW w:w="400" w:type="dxa"/>
            <w:vAlign w:val="bottom"/>
            <w:shd w:val="clear" w:color="auto" w:fill="E8FFFA"/>
          </w:tcPr>
          <w:p>
            <w:pPr>
              <w:spacing w:after="0"/>
              <w:rPr>
                <w:sz w:val="18"/>
                <w:szCs w:val="18"/>
                <w:color w:val="auto"/>
              </w:rPr>
            </w:pPr>
          </w:p>
        </w:tc>
        <w:tc>
          <w:tcPr>
            <w:tcW w:w="14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E8FFFA"/>
          </w:tcPr>
          <w:p>
            <w:pPr>
              <w:spacing w:after="0"/>
              <w:rPr>
                <w:sz w:val="18"/>
                <w:szCs w:val="18"/>
                <w:color w:val="auto"/>
              </w:rPr>
            </w:pPr>
          </w:p>
        </w:tc>
        <w:tc>
          <w:tcPr>
            <w:tcW w:w="12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E8FFFA"/>
          </w:tcPr>
          <w:p>
            <w:pPr>
              <w:spacing w:after="0"/>
              <w:rPr>
                <w:sz w:val="18"/>
                <w:szCs w:val="18"/>
                <w:color w:val="auto"/>
              </w:rPr>
            </w:pPr>
          </w:p>
        </w:tc>
        <w:tc>
          <w:tcPr>
            <w:tcW w:w="12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GAS-eight Ltd. and GAS-fourteen Ltd., acquired on May 3, 2017, July 3, 2017, October 20, 2017 and April 26, 2018, respectively, from GasLog (Note 1).</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5000"/>
        <w:spacing w:after="0" w:line="289" w:lineRule="auto"/>
        <w:rPr>
          <w:sz w:val="20"/>
          <w:szCs w:val="20"/>
          <w:color w:val="auto"/>
        </w:rPr>
      </w:pPr>
      <w:r>
        <w:rPr>
          <w:rFonts w:ascii="Arial" w:cs="Arial" w:eastAsia="Arial" w:hAnsi="Arial"/>
          <w:sz w:val="16"/>
          <w:szCs w:val="16"/>
          <w:b w:val="1"/>
          <w:bCs w:val="1"/>
          <w:color w:val="auto"/>
        </w:rPr>
        <w:t>Unaudited condensed consolidated statements of changes in owners'/partners' equity For the six months ended June 30, 2017 and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Subordinated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Preference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Partners'</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Owners'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General partner</w:t>
            </w: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Common unitholders</w:t>
            </w: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unitholders</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IDR</w:t>
            </w:r>
          </w:p>
        </w:tc>
        <w:tc>
          <w:tcPr>
            <w:tcW w:w="13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unitholders</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equity</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Units</w:t>
            </w: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20" w:type="dxa"/>
            <w:vAlign w:val="bottom"/>
            <w:tcBorders>
              <w:top w:val="single" w:sz="8" w:color="auto"/>
            </w:tcBorders>
            <w:shd w:val="clear" w:color="auto" w:fill="E8FFFA"/>
          </w:tcPr>
          <w:p>
            <w:pPr>
              <w:spacing w:after="0"/>
              <w:rPr>
                <w:sz w:val="11"/>
                <w:szCs w:val="11"/>
                <w:color w:val="auto"/>
              </w:rPr>
            </w:pPr>
          </w:p>
        </w:tc>
        <w:tc>
          <w:tcPr>
            <w:tcW w:w="50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4" w:lineRule="exact"/>
              <w:rPr>
                <w:sz w:val="20"/>
                <w:szCs w:val="20"/>
                <w:color w:val="auto"/>
              </w:rPr>
            </w:pPr>
            <w:r>
              <w:rPr>
                <w:rFonts w:ascii="Arial" w:cs="Arial" w:eastAsia="Arial" w:hAnsi="Arial"/>
                <w:sz w:val="14"/>
                <w:szCs w:val="14"/>
                <w:b w:val="1"/>
                <w:bCs w:val="1"/>
                <w:color w:val="auto"/>
                <w:w w:val="93"/>
              </w:rPr>
              <w:t>January 1, 2017 (as</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shd w:val="clear" w:color="auto" w:fill="E8FFFA"/>
          </w:tcPr>
          <w:p>
            <w:pPr>
              <w:ind w:left="10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5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w w:val="98"/>
              </w:rPr>
              <w:t>701,933</w:t>
            </w:r>
          </w:p>
        </w:tc>
        <w:tc>
          <w:tcPr>
            <w:tcW w:w="6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10,095</w:t>
            </w:r>
          </w:p>
        </w:tc>
        <w:tc>
          <w:tcPr>
            <w:tcW w:w="80" w:type="dxa"/>
            <w:vAlign w:val="bottom"/>
            <w:shd w:val="clear" w:color="auto" w:fill="E8FFFA"/>
          </w:tcPr>
          <w:p>
            <w:pPr>
              <w:spacing w:after="0"/>
              <w:rPr>
                <w:sz w:val="16"/>
                <w:szCs w:val="16"/>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1"/>
              </w:rPr>
              <w:t>24,572,358</w:t>
            </w:r>
          </w:p>
        </w:tc>
        <w:tc>
          <w:tcPr>
            <w:tcW w:w="60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565,408</w:t>
            </w:r>
          </w:p>
        </w:tc>
        <w:tc>
          <w:tcPr>
            <w:tcW w:w="80" w:type="dxa"/>
            <w:vAlign w:val="bottom"/>
            <w:shd w:val="clear" w:color="auto" w:fill="E8FFFA"/>
          </w:tcPr>
          <w:p>
            <w:pPr>
              <w:spacing w:after="0"/>
              <w:rPr>
                <w:sz w:val="16"/>
                <w:szCs w:val="16"/>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9"/>
              </w:rPr>
              <w:t>9,822,358</w:t>
            </w:r>
          </w:p>
        </w:tc>
        <w:tc>
          <w:tcPr>
            <w:tcW w:w="80" w:type="dxa"/>
            <w:vAlign w:val="bottom"/>
            <w:shd w:val="clear" w:color="auto" w:fill="E8FFFA"/>
          </w:tcPr>
          <w:p>
            <w:pPr>
              <w:spacing w:after="0"/>
              <w:rPr>
                <w:sz w:val="16"/>
                <w:szCs w:val="16"/>
                <w:color w:val="auto"/>
              </w:rPr>
            </w:pPr>
          </w:p>
        </w:tc>
        <w:tc>
          <w:tcPr>
            <w:tcW w:w="5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60,988</w:t>
            </w:r>
          </w:p>
        </w:tc>
        <w:tc>
          <w:tcPr>
            <w:tcW w:w="80" w:type="dxa"/>
            <w:vAlign w:val="bottom"/>
            <w:shd w:val="clear" w:color="auto" w:fill="E8FFFA"/>
          </w:tcPr>
          <w:p>
            <w:pPr>
              <w:spacing w:after="0"/>
              <w:rPr>
                <w:sz w:val="16"/>
                <w:szCs w:val="16"/>
                <w:color w:val="auto"/>
              </w:rPr>
            </w:pPr>
          </w:p>
        </w:tc>
        <w:tc>
          <w:tcPr>
            <w:tcW w:w="5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5,878</w:t>
            </w:r>
          </w:p>
        </w:tc>
        <w:tc>
          <w:tcPr>
            <w:tcW w:w="100" w:type="dxa"/>
            <w:vAlign w:val="bottom"/>
            <w:shd w:val="clear" w:color="auto" w:fill="E8FFFA"/>
          </w:tcPr>
          <w:p>
            <w:pPr>
              <w:spacing w:after="0"/>
              <w:rPr>
                <w:sz w:val="16"/>
                <w:szCs w:val="16"/>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8FFFA"/>
          </w:tcPr>
          <w:p>
            <w:pPr>
              <w:spacing w:after="0"/>
              <w:rPr>
                <w:sz w:val="16"/>
                <w:szCs w:val="16"/>
                <w:color w:val="auto"/>
              </w:rPr>
            </w:pPr>
          </w:p>
        </w:tc>
        <w:tc>
          <w:tcPr>
            <w:tcW w:w="600" w:type="dxa"/>
            <w:vAlign w:val="bottom"/>
            <w:gridSpan w:val="2"/>
            <w:shd w:val="clear" w:color="auto" w:fill="E8FFFA"/>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642,369</w:t>
            </w:r>
          </w:p>
        </w:tc>
        <w:tc>
          <w:tcPr>
            <w:tcW w:w="80" w:type="dxa"/>
            <w:vAlign w:val="bottom"/>
            <w:shd w:val="clear" w:color="auto" w:fill="E8FFFA"/>
          </w:tcPr>
          <w:p>
            <w:pPr>
              <w:spacing w:after="0"/>
              <w:rPr>
                <w:sz w:val="16"/>
                <w:szCs w:val="16"/>
                <w:color w:val="auto"/>
              </w:rPr>
            </w:pPr>
          </w:p>
        </w:tc>
        <w:tc>
          <w:tcPr>
            <w:tcW w:w="5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8"/>
              </w:rPr>
              <w:t>196,937</w:t>
            </w:r>
          </w:p>
        </w:tc>
        <w:tc>
          <w:tcPr>
            <w:tcW w:w="80" w:type="dxa"/>
            <w:vAlign w:val="bottom"/>
            <w:shd w:val="clear" w:color="auto" w:fill="E8FFFA"/>
          </w:tcPr>
          <w:p>
            <w:pPr>
              <w:spacing w:after="0"/>
              <w:rPr>
                <w:sz w:val="16"/>
                <w:szCs w:val="16"/>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839,306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Profit and total</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income attributable</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to GasLog's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w w:val="94"/>
              </w:rPr>
              <w:t>operations (Note 14)</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21,606</w:t>
            </w: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21,606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Net proceeds from</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w w:val="98"/>
              </w:rPr>
              <w:t>public offerings and</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issuances of</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common units and</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w w:val="93"/>
              </w:rPr>
              <w:t>general partner units</w:t>
            </w:r>
          </w:p>
        </w:tc>
        <w:tc>
          <w:tcPr>
            <w:tcW w:w="52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87,365</w:t>
            </w:r>
          </w:p>
        </w:tc>
        <w:tc>
          <w:tcPr>
            <w:tcW w:w="62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1,809</w:t>
            </w:r>
          </w:p>
        </w:tc>
        <w:tc>
          <w:tcPr>
            <w:tcW w:w="80" w:type="dxa"/>
            <w:vAlign w:val="bottom"/>
            <w:shd w:val="clear" w:color="auto" w:fill="E8FFFA"/>
          </w:tcPr>
          <w:p>
            <w:pPr>
              <w:spacing w:after="0"/>
              <w:rPr>
                <w:sz w:val="13"/>
                <w:szCs w:val="13"/>
                <w:color w:val="auto"/>
              </w:rPr>
            </w:pP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4,280,877</w:t>
            </w:r>
          </w:p>
        </w:tc>
        <w:tc>
          <w:tcPr>
            <w:tcW w:w="6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86,994</w:t>
            </w:r>
          </w:p>
        </w:tc>
        <w:tc>
          <w:tcPr>
            <w:tcW w:w="80" w:type="dxa"/>
            <w:vAlign w:val="bottom"/>
            <w:shd w:val="clear" w:color="auto" w:fill="E8FFFA"/>
          </w:tcPr>
          <w:p>
            <w:pPr>
              <w:spacing w:after="0"/>
              <w:rPr>
                <w:sz w:val="13"/>
                <w:szCs w:val="13"/>
                <w:color w:val="auto"/>
              </w:rPr>
            </w:pP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88,803</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88,803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Net proceeds from</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public offering and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preference units</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9"/>
              </w:rPr>
              <w:t>5,750,000</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138,782</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138,782</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138,782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Cash distribution to</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w w:val="93"/>
              </w:rPr>
              <w:t>GasLog in exchange</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for net assets</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contribution to the</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rPr>
              <w:t>Partnership</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rPr>
              <w:t>(66,643)</w:t>
            </w: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(66,643)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Difference between</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net book values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w w:val="99"/>
              </w:rPr>
              <w:t>acquired subsidiary</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and consideration</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paid</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(820)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(173)</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(10,321)</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(11,314)</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11,314</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w w:val="96"/>
              </w:rPr>
              <w:t>Distributions declared</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E8FFFA"/>
          </w:tcPr>
          <w:p>
            <w:pPr>
              <w:jc w:val="right"/>
              <w:ind w:right="40"/>
              <w:spacing w:after="0" w:line="149" w:lineRule="exact"/>
              <w:rPr>
                <w:sz w:val="20"/>
                <w:szCs w:val="20"/>
                <w:color w:val="auto"/>
              </w:rPr>
            </w:pPr>
            <w:r>
              <w:rPr>
                <w:rFonts w:ascii="Arial" w:cs="Arial" w:eastAsia="Arial" w:hAnsi="Arial"/>
                <w:sz w:val="14"/>
                <w:szCs w:val="14"/>
                <w:color w:val="auto"/>
              </w:rPr>
              <w:t>(793)</w:t>
            </w:r>
          </w:p>
        </w:tc>
        <w:tc>
          <w:tcPr>
            <w:tcW w:w="66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8FFFA"/>
          </w:tcPr>
          <w:p>
            <w:pPr>
              <w:jc w:val="right"/>
              <w:ind w:right="40"/>
              <w:spacing w:after="0" w:line="149" w:lineRule="exact"/>
              <w:rPr>
                <w:sz w:val="20"/>
                <w:szCs w:val="20"/>
                <w:color w:val="auto"/>
              </w:rPr>
            </w:pPr>
            <w:r>
              <w:rPr>
                <w:rFonts w:ascii="Arial" w:cs="Arial" w:eastAsia="Arial" w:hAnsi="Arial"/>
                <w:sz w:val="14"/>
                <w:szCs w:val="14"/>
                <w:color w:val="auto"/>
              </w:rPr>
              <w:t>(28,099)</w:t>
            </w:r>
          </w:p>
        </w:tc>
        <w:tc>
          <w:tcPr>
            <w:tcW w:w="740" w:type="dxa"/>
            <w:vAlign w:val="bottom"/>
            <w:gridSpan w:val="2"/>
            <w:shd w:val="clear" w:color="auto" w:fill="E8FFFA"/>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40"/>
              <w:spacing w:after="0" w:line="149" w:lineRule="exact"/>
              <w:rPr>
                <w:sz w:val="20"/>
                <w:szCs w:val="20"/>
                <w:color w:val="auto"/>
              </w:rPr>
            </w:pPr>
            <w:r>
              <w:rPr>
                <w:rFonts w:ascii="Arial" w:cs="Arial" w:eastAsia="Arial" w:hAnsi="Arial"/>
                <w:sz w:val="14"/>
                <w:szCs w:val="14"/>
                <w:color w:val="auto"/>
              </w:rPr>
              <w:t>(9,724)</w:t>
            </w:r>
          </w:p>
        </w:tc>
        <w:tc>
          <w:tcPr>
            <w:tcW w:w="620" w:type="dxa"/>
            <w:vAlign w:val="bottom"/>
            <w:gridSpan w:val="2"/>
            <w:shd w:val="clear" w:color="auto" w:fill="E8FFFA"/>
          </w:tcPr>
          <w:p>
            <w:pPr>
              <w:jc w:val="right"/>
              <w:ind w:right="60"/>
              <w:spacing w:after="0" w:line="149" w:lineRule="exact"/>
              <w:rPr>
                <w:sz w:val="20"/>
                <w:szCs w:val="20"/>
                <w:color w:val="auto"/>
              </w:rPr>
            </w:pPr>
            <w:r>
              <w:rPr>
                <w:rFonts w:ascii="Arial" w:cs="Arial" w:eastAsia="Arial" w:hAnsi="Arial"/>
                <w:sz w:val="14"/>
                <w:szCs w:val="14"/>
                <w:color w:val="auto"/>
              </w:rPr>
              <w:t>(1,054)</w:t>
            </w:r>
          </w:p>
        </w:tc>
        <w:tc>
          <w:tcPr>
            <w:tcW w:w="66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2"/>
                <w:szCs w:val="12"/>
                <w:color w:val="auto"/>
              </w:rPr>
            </w:pPr>
          </w:p>
        </w:tc>
        <w:tc>
          <w:tcPr>
            <w:tcW w:w="600" w:type="dxa"/>
            <w:vAlign w:val="bottom"/>
            <w:gridSpan w:val="2"/>
            <w:shd w:val="clear" w:color="auto" w:fill="E8FFFA"/>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8FFFA"/>
          </w:tcPr>
          <w:p>
            <w:pPr>
              <w:jc w:val="right"/>
              <w:ind w:right="40"/>
              <w:spacing w:after="0" w:line="149" w:lineRule="exact"/>
              <w:rPr>
                <w:sz w:val="20"/>
                <w:szCs w:val="20"/>
                <w:color w:val="auto"/>
              </w:rPr>
            </w:pPr>
            <w:r>
              <w:rPr>
                <w:rFonts w:ascii="Arial" w:cs="Arial" w:eastAsia="Arial" w:hAnsi="Arial"/>
                <w:sz w:val="14"/>
                <w:szCs w:val="14"/>
                <w:color w:val="auto"/>
              </w:rPr>
              <w:t>(39,670)</w:t>
            </w:r>
          </w:p>
        </w:tc>
        <w:tc>
          <w:tcPr>
            <w:tcW w:w="600" w:type="dxa"/>
            <w:vAlign w:val="bottom"/>
            <w:gridSpan w:val="2"/>
            <w:shd w:val="clear" w:color="auto" w:fill="E8FFFA"/>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(39,670)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Share-based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w w:val="92"/>
              </w:rPr>
              <w:t>compensation, net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w w:val="98"/>
              </w:rPr>
              <w:t>accrued distribution</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263</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Conversion of</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w w:val="92"/>
              </w:rPr>
              <w:t>subordinated units to</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rPr>
              <w:t>common units</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9,822,358</w:t>
            </w:r>
          </w:p>
        </w:tc>
        <w:tc>
          <w:tcPr>
            <w:tcW w:w="6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46,047</w:t>
            </w:r>
          </w:p>
        </w:tc>
        <w:tc>
          <w:tcPr>
            <w:tcW w:w="80" w:type="dxa"/>
            <w:vAlign w:val="bottom"/>
            <w:shd w:val="clear" w:color="auto" w:fill="E8FFFA"/>
          </w:tcPr>
          <w:p>
            <w:pPr>
              <w:spacing w:after="0"/>
              <w:rPr>
                <w:sz w:val="13"/>
                <w:szCs w:val="13"/>
                <w:color w:val="auto"/>
              </w:rPr>
            </w:pPr>
          </w:p>
        </w:tc>
        <w:tc>
          <w:tcPr>
            <w:tcW w:w="740" w:type="dxa"/>
            <w:vAlign w:val="bottom"/>
            <w:gridSpan w:val="2"/>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w w:val="94"/>
              </w:rPr>
              <w:t>(9,822,358)</w:t>
            </w:r>
          </w:p>
        </w:tc>
        <w:tc>
          <w:tcPr>
            <w:tcW w:w="600" w:type="dxa"/>
            <w:vAlign w:val="bottom"/>
            <w:gridSpan w:val="2"/>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rPr>
              <w:t>(46,047)</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Partnership's profit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and total</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income (Note 14)</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777</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32,073</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5,085</w:t>
            </w: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896</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1,549</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40,380</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40,380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Balance at June 30,</w:t>
            </w:r>
          </w:p>
        </w:tc>
        <w:tc>
          <w:tcPr>
            <w:tcW w:w="20" w:type="dxa"/>
            <w:vAlign w:val="bottom"/>
            <w:tcBorders>
              <w:top w:val="single" w:sz="8" w:color="auto"/>
            </w:tcBorders>
            <w:shd w:val="clear" w:color="auto" w:fill="E8FFFA"/>
          </w:tcPr>
          <w:p>
            <w:pPr>
              <w:spacing w:after="0"/>
              <w:rPr>
                <w:sz w:val="11"/>
                <w:szCs w:val="11"/>
                <w:color w:val="auto"/>
              </w:rPr>
            </w:pPr>
          </w:p>
        </w:tc>
        <w:tc>
          <w:tcPr>
            <w:tcW w:w="50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4" w:lineRule="exact"/>
              <w:rPr>
                <w:sz w:val="20"/>
                <w:szCs w:val="20"/>
                <w:color w:val="auto"/>
              </w:rPr>
            </w:pPr>
            <w:r>
              <w:rPr>
                <w:rFonts w:ascii="Arial" w:cs="Arial" w:eastAsia="Arial" w:hAnsi="Arial"/>
                <w:sz w:val="14"/>
                <w:szCs w:val="14"/>
                <w:b w:val="1"/>
                <w:bCs w:val="1"/>
                <w:color w:val="auto"/>
              </w:rPr>
              <w:t>2017 (as</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shd w:val="clear" w:color="auto" w:fill="E8FFFA"/>
          </w:tcPr>
          <w:p>
            <w:pPr>
              <w:ind w:left="10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5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w w:val="98"/>
              </w:rPr>
              <w:t>789,298</w:t>
            </w:r>
          </w:p>
        </w:tc>
        <w:tc>
          <w:tcPr>
            <w:tcW w:w="6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11,073</w:t>
            </w:r>
          </w:p>
        </w:tc>
        <w:tc>
          <w:tcPr>
            <w:tcW w:w="80" w:type="dxa"/>
            <w:vAlign w:val="bottom"/>
            <w:shd w:val="clear" w:color="auto" w:fill="E8FFFA"/>
          </w:tcPr>
          <w:p>
            <w:pPr>
              <w:spacing w:after="0"/>
              <w:rPr>
                <w:sz w:val="16"/>
                <w:szCs w:val="16"/>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1"/>
              </w:rPr>
              <w:t>38,675,593</w:t>
            </w:r>
          </w:p>
        </w:tc>
        <w:tc>
          <w:tcPr>
            <w:tcW w:w="60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702,445</w:t>
            </w:r>
          </w:p>
        </w:tc>
        <w:tc>
          <w:tcPr>
            <w:tcW w:w="80" w:type="dxa"/>
            <w:vAlign w:val="bottom"/>
            <w:shd w:val="clear" w:color="auto" w:fill="E8FFFA"/>
          </w:tcPr>
          <w:p>
            <w:pPr>
              <w:spacing w:after="0"/>
              <w:rPr>
                <w:sz w:val="16"/>
                <w:szCs w:val="16"/>
                <w:color w:val="auto"/>
              </w:rPr>
            </w:pPr>
          </w:p>
        </w:tc>
        <w:tc>
          <w:tcPr>
            <w:tcW w:w="740" w:type="dxa"/>
            <w:vAlign w:val="bottom"/>
            <w:gridSpan w:val="2"/>
            <w:shd w:val="clear" w:color="auto" w:fill="E8FFFA"/>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8FFFA"/>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5,764</w:t>
            </w:r>
          </w:p>
        </w:tc>
        <w:tc>
          <w:tcPr>
            <w:tcW w:w="100" w:type="dxa"/>
            <w:vAlign w:val="bottom"/>
            <w:shd w:val="clear" w:color="auto" w:fill="E8FFFA"/>
          </w:tcPr>
          <w:p>
            <w:pPr>
              <w:spacing w:after="0"/>
              <w:rPr>
                <w:sz w:val="16"/>
                <w:szCs w:val="16"/>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9"/>
              </w:rPr>
              <w:t>5,750,000</w:t>
            </w:r>
          </w:p>
        </w:tc>
        <w:tc>
          <w:tcPr>
            <w:tcW w:w="60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140,331</w:t>
            </w:r>
          </w:p>
        </w:tc>
        <w:tc>
          <w:tcPr>
            <w:tcW w:w="80" w:type="dxa"/>
            <w:vAlign w:val="bottom"/>
            <w:shd w:val="clear" w:color="auto" w:fill="E8FFFA"/>
          </w:tcPr>
          <w:p>
            <w:pPr>
              <w:spacing w:after="0"/>
              <w:rPr>
                <w:sz w:val="16"/>
                <w:szCs w:val="16"/>
                <w:color w:val="auto"/>
              </w:rPr>
            </w:pPr>
          </w:p>
        </w:tc>
        <w:tc>
          <w:tcPr>
            <w:tcW w:w="6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859,613</w:t>
            </w:r>
          </w:p>
        </w:tc>
        <w:tc>
          <w:tcPr>
            <w:tcW w:w="80" w:type="dxa"/>
            <w:vAlign w:val="bottom"/>
            <w:shd w:val="clear" w:color="auto" w:fill="E8FFFA"/>
          </w:tcPr>
          <w:p>
            <w:pPr>
              <w:spacing w:after="0"/>
              <w:rPr>
                <w:sz w:val="16"/>
                <w:szCs w:val="16"/>
                <w:color w:val="auto"/>
              </w:rPr>
            </w:pPr>
          </w:p>
        </w:tc>
        <w:tc>
          <w:tcPr>
            <w:tcW w:w="5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8"/>
              </w:rPr>
              <w:t>163,214</w:t>
            </w:r>
          </w:p>
        </w:tc>
        <w:tc>
          <w:tcPr>
            <w:tcW w:w="80" w:type="dxa"/>
            <w:vAlign w:val="bottom"/>
            <w:shd w:val="clear" w:color="auto" w:fill="E8FFFA"/>
          </w:tcPr>
          <w:p>
            <w:pPr>
              <w:spacing w:after="0"/>
              <w:rPr>
                <w:sz w:val="16"/>
                <w:szCs w:val="16"/>
                <w:color w:val="auto"/>
              </w:rPr>
            </w:pPr>
          </w:p>
        </w:tc>
        <w:tc>
          <w:tcPr>
            <w:tcW w:w="6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3"/>
              </w:rPr>
              <w:t>1,022,827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line="156" w:lineRule="exact"/>
              <w:rPr>
                <w:sz w:val="20"/>
                <w:szCs w:val="20"/>
                <w:color w:val="auto"/>
              </w:rPr>
            </w:pPr>
            <w:r>
              <w:rPr>
                <w:rFonts w:ascii="Arial" w:cs="Arial" w:eastAsia="Arial" w:hAnsi="Arial"/>
                <w:sz w:val="14"/>
                <w:szCs w:val="14"/>
                <w:b w:val="1"/>
                <w:bCs w:val="1"/>
                <w:color w:val="auto"/>
              </w:rPr>
              <w:t>Balance at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20" w:type="dxa"/>
            <w:vAlign w:val="bottom"/>
          </w:tcPr>
          <w:p>
            <w:pPr>
              <w:ind w:left="100"/>
              <w:spacing w:after="0" w:line="144" w:lineRule="exact"/>
              <w:rPr>
                <w:sz w:val="20"/>
                <w:szCs w:val="20"/>
                <w:color w:val="auto"/>
              </w:rPr>
            </w:pPr>
            <w:r>
              <w:rPr>
                <w:rFonts w:ascii="Arial" w:cs="Arial" w:eastAsia="Arial" w:hAnsi="Arial"/>
                <w:sz w:val="14"/>
                <w:szCs w:val="14"/>
                <w:b w:val="1"/>
                <w:bCs w:val="1"/>
                <w:color w:val="auto"/>
                <w:w w:val="93"/>
              </w:rPr>
              <w:t>January 1, 2018 (as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10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836,779</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11,781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41,002,121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752,456</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6,596</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5,750,000</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139,321</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910,154</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53,354</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963,508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Profit and total</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comprehensive</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income attributable</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to GasLog's</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w w:val="94"/>
              </w:rPr>
              <w:t>operations (Note 14)</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3,673</w:t>
            </w:r>
          </w:p>
        </w:tc>
        <w:tc>
          <w:tcPr>
            <w:tcW w:w="80" w:type="dxa"/>
            <w:vAlign w:val="bottom"/>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3,673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Net proceeds from</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w w:val="98"/>
              </w:rPr>
              <w:t>public offerings and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issuances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common units and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w w:val="93"/>
              </w:rPr>
              <w:t>general partner units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(Note 5)</w:t>
            </w: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38,653</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935</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1,020</w:t>
            </w:r>
          </w:p>
        </w:tc>
        <w:tc>
          <w:tcPr>
            <w:tcW w:w="6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924</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w w:val="98"/>
              </w:rPr>
              <w:t>Settlement of awards</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vested during the</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rPr>
              <w:t>period</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33,998</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Net proceeds from</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public offering and</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preference units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(Note 5)</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9"/>
              </w:rPr>
              <w:t>4,600,000</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111,194</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111,194</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111,194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Issuance of common</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units to GasLog in</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exchange for net</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assets contribution</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rPr>
              <w:t>to the Partnership</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1,858,975</w:t>
            </w:r>
          </w:p>
        </w:tc>
        <w:tc>
          <w:tcPr>
            <w:tcW w:w="6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45,000</w:t>
            </w:r>
          </w:p>
        </w:tc>
        <w:tc>
          <w:tcPr>
            <w:tcW w:w="80" w:type="dxa"/>
            <w:vAlign w:val="bottom"/>
            <w:shd w:val="clear" w:color="auto" w:fill="E8FFFA"/>
          </w:tcPr>
          <w:p>
            <w:pPr>
              <w:spacing w:after="0"/>
              <w:rPr>
                <w:sz w:val="13"/>
                <w:szCs w:val="13"/>
                <w:color w:val="auto"/>
              </w:rPr>
            </w:pP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45,000</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rPr>
              <w:t>(45,000)</w:t>
            </w: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Cash distribution to</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w w:val="93"/>
              </w:rPr>
              <w:t>GasLog in exchange</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for net assets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contribution to the</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Partnership</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(19,086)</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Difference between</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net book values of</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w w:val="99"/>
              </w:rPr>
              <w:t>acquired subsidiary</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rPr>
              <w:t>and consideration</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rPr>
              <w:t>paid</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rPr>
              <w:t>(486)</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rPr>
              <w:t>(6,573)</w:t>
            </w: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8FFFA"/>
          </w:tcPr>
          <w:p>
            <w:pPr>
              <w:jc w:val="right"/>
              <w:ind w:right="40"/>
              <w:spacing w:after="0" w:line="159" w:lineRule="exact"/>
              <w:rPr>
                <w:sz w:val="20"/>
                <w:szCs w:val="20"/>
                <w:color w:val="auto"/>
              </w:rPr>
            </w:pPr>
            <w:r>
              <w:rPr>
                <w:rFonts w:ascii="Arial" w:cs="Arial" w:eastAsia="Arial" w:hAnsi="Arial"/>
                <w:sz w:val="14"/>
                <w:szCs w:val="14"/>
                <w:color w:val="auto"/>
              </w:rPr>
              <w:t>(7,059)</w:t>
            </w:r>
          </w:p>
        </w:tc>
        <w:tc>
          <w:tcPr>
            <w:tcW w:w="5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7,059</w:t>
            </w:r>
          </w:p>
        </w:tc>
        <w:tc>
          <w:tcPr>
            <w:tcW w:w="80" w:type="dxa"/>
            <w:vAlign w:val="bottom"/>
            <w:shd w:val="clear" w:color="auto" w:fill="E8FFFA"/>
          </w:tcPr>
          <w:p>
            <w:pPr>
              <w:spacing w:after="0"/>
              <w:rPr>
                <w:sz w:val="13"/>
                <w:szCs w:val="13"/>
                <w:color w:val="auto"/>
              </w:rPr>
            </w:pP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w w:val="96"/>
              </w:rPr>
              <w:t>Distributions declared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(Note 13)</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(942)</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(44,199)</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(1,976)</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(10,076)</w:t>
            </w: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(57,193)</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(57,193)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E8FFFA"/>
          </w:tcPr>
          <w:p>
            <w:pPr>
              <w:spacing w:after="0" w:line="138" w:lineRule="exact"/>
              <w:rPr>
                <w:sz w:val="20"/>
                <w:szCs w:val="20"/>
                <w:color w:val="auto"/>
              </w:rPr>
            </w:pPr>
            <w:r>
              <w:rPr>
                <w:rFonts w:ascii="Arial" w:cs="Arial" w:eastAsia="Arial" w:hAnsi="Arial"/>
                <w:sz w:val="14"/>
                <w:szCs w:val="14"/>
                <w:color w:val="auto"/>
              </w:rPr>
              <w:t>Share-based</w:t>
            </w:r>
          </w:p>
        </w:tc>
        <w:tc>
          <w:tcPr>
            <w:tcW w:w="20" w:type="dxa"/>
            <w:vAlign w:val="bottom"/>
            <w:shd w:val="clear" w:color="auto" w:fill="E8FFFA"/>
          </w:tcPr>
          <w:p>
            <w:pPr>
              <w:spacing w:after="0"/>
              <w:rPr>
                <w:sz w:val="11"/>
                <w:szCs w:val="11"/>
                <w:color w:val="auto"/>
              </w:rPr>
            </w:pPr>
          </w:p>
        </w:tc>
        <w:tc>
          <w:tcPr>
            <w:tcW w:w="5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E8FFFA"/>
          </w:tcPr>
          <w:p>
            <w:pPr>
              <w:ind w:left="100"/>
              <w:spacing w:after="0" w:line="149" w:lineRule="exact"/>
              <w:rPr>
                <w:sz w:val="20"/>
                <w:szCs w:val="20"/>
                <w:color w:val="auto"/>
              </w:rPr>
            </w:pPr>
            <w:r>
              <w:rPr>
                <w:rFonts w:ascii="Arial" w:cs="Arial" w:eastAsia="Arial" w:hAnsi="Arial"/>
                <w:sz w:val="14"/>
                <w:szCs w:val="14"/>
                <w:color w:val="auto"/>
                <w:w w:val="92"/>
              </w:rPr>
              <w:t>compensation, net of</w:t>
            </w:r>
          </w:p>
        </w:tc>
        <w:tc>
          <w:tcPr>
            <w:tcW w:w="20" w:type="dxa"/>
            <w:vAlign w:val="bottom"/>
            <w:shd w:val="clear" w:color="auto" w:fill="E8FFFA"/>
          </w:tcPr>
          <w:p>
            <w:pPr>
              <w:spacing w:after="0"/>
              <w:rPr>
                <w:sz w:val="12"/>
                <w:szCs w:val="12"/>
                <w:color w:val="auto"/>
              </w:rPr>
            </w:pPr>
          </w:p>
        </w:tc>
        <w:tc>
          <w:tcPr>
            <w:tcW w:w="5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4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100" w:type="dxa"/>
            <w:vAlign w:val="bottom"/>
            <w:shd w:val="clear" w:color="auto" w:fill="E8FFFA"/>
          </w:tcPr>
          <w:p>
            <w:pPr>
              <w:spacing w:after="0"/>
              <w:rPr>
                <w:sz w:val="12"/>
                <w:szCs w:val="12"/>
                <w:color w:val="auto"/>
              </w:rPr>
            </w:pPr>
          </w:p>
        </w:tc>
        <w:tc>
          <w:tcPr>
            <w:tcW w:w="66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0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520" w:type="dxa"/>
            <w:vAlign w:val="bottom"/>
            <w:shd w:val="clear" w:color="auto" w:fill="E8FFFA"/>
          </w:tcPr>
          <w:p>
            <w:pPr>
              <w:spacing w:after="0"/>
              <w:rPr>
                <w:sz w:val="12"/>
                <w:szCs w:val="12"/>
                <w:color w:val="auto"/>
              </w:rPr>
            </w:pPr>
          </w:p>
        </w:tc>
        <w:tc>
          <w:tcPr>
            <w:tcW w:w="80" w:type="dxa"/>
            <w:vAlign w:val="bottom"/>
            <w:shd w:val="clear" w:color="auto" w:fill="E8FFFA"/>
          </w:tcPr>
          <w:p>
            <w:pPr>
              <w:spacing w:after="0"/>
              <w:rPr>
                <w:sz w:val="12"/>
                <w:szCs w:val="12"/>
                <w:color w:val="auto"/>
              </w:rPr>
            </w:pPr>
          </w:p>
        </w:tc>
        <w:tc>
          <w:tcPr>
            <w:tcW w:w="620" w:type="dxa"/>
            <w:vAlign w:val="bottom"/>
            <w:shd w:val="clear" w:color="auto" w:fill="E8FF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E8FFFA"/>
          </w:tcPr>
          <w:p>
            <w:pPr>
              <w:ind w:left="100"/>
              <w:spacing w:after="0" w:line="159" w:lineRule="exact"/>
              <w:rPr>
                <w:sz w:val="20"/>
                <w:szCs w:val="20"/>
                <w:color w:val="auto"/>
              </w:rPr>
            </w:pPr>
            <w:r>
              <w:rPr>
                <w:rFonts w:ascii="Arial" w:cs="Arial" w:eastAsia="Arial" w:hAnsi="Arial"/>
                <w:sz w:val="14"/>
                <w:szCs w:val="14"/>
                <w:color w:val="auto"/>
                <w:w w:val="98"/>
              </w:rPr>
              <w:t>accrued distribution</w:t>
            </w:r>
          </w:p>
        </w:tc>
        <w:tc>
          <w:tcPr>
            <w:tcW w:w="20" w:type="dxa"/>
            <w:vAlign w:val="bottom"/>
            <w:shd w:val="clear" w:color="auto" w:fill="E8FFFA"/>
          </w:tcPr>
          <w:p>
            <w:pPr>
              <w:spacing w:after="0"/>
              <w:rPr>
                <w:sz w:val="13"/>
                <w:szCs w:val="13"/>
                <w:color w:val="auto"/>
              </w:rPr>
            </w:pPr>
          </w:p>
        </w:tc>
        <w:tc>
          <w:tcPr>
            <w:tcW w:w="5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7</w:t>
            </w:r>
          </w:p>
        </w:tc>
        <w:tc>
          <w:tcPr>
            <w:tcW w:w="80" w:type="dxa"/>
            <w:vAlign w:val="bottom"/>
            <w:shd w:val="clear" w:color="auto" w:fill="E8FFFA"/>
          </w:tcPr>
          <w:p>
            <w:pPr>
              <w:spacing w:after="0"/>
              <w:rPr>
                <w:sz w:val="13"/>
                <w:szCs w:val="13"/>
                <w:color w:val="auto"/>
              </w:rPr>
            </w:pP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262</w:t>
            </w:r>
          </w:p>
        </w:tc>
        <w:tc>
          <w:tcPr>
            <w:tcW w:w="80" w:type="dxa"/>
            <w:vAlign w:val="bottom"/>
            <w:shd w:val="clear" w:color="auto" w:fill="E8FFFA"/>
          </w:tcPr>
          <w:p>
            <w:pPr>
              <w:spacing w:after="0"/>
              <w:rPr>
                <w:sz w:val="13"/>
                <w:szCs w:val="13"/>
                <w:color w:val="auto"/>
              </w:rPr>
            </w:pPr>
          </w:p>
        </w:tc>
        <w:tc>
          <w:tcPr>
            <w:tcW w:w="740" w:type="dxa"/>
            <w:vAlign w:val="bottom"/>
            <w:gridSpan w:val="2"/>
            <w:shd w:val="clear" w:color="auto" w:fill="E8FFFA"/>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80</w:t>
            </w:r>
          </w:p>
        </w:tc>
        <w:tc>
          <w:tcPr>
            <w:tcW w:w="100" w:type="dxa"/>
            <w:vAlign w:val="bottom"/>
            <w:shd w:val="clear" w:color="auto" w:fill="E8FFFA"/>
          </w:tcPr>
          <w:p>
            <w:pPr>
              <w:spacing w:after="0"/>
              <w:rPr>
                <w:sz w:val="13"/>
                <w:szCs w:val="13"/>
                <w:color w:val="auto"/>
              </w:rPr>
            </w:pP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349</w:t>
            </w:r>
          </w:p>
        </w:tc>
        <w:tc>
          <w:tcPr>
            <w:tcW w:w="80" w:type="dxa"/>
            <w:vAlign w:val="bottom"/>
            <w:shd w:val="clear" w:color="auto" w:fill="E8FFFA"/>
          </w:tcPr>
          <w:p>
            <w:pPr>
              <w:spacing w:after="0"/>
              <w:rPr>
                <w:sz w:val="13"/>
                <w:szCs w:val="13"/>
                <w:color w:val="auto"/>
              </w:rPr>
            </w:pPr>
          </w:p>
        </w:tc>
        <w:tc>
          <w:tcPr>
            <w:tcW w:w="600" w:type="dxa"/>
            <w:vAlign w:val="bottom"/>
            <w:gridSpan w:val="2"/>
            <w:shd w:val="clear" w:color="auto" w:fill="E8FFFA"/>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349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Partnership's profit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and total</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00"/>
              <w:spacing w:after="0" w:line="149"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100"/>
              <w:spacing w:after="0" w:line="159" w:lineRule="exact"/>
              <w:rPr>
                <w:sz w:val="20"/>
                <w:szCs w:val="20"/>
                <w:color w:val="auto"/>
              </w:rPr>
            </w:pPr>
            <w:r>
              <w:rPr>
                <w:rFonts w:ascii="Arial" w:cs="Arial" w:eastAsia="Arial" w:hAnsi="Arial"/>
                <w:sz w:val="14"/>
                <w:szCs w:val="14"/>
                <w:color w:val="auto"/>
              </w:rPr>
              <w:t>income (Note 14)</w:t>
            </w:r>
          </w:p>
        </w:tc>
        <w:tc>
          <w:tcPr>
            <w:tcW w:w="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888</w:t>
            </w: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41,152</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2,368</w:t>
            </w: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10,495</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54,903</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54,903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shd w:val="clear" w:color="auto" w:fill="E8FFFA"/>
          </w:tcPr>
          <w:p>
            <w:pPr>
              <w:spacing w:after="0" w:line="129" w:lineRule="exact"/>
              <w:rPr>
                <w:sz w:val="20"/>
                <w:szCs w:val="20"/>
                <w:color w:val="auto"/>
              </w:rPr>
            </w:pPr>
            <w:r>
              <w:rPr>
                <w:rFonts w:ascii="Arial" w:cs="Arial" w:eastAsia="Arial" w:hAnsi="Arial"/>
                <w:sz w:val="14"/>
                <w:szCs w:val="14"/>
                <w:b w:val="1"/>
                <w:bCs w:val="1"/>
                <w:color w:val="auto"/>
              </w:rPr>
              <w:t>Balance at June 30,</w:t>
            </w:r>
          </w:p>
        </w:tc>
        <w:tc>
          <w:tcPr>
            <w:tcW w:w="20" w:type="dxa"/>
            <w:vAlign w:val="bottom"/>
            <w:tcBorders>
              <w:top w:val="single" w:sz="8" w:color="auto"/>
            </w:tcBorders>
            <w:shd w:val="clear" w:color="auto" w:fill="E8FFFA"/>
          </w:tcPr>
          <w:p>
            <w:pPr>
              <w:spacing w:after="0"/>
              <w:rPr>
                <w:sz w:val="11"/>
                <w:szCs w:val="11"/>
                <w:color w:val="auto"/>
              </w:rPr>
            </w:pPr>
          </w:p>
        </w:tc>
        <w:tc>
          <w:tcPr>
            <w:tcW w:w="50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4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100" w:type="dxa"/>
            <w:vAlign w:val="bottom"/>
            <w:shd w:val="clear" w:color="auto" w:fill="E8FFFA"/>
          </w:tcPr>
          <w:p>
            <w:pPr>
              <w:spacing w:after="0"/>
              <w:rPr>
                <w:sz w:val="11"/>
                <w:szCs w:val="11"/>
                <w:color w:val="auto"/>
              </w:rPr>
            </w:pPr>
          </w:p>
        </w:tc>
        <w:tc>
          <w:tcPr>
            <w:tcW w:w="66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0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520" w:type="dxa"/>
            <w:vAlign w:val="bottom"/>
            <w:tcBorders>
              <w:top w:val="single" w:sz="8" w:color="auto"/>
            </w:tcBorders>
            <w:shd w:val="clear" w:color="auto" w:fill="E8FFFA"/>
          </w:tcPr>
          <w:p>
            <w:pPr>
              <w:spacing w:after="0"/>
              <w:rPr>
                <w:sz w:val="11"/>
                <w:szCs w:val="11"/>
                <w:color w:val="auto"/>
              </w:rPr>
            </w:pPr>
          </w:p>
        </w:tc>
        <w:tc>
          <w:tcPr>
            <w:tcW w:w="80" w:type="dxa"/>
            <w:vAlign w:val="bottom"/>
            <w:shd w:val="clear" w:color="auto" w:fill="E8FFFA"/>
          </w:tcPr>
          <w:p>
            <w:pPr>
              <w:spacing w:after="0"/>
              <w:rPr>
                <w:sz w:val="11"/>
                <w:szCs w:val="11"/>
                <w:color w:val="auto"/>
              </w:rPr>
            </w:pPr>
          </w:p>
        </w:tc>
        <w:tc>
          <w:tcPr>
            <w:tcW w:w="620" w:type="dxa"/>
            <w:vAlign w:val="bottom"/>
            <w:tcBorders>
              <w:top w:val="single" w:sz="8" w:color="auto"/>
            </w:tcBorders>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E8FFFA"/>
          </w:tcPr>
          <w:p>
            <w:pPr>
              <w:ind w:left="100"/>
              <w:spacing w:after="0"/>
              <w:rPr>
                <w:sz w:val="20"/>
                <w:szCs w:val="20"/>
                <w:color w:val="auto"/>
              </w:rPr>
            </w:pPr>
            <w:r>
              <w:rPr>
                <w:rFonts w:ascii="Arial" w:cs="Arial" w:eastAsia="Arial" w:hAnsi="Arial"/>
                <w:sz w:val="14"/>
                <w:szCs w:val="14"/>
                <w:b w:val="1"/>
                <w:bCs w:val="1"/>
                <w:color w:val="auto"/>
              </w:rPr>
              <w:t>2018</w:t>
            </w:r>
          </w:p>
        </w:tc>
        <w:tc>
          <w:tcPr>
            <w:tcW w:w="5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w w:val="98"/>
              </w:rPr>
              <w:t>875,432</w:t>
            </w:r>
          </w:p>
        </w:tc>
        <w:tc>
          <w:tcPr>
            <w:tcW w:w="62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12,183</w:t>
            </w:r>
          </w:p>
        </w:tc>
        <w:tc>
          <w:tcPr>
            <w:tcW w:w="80" w:type="dxa"/>
            <w:vAlign w:val="bottom"/>
            <w:shd w:val="clear" w:color="auto" w:fill="E8FFFA"/>
          </w:tcPr>
          <w:p>
            <w:pPr>
              <w:spacing w:after="0"/>
              <w:rPr>
                <w:sz w:val="14"/>
                <w:szCs w:val="14"/>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1"/>
              </w:rPr>
              <w:t>42,896,114</w:t>
            </w:r>
          </w:p>
        </w:tc>
        <w:tc>
          <w:tcPr>
            <w:tcW w:w="60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788,087</w:t>
            </w:r>
          </w:p>
        </w:tc>
        <w:tc>
          <w:tcPr>
            <w:tcW w:w="80" w:type="dxa"/>
            <w:vAlign w:val="bottom"/>
            <w:shd w:val="clear" w:color="auto" w:fill="E8FFFA"/>
          </w:tcPr>
          <w:p>
            <w:pPr>
              <w:spacing w:after="0"/>
              <w:rPr>
                <w:sz w:val="14"/>
                <w:szCs w:val="14"/>
                <w:color w:val="auto"/>
              </w:rPr>
            </w:pPr>
          </w:p>
        </w:tc>
        <w:tc>
          <w:tcPr>
            <w:tcW w:w="740" w:type="dxa"/>
            <w:vAlign w:val="bottom"/>
            <w:gridSpan w:val="2"/>
            <w:shd w:val="clear" w:color="auto" w:fill="E8FFFA"/>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8FFFA"/>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rPr>
              <w:t>7,068</w:t>
            </w:r>
          </w:p>
        </w:tc>
        <w:tc>
          <w:tcPr>
            <w:tcW w:w="100" w:type="dxa"/>
            <w:vAlign w:val="bottom"/>
            <w:shd w:val="clear" w:color="auto" w:fill="E8FFFA"/>
          </w:tcPr>
          <w:p>
            <w:pPr>
              <w:spacing w:after="0"/>
              <w:rPr>
                <w:sz w:val="14"/>
                <w:szCs w:val="14"/>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88"/>
              </w:rPr>
              <w:t>10,350,000</w:t>
            </w:r>
          </w:p>
        </w:tc>
        <w:tc>
          <w:tcPr>
            <w:tcW w:w="600" w:type="dxa"/>
            <w:vAlign w:val="bottom"/>
            <w:gridSpan w:val="2"/>
            <w:shd w:val="clear" w:color="auto" w:fill="E8FFFA"/>
          </w:tcPr>
          <w:p>
            <w:pPr>
              <w:jc w:val="right"/>
              <w:spacing w:after="0"/>
              <w:rPr>
                <w:sz w:val="20"/>
                <w:szCs w:val="20"/>
                <w:color w:val="auto"/>
              </w:rPr>
            </w:pPr>
            <w:r>
              <w:rPr>
                <w:rFonts w:ascii="Arial" w:cs="Arial" w:eastAsia="Arial" w:hAnsi="Arial"/>
                <w:sz w:val="14"/>
                <w:szCs w:val="14"/>
                <w:b w:val="1"/>
                <w:bCs w:val="1"/>
                <w:color w:val="auto"/>
              </w:rPr>
              <w:t>250,934</w:t>
            </w:r>
          </w:p>
        </w:tc>
        <w:tc>
          <w:tcPr>
            <w:tcW w:w="80" w:type="dxa"/>
            <w:vAlign w:val="bottom"/>
            <w:shd w:val="clear" w:color="auto" w:fill="E8FFFA"/>
          </w:tcPr>
          <w:p>
            <w:pPr>
              <w:spacing w:after="0"/>
              <w:rPr>
                <w:sz w:val="14"/>
                <w:szCs w:val="14"/>
                <w:color w:val="auto"/>
              </w:rPr>
            </w:pPr>
          </w:p>
        </w:tc>
        <w:tc>
          <w:tcPr>
            <w:tcW w:w="60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89"/>
              </w:rPr>
              <w:t>1,058,272</w:t>
            </w:r>
          </w:p>
        </w:tc>
        <w:tc>
          <w:tcPr>
            <w:tcW w:w="80" w:type="dxa"/>
            <w:vAlign w:val="bottom"/>
            <w:shd w:val="clear" w:color="auto" w:fill="E8FFFA"/>
          </w:tcPr>
          <w:p>
            <w:pPr>
              <w:spacing w:after="0"/>
              <w:rPr>
                <w:sz w:val="14"/>
                <w:szCs w:val="14"/>
                <w:color w:val="auto"/>
              </w:rPr>
            </w:pPr>
          </w:p>
        </w:tc>
        <w:tc>
          <w:tcPr>
            <w:tcW w:w="600" w:type="dxa"/>
            <w:vAlign w:val="bottom"/>
            <w:gridSpan w:val="2"/>
            <w:shd w:val="clear" w:color="auto" w:fill="E8FFFA"/>
          </w:tcPr>
          <w:p>
            <w:pPr>
              <w:jc w:val="right"/>
              <w:ind w:right="8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8FFFA"/>
          </w:tcPr>
          <w:p>
            <w:pPr>
              <w:jc w:val="right"/>
              <w:spacing w:after="0"/>
              <w:rPr>
                <w:sz w:val="20"/>
                <w:szCs w:val="20"/>
                <w:color w:val="auto"/>
              </w:rPr>
            </w:pPr>
            <w:r>
              <w:rPr>
                <w:rFonts w:ascii="Arial" w:cs="Arial" w:eastAsia="Arial" w:hAnsi="Arial"/>
                <w:sz w:val="14"/>
                <w:szCs w:val="14"/>
                <w:b w:val="1"/>
                <w:bCs w:val="1"/>
                <w:color w:val="auto"/>
                <w:w w:val="93"/>
              </w:rPr>
              <w:t>1,058,272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GAS-eight Ltd. and GAS-fourteen Ltd., acquired on May 3, 2017, July 3, 2017, October 20, 2017 and April 26, 2018, respectively, from GasLog (Note 1).</w:t>
      </w:r>
    </w:p>
    <w:p>
      <w:pPr>
        <w:sectPr>
          <w:pgSz w:w="11900" w:h="16838" w:orient="portrait"/>
          <w:cols w:equalWidth="0" w:num="1">
            <w:col w:w="11340"/>
          </w:cols>
          <w:pgMar w:left="240" w:top="125" w:right="319" w:bottom="171" w:gutter="0" w:footer="0" w:header="0"/>
        </w:sectPr>
      </w:pPr>
    </w:p>
    <w:bookmarkStart w:id="37" w:name="page38"/>
    <w:bookmarkEnd w:id="37"/>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ectPr>
          <w:pgSz w:w="11900" w:h="16838" w:orient="portrait"/>
          <w:cols w:equalWidth="0" w:num="1">
            <w:col w:w="9019"/>
          </w:cols>
          <w:pgMar w:left="1440" w:top="131" w:right="1440" w:bottom="144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GasLog Partners LP</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For the six months ended June 30, 2017 and 2018</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(All amounts expressed in thousands of U.S. Dollars)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40" w:type="dxa"/>
            <w:vAlign w:val="bottom"/>
            <w:gridSpan w:val="4"/>
          </w:tcPr>
          <w:p>
            <w:pPr>
              <w:ind w:left="4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June 30,</w:t>
            </w: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2017</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744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1"/>
              </w:rPr>
              <w:t>(restated)</w:t>
            </w:r>
            <w:r>
              <w:rPr>
                <w:rFonts w:ascii="Arial" w:cs="Arial" w:eastAsia="Arial" w:hAnsi="Arial"/>
                <w:sz w:val="29"/>
                <w:szCs w:val="29"/>
                <w:b w:val="1"/>
                <w:bCs w:val="1"/>
                <w:color w:val="auto"/>
                <w:w w:val="81"/>
                <w:vertAlign w:val="superscript"/>
              </w:rPr>
              <w:t>(1)</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744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Profit for the period</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61,986</w:t>
            </w: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Adjustments for:</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36,464</w:t>
            </w: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1220" w:type="dxa"/>
            <w:vAlign w:val="bottom"/>
          </w:tcPr>
          <w:p>
            <w:pPr>
              <w:jc w:val="right"/>
              <w:spacing w:after="0"/>
              <w:rPr>
                <w:sz w:val="20"/>
                <w:szCs w:val="20"/>
                <w:color w:val="auto"/>
              </w:rPr>
            </w:pPr>
            <w:r>
              <w:rPr>
                <w:rFonts w:ascii="Arial" w:cs="Arial" w:eastAsia="Arial" w:hAnsi="Arial"/>
                <w:sz w:val="18"/>
                <w:szCs w:val="18"/>
                <w:color w:val="auto"/>
              </w:rPr>
              <w:t>29,066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4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(373)</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Unrealized loss/(gain) on derivatives held for trading</w:t>
            </w:r>
          </w:p>
        </w:tc>
        <w:tc>
          <w:tcPr>
            <w:tcW w:w="1220" w:type="dxa"/>
            <w:vAlign w:val="bottom"/>
          </w:tcPr>
          <w:p>
            <w:pPr>
              <w:jc w:val="right"/>
              <w:spacing w:after="0"/>
              <w:rPr>
                <w:sz w:val="20"/>
                <w:szCs w:val="20"/>
                <w:color w:val="auto"/>
              </w:rPr>
            </w:pPr>
            <w:r>
              <w:rPr>
                <w:rFonts w:ascii="Arial" w:cs="Arial" w:eastAsia="Arial" w:hAnsi="Arial"/>
                <w:sz w:val="18"/>
                <w:szCs w:val="18"/>
                <w:color w:val="auto"/>
              </w:rPr>
              <w:t>1,209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Share-based compensation</w:t>
            </w: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E8FFFA"/>
          </w:tcPr>
          <w:p>
            <w:pPr>
              <w:spacing w:after="0"/>
              <w:rPr>
                <w:sz w:val="18"/>
                <w:szCs w:val="18"/>
                <w:color w:val="auto"/>
              </w:rPr>
            </w:pP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128,723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Movements in working capital</w:t>
            </w:r>
          </w:p>
        </w:tc>
        <w:tc>
          <w:tcPr>
            <w:tcW w:w="14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(9,025)</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provided by operations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119,698</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Interest paid</w:t>
            </w: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(25,921)</w:t>
            </w:r>
          </w:p>
        </w:tc>
        <w:tc>
          <w:tcPr>
            <w:tcW w:w="240" w:type="dxa"/>
            <w:vAlign w:val="bottom"/>
            <w:shd w:val="clear" w:color="auto" w:fill="E8FFFA"/>
          </w:tcPr>
          <w:p>
            <w:pPr>
              <w:spacing w:after="0"/>
              <w:rPr>
                <w:sz w:val="18"/>
                <w:szCs w:val="18"/>
                <w:color w:val="auto"/>
              </w:rPr>
            </w:pP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93,777</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E8FFFA"/>
          </w:tcPr>
          <w:p>
            <w:pPr>
              <w:spacing w:after="0"/>
              <w:rPr>
                <w:sz w:val="18"/>
                <w:szCs w:val="18"/>
                <w:color w:val="auto"/>
              </w:rPr>
            </w:pP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Payments for vessels' additions</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220" w:type="dxa"/>
            <w:vAlign w:val="bottom"/>
          </w:tcPr>
          <w:p>
            <w:pPr>
              <w:jc w:val="right"/>
              <w:spacing w:after="0"/>
              <w:rPr>
                <w:sz w:val="20"/>
                <w:szCs w:val="20"/>
                <w:color w:val="auto"/>
              </w:rPr>
            </w:pPr>
            <w:r>
              <w:rPr>
                <w:rFonts w:ascii="Arial" w:cs="Arial" w:eastAsia="Arial" w:hAnsi="Arial"/>
                <w:sz w:val="18"/>
                <w:szCs w:val="18"/>
                <w:color w:val="auto"/>
              </w:rPr>
              <w:t>(13,590)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Financial income received</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Maturity of short-term 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Purchase of short-term investments</w:t>
            </w:r>
          </w:p>
        </w:tc>
        <w:tc>
          <w:tcPr>
            <w:tcW w:w="1460" w:type="dxa"/>
            <w:vAlign w:val="bottom"/>
            <w:gridSpan w:val="2"/>
            <w:shd w:val="clear" w:color="auto" w:fill="E8FFF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shd w:val="clear" w:color="auto" w:fill="E8FFFA"/>
          </w:tcPr>
          <w:p>
            <w:pPr>
              <w:spacing w:after="0"/>
              <w:rPr>
                <w:sz w:val="18"/>
                <w:szCs w:val="18"/>
                <w:color w:val="auto"/>
              </w:rPr>
            </w:pP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Borrowings drawdowns</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Borrowings repayments</w:t>
            </w:r>
          </w:p>
        </w:tc>
        <w:tc>
          <w:tcPr>
            <w:tcW w:w="14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(120,129)</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(119,757)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Payment of loan issuance costs</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(1,499)</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Proceeds from public offerings and issuances of common units and general</w:t>
            </w:r>
          </w:p>
        </w:tc>
        <w:tc>
          <w:tcPr>
            <w:tcW w:w="1220" w:type="dxa"/>
            <w:vAlign w:val="bottom"/>
            <w:shd w:val="clear" w:color="auto" w:fill="E8FFFA"/>
          </w:tcPr>
          <w:p>
            <w:pPr>
              <w:spacing w:after="0"/>
              <w:rPr>
                <w:sz w:val="18"/>
                <w:szCs w:val="18"/>
                <w:color w:val="auto"/>
              </w:rPr>
            </w:pP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gridSpan w:val="2"/>
            <w:shd w:val="clear" w:color="auto" w:fill="E8FFFA"/>
          </w:tcPr>
          <w:p>
            <w:pPr>
              <w:ind w:left="140"/>
              <w:spacing w:after="0"/>
              <w:rPr>
                <w:sz w:val="20"/>
                <w:szCs w:val="20"/>
                <w:color w:val="auto"/>
              </w:rPr>
            </w:pPr>
            <w:r>
              <w:rPr>
                <w:rFonts w:ascii="Arial" w:cs="Arial" w:eastAsia="Arial" w:hAnsi="Arial"/>
                <w:sz w:val="18"/>
                <w:szCs w:val="18"/>
                <w:color w:val="auto"/>
              </w:rPr>
              <w:t>partner units (net of underwriting discounts and commissions)</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89,649</w:t>
            </w:r>
          </w:p>
        </w:tc>
        <w:tc>
          <w:tcPr>
            <w:tcW w:w="240" w:type="dxa"/>
            <w:vAlign w:val="bottom"/>
            <w:shd w:val="clear" w:color="auto" w:fill="E8FFFA"/>
          </w:tcPr>
          <w:p>
            <w:pPr>
              <w:spacing w:after="0"/>
              <w:rPr>
                <w:sz w:val="19"/>
                <w:szCs w:val="19"/>
                <w:color w:val="auto"/>
              </w:rPr>
            </w:pP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Proceeds from issuance of preference units (net of underwriting discounts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and commissions)</w:t>
            </w:r>
          </w:p>
        </w:tc>
        <w:tc>
          <w:tcPr>
            <w:tcW w:w="1220" w:type="dxa"/>
            <w:vAlign w:val="bottom"/>
          </w:tcPr>
          <w:p>
            <w:pPr>
              <w:jc w:val="right"/>
              <w:spacing w:after="0"/>
              <w:rPr>
                <w:sz w:val="20"/>
                <w:szCs w:val="20"/>
                <w:color w:val="auto"/>
              </w:rPr>
            </w:pPr>
            <w:r>
              <w:rPr>
                <w:rFonts w:ascii="Arial" w:cs="Arial" w:eastAsia="Arial" w:hAnsi="Arial"/>
                <w:sz w:val="18"/>
                <w:szCs w:val="18"/>
                <w:color w:val="auto"/>
              </w:rPr>
              <w:t>139,222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Payment of offering costs</w:t>
            </w:r>
          </w:p>
        </w:tc>
        <w:tc>
          <w:tcPr>
            <w:tcW w:w="14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(336)</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Cash payment to GasLog in exchange for contribution of net assets</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(66,643)</w:t>
            </w:r>
          </w:p>
        </w:tc>
        <w:tc>
          <w:tcPr>
            <w:tcW w:w="1220" w:type="dxa"/>
            <w:vAlign w:val="bottom"/>
          </w:tcPr>
          <w:p>
            <w:pPr>
              <w:jc w:val="right"/>
              <w:spacing w:after="0"/>
              <w:rPr>
                <w:sz w:val="20"/>
                <w:szCs w:val="20"/>
                <w:color w:val="auto"/>
              </w:rPr>
            </w:pPr>
            <w:r>
              <w:rPr>
                <w:rFonts w:ascii="Arial" w:cs="Arial" w:eastAsia="Arial" w:hAnsi="Arial"/>
                <w:sz w:val="18"/>
                <w:szCs w:val="18"/>
                <w:color w:val="auto"/>
              </w:rPr>
              <w:t>(19,086)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Distributions paid</w:t>
            </w:r>
          </w:p>
        </w:tc>
        <w:tc>
          <w:tcPr>
            <w:tcW w:w="14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(39,670)</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60,594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161,545</w:t>
            </w:r>
          </w:p>
        </w:tc>
        <w:tc>
          <w:tcPr>
            <w:tcW w:w="240" w:type="dxa"/>
            <w:vAlign w:val="bottom"/>
            <w:shd w:val="clear" w:color="auto" w:fill="E8FFFA"/>
          </w:tcPr>
          <w:p>
            <w:pPr>
              <w:spacing w:after="0"/>
              <w:rPr>
                <w:sz w:val="18"/>
                <w:szCs w:val="18"/>
                <w:color w:val="auto"/>
              </w:rPr>
            </w:pP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3"/>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59,875</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221,420</w:t>
            </w:r>
          </w:p>
        </w:tc>
        <w:tc>
          <w:tcPr>
            <w:tcW w:w="240" w:type="dxa"/>
            <w:vAlign w:val="bottom"/>
            <w:shd w:val="clear" w:color="auto" w:fill="E8FFFA"/>
          </w:tcPr>
          <w:p>
            <w:pPr>
              <w:spacing w:after="0"/>
              <w:rPr>
                <w:sz w:val="18"/>
                <w:szCs w:val="18"/>
                <w:color w:val="auto"/>
              </w:rPr>
            </w:pPr>
          </w:p>
        </w:tc>
        <w:tc>
          <w:tcPr>
            <w:tcW w:w="12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134,686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20" w:type="dxa"/>
            <w:vAlign w:val="bottom"/>
            <w:shd w:val="clear" w:color="auto" w:fill="E8FFFA"/>
          </w:tcPr>
          <w:p>
            <w:pPr>
              <w:spacing w:after="0"/>
              <w:rPr>
                <w:sz w:val="18"/>
                <w:szCs w:val="18"/>
                <w:color w:val="auto"/>
              </w:rPr>
            </w:pP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Offering costs included in liabilities at the end of the period</w:t>
            </w: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E8FFFA"/>
          </w:tcPr>
          <w:p>
            <w:pPr>
              <w:spacing w:after="0"/>
              <w:rPr>
                <w:sz w:val="18"/>
                <w:szCs w:val="18"/>
                <w:color w:val="auto"/>
              </w:rPr>
            </w:pPr>
          </w:p>
        </w:tc>
        <w:tc>
          <w:tcPr>
            <w:tcW w:w="1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Issuance of common units to GasLog in exchange for contribution of net</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8"/>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GAS-eleven Ltd., GAS-thirteen Ltd., GAS-eight Ltd. and GAS-fourteen Ltd., acquired on May 3, 2017, July 3, 2017, October 20, 2017 and April 26, 2018, respectively, from GasLog (Note 1).</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On May 3, 2017, GasLog Partners acquired from GasLog 100% of the ownership interests in GAS-eleven Ltd., the entity that owns a 174,000 cubic meter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On July 3, 2017, GasLog Partners acquired from GasLog 100% of the ownership interests in GAS-thirteen Ltd., the entity that owns a 174,000 cbm LNG carrier, the </w:t>
      </w:r>
      <w:r>
        <w:rPr>
          <w:rFonts w:ascii="Arial" w:cs="Arial" w:eastAsia="Arial" w:hAnsi="Arial"/>
          <w:sz w:val="18"/>
          <w:szCs w:val="18"/>
          <w:i w:val="1"/>
          <w:iCs w:val="1"/>
          <w:color w:val="auto"/>
        </w:rPr>
        <w:t>GasLog Geneva</w:t>
      </w:r>
      <w:r>
        <w:rPr>
          <w:rFonts w:ascii="Arial" w:cs="Arial" w:eastAsia="Arial" w:hAnsi="Arial"/>
          <w:sz w:val="18"/>
          <w:szCs w:val="18"/>
          <w:color w:val="auto"/>
        </w:rPr>
        <w:t>, for an aggregate purchase price of $211,000.</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On October 20, 2017, GasLog Partners acquired 100% of the ownership interests in GAS-eight Ltd., the entity that owns a 155,000 cbm LNG carrier, the </w:t>
      </w:r>
      <w:r>
        <w:rPr>
          <w:rFonts w:ascii="Arial" w:cs="Arial" w:eastAsia="Arial" w:hAnsi="Arial"/>
          <w:sz w:val="18"/>
          <w:szCs w:val="18"/>
          <w:i w:val="1"/>
          <w:iCs w:val="1"/>
          <w:color w:val="auto"/>
        </w:rPr>
        <w:t>Solaris</w:t>
      </w:r>
      <w:r>
        <w:rPr>
          <w:rFonts w:ascii="Arial" w:cs="Arial" w:eastAsia="Arial" w:hAnsi="Arial"/>
          <w:sz w:val="18"/>
          <w:szCs w:val="18"/>
          <w:color w:val="auto"/>
        </w:rPr>
        <w:t>, for an aggregate purchase price of $185,900.</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On April 26, 2018, GasLog Partners acquired 100% of the ownership interests in GAS-fourteen Ltd., the entity that owns a 174,000 cbm LNG carrier, the </w:t>
      </w:r>
      <w:r>
        <w:rPr>
          <w:rFonts w:ascii="Arial" w:cs="Arial" w:eastAsia="Arial" w:hAnsi="Arial"/>
          <w:sz w:val="18"/>
          <w:szCs w:val="18"/>
          <w:i w:val="1"/>
          <w:iCs w:val="1"/>
          <w:color w:val="auto"/>
        </w:rPr>
        <w:t>GasLog Gibraltar</w:t>
      </w:r>
      <w:r>
        <w:rPr>
          <w:rFonts w:ascii="Arial" w:cs="Arial" w:eastAsia="Arial" w:hAnsi="Arial"/>
          <w:sz w:val="18"/>
          <w:szCs w:val="18"/>
          <w:color w:val="auto"/>
        </w:rPr>
        <w:t>, for an aggregate purchase price of $207,000.</w:t>
      </w:r>
    </w:p>
    <w:p>
      <w:pPr>
        <w:spacing w:after="0" w:line="18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 xml:space="preserve">The acquisitions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GasLog were accounted for as reorganizations of companies under common control. The Partnership's historical results were retroactively restated to reflect the historical results of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GAS-fourteen Ltd., the entity that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from their respective dates of incorporation by GasLog. The carrying amounts of assets and liabilities included are based on the historical carrying amounts of such assets and liabilities recognized by the subsidiaries.</w:t>
      </w:r>
    </w:p>
    <w:p>
      <w:pPr>
        <w:spacing w:after="0" w:line="170"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As of June 30, 2018, GasLog holds a 29.1%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Partnership's principal business is the acquisition and operation of vessels in the LNG market, providing transportation services of LNG on a worldwide basis under long-term charters. GasLog LNG Services Ltd. ("GasLog LNG Services" or the "Manager"), a related party and a wholly owned subsidiary of GasLog, incorporated under the laws of the Bermuda, provides technical services to the Partnership.</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On May 18, 2018, the Partnership through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an LNG carrier pooling arrangement which was established by GasLog, Dynagas Ltd. and Golar LNG Ltd. (the "Cool Pool") on October 1, 2015 to market their vessels operating in the LNG shipping spot market. The Cool Pool allows the participating owners to optimize the operation of the pool vessels through improved scheduling ability, cost efficiencies and common marketing. The objective of the Cool Pool is to serve the growing LNG market by providing customers with reliable, flexible, and innovative solutions to meet their increasingly complex shipping requirements. As of June 30, 2018, the Cool Pool consists of 17 modern efficient tri-fuel diesel electric ("TFDE") LNG carriers in the 155,000-170,000 cbm range. The Cool Pool charters the vessels for periods up to one year in duration as agents for the owners, who each remain responsible for the technical and commercial operation of their vessels and performance of the contracts.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As of June 30, 2018, the companies listed below were 100% held by the Partnership:</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Capacity</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incorporation</w:t>
            </w: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activities</w:t>
            </w: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76"/>
              </w:rPr>
              <w:t>Vessel</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20" w:type="dxa"/>
            <w:vAlign w:val="bottom"/>
            <w:gridSpan w:val="2"/>
            <w:shd w:val="clear" w:color="auto" w:fill="E8FFFA"/>
          </w:tcPr>
          <w:p>
            <w:pPr>
              <w:spacing w:after="0" w:line="142" w:lineRule="exact"/>
              <w:rPr>
                <w:sz w:val="20"/>
                <w:szCs w:val="20"/>
                <w:color w:val="auto"/>
              </w:rPr>
            </w:pPr>
            <w:r>
              <w:rPr>
                <w:rFonts w:ascii="Arial" w:cs="Arial" w:eastAsia="Arial" w:hAnsi="Arial"/>
                <w:sz w:val="14"/>
                <w:szCs w:val="14"/>
                <w:color w:val="auto"/>
              </w:rPr>
              <w:t>GAS-three Ltd.</w:t>
            </w:r>
          </w:p>
        </w:tc>
        <w:tc>
          <w:tcPr>
            <w:tcW w:w="9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91"/>
              </w:rPr>
              <w:t>April 2010</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i w:val="1"/>
                <w:iCs w:val="1"/>
                <w:color w:val="auto"/>
                <w:w w:val="87"/>
              </w:rPr>
              <w:t>GasLog Shanghai</w:t>
            </w:r>
          </w:p>
        </w:tc>
        <w:tc>
          <w:tcPr>
            <w:tcW w:w="160" w:type="dxa"/>
            <w:vAlign w:val="bottom"/>
            <w:shd w:val="clear" w:color="auto" w:fill="E8FFFA"/>
          </w:tcPr>
          <w:p>
            <w:pPr>
              <w:spacing w:after="0"/>
              <w:rPr>
                <w:sz w:val="12"/>
                <w:szCs w:val="12"/>
                <w:color w:val="auto"/>
              </w:rPr>
            </w:pPr>
          </w:p>
        </w:tc>
        <w:tc>
          <w:tcPr>
            <w:tcW w:w="54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155,000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2" w:lineRule="exact"/>
              <w:rPr>
                <w:sz w:val="20"/>
                <w:szCs w:val="20"/>
                <w:color w:val="auto"/>
              </w:rPr>
            </w:pPr>
            <w:r>
              <w:rPr>
                <w:rFonts w:ascii="Arial" w:cs="Arial" w:eastAsia="Arial" w:hAnsi="Arial"/>
                <w:sz w:val="14"/>
                <w:szCs w:val="14"/>
                <w:color w:val="auto"/>
                <w:w w:val="84"/>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2010</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GasLog Santiago</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155,000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GAS-five Ltd.</w:t>
            </w: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February 2011</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i w:val="1"/>
                <w:iCs w:val="1"/>
                <w:color w:val="auto"/>
                <w:w w:val="84"/>
              </w:rPr>
              <w:t>GasLog Sydney</w:t>
            </w:r>
          </w:p>
        </w:tc>
        <w:tc>
          <w:tcPr>
            <w:tcW w:w="7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6"/>
              </w:rPr>
              <w:t>155,000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May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2011</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4"/>
              </w:rPr>
              <w:t>GasLog Seattle</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155,000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GAS-eight Ltd.</w:t>
            </w: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9"/>
              </w:rPr>
              <w:t>March 2011</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i w:val="1"/>
                <w:iCs w:val="1"/>
                <w:color w:val="auto"/>
                <w:w w:val="88"/>
              </w:rPr>
              <w:t>Solaris</w:t>
            </w:r>
          </w:p>
        </w:tc>
        <w:tc>
          <w:tcPr>
            <w:tcW w:w="7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6"/>
              </w:rPr>
              <w:t>155,000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2"/>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2012</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GasLog Greece</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174,000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GAS-thirteen Ltd.</w:t>
            </w: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July 2013</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i w:val="1"/>
                <w:iCs w:val="1"/>
                <w:color w:val="auto"/>
                <w:w w:val="84"/>
              </w:rPr>
              <w:t>GasLog Geneva</w:t>
            </w:r>
          </w:p>
        </w:tc>
        <w:tc>
          <w:tcPr>
            <w:tcW w:w="7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6"/>
              </w:rPr>
              <w:t>174,000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4"/>
              </w:rPr>
              <w:t>September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GAS-fourteen Ltd.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July 2013</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GasLog Gibraltar</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174,000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GAS-sixteen Ltd.</w:t>
            </w: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January 2014</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i w:val="1"/>
                <w:iCs w:val="1"/>
                <w:color w:val="auto"/>
                <w:w w:val="87"/>
              </w:rPr>
              <w:t>Methane Rita Andrea</w:t>
            </w:r>
          </w:p>
        </w:tc>
        <w:tc>
          <w:tcPr>
            <w:tcW w:w="7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6"/>
              </w:rPr>
              <w:t>145,000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GAS-seventeen Ltd.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January 2014</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Methane Jane Elizabeth</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145,000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GAS-nineteen Ltd.</w:t>
            </w: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April 2014</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i w:val="1"/>
                <w:iCs w:val="1"/>
                <w:color w:val="auto"/>
                <w:w w:val="89"/>
              </w:rPr>
              <w:t>Methane Alison Victoria</w:t>
            </w:r>
          </w:p>
        </w:tc>
        <w:tc>
          <w:tcPr>
            <w:tcW w:w="7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6"/>
              </w:rPr>
              <w:t>145,000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2"/>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GAS-twenty Ltd.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2014</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Methane Shirley Elisabeth</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145,000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2"/>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GAS-twenty one Ltd.</w:t>
            </w: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April 2014</w:t>
            </w:r>
          </w:p>
        </w:tc>
        <w:tc>
          <w:tcPr>
            <w:tcW w:w="160" w:type="dxa"/>
            <w:vAlign w:val="bottom"/>
            <w:shd w:val="clear" w:color="auto" w:fill="E8FFFA"/>
          </w:tcPr>
          <w:p>
            <w:pPr>
              <w:spacing w:after="0"/>
              <w:rPr>
                <w:sz w:val="12"/>
                <w:szCs w:val="12"/>
                <w:color w:val="auto"/>
              </w:rPr>
            </w:pPr>
          </w:p>
        </w:tc>
        <w:tc>
          <w:tcPr>
            <w:tcW w:w="138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E8FFFA"/>
          </w:tcPr>
          <w:p>
            <w:pPr>
              <w:spacing w:after="0"/>
              <w:rPr>
                <w:sz w:val="12"/>
                <w:szCs w:val="12"/>
                <w:color w:val="auto"/>
              </w:rPr>
            </w:pPr>
          </w:p>
        </w:tc>
        <w:tc>
          <w:tcPr>
            <w:tcW w:w="154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i w:val="1"/>
                <w:iCs w:val="1"/>
                <w:color w:val="auto"/>
                <w:w w:val="88"/>
              </w:rPr>
              <w:t>Methane Heather Sally</w:t>
            </w:r>
          </w:p>
        </w:tc>
        <w:tc>
          <w:tcPr>
            <w:tcW w:w="70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6"/>
              </w:rPr>
              <w:t>145,000</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2"/>
              </w:rPr>
              <w:t>June 2014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GasLog Partners Holdings LLC</w:t>
            </w: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Marshall Islands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April 2014</w:t>
            </w: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0"/>
              </w:rPr>
              <w:t>Holding company</w:t>
            </w: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i w:val="1"/>
                <w:iCs w:val="1"/>
                <w:color w:val="auto"/>
                <w:w w:val="85"/>
              </w:rPr>
              <w:t>—</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as issued by the International Accounting Standards Board ("IASB"). Certain information and footnote disclosures required by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2017, filed on an Annual Report on Form 20-F with the Securities Exchange Commission on February 12, 2018.</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1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2017. On July 25, 2018, the Partnership's board of directors authorized the unaudited condensed consolidated financial statements for issuance.</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critical accounting judgments and key sources of estimation uncertainty were disclosed in the Partnership's annual consolidated financial statements for the year ended December 31, 2017 and remain unchanged.</w:t>
      </w:r>
    </w:p>
    <w:p>
      <w:pPr>
        <w:spacing w:after="0" w:line="186"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6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Management anticipates that the Partnership's primary sources of funds will be available cash, cash from operations, borrowings under existing debt and equity financing.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period:</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 xml:space="preserve">In May 2014, the IASB issued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IAS 11 </w:t>
      </w:r>
      <w:r>
        <w:rPr>
          <w:rFonts w:ascii="Arial" w:cs="Arial" w:eastAsia="Arial" w:hAnsi="Arial"/>
          <w:sz w:val="18"/>
          <w:szCs w:val="18"/>
          <w:i w:val="1"/>
          <w:iCs w:val="1"/>
          <w:color w:val="auto"/>
        </w:rPr>
        <w:t>Construction Contracts</w:t>
      </w:r>
      <w:r>
        <w:rPr>
          <w:rFonts w:ascii="Arial" w:cs="Arial" w:eastAsia="Arial" w:hAnsi="Arial"/>
          <w:sz w:val="18"/>
          <w:szCs w:val="18"/>
          <w:color w:val="auto"/>
        </w:rPr>
        <w:t xml:space="preserve"> and a number of revenue-related interpretations. The standard was effective for annual periods beginning on or after January 1, 2018 and was applied by the Partnership using the modified retrospective approach. However, the adoption of the standard did not have an impact on the Partnership's historical financial statements.</w:t>
      </w:r>
    </w:p>
    <w:p>
      <w:pPr>
        <w:spacing w:after="0" w:line="198"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 xml:space="preserve">The Partnership assessed that under the time charter agreements, the hire rate per the charter agreement has two components: the lease component and the service component relating to the vessel operating costs. The revenue in relation to the lease component of the agreements is accounted for under the leases standard. The revenue in relation to the service component relates to vessel operating expenses which include expenses such as management fees, crew wages, provisions and stores, technical maintenance and insurance expenses that are paid by the vessel owner. These costs are essential to operating a charter and therefore, the charterers receive the benefit of these when the vessel is used during the contracted time and will be accounted for in accordance with the requirements of IFRS 15 </w:t>
      </w:r>
      <w:r>
        <w:rPr>
          <w:rFonts w:ascii="Arial" w:cs="Arial" w:eastAsia="Arial" w:hAnsi="Arial"/>
          <w:sz w:val="16"/>
          <w:szCs w:val="16"/>
          <w:i w:val="1"/>
          <w:iCs w:val="1"/>
          <w:color w:val="auto"/>
        </w:rPr>
        <w:t>Revenue from Contracts with Customers.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relation to short-term charters under the Cool Pool (Note 9), 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 the contract. On that basis, it was concluded that positioning and repositioning fees and associated expenses should be recognized over the period of the contract, and not at a certain point in time.</w:t>
      </w:r>
    </w:p>
    <w:p>
      <w:pPr>
        <w:spacing w:after="0" w:line="197"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 xml:space="preserve">In July 2014, the IASB issued the complete version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which was effective for annual periods beginning on or after January 1, 2018, did not have an impact on the Partnership's financial statements.</w:t>
      </w:r>
    </w:p>
    <w:p>
      <w:pPr>
        <w:spacing w:after="0" w:line="22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At the date of authorization of these unaudited condensed consolidated financial statements, the following standard relevant to the Partnership was in issue but not yet effective: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twelve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related Interpretations. The standard is effective from January 1, 2019, with early adoption permitted only with concurrent adoption of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Management has elected not to early adopt, and it anticipates that the implementation of this standard will not have a material impact on the Partnership's financial statements, since the changes for lessors are fairly minor.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ind w:left="360"/>
        <w:spacing w:after="0"/>
        <w:rPr>
          <w:sz w:val="20"/>
          <w:szCs w:val="20"/>
          <w:color w:val="auto"/>
        </w:rPr>
      </w:pPr>
      <w:r>
        <w:rPr>
          <w:rFonts w:ascii="Arial" w:cs="Arial" w:eastAsia="Arial" w:hAnsi="Arial"/>
          <w:sz w:val="15"/>
          <w:szCs w:val="15"/>
          <w:color w:val="auto"/>
        </w:rPr>
        <w:t>The impact of all other IFRS standards and amendments issued but not yet adopted is not expected to be material on the Partnership's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Partnership has the following balances with related parties, which have been included in the unaudited condensed consolidated statements of financial position: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due from related parties</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December 31, 2017</w:t>
            </w:r>
          </w:p>
        </w:tc>
        <w:tc>
          <w:tcPr>
            <w:tcW w:w="160" w:type="dxa"/>
            <w:vAlign w:val="bottom"/>
          </w:tcPr>
          <w:p>
            <w:pPr>
              <w:spacing w:after="0"/>
              <w:rPr>
                <w:sz w:val="24"/>
                <w:szCs w:val="24"/>
                <w:color w:val="auto"/>
              </w:rPr>
            </w:pPr>
          </w:p>
        </w:tc>
        <w:tc>
          <w:tcPr>
            <w:tcW w:w="1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5720" w:type="dxa"/>
            <w:vAlign w:val="bottom"/>
            <w:shd w:val="clear" w:color="auto" w:fill="E8FFFA"/>
          </w:tcPr>
          <w:p>
            <w:pPr>
              <w:spacing w:after="0" w:line="251" w:lineRule="exact"/>
              <w:rPr>
                <w:sz w:val="20"/>
                <w:szCs w:val="20"/>
                <w:color w:val="auto"/>
              </w:rPr>
            </w:pPr>
            <w:r>
              <w:rPr>
                <w:rFonts w:ascii="Arial" w:cs="Arial" w:eastAsia="Arial" w:hAnsi="Arial"/>
                <w:sz w:val="18"/>
                <w:szCs w:val="18"/>
                <w:color w:val="auto"/>
              </w:rPr>
              <w:t xml:space="preserve">Due from GasLog Carriers Ltd. ("GasLog Carriers") </w:t>
            </w:r>
            <w:r>
              <w:rPr>
                <w:rFonts w:ascii="Arial" w:cs="Arial" w:eastAsia="Arial" w:hAnsi="Arial"/>
                <w:sz w:val="29"/>
                <w:szCs w:val="29"/>
                <w:color w:val="auto"/>
                <w:vertAlign w:val="superscript"/>
              </w:rPr>
              <w:t>(a)</w:t>
            </w:r>
          </w:p>
        </w:tc>
        <w:tc>
          <w:tcPr>
            <w:tcW w:w="16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3,712</w:t>
            </w:r>
          </w:p>
        </w:tc>
        <w:tc>
          <w:tcPr>
            <w:tcW w:w="160" w:type="dxa"/>
            <w:vAlign w:val="bottom"/>
            <w:shd w:val="clear" w:color="auto" w:fill="E8FFFA"/>
          </w:tcPr>
          <w:p>
            <w:pPr>
              <w:spacing w:after="0"/>
              <w:rPr>
                <w:sz w:val="21"/>
                <w:szCs w:val="21"/>
                <w:color w:val="auto"/>
              </w:rPr>
            </w:pPr>
          </w:p>
        </w:tc>
        <w:tc>
          <w:tcPr>
            <w:tcW w:w="16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color w:val="auto"/>
              </w:rPr>
              <w:t xml:space="preserve">Due from the Cool Pool </w:t>
            </w:r>
            <w:r>
              <w:rPr>
                <w:rFonts w:ascii="Arial" w:cs="Arial" w:eastAsia="Arial" w:hAnsi="Arial"/>
                <w:sz w:val="29"/>
                <w:szCs w:val="29"/>
                <w:color w:val="auto"/>
                <w:vertAlign w:val="superscript"/>
              </w:rPr>
              <w:t>(b)</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3,712</w:t>
            </w:r>
          </w:p>
        </w:tc>
        <w:tc>
          <w:tcPr>
            <w:tcW w:w="160" w:type="dxa"/>
            <w:vAlign w:val="bottom"/>
            <w:shd w:val="clear" w:color="auto" w:fill="E8FFFA"/>
          </w:tcPr>
          <w:p>
            <w:pPr>
              <w:spacing w:after="0"/>
              <w:rPr>
                <w:sz w:val="18"/>
                <w:szCs w:val="18"/>
                <w:color w:val="auto"/>
              </w:rPr>
            </w:pPr>
          </w:p>
        </w:tc>
        <w:tc>
          <w:tcPr>
            <w:tcW w:w="16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1,083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December 31, 2017</w:t>
            </w:r>
          </w:p>
        </w:tc>
        <w:tc>
          <w:tcPr>
            <w:tcW w:w="160" w:type="dxa"/>
            <w:vAlign w:val="bottom"/>
          </w:tcPr>
          <w:p>
            <w:pPr>
              <w:spacing w:after="0"/>
              <w:rPr>
                <w:sz w:val="24"/>
                <w:szCs w:val="24"/>
                <w:color w:val="auto"/>
              </w:rPr>
            </w:pPr>
          </w:p>
        </w:tc>
        <w:tc>
          <w:tcPr>
            <w:tcW w:w="1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5720" w:type="dxa"/>
            <w:vAlign w:val="bottom"/>
            <w:shd w:val="clear" w:color="auto" w:fill="E8FFFA"/>
          </w:tcPr>
          <w:p>
            <w:pPr>
              <w:spacing w:after="0" w:line="251" w:lineRule="exact"/>
              <w:rPr>
                <w:sz w:val="20"/>
                <w:szCs w:val="20"/>
                <w:color w:val="auto"/>
              </w:rPr>
            </w:pPr>
            <w:r>
              <w:rPr>
                <w:rFonts w:ascii="Arial" w:cs="Arial" w:eastAsia="Arial" w:hAnsi="Arial"/>
                <w:sz w:val="18"/>
                <w:szCs w:val="18"/>
                <w:color w:val="auto"/>
              </w:rPr>
              <w:t xml:space="preserve">Due to GasLog LNG Services </w:t>
            </w:r>
            <w:r>
              <w:rPr>
                <w:rFonts w:ascii="Arial" w:cs="Arial" w:eastAsia="Arial" w:hAnsi="Arial"/>
                <w:sz w:val="29"/>
                <w:szCs w:val="29"/>
                <w:color w:val="auto"/>
                <w:vertAlign w:val="superscript"/>
              </w:rPr>
              <w:t>(c)</w:t>
            </w:r>
          </w:p>
        </w:tc>
        <w:tc>
          <w:tcPr>
            <w:tcW w:w="16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2,383</w:t>
            </w:r>
          </w:p>
        </w:tc>
        <w:tc>
          <w:tcPr>
            <w:tcW w:w="178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color w:val="auto"/>
              </w:rPr>
              <w:t xml:space="preserve">Due to GasLog </w:t>
            </w:r>
            <w:r>
              <w:rPr>
                <w:rFonts w:ascii="Arial" w:cs="Arial" w:eastAsia="Arial" w:hAnsi="Arial"/>
                <w:sz w:val="29"/>
                <w:szCs w:val="29"/>
                <w:color w:val="auto"/>
                <w:vertAlign w:val="superscript"/>
              </w:rPr>
              <w:t>(d)</w:t>
            </w:r>
          </w:p>
        </w:tc>
        <w:tc>
          <w:tcPr>
            <w:tcW w:w="1620" w:type="dxa"/>
            <w:vAlign w:val="bottom"/>
          </w:tcPr>
          <w:p>
            <w:pPr>
              <w:jc w:val="right"/>
              <w:spacing w:after="0"/>
              <w:rPr>
                <w:sz w:val="20"/>
                <w:szCs w:val="20"/>
                <w:color w:val="auto"/>
              </w:rPr>
            </w:pPr>
            <w:r>
              <w:rPr>
                <w:rFonts w:ascii="Arial" w:cs="Arial" w:eastAsia="Arial" w:hAnsi="Arial"/>
                <w:sz w:val="18"/>
                <w:szCs w:val="18"/>
                <w:color w:val="auto"/>
              </w:rPr>
              <w:t>230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2,613</w:t>
            </w:r>
          </w:p>
        </w:tc>
        <w:tc>
          <w:tcPr>
            <w:tcW w:w="160" w:type="dxa"/>
            <w:vAlign w:val="bottom"/>
            <w:shd w:val="clear" w:color="auto" w:fill="E8FFFA"/>
          </w:tcPr>
          <w:p>
            <w:pPr>
              <w:spacing w:after="0"/>
              <w:rPr>
                <w:sz w:val="18"/>
                <w:szCs w:val="18"/>
                <w:color w:val="auto"/>
              </w:rPr>
            </w:pPr>
          </w:p>
        </w:tc>
        <w:tc>
          <w:tcPr>
            <w:tcW w:w="162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220" w:right="380" w:hanging="531"/>
        <w:spacing w:after="0" w:line="257" w:lineRule="auto"/>
        <w:tabs>
          <w:tab w:leader="none" w:pos="2220" w:val="left"/>
        </w:tabs>
        <w:numPr>
          <w:ilvl w:val="0"/>
          <w:numId w:val="21"/>
        </w:numPr>
        <w:rPr>
          <w:rFonts w:ascii="Arial" w:cs="Arial" w:eastAsia="Arial" w:hAnsi="Arial"/>
          <w:sz w:val="10"/>
          <w:szCs w:val="10"/>
          <w:color w:val="auto"/>
        </w:rPr>
      </w:pPr>
      <w:r>
        <w:rPr>
          <w:rFonts w:ascii="Arial" w:cs="Arial" w:eastAsia="Arial" w:hAnsi="Arial"/>
          <w:sz w:val="12"/>
          <w:szCs w:val="12"/>
          <w:color w:val="auto"/>
        </w:rPr>
        <w:t>As of December 31, 2017, the balance due from GasLog Carriers, the parent company of GAS-fourteen Ltd. prior to its acquisition by the Partnership, represented mainly amounts advanced to GasLog Carriers to cover future operating expenses. As of June 30, 2018, the balance had been fully settled.</w:t>
      </w:r>
    </w:p>
    <w:p>
      <w:pPr>
        <w:ind w:left="2220" w:hanging="531"/>
        <w:spacing w:after="0" w:line="201" w:lineRule="auto"/>
        <w:tabs>
          <w:tab w:leader="none" w:pos="2220" w:val="left"/>
        </w:tabs>
        <w:numPr>
          <w:ilvl w:val="0"/>
          <w:numId w:val="21"/>
        </w:numPr>
        <w:rPr>
          <w:rFonts w:ascii="Arial" w:cs="Arial" w:eastAsia="Arial" w:hAnsi="Arial"/>
          <w:sz w:val="11"/>
          <w:szCs w:val="11"/>
          <w:color w:val="auto"/>
        </w:rPr>
      </w:pPr>
      <w:r>
        <w:rPr>
          <w:rFonts w:ascii="Arial" w:cs="Arial" w:eastAsia="Arial" w:hAnsi="Arial"/>
          <w:sz w:val="14"/>
          <w:szCs w:val="14"/>
          <w:color w:val="auto"/>
        </w:rPr>
        <w:t>As of June 30, 2018, the balance due from the Cool Pool comprises outstanding pool distributions (Note 9).</w:t>
      </w:r>
    </w:p>
    <w:p>
      <w:pPr>
        <w:ind w:left="2220" w:hanging="531"/>
        <w:spacing w:after="0" w:line="201" w:lineRule="auto"/>
        <w:tabs>
          <w:tab w:leader="none" w:pos="2220" w:val="left"/>
        </w:tabs>
        <w:numPr>
          <w:ilvl w:val="0"/>
          <w:numId w:val="21"/>
        </w:numPr>
        <w:rPr>
          <w:rFonts w:ascii="Arial" w:cs="Arial" w:eastAsia="Arial" w:hAnsi="Arial"/>
          <w:sz w:val="11"/>
          <w:szCs w:val="11"/>
          <w:color w:val="auto"/>
        </w:rPr>
      </w:pPr>
      <w:r>
        <w:rPr>
          <w:rFonts w:ascii="Arial" w:cs="Arial" w:eastAsia="Arial" w:hAnsi="Arial"/>
          <w:sz w:val="14"/>
          <w:szCs w:val="14"/>
          <w:color w:val="auto"/>
        </w:rPr>
        <w:t>The balances represent mainly amounts paid directly by the Manager on behalf of the Partnership.</w:t>
      </w:r>
    </w:p>
    <w:p>
      <w:pPr>
        <w:ind w:left="2220" w:hanging="531"/>
        <w:spacing w:after="0"/>
        <w:tabs>
          <w:tab w:leader="none" w:pos="2220" w:val="left"/>
        </w:tabs>
        <w:numPr>
          <w:ilvl w:val="0"/>
          <w:numId w:val="21"/>
        </w:numPr>
        <w:rPr>
          <w:rFonts w:ascii="Arial" w:cs="Arial" w:eastAsia="Arial" w:hAnsi="Arial"/>
          <w:sz w:val="11"/>
          <w:szCs w:val="11"/>
          <w:color w:val="auto"/>
        </w:rPr>
      </w:pPr>
      <w:r>
        <w:rPr>
          <w:rFonts w:ascii="Arial" w:cs="Arial" w:eastAsia="Arial" w:hAnsi="Arial"/>
          <w:sz w:val="14"/>
          <w:szCs w:val="14"/>
          <w:color w:val="auto"/>
        </w:rPr>
        <w:t>The balances represent mainly payments made by GasLog on behalf of the Partnership.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Loans due to related parties</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33"/>
        </w:trPr>
        <w:tc>
          <w:tcPr>
            <w:tcW w:w="1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December 31, 2017</w:t>
            </w:r>
          </w:p>
        </w:tc>
        <w:tc>
          <w:tcPr>
            <w:tcW w:w="160" w:type="dxa"/>
            <w:vAlign w:val="bottom"/>
          </w:tcPr>
          <w:p>
            <w:pPr>
              <w:spacing w:after="0"/>
              <w:rPr>
                <w:sz w:val="24"/>
                <w:szCs w:val="24"/>
                <w:color w:val="auto"/>
              </w:rPr>
            </w:pPr>
          </w:p>
        </w:tc>
        <w:tc>
          <w:tcPr>
            <w:tcW w:w="16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June 30, 2018</w:t>
            </w:r>
          </w:p>
        </w:tc>
      </w:tr>
      <w:tr>
        <w:trPr>
          <w:trHeight w:val="211"/>
        </w:trPr>
        <w:tc>
          <w:tcPr>
            <w:tcW w:w="1160" w:type="dxa"/>
            <w:vAlign w:val="bottom"/>
          </w:tcPr>
          <w:p>
            <w:pPr>
              <w:spacing w:after="0"/>
              <w:rPr>
                <w:sz w:val="18"/>
                <w:szCs w:val="18"/>
                <w:color w:val="auto"/>
              </w:rPr>
            </w:pPr>
          </w:p>
        </w:tc>
        <w:tc>
          <w:tcPr>
            <w:tcW w:w="5720" w:type="dxa"/>
            <w:vAlign w:val="bottom"/>
            <w:shd w:val="clear" w:color="auto" w:fill="E8FFFA"/>
          </w:tcPr>
          <w:p>
            <w:pPr>
              <w:spacing w:after="0"/>
              <w:rPr>
                <w:sz w:val="20"/>
                <w:szCs w:val="20"/>
                <w:color w:val="auto"/>
              </w:rPr>
            </w:pPr>
            <w:r>
              <w:rPr>
                <w:rFonts w:ascii="Arial" w:cs="Arial" w:eastAsia="Arial" w:hAnsi="Arial"/>
                <w:sz w:val="18"/>
                <w:szCs w:val="18"/>
                <w:color w:val="auto"/>
              </w:rPr>
              <w:t>Loan facility with GasLog</w:t>
            </w:r>
          </w:p>
        </w:tc>
        <w:tc>
          <w:tcPr>
            <w:tcW w:w="162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E8FFFA"/>
          </w:tcPr>
          <w:p>
            <w:pPr>
              <w:spacing w:after="0"/>
              <w:rPr>
                <w:sz w:val="18"/>
                <w:szCs w:val="18"/>
                <w:color w:val="auto"/>
              </w:rPr>
            </w:pPr>
          </w:p>
        </w:tc>
        <w:tc>
          <w:tcPr>
            <w:tcW w:w="1620" w:type="dxa"/>
            <w:vAlign w:val="bottom"/>
            <w:tcBorders>
              <w:bottom w:val="single" w:sz="8" w:color="auto"/>
            </w:tcBorders>
            <w:shd w:val="clear" w:color="auto" w:fill="E8FFFA"/>
          </w:tcPr>
          <w:p>
            <w:pPr>
              <w:ind w:left="1440"/>
              <w:spacing w:after="0"/>
              <w:rPr>
                <w:sz w:val="20"/>
                <w:szCs w:val="20"/>
                <w:color w:val="auto"/>
              </w:rPr>
            </w:pPr>
            <w:r>
              <w:rPr>
                <w:rFonts w:ascii="Arial" w:cs="Arial" w:eastAsia="Arial" w:hAnsi="Arial"/>
                <w:sz w:val="18"/>
                <w:szCs w:val="18"/>
                <w:color w:val="auto"/>
                <w:w w:val="88"/>
              </w:rPr>
              <w:t>—</w:t>
            </w:r>
          </w:p>
        </w:tc>
      </w:tr>
      <w:tr>
        <w:trPr>
          <w:trHeight w:val="210"/>
        </w:trPr>
        <w:tc>
          <w:tcPr>
            <w:tcW w:w="11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45,000</w:t>
            </w:r>
          </w:p>
        </w:tc>
        <w:tc>
          <w:tcPr>
            <w:tcW w:w="160" w:type="dxa"/>
            <w:vAlign w:val="bottom"/>
          </w:tcPr>
          <w:p>
            <w:pPr>
              <w:spacing w:after="0"/>
              <w:rPr>
                <w:sz w:val="18"/>
                <w:szCs w:val="18"/>
                <w:color w:val="auto"/>
              </w:rPr>
            </w:pPr>
          </w:p>
        </w:tc>
        <w:tc>
          <w:tcPr>
            <w:tcW w:w="16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w w:val="88"/>
              </w:rPr>
              <w:t>—</w:t>
            </w:r>
          </w:p>
        </w:tc>
      </w:tr>
      <w:tr>
        <w:trPr>
          <w:trHeight w:val="20"/>
        </w:trPr>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April 3, 2017, GasLog Partners entered into a new unsecured five-year term loan of $45,000 and a new five-year revolving credit facility of $30,000 with GasLog (together, the "Sponsor Credit Facility"), to be used for general partnership purposes.</w:t>
      </w:r>
    </w:p>
    <w:p>
      <w:pPr>
        <w:spacing w:after="0" w:line="186" w:lineRule="exact"/>
        <w:rPr>
          <w:sz w:val="20"/>
          <w:szCs w:val="20"/>
          <w:color w:val="auto"/>
        </w:rPr>
      </w:pPr>
    </w:p>
    <w:p>
      <w:pPr>
        <w:jc w:val="both"/>
        <w:ind w:right="600" w:firstLine="351"/>
        <w:spacing w:after="0" w:line="259" w:lineRule="auto"/>
        <w:rPr>
          <w:sz w:val="20"/>
          <w:szCs w:val="20"/>
          <w:color w:val="auto"/>
        </w:rPr>
      </w:pPr>
      <w:r>
        <w:rPr>
          <w:rFonts w:ascii="Arial" w:cs="Arial" w:eastAsia="Arial" w:hAnsi="Arial"/>
          <w:sz w:val="18"/>
          <w:szCs w:val="18"/>
          <w:color w:val="auto"/>
        </w:rPr>
        <w:t>On April 5, 2017, an amount of $45,000 under the term loan facility and an amount of $15,000 under the revolving credit facility were drawn by the Partnership, with the latter fully repaid on May 22, 2017. On March 23, 2018, the remaining $45,000, which was due in March 2022, was prepaid and the respective term loan facility was terminated.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the amount outstanding under the revolving credit facility described above was $0 (December 31, 2017: $0).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180" w:firstLine="348"/>
        <w:spacing w:after="0" w:line="268" w:lineRule="auto"/>
        <w:rPr>
          <w:sz w:val="20"/>
          <w:szCs w:val="20"/>
          <w:color w:val="auto"/>
        </w:rPr>
      </w:pPr>
      <w:r>
        <w:rPr>
          <w:rFonts w:ascii="Arial" w:cs="Arial" w:eastAsia="Arial" w:hAnsi="Arial"/>
          <w:sz w:val="18"/>
          <w:szCs w:val="18"/>
          <w:color w:val="auto"/>
        </w:rPr>
        <w:t>The Partnership had the following transactions with related parties, which have been included in the unaudited condensed consolidated statements of profit or loss for the three and six months ended June 30, 2017 and 2018: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6"/>
              </w:rPr>
              <w:t>For the three months ended</w:t>
            </w: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w w:val="92"/>
              </w:rPr>
              <w:t>For the 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240" w:type="dxa"/>
            <w:vAlign w:val="bottom"/>
          </w:tcPr>
          <w:p>
            <w:pPr>
              <w:spacing w:after="0"/>
              <w:rPr>
                <w:sz w:val="14"/>
                <w:szCs w:val="14"/>
                <w:color w:val="auto"/>
              </w:rPr>
            </w:pPr>
          </w:p>
        </w:tc>
        <w:tc>
          <w:tcPr>
            <w:tcW w:w="2100" w:type="dxa"/>
            <w:vAlign w:val="bottom"/>
          </w:tcPr>
          <w:p>
            <w:pPr>
              <w:ind w:left="840"/>
              <w:spacing w:after="0"/>
              <w:rPr>
                <w:sz w:val="20"/>
                <w:szCs w:val="20"/>
                <w:color w:val="auto"/>
              </w:rPr>
            </w:pPr>
            <w:r>
              <w:rPr>
                <w:rFonts w:ascii="Arial" w:cs="Arial" w:eastAsia="Arial" w:hAnsi="Arial"/>
                <w:sz w:val="14"/>
                <w:szCs w:val="14"/>
                <w:b w:val="1"/>
                <w:bCs w:val="1"/>
                <w:color w:val="auto"/>
              </w:rPr>
              <w:t>Details</w:t>
            </w:r>
          </w:p>
        </w:tc>
        <w:tc>
          <w:tcPr>
            <w:tcW w:w="160" w:type="dxa"/>
            <w:vAlign w:val="bottom"/>
          </w:tcPr>
          <w:p>
            <w:pPr>
              <w:spacing w:after="0"/>
              <w:rPr>
                <w:sz w:val="14"/>
                <w:szCs w:val="14"/>
                <w:color w:val="auto"/>
              </w:rPr>
            </w:pPr>
          </w:p>
        </w:tc>
        <w:tc>
          <w:tcPr>
            <w:tcW w:w="1980" w:type="dxa"/>
            <w:vAlign w:val="bottom"/>
          </w:tcPr>
          <w:p>
            <w:pPr>
              <w:ind w:left="740"/>
              <w:spacing w:after="0"/>
              <w:rPr>
                <w:sz w:val="20"/>
                <w:szCs w:val="20"/>
                <w:color w:val="auto"/>
              </w:rPr>
            </w:pPr>
            <w:r>
              <w:rPr>
                <w:rFonts w:ascii="Arial" w:cs="Arial" w:eastAsia="Arial" w:hAnsi="Arial"/>
                <w:sz w:val="14"/>
                <w:szCs w:val="14"/>
                <w:b w:val="1"/>
                <w:bCs w:val="1"/>
                <w:color w:val="auto"/>
              </w:rPr>
              <w:t>Account</w:t>
            </w: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 2018</w:t>
            </w: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40" w:type="dxa"/>
            <w:vAlign w:val="bottom"/>
            <w:shd w:val="clear" w:color="auto" w:fill="E8FFFA"/>
          </w:tcPr>
          <w:p>
            <w:pPr>
              <w:spacing w:after="0"/>
              <w:rPr>
                <w:sz w:val="20"/>
                <w:szCs w:val="20"/>
                <w:color w:val="auto"/>
              </w:rPr>
            </w:pPr>
            <w:r>
              <w:rPr>
                <w:rFonts w:ascii="Arial" w:cs="Arial" w:eastAsia="Arial" w:hAnsi="Arial"/>
                <w:sz w:val="14"/>
                <w:szCs w:val="14"/>
                <w:color w:val="auto"/>
              </w:rPr>
              <w:t>GasLog</w:t>
            </w:r>
          </w:p>
        </w:tc>
        <w:tc>
          <w:tcPr>
            <w:tcW w:w="400" w:type="dxa"/>
            <w:vAlign w:val="bottom"/>
            <w:shd w:val="clear" w:color="auto" w:fill="E8FFFA"/>
          </w:tcPr>
          <w:p>
            <w:pPr>
              <w:spacing w:after="0"/>
              <w:rPr>
                <w:sz w:val="14"/>
                <w:szCs w:val="14"/>
                <w:color w:val="auto"/>
              </w:rPr>
            </w:pPr>
          </w:p>
        </w:tc>
        <w:tc>
          <w:tcPr>
            <w:tcW w:w="240" w:type="dxa"/>
            <w:vAlign w:val="bottom"/>
            <w:shd w:val="clear" w:color="auto" w:fill="E8FFFA"/>
          </w:tcPr>
          <w:p>
            <w:pPr>
              <w:spacing w:after="0"/>
              <w:rPr>
                <w:sz w:val="14"/>
                <w:szCs w:val="14"/>
                <w:color w:val="auto"/>
              </w:rPr>
            </w:pPr>
          </w:p>
        </w:tc>
        <w:tc>
          <w:tcPr>
            <w:tcW w:w="2100" w:type="dxa"/>
            <w:vAlign w:val="bottom"/>
            <w:shd w:val="clear" w:color="auto" w:fill="E8FFFA"/>
          </w:tcPr>
          <w:p>
            <w:pPr>
              <w:spacing w:after="0" w:line="169" w:lineRule="exact"/>
              <w:rPr>
                <w:sz w:val="20"/>
                <w:szCs w:val="20"/>
                <w:color w:val="auto"/>
              </w:rPr>
            </w:pPr>
            <w:r>
              <w:rPr>
                <w:rFonts w:ascii="Arial" w:cs="Arial" w:eastAsia="Arial" w:hAnsi="Arial"/>
                <w:sz w:val="12"/>
                <w:szCs w:val="12"/>
                <w:color w:val="auto"/>
              </w:rPr>
              <w:t>Commercial management fee</w:t>
            </w:r>
            <w:r>
              <w:rPr>
                <w:rFonts w:ascii="Arial" w:cs="Arial" w:eastAsia="Arial" w:hAnsi="Arial"/>
                <w:sz w:val="19"/>
                <w:szCs w:val="19"/>
                <w:color w:val="auto"/>
                <w:vertAlign w:val="superscript"/>
              </w:rPr>
              <w:t>(i)</w:t>
            </w:r>
          </w:p>
        </w:tc>
        <w:tc>
          <w:tcPr>
            <w:tcW w:w="2140" w:type="dxa"/>
            <w:vAlign w:val="bottom"/>
            <w:gridSpan w:val="2"/>
            <w:shd w:val="clear" w:color="auto" w:fill="E8FFFA"/>
          </w:tcPr>
          <w:p>
            <w:pPr>
              <w:ind w:left="160"/>
              <w:spacing w:after="0"/>
              <w:rPr>
                <w:sz w:val="20"/>
                <w:szCs w:val="20"/>
                <w:color w:val="auto"/>
              </w:rPr>
            </w:pPr>
            <w:r>
              <w:rPr>
                <w:rFonts w:ascii="Arial" w:cs="Arial" w:eastAsia="Arial" w:hAnsi="Arial"/>
                <w:sz w:val="14"/>
                <w:szCs w:val="14"/>
                <w:color w:val="auto"/>
                <w:w w:val="84"/>
              </w:rPr>
              <w:t>General and administrative expenses</w:t>
            </w:r>
          </w:p>
        </w:tc>
        <w:tc>
          <w:tcPr>
            <w:tcW w:w="820" w:type="dxa"/>
            <w:vAlign w:val="bottom"/>
            <w:gridSpan w:val="2"/>
            <w:shd w:val="clear" w:color="auto" w:fill="E8FFFA"/>
          </w:tcPr>
          <w:p>
            <w:pPr>
              <w:jc w:val="right"/>
              <w:spacing w:after="0"/>
              <w:rPr>
                <w:sz w:val="20"/>
                <w:szCs w:val="20"/>
                <w:color w:val="auto"/>
              </w:rPr>
            </w:pPr>
            <w:r>
              <w:rPr>
                <w:rFonts w:ascii="Arial" w:cs="Arial" w:eastAsia="Arial" w:hAnsi="Arial"/>
                <w:sz w:val="14"/>
                <w:szCs w:val="14"/>
                <w:color w:val="auto"/>
              </w:rPr>
              <w:t>1,170</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4"/>
                <w:szCs w:val="14"/>
                <w:color w:val="auto"/>
              </w:rPr>
              <w:t>1,170</w:t>
            </w:r>
          </w:p>
        </w:tc>
        <w:tc>
          <w:tcPr>
            <w:tcW w:w="180" w:type="dxa"/>
            <w:vAlign w:val="bottom"/>
            <w:shd w:val="clear" w:color="auto" w:fill="E8FFFA"/>
          </w:tcPr>
          <w:p>
            <w:pPr>
              <w:spacing w:after="0"/>
              <w:rPr>
                <w:sz w:val="14"/>
                <w:szCs w:val="14"/>
                <w:color w:val="auto"/>
              </w:rPr>
            </w:pPr>
          </w:p>
        </w:tc>
        <w:tc>
          <w:tcPr>
            <w:tcW w:w="660" w:type="dxa"/>
            <w:vAlign w:val="bottom"/>
            <w:shd w:val="clear" w:color="auto" w:fill="E8FFFA"/>
          </w:tcPr>
          <w:p>
            <w:pPr>
              <w:jc w:val="right"/>
              <w:spacing w:after="0"/>
              <w:rPr>
                <w:sz w:val="20"/>
                <w:szCs w:val="20"/>
                <w:color w:val="auto"/>
              </w:rPr>
            </w:pPr>
            <w:r>
              <w:rPr>
                <w:rFonts w:ascii="Arial" w:cs="Arial" w:eastAsia="Arial" w:hAnsi="Arial"/>
                <w:sz w:val="14"/>
                <w:szCs w:val="14"/>
                <w:color w:val="auto"/>
              </w:rPr>
              <w:t>2,340</w:t>
            </w:r>
          </w:p>
        </w:tc>
        <w:tc>
          <w:tcPr>
            <w:tcW w:w="1000" w:type="dxa"/>
            <w:vAlign w:val="bottom"/>
            <w:gridSpan w:val="2"/>
            <w:shd w:val="clear" w:color="auto" w:fill="E8FFFA"/>
          </w:tcPr>
          <w:p>
            <w:pPr>
              <w:jc w:val="right"/>
              <w:spacing w:after="0"/>
              <w:rPr>
                <w:sz w:val="20"/>
                <w:szCs w:val="20"/>
                <w:color w:val="auto"/>
              </w:rPr>
            </w:pPr>
            <w:r>
              <w:rPr>
                <w:rFonts w:ascii="Arial" w:cs="Arial" w:eastAsia="Arial" w:hAnsi="Arial"/>
                <w:sz w:val="14"/>
                <w:szCs w:val="14"/>
                <w:color w:val="auto"/>
              </w:rPr>
              <w:t>2,340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GasLog</w:t>
            </w:r>
          </w:p>
        </w:tc>
        <w:tc>
          <w:tcPr>
            <w:tcW w:w="2340" w:type="dxa"/>
            <w:vAlign w:val="bottom"/>
            <w:gridSpan w:val="2"/>
          </w:tcPr>
          <w:p>
            <w:pPr>
              <w:ind w:left="220"/>
              <w:spacing w:after="0" w:line="176" w:lineRule="exact"/>
              <w:rPr>
                <w:sz w:val="20"/>
                <w:szCs w:val="20"/>
                <w:color w:val="auto"/>
              </w:rPr>
            </w:pPr>
            <w:r>
              <w:rPr>
                <w:rFonts w:ascii="Arial" w:cs="Arial" w:eastAsia="Arial" w:hAnsi="Arial"/>
                <w:sz w:val="13"/>
                <w:szCs w:val="13"/>
                <w:color w:val="auto"/>
              </w:rPr>
              <w:t>Administrative services fee</w:t>
            </w:r>
            <w:r>
              <w:rPr>
                <w:rFonts w:ascii="Arial" w:cs="Arial" w:eastAsia="Arial" w:hAnsi="Arial"/>
                <w:sz w:val="20"/>
                <w:szCs w:val="20"/>
                <w:color w:val="auto"/>
                <w:vertAlign w:val="superscript"/>
              </w:rPr>
              <w:t>(ii)</w:t>
            </w:r>
          </w:p>
        </w:tc>
        <w:tc>
          <w:tcPr>
            <w:tcW w:w="2140" w:type="dxa"/>
            <w:vAlign w:val="bottom"/>
            <w:gridSpan w:val="2"/>
          </w:tcPr>
          <w:p>
            <w:pPr>
              <w:ind w:left="160"/>
              <w:spacing w:after="0"/>
              <w:rPr>
                <w:sz w:val="20"/>
                <w:szCs w:val="20"/>
                <w:color w:val="auto"/>
              </w:rPr>
            </w:pPr>
            <w:r>
              <w:rPr>
                <w:rFonts w:ascii="Arial" w:cs="Arial" w:eastAsia="Arial" w:hAnsi="Arial"/>
                <w:sz w:val="14"/>
                <w:szCs w:val="14"/>
                <w:color w:val="auto"/>
                <w:w w:val="84"/>
              </w:rPr>
              <w:t>General and administrative expenses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1,525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2,581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2,948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GasLog LNG</w:t>
            </w:r>
          </w:p>
        </w:tc>
        <w:tc>
          <w:tcPr>
            <w:tcW w:w="2340" w:type="dxa"/>
            <w:vAlign w:val="bottom"/>
            <w:gridSpan w:val="2"/>
            <w:vMerge w:val="restart"/>
            <w:shd w:val="clear" w:color="auto" w:fill="E8FFFA"/>
          </w:tcPr>
          <w:p>
            <w:pPr>
              <w:ind w:left="220"/>
              <w:spacing w:after="0"/>
              <w:rPr>
                <w:sz w:val="20"/>
                <w:szCs w:val="20"/>
                <w:color w:val="auto"/>
              </w:rPr>
            </w:pPr>
            <w:r>
              <w:rPr>
                <w:rFonts w:ascii="Arial" w:cs="Arial" w:eastAsia="Arial" w:hAnsi="Arial"/>
                <w:sz w:val="14"/>
                <w:szCs w:val="14"/>
                <w:color w:val="auto"/>
              </w:rPr>
              <w:t>Management fees</w:t>
            </w:r>
            <w:r>
              <w:rPr>
                <w:rFonts w:ascii="Arial" w:cs="Arial" w:eastAsia="Arial" w:hAnsi="Arial"/>
                <w:sz w:val="22"/>
                <w:szCs w:val="22"/>
                <w:color w:val="auto"/>
                <w:vertAlign w:val="superscript"/>
              </w:rPr>
              <w:t>(iii)</w:t>
            </w:r>
          </w:p>
        </w:tc>
        <w:tc>
          <w:tcPr>
            <w:tcW w:w="160" w:type="dxa"/>
            <w:vAlign w:val="bottom"/>
            <w:shd w:val="clear" w:color="auto" w:fill="E8FFFA"/>
          </w:tcPr>
          <w:p>
            <w:pPr>
              <w:spacing w:after="0"/>
              <w:rPr>
                <w:sz w:val="11"/>
                <w:szCs w:val="11"/>
                <w:color w:val="auto"/>
              </w:rPr>
            </w:pPr>
          </w:p>
        </w:tc>
        <w:tc>
          <w:tcPr>
            <w:tcW w:w="198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180" w:type="dxa"/>
            <w:vAlign w:val="bottom"/>
            <w:shd w:val="clear" w:color="auto" w:fill="E8FFFA"/>
          </w:tcPr>
          <w:p>
            <w:pPr>
              <w:spacing w:after="0"/>
              <w:rPr>
                <w:sz w:val="11"/>
                <w:szCs w:val="11"/>
                <w:color w:val="auto"/>
              </w:rPr>
            </w:pPr>
          </w:p>
        </w:tc>
        <w:tc>
          <w:tcPr>
            <w:tcW w:w="820" w:type="dxa"/>
            <w:vAlign w:val="bottom"/>
            <w:shd w:val="clear" w:color="auto" w:fill="E8FFFA"/>
          </w:tcPr>
          <w:p>
            <w:pPr>
              <w:spacing w:after="0"/>
              <w:rPr>
                <w:sz w:val="11"/>
                <w:szCs w:val="11"/>
                <w:color w:val="auto"/>
              </w:rPr>
            </w:pPr>
          </w:p>
        </w:tc>
        <w:tc>
          <w:tcPr>
            <w:tcW w:w="1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8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gridSpan w:val="2"/>
            <w:shd w:val="clear" w:color="auto" w:fill="E8FFFA"/>
          </w:tcPr>
          <w:p>
            <w:pPr>
              <w:ind w:left="120"/>
              <w:spacing w:after="0" w:line="159" w:lineRule="exact"/>
              <w:rPr>
                <w:sz w:val="20"/>
                <w:szCs w:val="20"/>
                <w:color w:val="auto"/>
              </w:rPr>
            </w:pPr>
            <w:r>
              <w:rPr>
                <w:rFonts w:ascii="Arial" w:cs="Arial" w:eastAsia="Arial" w:hAnsi="Arial"/>
                <w:sz w:val="14"/>
                <w:szCs w:val="14"/>
                <w:color w:val="auto"/>
              </w:rPr>
              <w:t>Services</w:t>
            </w:r>
          </w:p>
        </w:tc>
        <w:tc>
          <w:tcPr>
            <w:tcW w:w="2340" w:type="dxa"/>
            <w:vAlign w:val="bottom"/>
            <w:gridSpan w:val="2"/>
            <w:vMerge w:val="continue"/>
            <w:shd w:val="clear" w:color="auto" w:fill="E8FFFA"/>
          </w:tcPr>
          <w:p>
            <w:pPr>
              <w:spacing w:after="0"/>
              <w:rPr>
                <w:sz w:val="13"/>
                <w:szCs w:val="13"/>
                <w:color w:val="auto"/>
              </w:rPr>
            </w:pPr>
          </w:p>
        </w:tc>
        <w:tc>
          <w:tcPr>
            <w:tcW w:w="2140" w:type="dxa"/>
            <w:vAlign w:val="bottom"/>
            <w:gridSpan w:val="2"/>
            <w:shd w:val="clear" w:color="auto" w:fill="E8FFFA"/>
          </w:tcPr>
          <w:p>
            <w:pPr>
              <w:ind w:left="160"/>
              <w:spacing w:after="0" w:line="159" w:lineRule="exact"/>
              <w:rPr>
                <w:sz w:val="20"/>
                <w:szCs w:val="20"/>
                <w:color w:val="auto"/>
              </w:rPr>
            </w:pPr>
            <w:r>
              <w:rPr>
                <w:rFonts w:ascii="Arial" w:cs="Arial" w:eastAsia="Arial" w:hAnsi="Arial"/>
                <w:sz w:val="14"/>
                <w:szCs w:val="14"/>
                <w:color w:val="auto"/>
              </w:rPr>
              <w:t>Vessel operating costs</w:t>
            </w:r>
          </w:p>
        </w:tc>
        <w:tc>
          <w:tcPr>
            <w:tcW w:w="82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1,656</w:t>
            </w:r>
          </w:p>
        </w:tc>
        <w:tc>
          <w:tcPr>
            <w:tcW w:w="10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1,656</w:t>
            </w:r>
          </w:p>
        </w:tc>
        <w:tc>
          <w:tcPr>
            <w:tcW w:w="180" w:type="dxa"/>
            <w:vAlign w:val="bottom"/>
            <w:shd w:val="clear" w:color="auto" w:fill="E8FFFA"/>
          </w:tcPr>
          <w:p>
            <w:pPr>
              <w:spacing w:after="0"/>
              <w:rPr>
                <w:sz w:val="13"/>
                <w:szCs w:val="13"/>
                <w:color w:val="auto"/>
              </w:rPr>
            </w:pP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3,312</w:t>
            </w:r>
          </w:p>
        </w:tc>
        <w:tc>
          <w:tcPr>
            <w:tcW w:w="10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3,312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tcPr>
          <w:p>
            <w:pPr>
              <w:spacing w:after="0" w:line="138" w:lineRule="exact"/>
              <w:rPr>
                <w:sz w:val="20"/>
                <w:szCs w:val="20"/>
                <w:color w:val="auto"/>
              </w:rPr>
            </w:pPr>
            <w:r>
              <w:rPr>
                <w:rFonts w:ascii="Arial" w:cs="Arial" w:eastAsia="Arial" w:hAnsi="Arial"/>
                <w:sz w:val="14"/>
                <w:szCs w:val="14"/>
                <w:color w:val="auto"/>
              </w:rPr>
              <w:t>GasLog LNG</w:t>
            </w: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Services</w:t>
            </w:r>
          </w:p>
        </w:tc>
        <w:tc>
          <w:tcPr>
            <w:tcW w:w="23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Other vessel operating costs</w:t>
            </w:r>
          </w:p>
        </w:tc>
        <w:tc>
          <w:tcPr>
            <w:tcW w:w="21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Vessel operating costs</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3"/>
                <w:szCs w:val="13"/>
                <w:color w:val="auto"/>
              </w:rPr>
            </w:pPr>
          </w:p>
        </w:tc>
        <w:tc>
          <w:tcPr>
            <w:tcW w:w="10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75</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shd w:val="clear" w:color="auto" w:fill="E8FFFA"/>
          </w:tcPr>
          <w:p>
            <w:pPr>
              <w:spacing w:after="0" w:line="138" w:lineRule="exact"/>
              <w:rPr>
                <w:sz w:val="20"/>
                <w:szCs w:val="20"/>
                <w:color w:val="auto"/>
              </w:rPr>
            </w:pPr>
            <w:r>
              <w:rPr>
                <w:rFonts w:ascii="Arial" w:cs="Arial" w:eastAsia="Arial" w:hAnsi="Arial"/>
                <w:sz w:val="14"/>
                <w:szCs w:val="14"/>
                <w:color w:val="auto"/>
              </w:rPr>
              <w:t>GasLog</w:t>
            </w:r>
          </w:p>
        </w:tc>
        <w:tc>
          <w:tcPr>
            <w:tcW w:w="2340" w:type="dxa"/>
            <w:vAlign w:val="bottom"/>
            <w:gridSpan w:val="2"/>
            <w:shd w:val="clear" w:color="auto" w:fill="E8FFFA"/>
          </w:tcPr>
          <w:p>
            <w:pPr>
              <w:ind w:left="220"/>
              <w:spacing w:after="0" w:line="138" w:lineRule="exact"/>
              <w:rPr>
                <w:sz w:val="20"/>
                <w:szCs w:val="20"/>
                <w:color w:val="auto"/>
              </w:rPr>
            </w:pPr>
            <w:r>
              <w:rPr>
                <w:rFonts w:ascii="Arial" w:cs="Arial" w:eastAsia="Arial" w:hAnsi="Arial"/>
                <w:sz w:val="14"/>
                <w:szCs w:val="14"/>
                <w:color w:val="auto"/>
                <w:w w:val="87"/>
              </w:rPr>
              <w:t>Interest expense under Sponsor Credit</w:t>
            </w:r>
          </w:p>
        </w:tc>
        <w:tc>
          <w:tcPr>
            <w:tcW w:w="160" w:type="dxa"/>
            <w:vAlign w:val="bottom"/>
            <w:shd w:val="clear" w:color="auto" w:fill="E8FFFA"/>
          </w:tcPr>
          <w:p>
            <w:pPr>
              <w:spacing w:after="0"/>
              <w:rPr>
                <w:sz w:val="11"/>
                <w:szCs w:val="11"/>
                <w:color w:val="auto"/>
              </w:rPr>
            </w:pPr>
          </w:p>
        </w:tc>
        <w:tc>
          <w:tcPr>
            <w:tcW w:w="198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180" w:type="dxa"/>
            <w:vAlign w:val="bottom"/>
            <w:shd w:val="clear" w:color="auto" w:fill="E8FFFA"/>
          </w:tcPr>
          <w:p>
            <w:pPr>
              <w:spacing w:after="0"/>
              <w:rPr>
                <w:sz w:val="11"/>
                <w:szCs w:val="11"/>
                <w:color w:val="auto"/>
              </w:rPr>
            </w:pPr>
          </w:p>
        </w:tc>
        <w:tc>
          <w:tcPr>
            <w:tcW w:w="820" w:type="dxa"/>
            <w:vAlign w:val="bottom"/>
            <w:shd w:val="clear" w:color="auto" w:fill="E8FFFA"/>
          </w:tcPr>
          <w:p>
            <w:pPr>
              <w:spacing w:after="0"/>
              <w:rPr>
                <w:sz w:val="11"/>
                <w:szCs w:val="11"/>
                <w:color w:val="auto"/>
              </w:rPr>
            </w:pPr>
          </w:p>
        </w:tc>
        <w:tc>
          <w:tcPr>
            <w:tcW w:w="180" w:type="dxa"/>
            <w:vAlign w:val="bottom"/>
            <w:shd w:val="clear" w:color="auto" w:fill="E8FFFA"/>
          </w:tcPr>
          <w:p>
            <w:pPr>
              <w:spacing w:after="0"/>
              <w:rPr>
                <w:sz w:val="11"/>
                <w:szCs w:val="11"/>
                <w:color w:val="auto"/>
              </w:rPr>
            </w:pPr>
          </w:p>
        </w:tc>
        <w:tc>
          <w:tcPr>
            <w:tcW w:w="660" w:type="dxa"/>
            <w:vAlign w:val="bottom"/>
            <w:shd w:val="clear" w:color="auto" w:fill="E8FFFA"/>
          </w:tcPr>
          <w:p>
            <w:pPr>
              <w:spacing w:after="0"/>
              <w:rPr>
                <w:sz w:val="11"/>
                <w:szCs w:val="11"/>
                <w:color w:val="auto"/>
              </w:rPr>
            </w:pPr>
          </w:p>
        </w:tc>
        <w:tc>
          <w:tcPr>
            <w:tcW w:w="160" w:type="dxa"/>
            <w:vAlign w:val="bottom"/>
            <w:shd w:val="clear" w:color="auto" w:fill="E8FFFA"/>
          </w:tcPr>
          <w:p>
            <w:pPr>
              <w:spacing w:after="0"/>
              <w:rPr>
                <w:sz w:val="11"/>
                <w:szCs w:val="11"/>
                <w:color w:val="auto"/>
              </w:rPr>
            </w:pPr>
          </w:p>
        </w:tc>
        <w:tc>
          <w:tcPr>
            <w:tcW w:w="840" w:type="dxa"/>
            <w:vAlign w:val="bottom"/>
            <w:shd w:val="clear" w:color="auto" w:fill="E8FF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 w:type="dxa"/>
            <w:vAlign w:val="bottom"/>
            <w:shd w:val="clear" w:color="auto" w:fill="E8FFFA"/>
          </w:tcPr>
          <w:p>
            <w:pPr>
              <w:spacing w:after="0"/>
              <w:rPr>
                <w:sz w:val="13"/>
                <w:szCs w:val="13"/>
                <w:color w:val="auto"/>
              </w:rPr>
            </w:pPr>
          </w:p>
        </w:tc>
        <w:tc>
          <w:tcPr>
            <w:tcW w:w="400" w:type="dxa"/>
            <w:vAlign w:val="bottom"/>
            <w:shd w:val="clear" w:color="auto" w:fill="E8FFFA"/>
          </w:tcPr>
          <w:p>
            <w:pPr>
              <w:spacing w:after="0"/>
              <w:rPr>
                <w:sz w:val="13"/>
                <w:szCs w:val="13"/>
                <w:color w:val="auto"/>
              </w:rPr>
            </w:pPr>
          </w:p>
        </w:tc>
        <w:tc>
          <w:tcPr>
            <w:tcW w:w="2340" w:type="dxa"/>
            <w:vAlign w:val="bottom"/>
            <w:gridSpan w:val="2"/>
            <w:shd w:val="clear" w:color="auto" w:fill="E8FFFA"/>
          </w:tcPr>
          <w:p>
            <w:pPr>
              <w:ind w:left="220"/>
              <w:spacing w:after="0" w:line="159" w:lineRule="exact"/>
              <w:rPr>
                <w:sz w:val="20"/>
                <w:szCs w:val="20"/>
                <w:color w:val="auto"/>
              </w:rPr>
            </w:pPr>
            <w:r>
              <w:rPr>
                <w:rFonts w:ascii="Arial" w:cs="Arial" w:eastAsia="Arial" w:hAnsi="Arial"/>
                <w:sz w:val="14"/>
                <w:szCs w:val="14"/>
                <w:color w:val="auto"/>
              </w:rPr>
              <w:t>Facility</w:t>
            </w:r>
          </w:p>
        </w:tc>
        <w:tc>
          <w:tcPr>
            <w:tcW w:w="2140" w:type="dxa"/>
            <w:vAlign w:val="bottom"/>
            <w:gridSpan w:val="2"/>
            <w:shd w:val="clear" w:color="auto" w:fill="E8FFFA"/>
          </w:tcPr>
          <w:p>
            <w:pPr>
              <w:ind w:left="160"/>
              <w:spacing w:after="0" w:line="159" w:lineRule="exact"/>
              <w:rPr>
                <w:sz w:val="20"/>
                <w:szCs w:val="20"/>
                <w:color w:val="auto"/>
              </w:rPr>
            </w:pPr>
            <w:r>
              <w:rPr>
                <w:rFonts w:ascii="Arial" w:cs="Arial" w:eastAsia="Arial" w:hAnsi="Arial"/>
                <w:sz w:val="14"/>
                <w:szCs w:val="14"/>
                <w:color w:val="auto"/>
              </w:rPr>
              <w:t>Financial costs</w:t>
            </w:r>
          </w:p>
        </w:tc>
        <w:tc>
          <w:tcPr>
            <w:tcW w:w="82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1,160</w:t>
            </w:r>
          </w:p>
        </w:tc>
        <w:tc>
          <w:tcPr>
            <w:tcW w:w="180" w:type="dxa"/>
            <w:vAlign w:val="bottom"/>
            <w:shd w:val="clear" w:color="auto" w:fill="E8FFFA"/>
          </w:tcPr>
          <w:p>
            <w:pPr>
              <w:spacing w:after="0"/>
              <w:rPr>
                <w:sz w:val="13"/>
                <w:szCs w:val="13"/>
                <w:color w:val="auto"/>
              </w:rPr>
            </w:pPr>
          </w:p>
        </w:tc>
        <w:tc>
          <w:tcPr>
            <w:tcW w:w="1000" w:type="dxa"/>
            <w:vAlign w:val="bottom"/>
            <w:gridSpan w:val="2"/>
            <w:shd w:val="clear" w:color="auto" w:fill="E8FFFA"/>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E8FFFA"/>
          </w:tcPr>
          <w:p>
            <w:pPr>
              <w:jc w:val="right"/>
              <w:spacing w:after="0" w:line="159" w:lineRule="exact"/>
              <w:rPr>
                <w:sz w:val="20"/>
                <w:szCs w:val="20"/>
                <w:color w:val="auto"/>
              </w:rPr>
            </w:pPr>
            <w:r>
              <w:rPr>
                <w:rFonts w:ascii="Arial" w:cs="Arial" w:eastAsia="Arial" w:hAnsi="Arial"/>
                <w:sz w:val="14"/>
                <w:szCs w:val="14"/>
                <w:color w:val="auto"/>
              </w:rPr>
              <w:t>1,160</w:t>
            </w:r>
          </w:p>
        </w:tc>
        <w:tc>
          <w:tcPr>
            <w:tcW w:w="1000" w:type="dxa"/>
            <w:vAlign w:val="bottom"/>
            <w:gridSpan w:val="2"/>
            <w:shd w:val="clear" w:color="auto" w:fill="E8FFFA"/>
          </w:tcPr>
          <w:p>
            <w:pPr>
              <w:jc w:val="right"/>
              <w:spacing w:after="0" w:line="159" w:lineRule="exact"/>
              <w:rPr>
                <w:sz w:val="20"/>
                <w:szCs w:val="20"/>
                <w:color w:val="auto"/>
              </w:rPr>
            </w:pPr>
            <w:r>
              <w:rPr>
                <w:rFonts w:ascii="Arial" w:cs="Arial" w:eastAsia="Arial" w:hAnsi="Arial"/>
                <w:sz w:val="14"/>
                <w:szCs w:val="14"/>
                <w:color w:val="auto"/>
              </w:rPr>
              <w:t>935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tcPr>
          <w:p>
            <w:pPr>
              <w:spacing w:after="0" w:line="138" w:lineRule="exact"/>
              <w:rPr>
                <w:sz w:val="20"/>
                <w:szCs w:val="20"/>
                <w:color w:val="auto"/>
              </w:rPr>
            </w:pPr>
            <w:r>
              <w:rPr>
                <w:rFonts w:ascii="Arial" w:cs="Arial" w:eastAsia="Arial" w:hAnsi="Arial"/>
                <w:sz w:val="14"/>
                <w:szCs w:val="14"/>
                <w:color w:val="auto"/>
              </w:rPr>
              <w:t>GasLog</w:t>
            </w:r>
          </w:p>
        </w:tc>
        <w:tc>
          <w:tcPr>
            <w:tcW w:w="2340" w:type="dxa"/>
            <w:vAlign w:val="bottom"/>
            <w:gridSpan w:val="2"/>
          </w:tcPr>
          <w:p>
            <w:pPr>
              <w:ind w:left="220"/>
              <w:spacing w:after="0" w:line="138" w:lineRule="exact"/>
              <w:rPr>
                <w:sz w:val="20"/>
                <w:szCs w:val="20"/>
                <w:color w:val="auto"/>
              </w:rPr>
            </w:pPr>
            <w:r>
              <w:rPr>
                <w:rFonts w:ascii="Arial" w:cs="Arial" w:eastAsia="Arial" w:hAnsi="Arial"/>
                <w:sz w:val="14"/>
                <w:szCs w:val="14"/>
                <w:color w:val="auto"/>
                <w:w w:val="87"/>
              </w:rPr>
              <w:t>Commitment fee under Sponsor Credit</w:t>
            </w:r>
          </w:p>
        </w:tc>
        <w:tc>
          <w:tcPr>
            <w:tcW w:w="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Facility</w:t>
            </w:r>
          </w:p>
        </w:tc>
        <w:tc>
          <w:tcPr>
            <w:tcW w:w="21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Financial costs</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62</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242</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shd w:val="clear" w:color="auto" w:fill="E8FFFA"/>
          </w:tcPr>
          <w:p>
            <w:pPr>
              <w:spacing w:after="0" w:line="149" w:lineRule="exact"/>
              <w:rPr>
                <w:sz w:val="20"/>
                <w:szCs w:val="20"/>
                <w:color w:val="auto"/>
              </w:rPr>
            </w:pPr>
            <w:r>
              <w:rPr>
                <w:rFonts w:ascii="Arial" w:cs="Arial" w:eastAsia="Arial" w:hAnsi="Arial"/>
                <w:sz w:val="14"/>
                <w:szCs w:val="14"/>
                <w:color w:val="auto"/>
              </w:rPr>
              <w:t>GasLog</w:t>
            </w:r>
          </w:p>
        </w:tc>
        <w:tc>
          <w:tcPr>
            <w:tcW w:w="2340" w:type="dxa"/>
            <w:vAlign w:val="bottom"/>
            <w:gridSpan w:val="2"/>
            <w:shd w:val="clear" w:color="auto" w:fill="E8FFFA"/>
          </w:tcPr>
          <w:p>
            <w:pPr>
              <w:ind w:left="220"/>
              <w:spacing w:after="0" w:line="149" w:lineRule="exact"/>
              <w:rPr>
                <w:sz w:val="20"/>
                <w:szCs w:val="20"/>
                <w:color w:val="auto"/>
              </w:rPr>
            </w:pPr>
            <w:r>
              <w:rPr>
                <w:rFonts w:ascii="Arial" w:cs="Arial" w:eastAsia="Arial" w:hAnsi="Arial"/>
                <w:sz w:val="14"/>
                <w:szCs w:val="14"/>
                <w:color w:val="auto"/>
              </w:rPr>
              <w:t>Interest on swaps (Note 11)</w:t>
            </w:r>
          </w:p>
        </w:tc>
        <w:tc>
          <w:tcPr>
            <w:tcW w:w="2140" w:type="dxa"/>
            <w:vAlign w:val="bottom"/>
            <w:gridSpan w:val="2"/>
            <w:shd w:val="clear" w:color="auto" w:fill="E8FFFA"/>
          </w:tcPr>
          <w:p>
            <w:pPr>
              <w:ind w:left="160"/>
              <w:spacing w:after="0" w:line="149" w:lineRule="exact"/>
              <w:rPr>
                <w:sz w:val="20"/>
                <w:szCs w:val="20"/>
                <w:color w:val="auto"/>
              </w:rPr>
            </w:pPr>
            <w:r>
              <w:rPr>
                <w:rFonts w:ascii="Arial" w:cs="Arial" w:eastAsia="Arial" w:hAnsi="Arial"/>
                <w:sz w:val="14"/>
                <w:szCs w:val="14"/>
                <w:color w:val="auto"/>
              </w:rPr>
              <w:t>(Loss)/gain on derivatives</w:t>
            </w:r>
          </w:p>
        </w:tc>
        <w:tc>
          <w:tcPr>
            <w:tcW w:w="82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479</w:t>
            </w:r>
          </w:p>
        </w:tc>
        <w:tc>
          <w:tcPr>
            <w:tcW w:w="1180" w:type="dxa"/>
            <w:vAlign w:val="bottom"/>
            <w:gridSpan w:val="3"/>
            <w:shd w:val="clear" w:color="auto" w:fill="E8FFFA"/>
          </w:tcPr>
          <w:p>
            <w:pPr>
              <w:jc w:val="right"/>
              <w:ind w:right="140"/>
              <w:spacing w:after="0" w:line="149" w:lineRule="exact"/>
              <w:rPr>
                <w:sz w:val="20"/>
                <w:szCs w:val="20"/>
                <w:color w:val="auto"/>
              </w:rPr>
            </w:pPr>
            <w:r>
              <w:rPr>
                <w:rFonts w:ascii="Arial" w:cs="Arial" w:eastAsia="Arial" w:hAnsi="Arial"/>
                <w:sz w:val="14"/>
                <w:szCs w:val="14"/>
                <w:color w:val="auto"/>
              </w:rPr>
              <w:t>(587)</w:t>
            </w:r>
          </w:p>
        </w:tc>
        <w:tc>
          <w:tcPr>
            <w:tcW w:w="66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1,104</w:t>
            </w:r>
          </w:p>
        </w:tc>
        <w:tc>
          <w:tcPr>
            <w:tcW w:w="100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Cool Pool</w:t>
            </w:r>
          </w:p>
        </w:tc>
        <w:tc>
          <w:tcPr>
            <w:tcW w:w="2340" w:type="dxa"/>
            <w:vAlign w:val="bottom"/>
            <w:gridSpan w:val="2"/>
          </w:tcPr>
          <w:p>
            <w:pPr>
              <w:ind w:left="220"/>
              <w:spacing w:after="0"/>
              <w:rPr>
                <w:sz w:val="20"/>
                <w:szCs w:val="20"/>
                <w:color w:val="auto"/>
              </w:rPr>
            </w:pPr>
            <w:r>
              <w:rPr>
                <w:rFonts w:ascii="Arial" w:cs="Arial" w:eastAsia="Arial" w:hAnsi="Arial"/>
                <w:sz w:val="14"/>
                <w:szCs w:val="14"/>
                <w:color w:val="auto"/>
              </w:rPr>
              <w:t>Adjustment for net pool allocation</w:t>
            </w:r>
          </w:p>
        </w:tc>
        <w:tc>
          <w:tcPr>
            <w:tcW w:w="2140" w:type="dxa"/>
            <w:vAlign w:val="bottom"/>
            <w:gridSpan w:val="2"/>
          </w:tcPr>
          <w:p>
            <w:pPr>
              <w:ind w:left="160"/>
              <w:spacing w:after="0"/>
              <w:rPr>
                <w:sz w:val="20"/>
                <w:szCs w:val="20"/>
                <w:color w:val="auto"/>
              </w:rPr>
            </w:pPr>
            <w:r>
              <w:rPr>
                <w:rFonts w:ascii="Arial" w:cs="Arial" w:eastAsia="Arial" w:hAnsi="Arial"/>
                <w:sz w:val="14"/>
                <w:szCs w:val="14"/>
                <w:color w:val="auto"/>
              </w:rPr>
              <w:t>Net pool allocation</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357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Commercial Management Agreements</w:t>
      </w:r>
    </w:p>
    <w:p>
      <w:pPr>
        <w:spacing w:after="0" w:line="219" w:lineRule="exact"/>
        <w:rPr>
          <w:rFonts w:ascii="Arial" w:cs="Arial" w:eastAsia="Arial" w:hAnsi="Arial"/>
          <w:sz w:val="22"/>
          <w:szCs w:val="22"/>
          <w:color w:val="auto"/>
          <w:vertAlign w:val="superscript"/>
        </w:rPr>
      </w:pPr>
    </w:p>
    <w:p>
      <w:pPr>
        <w:ind w:left="1680"/>
        <w:spacing w:after="0" w:line="270"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75" w:lineRule="exact"/>
        <w:rPr>
          <w:rFonts w:ascii="Arial" w:cs="Arial" w:eastAsia="Arial" w:hAnsi="Arial"/>
          <w:sz w:val="22"/>
          <w:szCs w:val="22"/>
          <w:color w:val="auto"/>
          <w:vertAlign w:val="superscript"/>
        </w:rPr>
      </w:pPr>
    </w:p>
    <w:p>
      <w:pPr>
        <w:ind w:left="1680" w:right="20"/>
        <w:spacing w:after="0" w:line="273"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The same provisions are included in the commercial management agreements that GAS-eleven Ltd., GAS-thirteen Ltd., GAS-fourteen Ltd., GAS-sixteen Ltd., GAS-seventeen Ltd., GAS-nineteen Ltd., GAS-twenty Ltd. and GAS-twenty one Ltd. entered into with GasLog upon the deliveries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Gibraltar</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Rita Andrea</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Jane Elizabeth</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Alison Victoria</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w:t>
      </w:r>
      <w:r>
        <w:rPr>
          <w:rFonts w:ascii="Arial" w:cs="Arial" w:eastAsia="Arial" w:hAnsi="Arial"/>
          <w:sz w:val="12"/>
          <w:szCs w:val="12"/>
          <w:i w:val="1"/>
          <w:iCs w:val="1"/>
          <w:color w:val="auto"/>
        </w:rPr>
        <w:t xml:space="preserve"> </w:t>
      </w:r>
      <w:r>
        <w:rPr>
          <w:rFonts w:ascii="Arial" w:cs="Arial" w:eastAsia="Arial" w:hAnsi="Arial"/>
          <w:sz w:val="12"/>
          <w:szCs w:val="12"/>
          <w:color w:val="auto"/>
        </w:rPr>
        <w:t>into GasLog's fleet in March 2016, September 2016, October 2016, April 2014 and June 2014 (together with the Amended Commercial Management Agreements and the commercial management agreements entered into by GAS-seven Ltd. and GAS-eight Ltd. with GasLog, the "Commercial Management Agreements").</w:t>
      </w:r>
    </w:p>
    <w:p>
      <w:pPr>
        <w:spacing w:after="0" w:line="147"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Administrative Services Agreement</w:t>
      </w:r>
    </w:p>
    <w:p>
      <w:pPr>
        <w:spacing w:after="0" w:line="219" w:lineRule="exact"/>
        <w:rPr>
          <w:rFonts w:ascii="Arial" w:cs="Arial" w:eastAsia="Arial" w:hAnsi="Arial"/>
          <w:sz w:val="22"/>
          <w:szCs w:val="22"/>
          <w:color w:val="auto"/>
          <w:vertAlign w:val="superscript"/>
        </w:rPr>
      </w:pPr>
    </w:p>
    <w:p>
      <w:pPr>
        <w:ind w:left="1680"/>
        <w:spacing w:after="0" w:line="268"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On November 16, 2016, the board of directors approved an increase in the service fee payable to GasLog under the terms of the Administrative Services Agreement to $632 per vessel per year with effect from January 1, 2017. With effect from January 1, 2018, the service fee increased to $812 per vessel per year.</w:t>
      </w:r>
    </w:p>
    <w:p>
      <w:pPr>
        <w:spacing w:after="0" w:line="150"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Ship Management Agreements</w:t>
      </w:r>
    </w:p>
    <w:p>
      <w:pPr>
        <w:spacing w:after="0" w:line="219" w:lineRule="exact"/>
        <w:rPr>
          <w:rFonts w:ascii="Arial" w:cs="Arial" w:eastAsia="Arial" w:hAnsi="Arial"/>
          <w:sz w:val="22"/>
          <w:szCs w:val="22"/>
          <w:color w:val="auto"/>
          <w:vertAlign w:val="superscript"/>
        </w:rPr>
      </w:pPr>
    </w:p>
    <w:p>
      <w:pPr>
        <w:ind w:left="1680"/>
        <w:spacing w:after="0" w:line="262"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 xml:space="preserve">Methane 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respectively, into GasLog's fleet in April 2014 and June 2014 (together with the Amended Ship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GAS-thirteen Ltd. and GAS-fourteen Ltd. had entered into with GasLog upon the deliveries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in March 2016,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in September 2016 and the </w:t>
      </w:r>
      <w:r>
        <w:rPr>
          <w:rFonts w:ascii="Arial" w:cs="Arial" w:eastAsia="Arial" w:hAnsi="Arial"/>
          <w:sz w:val="12"/>
          <w:szCs w:val="12"/>
          <w:i w:val="1"/>
          <w:iCs w:val="1"/>
          <w:color w:val="auto"/>
        </w:rPr>
        <w:t xml:space="preserve">GasLog Gibraltar </w:t>
      </w:r>
      <w:r>
        <w:rPr>
          <w:rFonts w:ascii="Arial" w:cs="Arial" w:eastAsia="Arial" w:hAnsi="Arial"/>
          <w:sz w:val="12"/>
          <w:szCs w:val="12"/>
          <w:color w:val="auto"/>
        </w:rPr>
        <w:t>in October 2016, respectively (with a fixed monthly charge of $46).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9180" w:type="dxa"/>
            <w:vAlign w:val="bottom"/>
            <w:gridSpan w:val="4"/>
          </w:tcPr>
          <w:p>
            <w:pPr>
              <w:spacing w:after="0"/>
              <w:rPr>
                <w:sz w:val="20"/>
                <w:szCs w:val="20"/>
                <w:color w:val="auto"/>
              </w:rPr>
            </w:pPr>
            <w:r>
              <w:rPr>
                <w:rFonts w:ascii="Arial" w:cs="Arial" w:eastAsia="Arial" w:hAnsi="Arial"/>
                <w:sz w:val="18"/>
                <w:szCs w:val="18"/>
                <w:b w:val="1"/>
                <w:bCs w:val="1"/>
                <w:color w:val="auto"/>
              </w:rPr>
              <w:t>4. Vessels</w:t>
            </w:r>
          </w:p>
        </w:tc>
        <w:tc>
          <w:tcPr>
            <w:tcW w:w="1100" w:type="dxa"/>
            <w:vAlign w:val="bottom"/>
          </w:tcPr>
          <w:p>
            <w:pPr>
              <w:spacing w:after="0"/>
              <w:rPr>
                <w:sz w:val="19"/>
                <w:szCs w:val="19"/>
                <w:color w:val="auto"/>
              </w:rPr>
            </w:pPr>
          </w:p>
        </w:tc>
      </w:tr>
      <w:tr>
        <w:trPr>
          <w:trHeight w:val="432"/>
        </w:trPr>
        <w:tc>
          <w:tcPr>
            <w:tcW w:w="9180" w:type="dxa"/>
            <w:vAlign w:val="bottom"/>
            <w:gridSpan w:val="4"/>
          </w:tcPr>
          <w:p>
            <w:pPr>
              <w:ind w:left="360"/>
              <w:spacing w:after="0"/>
              <w:rPr>
                <w:sz w:val="20"/>
                <w:szCs w:val="20"/>
                <w:color w:val="auto"/>
              </w:rPr>
            </w:pPr>
            <w:r>
              <w:rPr>
                <w:rFonts w:ascii="Arial" w:cs="Arial" w:eastAsia="Arial" w:hAnsi="Arial"/>
                <w:sz w:val="18"/>
                <w:szCs w:val="18"/>
                <w:color w:val="auto"/>
              </w:rPr>
              <w:t>The movement in vessels is reported in the following table:</w:t>
            </w:r>
          </w:p>
        </w:tc>
        <w:tc>
          <w:tcPr>
            <w:tcW w:w="11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Vessels</w:t>
            </w:r>
          </w:p>
        </w:tc>
      </w:tr>
      <w:tr>
        <w:trPr>
          <w:trHeight w:val="192"/>
        </w:trPr>
        <w:tc>
          <w:tcPr>
            <w:tcW w:w="1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E8FFFA"/>
          </w:tcPr>
          <w:p>
            <w:pPr>
              <w:spacing w:after="0" w:line="171" w:lineRule="exact"/>
              <w:rPr>
                <w:sz w:val="20"/>
                <w:szCs w:val="20"/>
                <w:color w:val="auto"/>
              </w:rPr>
            </w:pPr>
            <w:r>
              <w:rPr>
                <w:rFonts w:ascii="Arial" w:cs="Arial" w:eastAsia="Arial" w:hAnsi="Arial"/>
                <w:sz w:val="18"/>
                <w:szCs w:val="18"/>
                <w:b w:val="1"/>
                <w:bCs w:val="1"/>
                <w:color w:val="auto"/>
                <w:w w:val="79"/>
              </w:rPr>
              <w:t>Cost</w:t>
            </w:r>
          </w:p>
        </w:tc>
        <w:tc>
          <w:tcPr>
            <w:tcW w:w="7680" w:type="dxa"/>
            <w:vAlign w:val="bottom"/>
            <w:tcBorders>
              <w:bottom w:val="single" w:sz="8" w:color="E8FFFA"/>
            </w:tcBorders>
            <w:shd w:val="clear" w:color="auto" w:fill="E8FFFA"/>
          </w:tcPr>
          <w:p>
            <w:pPr>
              <w:spacing w:after="0"/>
              <w:rPr>
                <w:sz w:val="16"/>
                <w:szCs w:val="16"/>
                <w:color w:val="auto"/>
              </w:rPr>
            </w:pPr>
          </w:p>
        </w:tc>
        <w:tc>
          <w:tcPr>
            <w:tcW w:w="1100" w:type="dxa"/>
            <w:vAlign w:val="bottom"/>
            <w:tcBorders>
              <w:bottom w:val="single" w:sz="8" w:color="E8FFFA"/>
            </w:tcBorders>
            <w:shd w:val="clear" w:color="auto" w:fill="E8FFFA"/>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As of January 1, 2018</w:t>
            </w:r>
          </w:p>
        </w:tc>
        <w:tc>
          <w:tcPr>
            <w:tcW w:w="1100" w:type="dxa"/>
            <w:vAlign w:val="bottom"/>
          </w:tcPr>
          <w:p>
            <w:pPr>
              <w:jc w:val="right"/>
              <w:spacing w:after="0"/>
              <w:rPr>
                <w:sz w:val="20"/>
                <w:szCs w:val="20"/>
                <w:color w:val="auto"/>
              </w:rPr>
            </w:pPr>
            <w:r>
              <w:rPr>
                <w:rFonts w:ascii="Arial" w:cs="Arial" w:eastAsia="Arial" w:hAnsi="Arial"/>
                <w:sz w:val="18"/>
                <w:szCs w:val="18"/>
                <w:color w:val="auto"/>
              </w:rPr>
              <w:t>2,390,128</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Additions</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28,382</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Fully amortized dry-docking component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As of June 30, 2018</w:t>
            </w:r>
          </w:p>
        </w:tc>
        <w:tc>
          <w:tcPr>
            <w:tcW w:w="11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2,413,510</w:t>
            </w:r>
          </w:p>
        </w:tc>
      </w:tr>
      <w:tr>
        <w:trPr>
          <w:trHeight w:val="20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1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As of January 1, 2018</w:t>
            </w:r>
          </w:p>
        </w:tc>
        <w:tc>
          <w:tcPr>
            <w:tcW w:w="110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240,377</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36,604</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shd w:val="clear" w:color="auto" w:fill="E8FFFA"/>
          </w:tcPr>
          <w:p>
            <w:pPr>
              <w:spacing w:after="0"/>
              <w:rPr>
                <w:sz w:val="20"/>
                <w:szCs w:val="20"/>
                <w:color w:val="auto"/>
              </w:rPr>
            </w:pPr>
            <w:r>
              <w:rPr>
                <w:rFonts w:ascii="Arial" w:cs="Arial" w:eastAsia="Arial" w:hAnsi="Arial"/>
                <w:sz w:val="18"/>
                <w:szCs w:val="18"/>
                <w:color w:val="auto"/>
              </w:rPr>
              <w:t>Fully amortized dry-docking component</w:t>
            </w:r>
          </w:p>
        </w:tc>
        <w:tc>
          <w:tcPr>
            <w:tcW w:w="11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(5,000)</w:t>
            </w: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271,981</w:t>
            </w: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Net book value</w:t>
            </w:r>
          </w:p>
        </w:tc>
        <w:tc>
          <w:tcPr>
            <w:tcW w:w="1100" w:type="dxa"/>
            <w:vAlign w:val="bottom"/>
            <w:tcBorders>
              <w:bottom w:val="single" w:sz="8" w:color="auto"/>
            </w:tcBorders>
            <w:shd w:val="clear" w:color="auto" w:fill="E8FFFA"/>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2,149,751</w:t>
            </w: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gridSpan w:val="2"/>
            <w:shd w:val="clear" w:color="auto" w:fill="E8FFFA"/>
          </w:tcPr>
          <w:p>
            <w:pPr>
              <w:spacing w:after="0"/>
              <w:rPr>
                <w:sz w:val="20"/>
                <w:szCs w:val="20"/>
                <w:color w:val="auto"/>
              </w:rPr>
            </w:pPr>
            <w:r>
              <w:rPr>
                <w:rFonts w:ascii="Arial" w:cs="Arial" w:eastAsia="Arial" w:hAnsi="Arial"/>
                <w:sz w:val="18"/>
                <w:szCs w:val="18"/>
                <w:b w:val="1"/>
                <w:bCs w:val="1"/>
                <w:color w:val="auto"/>
              </w:rPr>
              <w:t>As of June 30, 2018</w:t>
            </w:r>
          </w:p>
        </w:tc>
        <w:tc>
          <w:tcPr>
            <w:tcW w:w="110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2,141,529</w:t>
            </w: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vessels have been pledged as collateral under the terms of the Partnership's bank loan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Partners' Equity</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at a price to the public of $25.00 per preference unit. The net proceeds from the offering, after deducting underwriting discounts, commissions and other offering expenses, were $111,194. The Series B Preference Units are listed on the New York Stock Exchange under the symbol "GLOP PR B". The initial distribution on the Series B Preference Units was paid on March 15, 2018 (Note 13). The Series B Preference Units issued have been accounted for as equity instruments based on certain characteristics such as the discretion held by our board of directors over distributions, which can be deferred and accumulated, as well as the redemption rights held only by the Partnership. The Series B Preference Units have preference upon liquidation and the holders would receive $25.00 per unit plus any accumulated and unpaid distributions.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On April 3, 2018, GasLog Partners issued 33,998 common units in connection with the vesting of 16,999 Restricted Common Units ("RCUs") and 16,999 Performance Common Units ("PCUs") under its 2015 Long-Term Incentive Plan (the "2015 Plan") at a price of $23.55 per unit. Subsequently, on 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Finally, under the Partnership's ATM Common Equity Offering Programme ("ATM Programme"), there was an issuance of 1,020 additional common units during the second quarter of 2018 at an average price of $24.25 per unit.</w:t>
      </w:r>
    </w:p>
    <w:p>
      <w:pPr>
        <w:spacing w:after="0" w:line="17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During the second quarter of 2018, in connection with the aggregate common equity issuances mentioned above and in order for GasLog to retain its 2.0% general partner interest, GasLog Partners also issued 38,653 general partner units to GasLog, for net proceeds of $935.</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6. Borrowings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w:t>
            </w:r>
          </w:p>
        </w:tc>
      </w:tr>
      <w:tr>
        <w:trPr>
          <w:trHeight w:val="229"/>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Amounts due within one year</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119,764</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90,014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(5,194)</w:t>
            </w:r>
          </w:p>
        </w:tc>
        <w:tc>
          <w:tcPr>
            <w:tcW w:w="1180" w:type="dxa"/>
            <w:vAlign w:val="bottom"/>
          </w:tcPr>
          <w:p>
            <w:pPr>
              <w:jc w:val="right"/>
              <w:spacing w:after="0"/>
              <w:rPr>
                <w:sz w:val="20"/>
                <w:szCs w:val="20"/>
                <w:color w:val="auto"/>
              </w:rPr>
            </w:pPr>
            <w:r>
              <w:rPr>
                <w:rFonts w:ascii="Arial" w:cs="Arial" w:eastAsia="Arial" w:hAnsi="Arial"/>
                <w:sz w:val="18"/>
                <w:szCs w:val="18"/>
                <w:color w:val="auto"/>
              </w:rPr>
              <w:t>(5,053)</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Borrowings – current portion</w:t>
            </w: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114,570</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84,961</w:t>
            </w:r>
          </w:p>
        </w:tc>
        <w:tc>
          <w:tcPr>
            <w:tcW w:w="60" w:type="dxa"/>
            <w:vAlign w:val="bottom"/>
          </w:tcPr>
          <w:p>
            <w:pPr>
              <w:spacing w:after="0"/>
              <w:rPr>
                <w:sz w:val="18"/>
                <w:szCs w:val="18"/>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Amounts due after one year</w:t>
            </w:r>
          </w:p>
        </w:tc>
        <w:tc>
          <w:tcPr>
            <w:tcW w:w="1160" w:type="dxa"/>
            <w:vAlign w:val="bottom"/>
          </w:tcPr>
          <w:p>
            <w:pPr>
              <w:jc w:val="right"/>
              <w:spacing w:after="0"/>
              <w:rPr>
                <w:sz w:val="20"/>
                <w:szCs w:val="20"/>
                <w:color w:val="auto"/>
              </w:rPr>
            </w:pPr>
            <w:r>
              <w:rPr>
                <w:rFonts w:ascii="Arial" w:cs="Arial" w:eastAsia="Arial" w:hAnsi="Arial"/>
                <w:sz w:val="18"/>
                <w:szCs w:val="18"/>
                <w:color w:val="auto"/>
              </w:rPr>
              <w:t>1,202,823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1,112,816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Less: unamortized deferred loan issuance costs</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(16,828)</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(13,334)</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Borrowings – non-current portion</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1,185,995</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1,099,482</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1,300,565</w:t>
            </w:r>
          </w:p>
        </w:tc>
        <w:tc>
          <w:tcPr>
            <w:tcW w:w="160" w:type="dxa"/>
            <w:vAlign w:val="bottom"/>
            <w:shd w:val="clear" w:color="auto" w:fill="E8FFFA"/>
          </w:tcPr>
          <w:p>
            <w:pPr>
              <w:spacing w:after="0"/>
              <w:rPr>
                <w:sz w:val="18"/>
                <w:szCs w:val="18"/>
                <w:color w:val="auto"/>
              </w:rPr>
            </w:pP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1,184,443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main terms of the bank loan facilities and the Sponsor Credit Facility have been disclosed in the annual consolidated financial statements for the year ended December 31, 2017. Refer to Note 6 "Borrowings".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January 5, 2018, the Partnership prepaid $29,750 of the outstanding debt of GAS-nineteen Ltd., GAS-twenty Ltd. and GAS-twenty one Ltd., which would have been originally due in April 2018.</w:t>
      </w:r>
    </w:p>
    <w:p>
      <w:pPr>
        <w:spacing w:after="0" w:line="186"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On March 23, 2018, the outstanding amount of $45,000 under the Sponsor Credit Facility was prepaid. On the same date, the term loan facility was terminated and the respective unamortized loan fees of $900 were written-off to profit or loss. As of June 30, 2018 and December 31, 2017, no amounts were outstanding under the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GAS-fourteen Ltd. facility</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Following the acquisition of GAS-fourteen Ltd., the Partnership assumed $143,622 of outstanding indebtedness of the acquired entity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 xml:space="preserve">The loan agreement with respect to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provided for four tranches of $50,544, $25,258, $24,643 and $60,252. Under the terms of the agreement, each drawing under the first three tranches would be repaid in 24 consecutive semi-annual equal installments commencing six months after the actual delivery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according to a 12-year profile. Each drawing under the fourth tranche would be repaid in 20 consecutive semi-annual equal installments commencing six months after the actual delivery of the relevant vessel according to a 20-year profile, with a balloon payment together with the final installment. On October 25, 2016, $160,697 was drawn down to partially finance the delivery of the </w:t>
      </w:r>
      <w:r>
        <w:rPr>
          <w:rFonts w:ascii="Arial" w:cs="Arial" w:eastAsia="Arial" w:hAnsi="Arial"/>
          <w:sz w:val="18"/>
          <w:szCs w:val="18"/>
          <w:i w:val="1"/>
          <w:iCs w:val="1"/>
          <w:color w:val="auto"/>
        </w:rPr>
        <w:t>GasLog Gibraltar</w:t>
      </w:r>
      <w:r>
        <w:rPr>
          <w:rFonts w:ascii="Arial" w:cs="Arial" w:eastAsia="Arial" w:hAnsi="Arial"/>
          <w:sz w:val="18"/>
          <w:szCs w:val="18"/>
          <w:color w:val="auto"/>
        </w:rPr>
        <w:t>. Amounts drawn per tranche bear interest at LIBOR plus a margin.</w:t>
      </w:r>
    </w:p>
    <w:p>
      <w:pPr>
        <w:spacing w:after="0" w:line="19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Gibraltar</w:t>
      </w:r>
      <w:r>
        <w:rPr>
          <w:rFonts w:ascii="Arial" w:cs="Arial" w:eastAsia="Arial" w:hAnsi="Arial"/>
          <w:sz w:val="16"/>
          <w:szCs w:val="16"/>
          <w:color w:val="auto"/>
        </w:rPr>
        <w:t>. The facility includes customary respective covenants and, among other restrictions, the facilities include a fair market value covenant pursuant to which an event of default could occur under the facility if the aggregate fair market value of the collateral vessel (without taking into account any charter arrangements) were to fall below 115% of the aggregate outstanding principal balance for the first two years after each drawdown and below 120% at any time thereafter.</w:t>
      </w:r>
    </w:p>
    <w:p>
      <w:pPr>
        <w:spacing w:after="0" w:line="172"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(including interest and debt repayments) on a trailing 12 months basis must be not less than 110.0%;</w:t>
      </w:r>
    </w:p>
    <w:p>
      <w:pPr>
        <w:spacing w:after="0" w:line="45" w:lineRule="exact"/>
        <w:rPr>
          <w:rFonts w:ascii="Arial" w:cs="Arial" w:eastAsia="Arial" w:hAnsi="Arial"/>
          <w:sz w:val="16"/>
          <w:szCs w:val="16"/>
          <w:color w:val="auto"/>
        </w:rPr>
      </w:pPr>
    </w:p>
    <w:p>
      <w:pPr>
        <w:ind w:left="540" w:right="40" w:hanging="532"/>
        <w:spacing w:after="0" w:line="25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 of total indebtedness or $50,000 after the first drawdown;</w:t>
      </w:r>
    </w:p>
    <w:p>
      <w:pPr>
        <w:spacing w:after="0" w:line="21" w:lineRule="exact"/>
        <w:rPr>
          <w:rFonts w:ascii="Arial" w:cs="Arial" w:eastAsia="Arial" w:hAnsi="Arial"/>
          <w:sz w:val="18"/>
          <w:szCs w:val="18"/>
          <w:color w:val="auto"/>
        </w:rPr>
      </w:pPr>
    </w:p>
    <w:p>
      <w:pPr>
        <w:ind w:left="540" w:right="460" w:hanging="532"/>
        <w:spacing w:after="0" w:line="28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$350,000.</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GasLog was in compliance with the above financial covenants as of June 30, 2018.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8"/>
          <w:szCs w:val="18"/>
          <w:i w:val="1"/>
          <w:iCs w:val="1"/>
          <w:color w:val="auto"/>
        </w:rPr>
        <w:t>GasLog Gibraltar</w:t>
      </w:r>
      <w:r>
        <w:rPr>
          <w:rFonts w:ascii="Arial" w:cs="Arial" w:eastAsia="Arial" w:hAnsi="Arial"/>
          <w:sz w:val="18"/>
          <w:szCs w:val="18"/>
          <w:color w:val="auto"/>
        </w:rPr>
        <w:t>.</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GasLog Partners was in compliance with its financial covenants as of June 30, 2018.</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7. Other Payables and Accruals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ind w:left="340"/>
              <w:spacing w:after="0"/>
              <w:rPr>
                <w:sz w:val="20"/>
                <w:szCs w:val="20"/>
                <w:color w:val="auto"/>
              </w:rPr>
            </w:pPr>
            <w:r>
              <w:rPr>
                <w:rFonts w:ascii="Arial" w:cs="Arial" w:eastAsia="Arial" w:hAnsi="Arial"/>
                <w:sz w:val="18"/>
                <w:szCs w:val="18"/>
                <w:color w:val="auto"/>
              </w:rPr>
              <w:t>An analysis of other payables and accruals is as follows: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24"/>
                <w:szCs w:val="24"/>
                <w:color w:val="auto"/>
              </w:rPr>
            </w:pPr>
          </w:p>
        </w:tc>
        <w:tc>
          <w:tcPr>
            <w:tcW w:w="248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2017</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2018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Unearned revenue</w:t>
            </w: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22,678</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24,387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1160" w:type="dxa"/>
            <w:vAlign w:val="bottom"/>
          </w:tcPr>
          <w:p>
            <w:pPr>
              <w:jc w:val="right"/>
              <w:spacing w:after="0"/>
              <w:rPr>
                <w:sz w:val="20"/>
                <w:szCs w:val="20"/>
                <w:color w:val="auto"/>
              </w:rPr>
            </w:pPr>
            <w:r>
              <w:rPr>
                <w:rFonts w:ascii="Arial" w:cs="Arial" w:eastAsia="Arial" w:hAnsi="Arial"/>
                <w:sz w:val="18"/>
                <w:szCs w:val="18"/>
                <w:color w:val="auto"/>
              </w:rPr>
              <w:t>597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Accrued administrative fees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146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crew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2,256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Accrued off-hire</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1,692</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4,492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payable to charterers</w:t>
            </w: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2,245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Accrued purchases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1,614</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12,796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interest</w:t>
            </w:r>
          </w:p>
        </w:tc>
        <w:tc>
          <w:tcPr>
            <w:tcW w:w="1160" w:type="dxa"/>
            <w:vAlign w:val="bottom"/>
          </w:tcPr>
          <w:p>
            <w:pPr>
              <w:jc w:val="right"/>
              <w:spacing w:after="0"/>
              <w:rPr>
                <w:sz w:val="20"/>
                <w:szCs w:val="20"/>
                <w:color w:val="auto"/>
              </w:rPr>
            </w:pPr>
            <w:r>
              <w:rPr>
                <w:rFonts w:ascii="Arial" w:cs="Arial" w:eastAsia="Arial" w:hAnsi="Arial"/>
                <w:sz w:val="18"/>
                <w:szCs w:val="18"/>
                <w:color w:val="auto"/>
              </w:rPr>
              <w:t>12,396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12,705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Accrued board of directors' fees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188</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198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cash distributions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Other payables and accruals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861</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171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43,000</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59,619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Derivative Financial Instruments</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The fair value of the derivative assets is as follows: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24"/>
                <w:szCs w:val="24"/>
                <w:color w:val="auto"/>
              </w:rPr>
            </w:pPr>
          </w:p>
        </w:tc>
        <w:tc>
          <w:tcPr>
            <w:tcW w:w="248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2017</w:t>
            </w:r>
          </w:p>
        </w:tc>
        <w:tc>
          <w:tcPr>
            <w:tcW w:w="1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2018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1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swaps</w:t>
            </w:r>
          </w:p>
        </w:tc>
        <w:tc>
          <w:tcPr>
            <w:tcW w:w="1160" w:type="dxa"/>
            <w:vAlign w:val="bottom"/>
          </w:tcPr>
          <w:p>
            <w:pPr>
              <w:jc w:val="right"/>
              <w:spacing w:after="0"/>
              <w:rPr>
                <w:sz w:val="20"/>
                <w:szCs w:val="20"/>
                <w:color w:val="auto"/>
              </w:rPr>
            </w:pPr>
            <w:r>
              <w:rPr>
                <w:rFonts w:ascii="Arial" w:cs="Arial" w:eastAsia="Arial" w:hAnsi="Arial"/>
                <w:sz w:val="18"/>
                <w:szCs w:val="18"/>
                <w:color w:val="auto"/>
              </w:rPr>
              <w:t>6,615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15,045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6,615</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15,045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Derivative financial instruments, current asset</w:t>
            </w:r>
          </w:p>
        </w:tc>
        <w:tc>
          <w:tcPr>
            <w:tcW w:w="1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gridSpan w:val="2"/>
            <w:vMerge w:val="continue"/>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577</w:t>
            </w:r>
          </w:p>
        </w:tc>
        <w:tc>
          <w:tcPr>
            <w:tcW w:w="160" w:type="dxa"/>
            <w:vAlign w:val="bottom"/>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3,924</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Derivative financial instruments, non-current asset</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6,038</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11,121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6,615</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15,045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60" w:type="dxa"/>
            <w:vAlign w:val="bottom"/>
            <w:vMerge w:val="restart"/>
          </w:tcPr>
          <w:p>
            <w:pPr>
              <w:ind w:left="4380"/>
              <w:spacing w:after="0"/>
              <w:rPr>
                <w:sz w:val="20"/>
                <w:szCs w:val="20"/>
                <w:color w:val="auto"/>
              </w:rPr>
            </w:pPr>
            <w:r>
              <w:rPr>
                <w:rFonts w:ascii="Arial" w:cs="Arial" w:eastAsia="Arial" w:hAnsi="Arial"/>
                <w:sz w:val="18"/>
                <w:szCs w:val="18"/>
                <w:color w:val="auto"/>
              </w:rPr>
              <w:t>F-13</w:t>
            </w: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7" w:name="page48"/>
    <w:bookmarkEnd w:id="47"/>
    <w:tbl>
      <w:tblPr>
        <w:tblLayout w:type="fixed"/>
        <w:tblInd w:w="36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20"/>
        </w:trPr>
        <w:tc>
          <w:tcPr>
            <w:tcW w:w="8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June 30,</w:t>
            </w:r>
          </w:p>
        </w:tc>
      </w:tr>
      <w:tr>
        <w:trPr>
          <w:trHeight w:val="228"/>
        </w:trPr>
        <w:tc>
          <w:tcPr>
            <w:tcW w:w="8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2018</w:t>
            </w:r>
          </w:p>
        </w:tc>
      </w:tr>
      <w:tr>
        <w:trPr>
          <w:trHeight w:val="212"/>
        </w:trPr>
        <w:tc>
          <w:tcPr>
            <w:tcW w:w="80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16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swaps</w:t>
            </w: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1,142</w:t>
            </w:r>
          </w:p>
        </w:tc>
      </w:tr>
      <w:tr>
        <w:trPr>
          <w:trHeight w:val="216"/>
        </w:trPr>
        <w:tc>
          <w:tcPr>
            <w:tcW w:w="80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color w:val="auto"/>
              </w:rPr>
              <w:t>Forward foreign exchange contracts</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186</w:t>
            </w:r>
          </w:p>
        </w:tc>
      </w:tr>
      <w:tr>
        <w:trPr>
          <w:trHeight w:val="210"/>
        </w:trPr>
        <w:tc>
          <w:tcPr>
            <w:tcW w:w="8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w:t>
            </w:r>
          </w:p>
        </w:tc>
      </w:tr>
      <w:tr>
        <w:trPr>
          <w:trHeight w:val="20"/>
        </w:trPr>
        <w:tc>
          <w:tcPr>
            <w:tcW w:w="7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7"/>
        </w:trPr>
        <w:tc>
          <w:tcPr>
            <w:tcW w:w="800" w:type="dxa"/>
            <w:vAlign w:val="bottom"/>
          </w:tcPr>
          <w:p>
            <w:pPr>
              <w:spacing w:after="0"/>
              <w:rPr>
                <w:sz w:val="17"/>
                <w:szCs w:val="17"/>
                <w:color w:val="auto"/>
              </w:rPr>
            </w:pPr>
          </w:p>
        </w:tc>
        <w:tc>
          <w:tcPr>
            <w:tcW w:w="6460" w:type="dxa"/>
            <w:vAlign w:val="bottom"/>
            <w:shd w:val="clear" w:color="auto" w:fill="E8FFFA"/>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1160" w:type="dxa"/>
            <w:vAlign w:val="bottom"/>
            <w:tcBorders>
              <w:top w:val="single" w:sz="8" w:color="auto"/>
            </w:tcBorders>
            <w:shd w:val="clear" w:color="auto" w:fill="E8FFFA"/>
          </w:tcPr>
          <w:p>
            <w:pPr>
              <w:jc w:val="right"/>
              <w:spacing w:after="0" w:line="196" w:lineRule="exact"/>
              <w:rPr>
                <w:sz w:val="20"/>
                <w:szCs w:val="20"/>
                <w:color w:val="auto"/>
              </w:rPr>
            </w:pPr>
            <w:r>
              <w:rPr>
                <w:rFonts w:ascii="Arial" w:cs="Arial" w:eastAsia="Arial" w:hAnsi="Arial"/>
                <w:sz w:val="18"/>
                <w:szCs w:val="18"/>
                <w:color w:val="auto"/>
              </w:rPr>
              <w:t>269</w:t>
            </w:r>
          </w:p>
        </w:tc>
        <w:tc>
          <w:tcPr>
            <w:tcW w:w="160" w:type="dxa"/>
            <w:vAlign w:val="bottom"/>
            <w:shd w:val="clear" w:color="auto" w:fill="E8FFFA"/>
          </w:tcPr>
          <w:p>
            <w:pPr>
              <w:spacing w:after="0"/>
              <w:rPr>
                <w:sz w:val="17"/>
                <w:szCs w:val="17"/>
                <w:color w:val="auto"/>
              </w:rPr>
            </w:pPr>
          </w:p>
        </w:tc>
        <w:tc>
          <w:tcPr>
            <w:tcW w:w="1180" w:type="dxa"/>
            <w:vAlign w:val="bottom"/>
            <w:tcBorders>
              <w:top w:val="single" w:sz="8" w:color="auto"/>
            </w:tcBorders>
            <w:shd w:val="clear" w:color="auto" w:fill="E8FFFA"/>
          </w:tcPr>
          <w:p>
            <w:pPr>
              <w:jc w:val="right"/>
              <w:spacing w:after="0" w:line="196" w:lineRule="exact"/>
              <w:rPr>
                <w:sz w:val="20"/>
                <w:szCs w:val="20"/>
                <w:color w:val="auto"/>
              </w:rPr>
            </w:pPr>
            <w:r>
              <w:rPr>
                <w:rFonts w:ascii="Arial" w:cs="Arial" w:eastAsia="Arial" w:hAnsi="Arial"/>
                <w:sz w:val="18"/>
                <w:szCs w:val="18"/>
                <w:color w:val="auto"/>
              </w:rPr>
              <w:t>657</w:t>
            </w:r>
          </w:p>
        </w:tc>
      </w:tr>
      <w:tr>
        <w:trPr>
          <w:trHeight w:val="216"/>
        </w:trPr>
        <w:tc>
          <w:tcPr>
            <w:tcW w:w="8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671</w:t>
            </w:r>
          </w:p>
        </w:tc>
      </w:tr>
      <w:tr>
        <w:trPr>
          <w:trHeight w:val="210"/>
        </w:trPr>
        <w:tc>
          <w:tcPr>
            <w:tcW w:w="800" w:type="dxa"/>
            <w:vAlign w:val="bottom"/>
          </w:tcPr>
          <w:p>
            <w:pPr>
              <w:spacing w:after="0"/>
              <w:rPr>
                <w:sz w:val="18"/>
                <w:szCs w:val="18"/>
                <w:color w:val="auto"/>
              </w:rPr>
            </w:pPr>
          </w:p>
        </w:tc>
        <w:tc>
          <w:tcPr>
            <w:tcW w:w="646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269</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1,328</w:t>
            </w:r>
          </w:p>
        </w:tc>
      </w:tr>
      <w:tr>
        <w:trPr>
          <w:trHeight w:val="20"/>
        </w:trPr>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amounts based on the three-month U.S. dollar London Interbank Offered Rate ("LIBOR"), and the Partnership effects quarterly payments to the counterparty on the notional amounts at the respective fixed rates.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Fixed</w:t>
            </w:r>
          </w:p>
        </w:tc>
        <w:tc>
          <w:tcPr>
            <w:tcW w:w="21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2"/>
                <w:szCs w:val="12"/>
                <w:color w:val="auto"/>
              </w:rPr>
            </w:pP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Trade Date</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shd w:val="clear" w:color="auto" w:fill="E8FFFA"/>
          </w:tcPr>
          <w:p>
            <w:pPr>
              <w:spacing w:after="0" w:line="142" w:lineRule="exact"/>
              <w:rPr>
                <w:sz w:val="20"/>
                <w:szCs w:val="20"/>
                <w:color w:val="auto"/>
              </w:rPr>
            </w:pPr>
            <w:r>
              <w:rPr>
                <w:rFonts w:ascii="Arial" w:cs="Arial" w:eastAsia="Arial" w:hAnsi="Arial"/>
                <w:sz w:val="14"/>
                <w:szCs w:val="14"/>
                <w:color w:val="auto"/>
              </w:rPr>
              <w:t>GasLog Partners</w:t>
            </w:r>
          </w:p>
        </w:tc>
        <w:tc>
          <w:tcPr>
            <w:tcW w:w="160" w:type="dxa"/>
            <w:vAlign w:val="bottom"/>
            <w:shd w:val="clear" w:color="auto" w:fill="E8FFFA"/>
          </w:tcPr>
          <w:p>
            <w:pPr>
              <w:spacing w:after="0"/>
              <w:rPr>
                <w:sz w:val="12"/>
                <w:szCs w:val="12"/>
                <w:color w:val="auto"/>
              </w:rPr>
            </w:pPr>
          </w:p>
        </w:tc>
        <w:tc>
          <w:tcPr>
            <w:tcW w:w="960" w:type="dxa"/>
            <w:vAlign w:val="bottom"/>
            <w:tcBorders>
              <w:top w:val="single" w:sz="8" w:color="auto"/>
            </w:tcBorders>
            <w:shd w:val="clear" w:color="auto" w:fill="E8FFFA"/>
          </w:tcPr>
          <w:p>
            <w:pPr>
              <w:jc w:val="center"/>
              <w:spacing w:after="0" w:line="142" w:lineRule="exact"/>
              <w:rPr>
                <w:sz w:val="20"/>
                <w:szCs w:val="20"/>
                <w:color w:val="auto"/>
              </w:rPr>
            </w:pPr>
            <w:r>
              <w:rPr>
                <w:rFonts w:ascii="Arial" w:cs="Arial" w:eastAsia="Arial" w:hAnsi="Arial"/>
                <w:sz w:val="14"/>
                <w:szCs w:val="14"/>
                <w:color w:val="auto"/>
                <w:w w:val="85"/>
              </w:rPr>
              <w:t>GasLog</w:t>
            </w:r>
          </w:p>
        </w:tc>
        <w:tc>
          <w:tcPr>
            <w:tcW w:w="160" w:type="dxa"/>
            <w:vAlign w:val="bottom"/>
            <w:shd w:val="clear" w:color="auto" w:fill="E8FFFA"/>
          </w:tcPr>
          <w:p>
            <w:pPr>
              <w:spacing w:after="0"/>
              <w:rPr>
                <w:sz w:val="12"/>
                <w:szCs w:val="12"/>
                <w:color w:val="auto"/>
              </w:rPr>
            </w:pPr>
          </w:p>
        </w:tc>
        <w:tc>
          <w:tcPr>
            <w:tcW w:w="820" w:type="dxa"/>
            <w:vAlign w:val="bottom"/>
            <w:tcBorders>
              <w:top w:val="single" w:sz="8" w:color="auto"/>
            </w:tcBorders>
            <w:shd w:val="clear" w:color="auto" w:fill="E8FFFA"/>
          </w:tcPr>
          <w:p>
            <w:pPr>
              <w:jc w:val="center"/>
              <w:spacing w:after="0" w:line="142" w:lineRule="exact"/>
              <w:rPr>
                <w:sz w:val="20"/>
                <w:szCs w:val="20"/>
                <w:color w:val="auto"/>
              </w:rPr>
            </w:pPr>
            <w:r>
              <w:rPr>
                <w:rFonts w:ascii="Arial" w:cs="Arial" w:eastAsia="Arial" w:hAnsi="Arial"/>
                <w:sz w:val="14"/>
                <w:szCs w:val="14"/>
                <w:color w:val="auto"/>
                <w:w w:val="90"/>
              </w:rPr>
              <w:t>Nov 2016</w:t>
            </w:r>
          </w:p>
        </w:tc>
        <w:tc>
          <w:tcPr>
            <w:tcW w:w="160" w:type="dxa"/>
            <w:vAlign w:val="bottom"/>
            <w:shd w:val="clear" w:color="auto" w:fill="E8FFFA"/>
          </w:tcPr>
          <w:p>
            <w:pPr>
              <w:spacing w:after="0"/>
              <w:rPr>
                <w:sz w:val="12"/>
                <w:szCs w:val="12"/>
                <w:color w:val="auto"/>
              </w:rPr>
            </w:pPr>
          </w:p>
        </w:tc>
        <w:tc>
          <w:tcPr>
            <w:tcW w:w="1300" w:type="dxa"/>
            <w:vAlign w:val="bottom"/>
            <w:tcBorders>
              <w:top w:val="single" w:sz="8" w:color="auto"/>
            </w:tcBorders>
            <w:shd w:val="clear" w:color="auto" w:fill="E8FFFA"/>
          </w:tcPr>
          <w:p>
            <w:pPr>
              <w:jc w:val="center"/>
              <w:spacing w:after="0" w:line="142" w:lineRule="exact"/>
              <w:rPr>
                <w:sz w:val="20"/>
                <w:szCs w:val="20"/>
                <w:color w:val="auto"/>
              </w:rPr>
            </w:pPr>
            <w:r>
              <w:rPr>
                <w:rFonts w:ascii="Arial" w:cs="Arial" w:eastAsia="Arial" w:hAnsi="Arial"/>
                <w:sz w:val="14"/>
                <w:szCs w:val="14"/>
                <w:color w:val="auto"/>
                <w:w w:val="90"/>
              </w:rPr>
              <w:t>Nov 2016</w:t>
            </w:r>
          </w:p>
        </w:tc>
        <w:tc>
          <w:tcPr>
            <w:tcW w:w="180" w:type="dxa"/>
            <w:vAlign w:val="bottom"/>
            <w:shd w:val="clear" w:color="auto" w:fill="E8FFFA"/>
          </w:tcPr>
          <w:p>
            <w:pPr>
              <w:spacing w:after="0"/>
              <w:rPr>
                <w:sz w:val="12"/>
                <w:szCs w:val="12"/>
                <w:color w:val="auto"/>
              </w:rPr>
            </w:pPr>
          </w:p>
        </w:tc>
        <w:tc>
          <w:tcPr>
            <w:tcW w:w="920" w:type="dxa"/>
            <w:vAlign w:val="bottom"/>
            <w:tcBorders>
              <w:top w:val="single" w:sz="8" w:color="auto"/>
            </w:tcBorders>
            <w:shd w:val="clear" w:color="auto" w:fill="E8FFFA"/>
          </w:tcPr>
          <w:p>
            <w:pPr>
              <w:jc w:val="center"/>
              <w:spacing w:after="0" w:line="142" w:lineRule="exact"/>
              <w:rPr>
                <w:sz w:val="20"/>
                <w:szCs w:val="20"/>
                <w:color w:val="auto"/>
              </w:rPr>
            </w:pPr>
            <w:r>
              <w:rPr>
                <w:rFonts w:ascii="Arial" w:cs="Arial" w:eastAsia="Arial" w:hAnsi="Arial"/>
                <w:sz w:val="14"/>
                <w:szCs w:val="14"/>
                <w:color w:val="auto"/>
                <w:w w:val="86"/>
              </w:rPr>
              <w:t>July 2020</w:t>
            </w:r>
          </w:p>
        </w:tc>
        <w:tc>
          <w:tcPr>
            <w:tcW w:w="160" w:type="dxa"/>
            <w:vAlign w:val="bottom"/>
            <w:shd w:val="clear" w:color="auto" w:fill="E8FFFA"/>
          </w:tcPr>
          <w:p>
            <w:pPr>
              <w:spacing w:after="0"/>
              <w:rPr>
                <w:sz w:val="12"/>
                <w:szCs w:val="12"/>
                <w:color w:val="auto"/>
              </w:rPr>
            </w:pPr>
          </w:p>
        </w:tc>
        <w:tc>
          <w:tcPr>
            <w:tcW w:w="800" w:type="dxa"/>
            <w:vAlign w:val="bottom"/>
            <w:tcBorders>
              <w:top w:val="single" w:sz="8" w:color="auto"/>
            </w:tcBorders>
            <w:shd w:val="clear" w:color="auto" w:fill="E8FFFA"/>
          </w:tcPr>
          <w:p>
            <w:pPr>
              <w:jc w:val="center"/>
              <w:spacing w:after="0" w:line="142" w:lineRule="exact"/>
              <w:rPr>
                <w:sz w:val="20"/>
                <w:szCs w:val="20"/>
                <w:color w:val="auto"/>
              </w:rPr>
            </w:pPr>
            <w:r>
              <w:rPr>
                <w:rFonts w:ascii="Arial" w:cs="Arial" w:eastAsia="Arial" w:hAnsi="Arial"/>
                <w:sz w:val="14"/>
                <w:szCs w:val="14"/>
                <w:color w:val="auto"/>
                <w:w w:val="85"/>
              </w:rPr>
              <w:t>1.54%</w:t>
            </w:r>
          </w:p>
        </w:tc>
        <w:tc>
          <w:tcPr>
            <w:tcW w:w="160" w:type="dxa"/>
            <w:vAlign w:val="bottom"/>
            <w:shd w:val="clear" w:color="auto" w:fill="E8FFFA"/>
          </w:tcPr>
          <w:p>
            <w:pPr>
              <w:spacing w:after="0"/>
              <w:rPr>
                <w:sz w:val="12"/>
                <w:szCs w:val="12"/>
                <w:color w:val="auto"/>
              </w:rPr>
            </w:pPr>
          </w:p>
        </w:tc>
        <w:tc>
          <w:tcPr>
            <w:tcW w:w="1060" w:type="dxa"/>
            <w:vAlign w:val="bottom"/>
            <w:tcBorders>
              <w:top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130,000</w:t>
            </w:r>
          </w:p>
        </w:tc>
        <w:tc>
          <w:tcPr>
            <w:tcW w:w="160" w:type="dxa"/>
            <w:vAlign w:val="bottom"/>
            <w:shd w:val="clear" w:color="auto" w:fill="E8FFFA"/>
          </w:tcPr>
          <w:p>
            <w:pPr>
              <w:spacing w:after="0"/>
              <w:rPr>
                <w:sz w:val="12"/>
                <w:szCs w:val="12"/>
                <w:color w:val="auto"/>
              </w:rPr>
            </w:pPr>
          </w:p>
        </w:tc>
        <w:tc>
          <w:tcPr>
            <w:tcW w:w="900" w:type="dxa"/>
            <w:vAlign w:val="bottom"/>
            <w:tcBorders>
              <w:top w:val="single" w:sz="8" w:color="auto"/>
            </w:tcBorders>
            <w:shd w:val="clear" w:color="auto" w:fill="E8FFFA"/>
          </w:tcPr>
          <w:p>
            <w:pPr>
              <w:jc w:val="right"/>
              <w:spacing w:after="0" w:line="142"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GasLog Partners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GasLog</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Nov 2016</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Nov 2016</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2021</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1.63%</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GasLog Partners</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GasLog</w:t>
            </w:r>
          </w:p>
        </w:tc>
        <w:tc>
          <w:tcPr>
            <w:tcW w:w="160" w:type="dxa"/>
            <w:vAlign w:val="bottom"/>
            <w:shd w:val="clear" w:color="auto" w:fill="E8FFFA"/>
          </w:tcPr>
          <w:p>
            <w:pPr>
              <w:spacing w:after="0"/>
              <w:rPr>
                <w:sz w:val="12"/>
                <w:szCs w:val="12"/>
                <w:color w:val="auto"/>
              </w:rPr>
            </w:pPr>
          </w:p>
        </w:tc>
        <w:tc>
          <w:tcPr>
            <w:tcW w:w="8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Nov 2016</w:t>
            </w:r>
          </w:p>
        </w:tc>
        <w:tc>
          <w:tcPr>
            <w:tcW w:w="160" w:type="dxa"/>
            <w:vAlign w:val="bottom"/>
            <w:shd w:val="clear" w:color="auto" w:fill="E8FFFA"/>
          </w:tcPr>
          <w:p>
            <w:pPr>
              <w:spacing w:after="0"/>
              <w:rPr>
                <w:sz w:val="12"/>
                <w:szCs w:val="12"/>
                <w:color w:val="auto"/>
              </w:rPr>
            </w:pPr>
          </w:p>
        </w:tc>
        <w:tc>
          <w:tcPr>
            <w:tcW w:w="130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0"/>
              </w:rPr>
              <w:t>Nov 2016</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6"/>
              </w:rPr>
              <w:t>July 2022</w:t>
            </w:r>
          </w:p>
        </w:tc>
        <w:tc>
          <w:tcPr>
            <w:tcW w:w="96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5"/>
              </w:rPr>
              <w:t>1.72%</w:t>
            </w: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130,000</w:t>
            </w:r>
          </w:p>
        </w:tc>
        <w:tc>
          <w:tcPr>
            <w:tcW w:w="106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GasLog Partners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GasLog</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July 2017</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July 2017</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2022</w:t>
            </w:r>
          </w:p>
        </w:tc>
        <w:tc>
          <w:tcPr>
            <w:tcW w:w="9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2.19%</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80,000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E8FFFA"/>
          </w:tcPr>
          <w:p>
            <w:pPr>
              <w:spacing w:after="0" w:line="149" w:lineRule="exact"/>
              <w:rPr>
                <w:sz w:val="20"/>
                <w:szCs w:val="20"/>
                <w:color w:val="auto"/>
              </w:rPr>
            </w:pPr>
            <w:r>
              <w:rPr>
                <w:rFonts w:ascii="Arial" w:cs="Arial" w:eastAsia="Arial" w:hAnsi="Arial"/>
                <w:sz w:val="14"/>
                <w:szCs w:val="14"/>
                <w:color w:val="auto"/>
              </w:rPr>
              <w:t>GasLog Partners</w:t>
            </w:r>
          </w:p>
        </w:tc>
        <w:tc>
          <w:tcPr>
            <w:tcW w:w="160" w:type="dxa"/>
            <w:vAlign w:val="bottom"/>
            <w:shd w:val="clear" w:color="auto" w:fill="E8FFFA"/>
          </w:tcPr>
          <w:p>
            <w:pPr>
              <w:spacing w:after="0"/>
              <w:rPr>
                <w:sz w:val="12"/>
                <w:szCs w:val="12"/>
                <w:color w:val="auto"/>
              </w:rPr>
            </w:pPr>
          </w:p>
        </w:tc>
        <w:tc>
          <w:tcPr>
            <w:tcW w:w="96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5"/>
              </w:rPr>
              <w:t>GasLog</w:t>
            </w:r>
          </w:p>
        </w:tc>
        <w:tc>
          <w:tcPr>
            <w:tcW w:w="160" w:type="dxa"/>
            <w:vAlign w:val="bottom"/>
            <w:shd w:val="clear" w:color="auto" w:fill="E8FFFA"/>
          </w:tcPr>
          <w:p>
            <w:pPr>
              <w:spacing w:after="0"/>
              <w:rPr>
                <w:sz w:val="12"/>
                <w:szCs w:val="12"/>
                <w:color w:val="auto"/>
              </w:rPr>
            </w:pPr>
          </w:p>
        </w:tc>
        <w:tc>
          <w:tcPr>
            <w:tcW w:w="8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May 2018</w:t>
            </w:r>
          </w:p>
        </w:tc>
        <w:tc>
          <w:tcPr>
            <w:tcW w:w="160" w:type="dxa"/>
            <w:vAlign w:val="bottom"/>
            <w:shd w:val="clear" w:color="auto" w:fill="E8FFFA"/>
          </w:tcPr>
          <w:p>
            <w:pPr>
              <w:spacing w:after="0"/>
              <w:rPr>
                <w:sz w:val="12"/>
                <w:szCs w:val="12"/>
                <w:color w:val="auto"/>
              </w:rPr>
            </w:pPr>
          </w:p>
        </w:tc>
        <w:tc>
          <w:tcPr>
            <w:tcW w:w="130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87"/>
              </w:rPr>
              <w:t>May 2018</w:t>
            </w:r>
          </w:p>
        </w:tc>
        <w:tc>
          <w:tcPr>
            <w:tcW w:w="180" w:type="dxa"/>
            <w:vAlign w:val="bottom"/>
            <w:shd w:val="clear" w:color="auto" w:fill="E8FFFA"/>
          </w:tcPr>
          <w:p>
            <w:pPr>
              <w:spacing w:after="0"/>
              <w:rPr>
                <w:sz w:val="12"/>
                <w:szCs w:val="12"/>
                <w:color w:val="auto"/>
              </w:rPr>
            </w:pPr>
          </w:p>
        </w:tc>
        <w:tc>
          <w:tcPr>
            <w:tcW w:w="920" w:type="dxa"/>
            <w:vAlign w:val="bottom"/>
            <w:shd w:val="clear" w:color="auto" w:fill="E8FFFA"/>
          </w:tcPr>
          <w:p>
            <w:pPr>
              <w:jc w:val="center"/>
              <w:spacing w:after="0" w:line="149" w:lineRule="exact"/>
              <w:rPr>
                <w:sz w:val="20"/>
                <w:szCs w:val="20"/>
                <w:color w:val="auto"/>
              </w:rPr>
            </w:pPr>
            <w:r>
              <w:rPr>
                <w:rFonts w:ascii="Arial" w:cs="Arial" w:eastAsia="Arial" w:hAnsi="Arial"/>
                <w:sz w:val="14"/>
                <w:szCs w:val="14"/>
                <w:color w:val="auto"/>
                <w:w w:val="91"/>
              </w:rPr>
              <w:t>April 2023</w:t>
            </w:r>
          </w:p>
        </w:tc>
        <w:tc>
          <w:tcPr>
            <w:tcW w:w="960" w:type="dxa"/>
            <w:vAlign w:val="bottom"/>
            <w:gridSpan w:val="2"/>
            <w:shd w:val="clear" w:color="auto" w:fill="E8FFFA"/>
          </w:tcPr>
          <w:p>
            <w:pPr>
              <w:jc w:val="center"/>
              <w:ind w:left="72"/>
              <w:spacing w:after="0" w:line="149" w:lineRule="exact"/>
              <w:rPr>
                <w:sz w:val="20"/>
                <w:szCs w:val="20"/>
                <w:color w:val="auto"/>
              </w:rPr>
            </w:pPr>
            <w:r>
              <w:rPr>
                <w:rFonts w:ascii="Arial" w:cs="Arial" w:eastAsia="Arial" w:hAnsi="Arial"/>
                <w:sz w:val="14"/>
                <w:szCs w:val="14"/>
                <w:color w:val="auto"/>
                <w:w w:val="85"/>
              </w:rPr>
              <w:t>3.15%</w:t>
            </w:r>
          </w:p>
        </w:tc>
        <w:tc>
          <w:tcPr>
            <w:tcW w:w="160" w:type="dxa"/>
            <w:vAlign w:val="bottom"/>
            <w:shd w:val="clear" w:color="auto" w:fill="E8FFFA"/>
          </w:tcPr>
          <w:p>
            <w:pPr>
              <w:spacing w:after="0"/>
              <w:rPr>
                <w:sz w:val="12"/>
                <w:szCs w:val="12"/>
                <w:color w:val="auto"/>
              </w:rPr>
            </w:pPr>
          </w:p>
        </w:tc>
        <w:tc>
          <w:tcPr>
            <w:tcW w:w="1060" w:type="dxa"/>
            <w:vAlign w:val="bottom"/>
            <w:shd w:val="clear" w:color="auto" w:fill="E8FFFA"/>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8FFFA"/>
          </w:tcPr>
          <w:p>
            <w:pPr>
              <w:jc w:val="right"/>
              <w:spacing w:after="0" w:line="149"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470,000</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June 30, 2018. The change in the fair value of the interest rate swaps for the three and six months ended June 30, 2018 amounted to a gain of $1,187 and $7,557, respectively (for the three and six months ended June 30, 2017 a loss of $1,857 and $1,209, respectively), which was recognized in profit or loss in the period incurred and is included in (Loss)/gain on derivatives. During the three and six months ended June 30, 2018, the gain of $1,187 and $7,557, respectively, (Note 11) derived mainly from the fact that the LIBOR yield curve, which was used to calculate the present value of the estimated future cash flows, was higher than the agreed fixed interest rates resulting in an increase in net derivative assets from derivatives held for trading.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tbl>
      <w:tblPr>
        <w:tblLayout w:type="fixed"/>
        <w:tblInd w:w="360" w:type="dxa"/>
        <w:tblCellMar>
          <w:top w:w="0" w:type="dxa"/>
          <w:left w:w="0" w:type="dxa"/>
          <w:bottom w:w="0" w:type="dxa"/>
          <w:right w:w="0" w:type="dxa"/>
        </w:tblCellMar>
      </w:tblPr>
      <w:tr>
        <w:trPr>
          <w:trHeight w:val="222"/>
        </w:trPr>
        <w:tc>
          <w:tcPr>
            <w:tcW w:w="4880" w:type="dxa"/>
            <w:vAlign w:val="bottom"/>
            <w:gridSpan w:val="7"/>
          </w:tcPr>
          <w:p>
            <w:pPr>
              <w:ind w:left="180"/>
              <w:spacing w:after="0"/>
              <w:rPr>
                <w:sz w:val="20"/>
                <w:szCs w:val="20"/>
                <w:color w:val="auto"/>
              </w:rPr>
            </w:pPr>
            <w:r>
              <w:rPr>
                <w:rFonts w:ascii="Arial" w:cs="Arial" w:eastAsia="Arial" w:hAnsi="Arial"/>
                <w:sz w:val="18"/>
                <w:szCs w:val="18"/>
                <w:b w:val="1"/>
                <w:bCs w:val="1"/>
                <w:i w:val="1"/>
                <w:iCs w:val="1"/>
                <w:color w:val="auto"/>
              </w:rPr>
              <w:t>Forward foreign exchange contracts held for trading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2"/>
        </w:trPr>
        <w:tc>
          <w:tcPr>
            <w:tcW w:w="7660" w:type="dxa"/>
            <w:vAlign w:val="bottom"/>
            <w:gridSpan w:val="11"/>
          </w:tcPr>
          <w:p>
            <w:pPr>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2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Fixed</w:t>
            </w: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Exchange Rate</w:t>
            </w:r>
          </w:p>
        </w:tc>
        <w:tc>
          <w:tcPr>
            <w:tcW w:w="160" w:type="dxa"/>
            <w:vAlign w:val="bottom"/>
          </w:tcPr>
          <w:p>
            <w:pPr>
              <w:spacing w:after="0"/>
              <w:rPr>
                <w:sz w:val="18"/>
                <w:szCs w:val="18"/>
                <w:color w:val="auto"/>
              </w:rPr>
            </w:pPr>
          </w:p>
        </w:tc>
        <w:tc>
          <w:tcPr>
            <w:tcW w:w="2220" w:type="dxa"/>
            <w:vAlign w:val="bottom"/>
          </w:tcPr>
          <w:p>
            <w:pPr>
              <w:jc w:val="right"/>
              <w:ind w:right="372"/>
              <w:spacing w:after="0"/>
              <w:rPr>
                <w:sz w:val="20"/>
                <w:szCs w:val="20"/>
                <w:color w:val="auto"/>
              </w:rPr>
            </w:pPr>
            <w:r>
              <w:rPr>
                <w:rFonts w:ascii="Arial" w:cs="Arial" w:eastAsia="Arial" w:hAnsi="Arial"/>
                <w:sz w:val="18"/>
                <w:szCs w:val="18"/>
                <w:b w:val="1"/>
                <w:bCs w:val="1"/>
                <w:color w:val="auto"/>
              </w:rPr>
              <w:t>Notional Amount</w:t>
            </w:r>
          </w:p>
        </w:tc>
      </w:tr>
      <w:tr>
        <w:trPr>
          <w:trHeight w:val="229"/>
        </w:trPr>
        <w:tc>
          <w:tcPr>
            <w:tcW w:w="78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Company</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Counterparty</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Trade Date</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Settlement Date</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(USD/EUR)</w:t>
            </w:r>
          </w:p>
        </w:tc>
        <w:tc>
          <w:tcPr>
            <w:tcW w:w="160" w:type="dxa"/>
            <w:vAlign w:val="bottom"/>
          </w:tcPr>
          <w:p>
            <w:pPr>
              <w:spacing w:after="0"/>
              <w:rPr>
                <w:sz w:val="19"/>
                <w:szCs w:val="19"/>
                <w:color w:val="auto"/>
              </w:rPr>
            </w:pPr>
          </w:p>
        </w:tc>
        <w:tc>
          <w:tcPr>
            <w:tcW w:w="2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(in thousands)</w:t>
            </w:r>
          </w:p>
        </w:tc>
      </w:tr>
      <w:tr>
        <w:trPr>
          <w:trHeight w:val="211"/>
        </w:trPr>
        <w:tc>
          <w:tcPr>
            <w:tcW w:w="7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95"/>
              </w:rPr>
              <w:t>GasLog Partners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July 2018</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1.18301</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8FFFA"/>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Aug 2018</w:t>
            </w:r>
          </w:p>
        </w:tc>
        <w:tc>
          <w:tcPr>
            <w:tcW w:w="1400" w:type="dxa"/>
            <w:vAlign w:val="bottom"/>
            <w:gridSpan w:val="2"/>
            <w:shd w:val="clear" w:color="auto" w:fill="E8FFFA"/>
          </w:tcPr>
          <w:p>
            <w:pPr>
              <w:jc w:val="center"/>
              <w:ind w:left="72"/>
              <w:spacing w:after="0"/>
              <w:rPr>
                <w:sz w:val="20"/>
                <w:szCs w:val="20"/>
                <w:color w:val="auto"/>
              </w:rPr>
            </w:pPr>
            <w:r>
              <w:rPr>
                <w:rFonts w:ascii="Arial" w:cs="Arial" w:eastAsia="Arial" w:hAnsi="Arial"/>
                <w:sz w:val="18"/>
                <w:szCs w:val="18"/>
                <w:color w:val="auto"/>
                <w:w w:val="86"/>
              </w:rPr>
              <w:t>1.18413</w:t>
            </w:r>
          </w:p>
        </w:tc>
        <w:tc>
          <w:tcPr>
            <w:tcW w:w="160" w:type="dxa"/>
            <w:vAlign w:val="bottom"/>
            <w:shd w:val="clear" w:color="auto" w:fill="E8FFFA"/>
          </w:tcPr>
          <w:p>
            <w:pPr>
              <w:spacing w:after="0"/>
              <w:rPr>
                <w:sz w:val="18"/>
                <w:szCs w:val="18"/>
                <w:color w:val="auto"/>
              </w:rPr>
            </w:pPr>
          </w:p>
        </w:tc>
        <w:tc>
          <w:tcPr>
            <w:tcW w:w="2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Sept 2018</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1.18533</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8FFFA"/>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7"/>
              </w:rPr>
              <w:t>Oct 2018</w:t>
            </w:r>
          </w:p>
        </w:tc>
        <w:tc>
          <w:tcPr>
            <w:tcW w:w="1400" w:type="dxa"/>
            <w:vAlign w:val="bottom"/>
            <w:gridSpan w:val="2"/>
            <w:shd w:val="clear" w:color="auto" w:fill="E8FFFA"/>
          </w:tcPr>
          <w:p>
            <w:pPr>
              <w:jc w:val="center"/>
              <w:ind w:left="72"/>
              <w:spacing w:after="0"/>
              <w:rPr>
                <w:sz w:val="20"/>
                <w:szCs w:val="20"/>
                <w:color w:val="auto"/>
              </w:rPr>
            </w:pPr>
            <w:r>
              <w:rPr>
                <w:rFonts w:ascii="Arial" w:cs="Arial" w:eastAsia="Arial" w:hAnsi="Arial"/>
                <w:sz w:val="18"/>
                <w:szCs w:val="18"/>
                <w:color w:val="auto"/>
                <w:w w:val="86"/>
              </w:rPr>
              <w:t>1.18645</w:t>
            </w:r>
          </w:p>
        </w:tc>
        <w:tc>
          <w:tcPr>
            <w:tcW w:w="160" w:type="dxa"/>
            <w:vAlign w:val="bottom"/>
            <w:shd w:val="clear" w:color="auto" w:fill="E8FFFA"/>
          </w:tcPr>
          <w:p>
            <w:pPr>
              <w:spacing w:after="0"/>
              <w:rPr>
                <w:sz w:val="18"/>
                <w:szCs w:val="18"/>
                <w:color w:val="auto"/>
              </w:rPr>
            </w:pPr>
          </w:p>
        </w:tc>
        <w:tc>
          <w:tcPr>
            <w:tcW w:w="2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Nov 2018</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1.18769</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8FFFA"/>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Dec 2018</w:t>
            </w:r>
          </w:p>
        </w:tc>
        <w:tc>
          <w:tcPr>
            <w:tcW w:w="1400" w:type="dxa"/>
            <w:vAlign w:val="bottom"/>
            <w:gridSpan w:val="2"/>
            <w:shd w:val="clear" w:color="auto" w:fill="E8FFFA"/>
          </w:tcPr>
          <w:p>
            <w:pPr>
              <w:jc w:val="center"/>
              <w:ind w:left="72"/>
              <w:spacing w:after="0"/>
              <w:rPr>
                <w:sz w:val="20"/>
                <w:szCs w:val="20"/>
                <w:color w:val="auto"/>
              </w:rPr>
            </w:pPr>
            <w:r>
              <w:rPr>
                <w:rFonts w:ascii="Arial" w:cs="Arial" w:eastAsia="Arial" w:hAnsi="Arial"/>
                <w:sz w:val="18"/>
                <w:szCs w:val="18"/>
                <w:color w:val="auto"/>
                <w:w w:val="86"/>
              </w:rPr>
              <w:t>1.18889</w:t>
            </w:r>
          </w:p>
        </w:tc>
        <w:tc>
          <w:tcPr>
            <w:tcW w:w="160" w:type="dxa"/>
            <w:vAlign w:val="bottom"/>
            <w:shd w:val="clear" w:color="auto" w:fill="E8FFFA"/>
          </w:tcPr>
          <w:p>
            <w:pPr>
              <w:spacing w:after="0"/>
              <w:rPr>
                <w:sz w:val="18"/>
                <w:szCs w:val="18"/>
                <w:color w:val="auto"/>
              </w:rPr>
            </w:pPr>
          </w:p>
        </w:tc>
        <w:tc>
          <w:tcPr>
            <w:tcW w:w="2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Jan 2019</w:t>
            </w:r>
          </w:p>
        </w:tc>
        <w:tc>
          <w:tcPr>
            <w:tcW w:w="140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1.199415</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8FFFA"/>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6"/>
              </w:rPr>
              <w:t>Feb 2019</w:t>
            </w:r>
          </w:p>
        </w:tc>
        <w:tc>
          <w:tcPr>
            <w:tcW w:w="1400" w:type="dxa"/>
            <w:vAlign w:val="bottom"/>
            <w:gridSpan w:val="2"/>
            <w:shd w:val="clear" w:color="auto" w:fill="E8FFFA"/>
          </w:tcPr>
          <w:p>
            <w:pPr>
              <w:jc w:val="center"/>
              <w:ind w:left="52"/>
              <w:spacing w:after="0"/>
              <w:rPr>
                <w:sz w:val="20"/>
                <w:szCs w:val="20"/>
                <w:color w:val="auto"/>
              </w:rPr>
            </w:pPr>
            <w:r>
              <w:rPr>
                <w:rFonts w:ascii="Arial" w:cs="Arial" w:eastAsia="Arial" w:hAnsi="Arial"/>
                <w:sz w:val="18"/>
                <w:szCs w:val="18"/>
                <w:color w:val="auto"/>
                <w:w w:val="87"/>
              </w:rPr>
              <w:t>1.200865</w:t>
            </w:r>
          </w:p>
        </w:tc>
        <w:tc>
          <w:tcPr>
            <w:tcW w:w="160" w:type="dxa"/>
            <w:vAlign w:val="bottom"/>
            <w:shd w:val="clear" w:color="auto" w:fill="E8FFFA"/>
          </w:tcPr>
          <w:p>
            <w:pPr>
              <w:spacing w:after="0"/>
              <w:rPr>
                <w:sz w:val="18"/>
                <w:szCs w:val="18"/>
                <w:color w:val="auto"/>
              </w:rPr>
            </w:pPr>
          </w:p>
        </w:tc>
        <w:tc>
          <w:tcPr>
            <w:tcW w:w="2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May 2018</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Mar 2019</w:t>
            </w:r>
          </w:p>
        </w:tc>
        <w:tc>
          <w:tcPr>
            <w:tcW w:w="140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1.202315</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8FFFA"/>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5"/>
              </w:rPr>
              <w:t>June 2018</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0"/>
              </w:rPr>
              <w:t>Apr 2019</w:t>
            </w:r>
          </w:p>
        </w:tc>
        <w:tc>
          <w:tcPr>
            <w:tcW w:w="1400" w:type="dxa"/>
            <w:vAlign w:val="bottom"/>
            <w:gridSpan w:val="2"/>
            <w:shd w:val="clear" w:color="auto" w:fill="E8FFFA"/>
          </w:tcPr>
          <w:p>
            <w:pPr>
              <w:jc w:val="center"/>
              <w:ind w:left="72"/>
              <w:spacing w:after="0"/>
              <w:rPr>
                <w:sz w:val="20"/>
                <w:szCs w:val="20"/>
                <w:color w:val="auto"/>
              </w:rPr>
            </w:pPr>
            <w:r>
              <w:rPr>
                <w:rFonts w:ascii="Arial" w:cs="Arial" w:eastAsia="Arial" w:hAnsi="Arial"/>
                <w:sz w:val="18"/>
                <w:szCs w:val="18"/>
                <w:color w:val="auto"/>
                <w:w w:val="86"/>
              </w:rPr>
              <w:t>1.19315</w:t>
            </w:r>
          </w:p>
        </w:tc>
        <w:tc>
          <w:tcPr>
            <w:tcW w:w="160" w:type="dxa"/>
            <w:vAlign w:val="bottom"/>
            <w:shd w:val="clear" w:color="auto" w:fill="E8FFFA"/>
          </w:tcPr>
          <w:p>
            <w:pPr>
              <w:spacing w:after="0"/>
              <w:rPr>
                <w:sz w:val="18"/>
                <w:szCs w:val="18"/>
                <w:color w:val="auto"/>
              </w:rPr>
            </w:pPr>
          </w:p>
        </w:tc>
        <w:tc>
          <w:tcPr>
            <w:tcW w:w="2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June 2018</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May 2019</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1.19645</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8FFFA"/>
          </w:tcPr>
          <w:p>
            <w:pPr>
              <w:spacing w:after="0"/>
              <w:rPr>
                <w:sz w:val="20"/>
                <w:szCs w:val="20"/>
                <w:color w:val="auto"/>
              </w:rPr>
            </w:pPr>
            <w:r>
              <w:rPr>
                <w:rFonts w:ascii="Arial" w:cs="Arial" w:eastAsia="Arial" w:hAnsi="Arial"/>
                <w:sz w:val="18"/>
                <w:szCs w:val="18"/>
                <w:color w:val="auto"/>
                <w:w w:val="94"/>
              </w:rPr>
              <w:t>GasLog Partners</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E8FFFA"/>
          </w:tcPr>
          <w:p>
            <w:pPr>
              <w:spacing w:after="0"/>
              <w:rPr>
                <w:sz w:val="18"/>
                <w:szCs w:val="18"/>
                <w:color w:val="auto"/>
              </w:rPr>
            </w:pPr>
          </w:p>
        </w:tc>
        <w:tc>
          <w:tcPr>
            <w:tcW w:w="124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5"/>
              </w:rPr>
              <w:t>June 2018</w:t>
            </w:r>
          </w:p>
        </w:tc>
        <w:tc>
          <w:tcPr>
            <w:tcW w:w="160" w:type="dxa"/>
            <w:vAlign w:val="bottom"/>
            <w:shd w:val="clear" w:color="auto" w:fill="E8FFFA"/>
          </w:tcPr>
          <w:p>
            <w:pPr>
              <w:spacing w:after="0"/>
              <w:rPr>
                <w:sz w:val="18"/>
                <w:szCs w:val="18"/>
                <w:color w:val="auto"/>
              </w:rPr>
            </w:pPr>
          </w:p>
        </w:tc>
        <w:tc>
          <w:tcPr>
            <w:tcW w:w="122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5"/>
              </w:rPr>
              <w:t>June 2019</w:t>
            </w:r>
          </w:p>
        </w:tc>
        <w:tc>
          <w:tcPr>
            <w:tcW w:w="1400" w:type="dxa"/>
            <w:vAlign w:val="bottom"/>
            <w:gridSpan w:val="2"/>
            <w:shd w:val="clear" w:color="auto" w:fill="E8FFFA"/>
          </w:tcPr>
          <w:p>
            <w:pPr>
              <w:jc w:val="center"/>
              <w:ind w:left="72"/>
              <w:spacing w:after="0"/>
              <w:rPr>
                <w:sz w:val="20"/>
                <w:szCs w:val="20"/>
                <w:color w:val="auto"/>
              </w:rPr>
            </w:pPr>
            <w:r>
              <w:rPr>
                <w:rFonts w:ascii="Arial" w:cs="Arial" w:eastAsia="Arial" w:hAnsi="Arial"/>
                <w:sz w:val="18"/>
                <w:szCs w:val="18"/>
                <w:color w:val="auto"/>
                <w:w w:val="86"/>
              </w:rPr>
              <w:t>1.19965</w:t>
            </w:r>
          </w:p>
        </w:tc>
        <w:tc>
          <w:tcPr>
            <w:tcW w:w="160" w:type="dxa"/>
            <w:vAlign w:val="bottom"/>
            <w:shd w:val="clear" w:color="auto" w:fill="E8FFFA"/>
          </w:tcPr>
          <w:p>
            <w:pPr>
              <w:spacing w:after="0"/>
              <w:rPr>
                <w:sz w:val="18"/>
                <w:szCs w:val="18"/>
                <w:color w:val="auto"/>
              </w:rPr>
            </w:pPr>
          </w:p>
        </w:tc>
        <w:tc>
          <w:tcPr>
            <w:tcW w:w="222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18"/>
                <w:szCs w:val="18"/>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June 30, 2018. The change in the fair value of these contracts for the three and six months ended June 30, 2018 amounted to a loss of $186 (for the three and six months ended June 30, 2017: $0), which was recognized against profit or loss in the period incurred and is included in (Loss)/gain on derivatives (Note 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has recognized the following amounts relating to revenues: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50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94"/>
              </w:rPr>
              <w:t>For the three months ended</w:t>
            </w:r>
          </w:p>
        </w:tc>
        <w:tc>
          <w:tcPr>
            <w:tcW w:w="180" w:type="dxa"/>
            <w:vAlign w:val="bottom"/>
          </w:tcPr>
          <w:p>
            <w:pPr>
              <w:spacing w:after="0"/>
              <w:rPr>
                <w:sz w:val="19"/>
                <w:szCs w:val="19"/>
                <w:color w:val="auto"/>
              </w:rPr>
            </w:pPr>
          </w:p>
        </w:tc>
        <w:tc>
          <w:tcPr>
            <w:tcW w:w="2500" w:type="dxa"/>
            <w:vAlign w:val="bottom"/>
            <w:gridSpan w:val="3"/>
            <w:vMerge w:val="restart"/>
          </w:tcPr>
          <w:p>
            <w:pPr>
              <w:jc w:val="right"/>
              <w:ind w:right="232"/>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June 30, 2018</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Revenues from time charters</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6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75,418</w:t>
            </w: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169,882</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Revenues from the Cool Pool (Note 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85,405</w:t>
            </w:r>
          </w:p>
        </w:tc>
        <w:tc>
          <w:tcPr>
            <w:tcW w:w="1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76,934</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169,882</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161,285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Revenues from the Cool Pool relate only to the pool revenues received from a GasLog Partners vessel operating in the Cool Pool and do not include the net pool allocation to GasLog Partners of $357 loss for the three and six months ended June 30, 2018 ($0 for the three and six months ended June 30, 2017).</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10. General and Administrative Expenses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ind w:left="340"/>
              <w:spacing w:after="0"/>
              <w:rPr>
                <w:sz w:val="20"/>
                <w:szCs w:val="20"/>
                <w:color w:val="auto"/>
              </w:rPr>
            </w:pPr>
            <w:r>
              <w:rPr>
                <w:rFonts w:ascii="Arial" w:cs="Arial" w:eastAsia="Arial" w:hAnsi="Arial"/>
                <w:sz w:val="18"/>
                <w:szCs w:val="18"/>
                <w:color w:val="auto"/>
                <w:w w:val="89"/>
              </w:rPr>
              <w:t>An analysis of general and administrative expenses is as follows: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3760" w:type="dxa"/>
            <w:vAlign w:val="bottom"/>
            <w:gridSpan w:val="4"/>
          </w:tcPr>
          <w:p>
            <w:pPr>
              <w:jc w:val="right"/>
              <w:ind w:right="158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June 30, 2018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244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Board of directors' fees</w:t>
            </w: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Share-based compensation (Note 15)</w:t>
            </w: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Legal and professional fees</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286</w:t>
            </w:r>
          </w:p>
        </w:tc>
        <w:tc>
          <w:tcPr>
            <w:tcW w:w="13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626</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659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Commercial management fees (Note 3)</w:t>
            </w:r>
          </w:p>
        </w:tc>
        <w:tc>
          <w:tcPr>
            <w:tcW w:w="1180" w:type="dxa"/>
            <w:vAlign w:val="bottom"/>
          </w:tcPr>
          <w:p>
            <w:pPr>
              <w:jc w:val="right"/>
              <w:spacing w:after="0"/>
              <w:rPr>
                <w:sz w:val="20"/>
                <w:szCs w:val="20"/>
                <w:color w:val="auto"/>
              </w:rPr>
            </w:pPr>
            <w:r>
              <w:rPr>
                <w:rFonts w:ascii="Arial" w:cs="Arial" w:eastAsia="Arial" w:hAnsi="Arial"/>
                <w:sz w:val="18"/>
                <w:szCs w:val="18"/>
                <w:color w:val="auto"/>
              </w:rPr>
              <w:t>1,170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Administrative fees (Note 3)</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1,525</w:t>
            </w:r>
          </w:p>
        </w:tc>
        <w:tc>
          <w:tcPr>
            <w:tcW w:w="13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2,581</w:t>
            </w: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2,948</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5,016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Foreign exchange differences, net</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Other expenses, net</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103</w:t>
            </w:r>
          </w:p>
        </w:tc>
        <w:tc>
          <w:tcPr>
            <w:tcW w:w="13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193</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3,588</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4,698</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7,078</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Financial Costs and Loss/(Gain) on Derivatives</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ind w:left="340"/>
              <w:spacing w:after="0"/>
              <w:rPr>
                <w:sz w:val="20"/>
                <w:szCs w:val="20"/>
                <w:color w:val="auto"/>
              </w:rPr>
            </w:pPr>
            <w:r>
              <w:rPr>
                <w:rFonts w:ascii="Arial" w:cs="Arial" w:eastAsia="Arial" w:hAnsi="Arial"/>
                <w:sz w:val="18"/>
                <w:szCs w:val="18"/>
                <w:color w:val="auto"/>
              </w:rPr>
              <w:t>An analysis of financial costs is as follows: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3760" w:type="dxa"/>
            <w:vAlign w:val="bottom"/>
            <w:gridSpan w:val="4"/>
          </w:tcPr>
          <w:p>
            <w:pPr>
              <w:jc w:val="right"/>
              <w:ind w:right="158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June 30, 2018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244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2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rPr>
              <w:t>Amortization and write-off of deferred loan</w:t>
            </w:r>
          </w:p>
        </w:tc>
        <w:tc>
          <w:tcPr>
            <w:tcW w:w="11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60" w:type="dxa"/>
            <w:vAlign w:val="bottom"/>
            <w:tcBorders>
              <w:top w:val="single" w:sz="8" w:color="auto"/>
            </w:tcBorders>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16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80" w:type="dxa"/>
            <w:vAlign w:val="bottom"/>
            <w:tcBorders>
              <w:top w:val="single" w:sz="8" w:color="auto"/>
            </w:tcBorders>
            <w:shd w:val="clear" w:color="auto" w:fill="E8FFFA"/>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issuance costs</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1,698</w:t>
            </w:r>
          </w:p>
        </w:tc>
        <w:tc>
          <w:tcPr>
            <w:tcW w:w="13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E8FFFA"/>
          </w:tcPr>
          <w:p>
            <w:pPr>
              <w:spacing w:after="0"/>
              <w:rPr>
                <w:sz w:val="19"/>
                <w:szCs w:val="19"/>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3,321</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3,703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12,973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13,326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26,109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Commitment fees</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122</w:t>
            </w:r>
          </w:p>
        </w:tc>
        <w:tc>
          <w:tcPr>
            <w:tcW w:w="13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360</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268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6"/>
              </w:rPr>
              <w:t>Other financial costs including bank commissions</w:t>
            </w: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financial costs</w:t>
            </w: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14,892</w:t>
            </w:r>
          </w:p>
        </w:tc>
        <w:tc>
          <w:tcPr>
            <w:tcW w:w="1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14,946</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29,066</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30,293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340"/>
              <w:spacing w:after="0"/>
              <w:rPr>
                <w:sz w:val="20"/>
                <w:szCs w:val="20"/>
                <w:color w:val="auto"/>
              </w:rPr>
            </w:pPr>
            <w:r>
              <w:rPr>
                <w:rFonts w:ascii="Arial" w:cs="Arial" w:eastAsia="Arial" w:hAnsi="Arial"/>
                <w:sz w:val="18"/>
                <w:szCs w:val="18"/>
                <w:color w:val="auto"/>
              </w:rPr>
              <w:t>An analysis of loss/(gain) on derivatives is as follows:</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3760" w:type="dxa"/>
            <w:vAlign w:val="bottom"/>
            <w:gridSpan w:val="4"/>
          </w:tcPr>
          <w:p>
            <w:pPr>
              <w:jc w:val="right"/>
              <w:ind w:right="158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June 30, 2018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2017</w:t>
            </w:r>
          </w:p>
        </w:tc>
        <w:tc>
          <w:tcPr>
            <w:tcW w:w="160" w:type="dxa"/>
            <w:vAlign w:val="bottom"/>
          </w:tcPr>
          <w:p>
            <w:pPr>
              <w:spacing w:after="0"/>
              <w:rPr>
                <w:sz w:val="19"/>
                <w:szCs w:val="19"/>
                <w:color w:val="auto"/>
              </w:rPr>
            </w:pPr>
          </w:p>
        </w:tc>
        <w:tc>
          <w:tcPr>
            <w:tcW w:w="244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w w:val="92"/>
              </w:rPr>
              <w:t>June 30, 2018</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820" w:type="dxa"/>
            <w:vAlign w:val="bottom"/>
            <w:shd w:val="clear" w:color="auto" w:fill="E8FFFA"/>
          </w:tcPr>
          <w:p>
            <w:pPr>
              <w:spacing w:after="0" w:line="202" w:lineRule="exact"/>
              <w:rPr>
                <w:sz w:val="20"/>
                <w:szCs w:val="20"/>
                <w:color w:val="auto"/>
              </w:rPr>
            </w:pPr>
            <w:r>
              <w:rPr>
                <w:rFonts w:ascii="Arial" w:cs="Arial" w:eastAsia="Arial" w:hAnsi="Arial"/>
                <w:sz w:val="18"/>
                <w:szCs w:val="18"/>
                <w:color w:val="auto"/>
              </w:rPr>
              <w:t>Unrealized loss/(gain) on derivatives held for</w:t>
            </w:r>
          </w:p>
        </w:tc>
        <w:tc>
          <w:tcPr>
            <w:tcW w:w="118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60" w:type="dxa"/>
            <w:vAlign w:val="bottom"/>
            <w:tcBorders>
              <w:top w:val="single" w:sz="8" w:color="auto"/>
            </w:tcBorders>
            <w:shd w:val="clear" w:color="auto" w:fill="E8FFFA"/>
          </w:tcPr>
          <w:p>
            <w:pPr>
              <w:spacing w:after="0"/>
              <w:rPr>
                <w:sz w:val="17"/>
                <w:szCs w:val="17"/>
                <w:color w:val="auto"/>
              </w:rPr>
            </w:pPr>
          </w:p>
        </w:tc>
        <w:tc>
          <w:tcPr>
            <w:tcW w:w="180" w:type="dxa"/>
            <w:vAlign w:val="bottom"/>
            <w:shd w:val="clear" w:color="auto" w:fill="E8FFFA"/>
          </w:tcPr>
          <w:p>
            <w:pPr>
              <w:spacing w:after="0"/>
              <w:rPr>
                <w:sz w:val="17"/>
                <w:szCs w:val="17"/>
                <w:color w:val="auto"/>
              </w:rPr>
            </w:pPr>
          </w:p>
        </w:tc>
        <w:tc>
          <w:tcPr>
            <w:tcW w:w="1160" w:type="dxa"/>
            <w:vAlign w:val="bottom"/>
            <w:tcBorders>
              <w:top w:val="single" w:sz="8" w:color="auto"/>
            </w:tcBorders>
            <w:shd w:val="clear" w:color="auto" w:fill="E8FFFA"/>
          </w:tcPr>
          <w:p>
            <w:pPr>
              <w:spacing w:after="0"/>
              <w:rPr>
                <w:sz w:val="17"/>
                <w:szCs w:val="17"/>
                <w:color w:val="auto"/>
              </w:rPr>
            </w:pPr>
          </w:p>
        </w:tc>
        <w:tc>
          <w:tcPr>
            <w:tcW w:w="160" w:type="dxa"/>
            <w:vAlign w:val="bottom"/>
            <w:shd w:val="clear" w:color="auto" w:fill="E8FFFA"/>
          </w:tcPr>
          <w:p>
            <w:pPr>
              <w:spacing w:after="0"/>
              <w:rPr>
                <w:sz w:val="17"/>
                <w:szCs w:val="17"/>
                <w:color w:val="auto"/>
              </w:rPr>
            </w:pPr>
          </w:p>
        </w:tc>
        <w:tc>
          <w:tcPr>
            <w:tcW w:w="1180" w:type="dxa"/>
            <w:vAlign w:val="bottom"/>
            <w:tcBorders>
              <w:top w:val="single" w:sz="8" w:color="auto"/>
            </w:tcBorders>
            <w:shd w:val="clear" w:color="auto" w:fill="E8FFFA"/>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E8FFFA"/>
          </w:tcPr>
          <w:p>
            <w:pPr>
              <w:ind w:left="160"/>
              <w:spacing w:after="0"/>
              <w:rPr>
                <w:sz w:val="20"/>
                <w:szCs w:val="20"/>
                <w:color w:val="auto"/>
              </w:rPr>
            </w:pPr>
            <w:r>
              <w:rPr>
                <w:rFonts w:ascii="Arial" w:cs="Arial" w:eastAsia="Arial" w:hAnsi="Arial"/>
                <w:sz w:val="18"/>
                <w:szCs w:val="18"/>
                <w:color w:val="auto"/>
              </w:rPr>
              <w:t>trading (Note 8)</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1,857</w:t>
            </w:r>
          </w:p>
        </w:tc>
        <w:tc>
          <w:tcPr>
            <w:tcW w:w="15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(1,001)</w:t>
            </w: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1,209</w:t>
            </w:r>
          </w:p>
        </w:tc>
        <w:tc>
          <w:tcPr>
            <w:tcW w:w="13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(7,371)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Realized loss/(gain) on interest rate swaps held for</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trading</w:t>
            </w:r>
          </w:p>
        </w:tc>
        <w:tc>
          <w:tcPr>
            <w:tcW w:w="1180" w:type="dxa"/>
            <w:vAlign w:val="bottom"/>
          </w:tcPr>
          <w:p>
            <w:pPr>
              <w:jc w:val="right"/>
              <w:spacing w:after="0"/>
              <w:rPr>
                <w:sz w:val="20"/>
                <w:szCs w:val="20"/>
                <w:color w:val="auto"/>
              </w:rPr>
            </w:pPr>
            <w:r>
              <w:rPr>
                <w:rFonts w:ascii="Arial" w:cs="Arial" w:eastAsia="Arial" w:hAnsi="Arial"/>
                <w:sz w:val="18"/>
                <w:szCs w:val="18"/>
                <w:color w:val="auto"/>
              </w:rPr>
              <w:t>479</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(587)</w:t>
            </w:r>
          </w:p>
        </w:tc>
        <w:tc>
          <w:tcPr>
            <w:tcW w:w="1160" w:type="dxa"/>
            <w:vAlign w:val="bottom"/>
          </w:tcPr>
          <w:p>
            <w:pPr>
              <w:jc w:val="right"/>
              <w:spacing w:after="0"/>
              <w:rPr>
                <w:sz w:val="20"/>
                <w:szCs w:val="20"/>
                <w:color w:val="auto"/>
              </w:rPr>
            </w:pPr>
            <w:r>
              <w:rPr>
                <w:rFonts w:ascii="Arial" w:cs="Arial" w:eastAsia="Arial" w:hAnsi="Arial"/>
                <w:sz w:val="18"/>
                <w:szCs w:val="18"/>
                <w:color w:val="auto"/>
              </w:rPr>
              <w:t>1,104</w:t>
            </w:r>
          </w:p>
        </w:tc>
        <w:tc>
          <w:tcPr>
            <w:tcW w:w="2600" w:type="dxa"/>
            <w:vAlign w:val="bottom"/>
            <w:gridSpan w:val="3"/>
          </w:tcPr>
          <w:p>
            <w:pPr>
              <w:jc w:val="right"/>
              <w:ind w:right="12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loss/(gain) on derivatives</w:t>
            </w: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2,336</w:t>
            </w:r>
          </w:p>
        </w:tc>
        <w:tc>
          <w:tcPr>
            <w:tcW w:w="1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(1,588)</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2,313</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(7,915)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F-16</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12. Cash Flow Reconciliations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reconciliations of the Partnership's non-cash investing and financing activities for the six months ended June 30, 2018 are presented in the following tables: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Opening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Cash flows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86"/>
              </w:rPr>
              <w:t>Non-cash items</w:t>
            </w:r>
          </w:p>
        </w:tc>
        <w:tc>
          <w:tcPr>
            <w:tcW w:w="18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1"/>
        </w:trPr>
        <w:tc>
          <w:tcPr>
            <w:tcW w:w="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color w:val="auto"/>
              </w:rPr>
              <w:t>Borrowings outstanding as of January 1, 2018</w:t>
            </w: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1,300,565</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1,300,565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Borrowings repayments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(119,757)</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(119,757)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color w:val="auto"/>
              </w:rPr>
              <w:t>Additions in deferred loan fees</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(68)</w:t>
            </w:r>
          </w:p>
        </w:tc>
        <w:tc>
          <w:tcPr>
            <w:tcW w:w="1240" w:type="dxa"/>
            <w:vAlign w:val="bottom"/>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5"/>
              </w:rPr>
              <w:t>Amortization and write-off of deferred loan issuance costs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(Note 11)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3,703</w:t>
            </w:r>
          </w:p>
        </w:tc>
        <w:tc>
          <w:tcPr>
            <w:tcW w:w="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Borrowings outstanding as of June 30, 2018</w:t>
            </w: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1,300,565</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(119,825)</w:t>
            </w:r>
          </w:p>
        </w:tc>
        <w:tc>
          <w:tcPr>
            <w:tcW w:w="160" w:type="dxa"/>
            <w:vAlign w:val="bottom"/>
            <w:shd w:val="clear" w:color="auto" w:fill="E8FFFA"/>
          </w:tcPr>
          <w:p>
            <w:pPr>
              <w:spacing w:after="0"/>
              <w:rPr>
                <w:sz w:val="18"/>
                <w:szCs w:val="18"/>
                <w:color w:val="auto"/>
              </w:rPr>
            </w:pPr>
          </w:p>
        </w:tc>
        <w:tc>
          <w:tcPr>
            <w:tcW w:w="12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3,703</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1,184,443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Opening</w:t>
            </w: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balance</w:t>
            </w:r>
          </w:p>
        </w:tc>
        <w:tc>
          <w:tcPr>
            <w:tcW w:w="4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5"/>
              </w:rPr>
              <w:t>Non-cash items</w:t>
            </w:r>
          </w:p>
        </w:tc>
        <w:tc>
          <w:tcPr>
            <w:tcW w:w="40" w:type="dxa"/>
            <w:vAlign w:val="bottom"/>
          </w:tcPr>
          <w:p>
            <w:pPr>
              <w:spacing w:after="0"/>
              <w:rPr>
                <w:sz w:val="19"/>
                <w:szCs w:val="19"/>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color w:val="auto"/>
              </w:rPr>
              <w:t>Net derivative assets as of January 1, 2018</w:t>
            </w:r>
          </w:p>
        </w:tc>
        <w:tc>
          <w:tcPr>
            <w:tcW w:w="96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960" w:type="dxa"/>
            <w:vAlign w:val="bottom"/>
            <w:tcBorders>
              <w:top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color w:val="auto"/>
              </w:rPr>
              <w:t>6,346</w:t>
            </w:r>
          </w:p>
        </w:tc>
        <w:tc>
          <w:tcPr>
            <w:tcW w:w="4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40" w:type="dxa"/>
            <w:vAlign w:val="bottom"/>
            <w:tcBorders>
              <w:top w:val="single" w:sz="8" w:color="auto"/>
            </w:tcBorders>
            <w:shd w:val="clear" w:color="auto" w:fill="E8FFFA"/>
          </w:tcPr>
          <w:p>
            <w:pPr>
              <w:spacing w:after="0"/>
              <w:rPr>
                <w:sz w:val="18"/>
                <w:szCs w:val="18"/>
                <w:color w:val="auto"/>
              </w:rPr>
            </w:pPr>
          </w:p>
        </w:tc>
        <w:tc>
          <w:tcPr>
            <w:tcW w:w="122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960" w:type="dxa"/>
            <w:vAlign w:val="bottom"/>
            <w:tcBorders>
              <w:top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color w:val="auto"/>
              </w:rPr>
              <w:t>6,346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7"/>
              </w:rPr>
              <w:t>Unrealized gain on derivatives held for trading (Note 11)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Net derivative assets as of June 30, 2018</w:t>
            </w:r>
          </w:p>
        </w:tc>
        <w:tc>
          <w:tcPr>
            <w:tcW w:w="96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6,346</w:t>
            </w:r>
          </w:p>
        </w:tc>
        <w:tc>
          <w:tcPr>
            <w:tcW w:w="4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7,371</w:t>
            </w:r>
          </w:p>
        </w:tc>
        <w:tc>
          <w:tcPr>
            <w:tcW w:w="2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b w:val="1"/>
                <w:bCs w:val="1"/>
                <w:color w:val="auto"/>
              </w:rPr>
              <w:t>13,717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w w:val="91"/>
              </w:rPr>
              <w:t>A reconciliation of vessels arising from investing activities is as follows:</w:t>
            </w: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Opening</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balance</w:t>
            </w: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Cash flows</w:t>
            </w:r>
          </w:p>
        </w:tc>
        <w:tc>
          <w:tcPr>
            <w:tcW w:w="4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6"/>
              </w:rPr>
              <w:t>Non-cash items</w:t>
            </w:r>
          </w:p>
        </w:tc>
        <w:tc>
          <w:tcPr>
            <w:tcW w:w="40" w:type="dxa"/>
            <w:vAlign w:val="bottom"/>
          </w:tcPr>
          <w:p>
            <w:pPr>
              <w:spacing w:after="0"/>
              <w:rPr>
                <w:sz w:val="19"/>
                <w:szCs w:val="19"/>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color w:val="auto"/>
              </w:rPr>
              <w:t>Vessels as of January 1, 2018</w:t>
            </w: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2,149,751</w:t>
            </w:r>
          </w:p>
        </w:tc>
        <w:tc>
          <w:tcPr>
            <w:tcW w:w="12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960" w:type="dxa"/>
            <w:vAlign w:val="bottom"/>
            <w:tcBorders>
              <w:top w:val="single" w:sz="8" w:color="auto"/>
            </w:tcBorders>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1240" w:type="dxa"/>
            <w:vAlign w:val="bottom"/>
            <w:tcBorders>
              <w:top w:val="single" w:sz="8" w:color="auto"/>
            </w:tcBorders>
            <w:gridSpan w:val="2"/>
            <w:shd w:val="clear" w:color="auto" w:fill="E8FFF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8FFFA"/>
          </w:tcPr>
          <w:p>
            <w:pPr>
              <w:spacing w:after="0"/>
              <w:rPr>
                <w:sz w:val="18"/>
                <w:szCs w:val="18"/>
                <w:color w:val="auto"/>
              </w:rPr>
            </w:pPr>
          </w:p>
        </w:tc>
        <w:tc>
          <w:tcPr>
            <w:tcW w:w="40" w:type="dxa"/>
            <w:vAlign w:val="bottom"/>
            <w:shd w:val="clear" w:color="auto" w:fill="E8FFFA"/>
          </w:tcPr>
          <w:p>
            <w:pPr>
              <w:spacing w:after="0"/>
              <w:rPr>
                <w:sz w:val="18"/>
                <w:szCs w:val="18"/>
                <w:color w:val="auto"/>
              </w:rPr>
            </w:pPr>
          </w:p>
        </w:tc>
        <w:tc>
          <w:tcPr>
            <w:tcW w:w="960" w:type="dxa"/>
            <w:vAlign w:val="bottom"/>
            <w:tcBorders>
              <w:top w:val="single" w:sz="8" w:color="auto"/>
            </w:tcBorders>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2,149,751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 (Note 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13,590</w:t>
            </w:r>
          </w:p>
        </w:tc>
        <w:tc>
          <w:tcPr>
            <w:tcW w:w="1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14,792</w:t>
            </w:r>
          </w:p>
        </w:tc>
        <w:tc>
          <w:tcPr>
            <w:tcW w:w="1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28,382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color w:val="auto"/>
              </w:rPr>
              <w:t>Depreciation expense (Note 4)</w:t>
            </w:r>
          </w:p>
        </w:tc>
        <w:tc>
          <w:tcPr>
            <w:tcW w:w="1080" w:type="dxa"/>
            <w:vAlign w:val="bottom"/>
            <w:gridSpan w:val="2"/>
            <w:shd w:val="clear" w:color="auto" w:fill="E8FFFA"/>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E8FFFA"/>
          </w:tcPr>
          <w:p>
            <w:pPr>
              <w:spacing w:after="0"/>
              <w:rPr>
                <w:sz w:val="18"/>
                <w:szCs w:val="18"/>
                <w:color w:val="auto"/>
              </w:rPr>
            </w:pPr>
          </w:p>
        </w:tc>
        <w:tc>
          <w:tcPr>
            <w:tcW w:w="1080" w:type="dxa"/>
            <w:vAlign w:val="bottom"/>
            <w:gridSpan w:val="3"/>
            <w:shd w:val="clear" w:color="auto" w:fill="E8FFFA"/>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E8FFFA"/>
          </w:tcPr>
          <w:p>
            <w:pPr>
              <w:jc w:val="right"/>
              <w:ind w:right="80"/>
              <w:spacing w:after="0"/>
              <w:rPr>
                <w:sz w:val="20"/>
                <w:szCs w:val="20"/>
                <w:color w:val="auto"/>
              </w:rPr>
            </w:pPr>
            <w:r>
              <w:rPr>
                <w:rFonts w:ascii="Arial" w:cs="Arial" w:eastAsia="Arial" w:hAnsi="Arial"/>
                <w:sz w:val="18"/>
                <w:szCs w:val="18"/>
                <w:color w:val="auto"/>
              </w:rPr>
              <w:t>(36,604)</w:t>
            </w:r>
          </w:p>
        </w:tc>
        <w:tc>
          <w:tcPr>
            <w:tcW w:w="1000" w:type="dxa"/>
            <w:vAlign w:val="bottom"/>
            <w:gridSpan w:val="3"/>
            <w:shd w:val="clear" w:color="auto" w:fill="E8FFFA"/>
          </w:tcPr>
          <w:p>
            <w:pPr>
              <w:jc w:val="right"/>
              <w:spacing w:after="0"/>
              <w:rPr>
                <w:sz w:val="20"/>
                <w:szCs w:val="20"/>
                <w:color w:val="auto"/>
              </w:rPr>
            </w:pPr>
            <w:r>
              <w:rPr>
                <w:rFonts w:ascii="Arial" w:cs="Arial" w:eastAsia="Arial" w:hAnsi="Arial"/>
                <w:sz w:val="18"/>
                <w:szCs w:val="18"/>
                <w:color w:val="auto"/>
              </w:rPr>
              <w:t>(36,604)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Vessels as of June 30,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2,149,751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13,590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(21,812)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2,141,529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80" w:type="dxa"/>
            <w:vAlign w:val="bottom"/>
            <w:gridSpan w:val="4"/>
          </w:tcPr>
          <w:p>
            <w:pPr>
              <w:spacing w:after="0"/>
              <w:rPr>
                <w:sz w:val="20"/>
                <w:szCs w:val="20"/>
                <w:color w:val="auto"/>
              </w:rPr>
            </w:pPr>
            <w:r>
              <w:rPr>
                <w:rFonts w:ascii="Arial" w:cs="Arial" w:eastAsia="Arial" w:hAnsi="Arial"/>
                <w:sz w:val="18"/>
                <w:szCs w:val="18"/>
                <w:color w:val="auto"/>
                <w:w w:val="99"/>
              </w:rPr>
              <w:t>A reconciliation of equity offerings arising from financing activities is as follows:</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Cash flows</w:t>
            </w:r>
          </w:p>
        </w:tc>
        <w:tc>
          <w:tcPr>
            <w:tcW w:w="4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5"/>
              </w:rPr>
              <w:t>Non-cash items</w:t>
            </w:r>
          </w:p>
        </w:tc>
        <w:tc>
          <w:tcPr>
            <w:tcW w:w="40" w:type="dxa"/>
            <w:vAlign w:val="bottom"/>
          </w:tcPr>
          <w:p>
            <w:pPr>
              <w:spacing w:after="0"/>
              <w:rPr>
                <w:sz w:val="24"/>
                <w:szCs w:val="24"/>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5460" w:type="dxa"/>
            <w:vAlign w:val="bottom"/>
            <w:gridSpan w:val="3"/>
            <w:shd w:val="clear" w:color="auto" w:fill="E8FFFA"/>
          </w:tcPr>
          <w:p>
            <w:pPr>
              <w:spacing w:after="0" w:line="202" w:lineRule="exact"/>
              <w:rPr>
                <w:sz w:val="20"/>
                <w:szCs w:val="20"/>
                <w:color w:val="auto"/>
              </w:rPr>
            </w:pPr>
            <w:r>
              <w:rPr>
                <w:rFonts w:ascii="Arial" w:cs="Arial" w:eastAsia="Arial" w:hAnsi="Arial"/>
                <w:sz w:val="18"/>
                <w:szCs w:val="18"/>
                <w:color w:val="auto"/>
                <w:w w:val="97"/>
              </w:rPr>
              <w:t>Proceeds from public offerings and issuances of common and general</w:t>
            </w:r>
          </w:p>
        </w:tc>
        <w:tc>
          <w:tcPr>
            <w:tcW w:w="40" w:type="dxa"/>
            <w:vAlign w:val="bottom"/>
            <w:tcBorders>
              <w:top w:val="single" w:sz="8" w:color="auto"/>
            </w:tcBorders>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40" w:type="dxa"/>
            <w:vAlign w:val="bottom"/>
            <w:shd w:val="clear" w:color="auto" w:fill="E8FFFA"/>
          </w:tcPr>
          <w:p>
            <w:pPr>
              <w:spacing w:after="0"/>
              <w:rPr>
                <w:sz w:val="17"/>
                <w:szCs w:val="17"/>
                <w:color w:val="auto"/>
              </w:rPr>
            </w:pPr>
          </w:p>
        </w:tc>
        <w:tc>
          <w:tcPr>
            <w:tcW w:w="120" w:type="dxa"/>
            <w:vAlign w:val="bottom"/>
            <w:shd w:val="clear" w:color="auto" w:fill="E8FFFA"/>
          </w:tcPr>
          <w:p>
            <w:pPr>
              <w:spacing w:after="0"/>
              <w:rPr>
                <w:sz w:val="17"/>
                <w:szCs w:val="17"/>
                <w:color w:val="auto"/>
              </w:rPr>
            </w:pPr>
          </w:p>
        </w:tc>
        <w:tc>
          <w:tcPr>
            <w:tcW w:w="40" w:type="dxa"/>
            <w:vAlign w:val="bottom"/>
            <w:tcBorders>
              <w:top w:val="single" w:sz="8" w:color="auto"/>
            </w:tcBorders>
            <w:shd w:val="clear" w:color="auto" w:fill="E8FFFA"/>
          </w:tcPr>
          <w:p>
            <w:pPr>
              <w:spacing w:after="0"/>
              <w:rPr>
                <w:sz w:val="17"/>
                <w:szCs w:val="17"/>
                <w:color w:val="auto"/>
              </w:rPr>
            </w:pPr>
          </w:p>
        </w:tc>
        <w:tc>
          <w:tcPr>
            <w:tcW w:w="1220" w:type="dxa"/>
            <w:vAlign w:val="bottom"/>
            <w:tcBorders>
              <w:top w:val="single" w:sz="8" w:color="auto"/>
            </w:tcBorders>
            <w:shd w:val="clear" w:color="auto" w:fill="E8FFFA"/>
          </w:tcPr>
          <w:p>
            <w:pPr>
              <w:spacing w:after="0"/>
              <w:rPr>
                <w:sz w:val="17"/>
                <w:szCs w:val="17"/>
                <w:color w:val="auto"/>
              </w:rPr>
            </w:pPr>
          </w:p>
        </w:tc>
        <w:tc>
          <w:tcPr>
            <w:tcW w:w="20" w:type="dxa"/>
            <w:vAlign w:val="bottom"/>
            <w:shd w:val="clear" w:color="auto" w:fill="E8FFFA"/>
          </w:tcPr>
          <w:p>
            <w:pPr>
              <w:spacing w:after="0"/>
              <w:rPr>
                <w:sz w:val="17"/>
                <w:szCs w:val="17"/>
                <w:color w:val="auto"/>
              </w:rPr>
            </w:pPr>
          </w:p>
        </w:tc>
        <w:tc>
          <w:tcPr>
            <w:tcW w:w="140" w:type="dxa"/>
            <w:vAlign w:val="bottom"/>
            <w:shd w:val="clear" w:color="auto" w:fill="E8FFFA"/>
          </w:tcPr>
          <w:p>
            <w:pPr>
              <w:spacing w:after="0"/>
              <w:rPr>
                <w:sz w:val="17"/>
                <w:szCs w:val="17"/>
                <w:color w:val="auto"/>
              </w:rPr>
            </w:pPr>
          </w:p>
        </w:tc>
        <w:tc>
          <w:tcPr>
            <w:tcW w:w="40" w:type="dxa"/>
            <w:vAlign w:val="bottom"/>
            <w:tcBorders>
              <w:top w:val="single" w:sz="8" w:color="auto"/>
            </w:tcBorders>
            <w:shd w:val="clear" w:color="auto" w:fill="E8FFFA"/>
          </w:tcPr>
          <w:p>
            <w:pPr>
              <w:spacing w:after="0"/>
              <w:rPr>
                <w:sz w:val="17"/>
                <w:szCs w:val="17"/>
                <w:color w:val="auto"/>
              </w:rPr>
            </w:pPr>
          </w:p>
        </w:tc>
        <w:tc>
          <w:tcPr>
            <w:tcW w:w="920" w:type="dxa"/>
            <w:vAlign w:val="bottom"/>
            <w:tcBorders>
              <w:top w:val="single" w:sz="8" w:color="auto"/>
            </w:tcBorders>
            <w:shd w:val="clear" w:color="auto" w:fill="E8FFFA"/>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460" w:type="dxa"/>
            <w:vAlign w:val="bottom"/>
            <w:gridSpan w:val="3"/>
            <w:shd w:val="clear" w:color="auto" w:fill="E8FFFA"/>
          </w:tcPr>
          <w:p>
            <w:pPr>
              <w:spacing w:after="0"/>
              <w:rPr>
                <w:sz w:val="20"/>
                <w:szCs w:val="20"/>
                <w:color w:val="auto"/>
              </w:rPr>
            </w:pPr>
            <w:r>
              <w:rPr>
                <w:rFonts w:ascii="Arial" w:cs="Arial" w:eastAsia="Arial" w:hAnsi="Arial"/>
                <w:sz w:val="18"/>
                <w:szCs w:val="18"/>
                <w:color w:val="auto"/>
                <w:w w:val="97"/>
              </w:rPr>
              <w:t>partner units (net of underwriting discounts and commissions) (Note 5)</w:t>
            </w:r>
          </w:p>
        </w:tc>
        <w:tc>
          <w:tcPr>
            <w:tcW w:w="9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960</w:t>
            </w:r>
          </w:p>
        </w:tc>
        <w:tc>
          <w:tcPr>
            <w:tcW w:w="40" w:type="dxa"/>
            <w:vAlign w:val="bottom"/>
            <w:shd w:val="clear" w:color="auto" w:fill="E8FFFA"/>
          </w:tcPr>
          <w:p>
            <w:pPr>
              <w:spacing w:after="0"/>
              <w:rPr>
                <w:sz w:val="19"/>
                <w:szCs w:val="19"/>
                <w:color w:val="auto"/>
              </w:rPr>
            </w:pPr>
          </w:p>
        </w:tc>
        <w:tc>
          <w:tcPr>
            <w:tcW w:w="120" w:type="dxa"/>
            <w:vAlign w:val="bottom"/>
            <w:shd w:val="clear" w:color="auto" w:fill="E8FFFA"/>
          </w:tcPr>
          <w:p>
            <w:pPr>
              <w:spacing w:after="0"/>
              <w:rPr>
                <w:sz w:val="19"/>
                <w:szCs w:val="19"/>
                <w:color w:val="auto"/>
              </w:rPr>
            </w:pPr>
          </w:p>
        </w:tc>
        <w:tc>
          <w:tcPr>
            <w:tcW w:w="40" w:type="dxa"/>
            <w:vAlign w:val="bottom"/>
            <w:shd w:val="clear" w:color="auto" w:fill="E8FFFA"/>
          </w:tcPr>
          <w:p>
            <w:pPr>
              <w:spacing w:after="0"/>
              <w:rPr>
                <w:sz w:val="19"/>
                <w:szCs w:val="19"/>
                <w:color w:val="auto"/>
              </w:rPr>
            </w:pPr>
          </w:p>
        </w:tc>
        <w:tc>
          <w:tcPr>
            <w:tcW w:w="1380" w:type="dxa"/>
            <w:vAlign w:val="bottom"/>
            <w:gridSpan w:val="3"/>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w w:val="99"/>
              </w:rPr>
              <w:t>Proceeds from public offering of preference units (net of underwriting</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2"/>
          </w:tcPr>
          <w:p>
            <w:pPr>
              <w:ind w:left="800"/>
              <w:spacing w:after="0"/>
              <w:rPr>
                <w:sz w:val="20"/>
                <w:szCs w:val="20"/>
                <w:color w:val="auto"/>
              </w:rPr>
            </w:pPr>
            <w:r>
              <w:rPr>
                <w:rFonts w:ascii="Arial" w:cs="Arial" w:eastAsia="Arial" w:hAnsi="Arial"/>
                <w:sz w:val="18"/>
                <w:szCs w:val="18"/>
                <w:color w:val="auto"/>
              </w:rPr>
              <w:t>discounts and commissions) (Note 5)</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111,544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111,544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4380" w:type="dxa"/>
            <w:vAlign w:val="bottom"/>
            <w:shd w:val="clear" w:color="auto" w:fill="E8FFFA"/>
          </w:tcPr>
          <w:p>
            <w:pPr>
              <w:spacing w:after="0"/>
              <w:rPr>
                <w:sz w:val="20"/>
                <w:szCs w:val="20"/>
                <w:color w:val="auto"/>
              </w:rPr>
            </w:pPr>
            <w:r>
              <w:rPr>
                <w:rFonts w:ascii="Arial" w:cs="Arial" w:eastAsia="Arial" w:hAnsi="Arial"/>
                <w:sz w:val="18"/>
                <w:szCs w:val="18"/>
                <w:color w:val="auto"/>
              </w:rPr>
              <w:t>Offering costs</w:t>
            </w:r>
          </w:p>
        </w:tc>
        <w:tc>
          <w:tcPr>
            <w:tcW w:w="960" w:type="dxa"/>
            <w:vAlign w:val="bottom"/>
            <w:shd w:val="clear" w:color="auto" w:fill="E8FFFA"/>
          </w:tcPr>
          <w:p>
            <w:pPr>
              <w:spacing w:after="0"/>
              <w:rPr>
                <w:sz w:val="18"/>
                <w:szCs w:val="18"/>
                <w:color w:val="auto"/>
              </w:rPr>
            </w:pPr>
          </w:p>
        </w:tc>
        <w:tc>
          <w:tcPr>
            <w:tcW w:w="120" w:type="dxa"/>
            <w:vAlign w:val="bottom"/>
            <w:shd w:val="clear" w:color="auto" w:fill="E8FFFA"/>
          </w:tcPr>
          <w:p>
            <w:pPr>
              <w:spacing w:after="0"/>
              <w:rPr>
                <w:sz w:val="18"/>
                <w:szCs w:val="18"/>
                <w:color w:val="auto"/>
              </w:rPr>
            </w:pPr>
          </w:p>
        </w:tc>
        <w:tc>
          <w:tcPr>
            <w:tcW w:w="1120" w:type="dxa"/>
            <w:vAlign w:val="bottom"/>
            <w:gridSpan w:val="4"/>
            <w:shd w:val="clear" w:color="auto" w:fill="E8FFFA"/>
          </w:tcPr>
          <w:p>
            <w:pPr>
              <w:jc w:val="right"/>
              <w:ind w:right="100"/>
              <w:spacing w:after="0"/>
              <w:rPr>
                <w:sz w:val="20"/>
                <w:szCs w:val="20"/>
                <w:color w:val="auto"/>
              </w:rPr>
            </w:pPr>
            <w:r>
              <w:rPr>
                <w:rFonts w:ascii="Arial" w:cs="Arial" w:eastAsia="Arial" w:hAnsi="Arial"/>
                <w:sz w:val="18"/>
                <w:szCs w:val="18"/>
                <w:color w:val="auto"/>
              </w:rPr>
              <w:t>(662)</w:t>
            </w:r>
          </w:p>
        </w:tc>
        <w:tc>
          <w:tcPr>
            <w:tcW w:w="12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96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(386)</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54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2"/>
              </w:rPr>
              <w:t>Net proceeds from equity offerings in the six months ended June 30,</w:t>
            </w: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80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111,842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112,118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Cash Distributions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30, 2018, the board of directors of the Partnership approved and declared a quarterly cash distribution, with respect to the quarter ended December 31, 2017, of $0.5235 per common unit. The cash distribution of $22,845 was paid on February 14, 2018 to all unitholders of record as of February 9, 2018.</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51" w:name="page52"/>
    <w:bookmarkEnd w:id="51"/>
    <w:p>
      <w:pPr>
        <w:jc w:val="both"/>
        <w:ind w:right="400" w:firstLine="351"/>
        <w:spacing w:after="0" w:line="259" w:lineRule="auto"/>
        <w:rPr>
          <w:sz w:val="20"/>
          <w:szCs w:val="20"/>
          <w:color w:val="auto"/>
        </w:rPr>
      </w:pPr>
      <w:r>
        <w:rPr>
          <w:rFonts w:ascii="Arial" w:cs="Arial" w:eastAsia="Arial" w:hAnsi="Arial"/>
          <w:sz w:val="18"/>
          <w:szCs w:val="18"/>
          <w:color w:val="auto"/>
        </w:rPr>
        <w:t>On February 8, 2018, the board of directors of the Partnership approved and declared a distribution on the Series A Preference Units of $0.5390625 per preference unit and a distribution on the Series B Preference Units of $0.33028 per preference unit. The aggregate cash distributions of $4,619 were paid on March 15, 2018, to all unitholders of record as of March 8, 2018.</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April 26, 2018, the board of directors of the Partnership approved and declared a quarterly cash distribution, with respect to the quarter ended March 31, 2018, of $0.53 per common unit. The cash distribution of $24,272 was paid on May 11, 2018 to all unitholders of record as of May 7, 2018.</w:t>
      </w:r>
    </w:p>
    <w:p>
      <w:pPr>
        <w:spacing w:after="0" w:line="139"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On May 11, 2018, the board of directors of the Partnership approved and declared a distribution on the Series A Preference Units of $0.5390625 per preference unit and a distribution on the Series B Preference Units of $0.5125 per preference unit. The aggregate cash distributions of $5,457 were paid on June 15, 2018, to all unitholders of record as of June 8,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Unit ("EPU")</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ind w:left="352"/>
        <w:spacing w:after="0"/>
        <w:rPr>
          <w:sz w:val="20"/>
          <w:szCs w:val="20"/>
          <w:color w:val="auto"/>
        </w:rPr>
      </w:pPr>
      <w:r>
        <w:rPr>
          <w:rFonts w:ascii="Arial" w:cs="Arial" w:eastAsia="Arial" w:hAnsi="Arial"/>
          <w:sz w:val="18"/>
          <w:szCs w:val="18"/>
          <w:color w:val="auto"/>
        </w:rPr>
        <w:t>Earnings per unit is presented for the period in which the units were outstanding, with earnings calculated as follows:</w:t>
      </w:r>
    </w:p>
    <w:p>
      <w:pPr>
        <w:spacing w:after="0" w:line="219" w:lineRule="exact"/>
        <w:rPr>
          <w:sz w:val="20"/>
          <w:szCs w:val="20"/>
          <w:color w:val="auto"/>
        </w:rPr>
      </w:pPr>
    </w:p>
    <w:tbl>
      <w:tblPr>
        <w:tblLayout w:type="fixed"/>
        <w:tblInd w:w="1372"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5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7"/>
              </w:rPr>
              <w:t>For the three months ended</w:t>
            </w: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19"/>
                <w:szCs w:val="19"/>
                <w:color w:val="auto"/>
              </w:rPr>
            </w:pPr>
          </w:p>
        </w:tc>
        <w:tc>
          <w:tcPr>
            <w:tcW w:w="122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280" w:type="dxa"/>
            <w:vAlign w:val="bottom"/>
            <w:shd w:val="clear" w:color="auto" w:fill="E8FFFA"/>
          </w:tcPr>
          <w:p>
            <w:pPr>
              <w:spacing w:after="0"/>
              <w:rPr>
                <w:sz w:val="18"/>
                <w:szCs w:val="18"/>
                <w:color w:val="auto"/>
              </w:rPr>
            </w:pPr>
          </w:p>
        </w:tc>
        <w:tc>
          <w:tcPr>
            <w:tcW w:w="94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29,200</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23,841</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61,986</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58,576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Profit attributable to GasLog's operations*</w:t>
            </w:r>
          </w:p>
        </w:tc>
        <w:tc>
          <w:tcPr>
            <w:tcW w:w="14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(9,842)</w:t>
            </w:r>
          </w:p>
        </w:tc>
        <w:tc>
          <w:tcPr>
            <w:tcW w:w="112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(940)</w:t>
            </w:r>
          </w:p>
        </w:tc>
        <w:tc>
          <w:tcPr>
            <w:tcW w:w="112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(21,606)</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b w:val="1"/>
                <w:bCs w:val="1"/>
                <w:color w:val="auto"/>
              </w:rPr>
              <w:t>Partnership's profit</w:t>
            </w:r>
          </w:p>
        </w:tc>
        <w:tc>
          <w:tcPr>
            <w:tcW w:w="2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19,358</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22,901</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40,380</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Adjustment for:</w:t>
            </w:r>
          </w:p>
        </w:tc>
        <w:tc>
          <w:tcPr>
            <w:tcW w:w="280" w:type="dxa"/>
            <w:vAlign w:val="bottom"/>
            <w:shd w:val="clear" w:color="auto" w:fill="E8FFFA"/>
          </w:tcPr>
          <w:p>
            <w:pPr>
              <w:spacing w:after="0"/>
              <w:rPr>
                <w:sz w:val="18"/>
                <w:szCs w:val="18"/>
                <w:color w:val="auto"/>
              </w:rPr>
            </w:pPr>
          </w:p>
        </w:tc>
        <w:tc>
          <w:tcPr>
            <w:tcW w:w="940" w:type="dxa"/>
            <w:vAlign w:val="bottom"/>
            <w:shd w:val="clear" w:color="auto" w:fill="E8FFFA"/>
          </w:tcPr>
          <w:p>
            <w:pPr>
              <w:spacing w:after="0"/>
              <w:rPr>
                <w:sz w:val="18"/>
                <w:szCs w:val="18"/>
                <w:color w:val="auto"/>
              </w:rPr>
            </w:pP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Paid and accrued preference unit distributions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(1,549)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(5,457)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(1,549)</w:t>
            </w:r>
          </w:p>
        </w:tc>
        <w:tc>
          <w:tcPr>
            <w:tcW w:w="960" w:type="dxa"/>
            <w:vAlign w:val="bottom"/>
          </w:tcPr>
          <w:p>
            <w:pPr>
              <w:jc w:val="right"/>
              <w:spacing w:after="0"/>
              <w:rPr>
                <w:sz w:val="20"/>
                <w:szCs w:val="20"/>
                <w:color w:val="auto"/>
              </w:rPr>
            </w:pPr>
            <w:r>
              <w:rPr>
                <w:rFonts w:ascii="Arial" w:cs="Arial" w:eastAsia="Arial" w:hAnsi="Arial"/>
                <w:sz w:val="18"/>
                <w:szCs w:val="18"/>
                <w:color w:val="auto"/>
              </w:rPr>
              <w:t>(10,495)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Partnership's profit attributable to:</w:t>
            </w:r>
          </w:p>
        </w:tc>
        <w:tc>
          <w:tcPr>
            <w:tcW w:w="280" w:type="dxa"/>
            <w:vAlign w:val="bottom"/>
            <w:shd w:val="clear" w:color="auto" w:fill="E8FFFA"/>
          </w:tcPr>
          <w:p>
            <w:pPr>
              <w:spacing w:after="0"/>
              <w:rPr>
                <w:sz w:val="18"/>
                <w:szCs w:val="18"/>
                <w:color w:val="auto"/>
              </w:rPr>
            </w:pPr>
          </w:p>
        </w:tc>
        <w:tc>
          <w:tcPr>
            <w:tcW w:w="94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17,809</w:t>
            </w:r>
          </w:p>
        </w:tc>
        <w:tc>
          <w:tcPr>
            <w:tcW w:w="18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17,444</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38,831</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44,408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Common unitholders</w:t>
            </w: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17,349</w:t>
            </w:r>
          </w:p>
        </w:tc>
        <w:tc>
          <w:tcPr>
            <w:tcW w:w="18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17,095</w:t>
            </w:r>
          </w:p>
        </w:tc>
        <w:tc>
          <w:tcPr>
            <w:tcW w:w="16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32,073</w:t>
            </w:r>
          </w:p>
        </w:tc>
        <w:tc>
          <w:tcPr>
            <w:tcW w:w="16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Subordinated unitholders**</w:t>
            </w:r>
          </w:p>
        </w:tc>
        <w:tc>
          <w:tcPr>
            <w:tcW w:w="280" w:type="dxa"/>
            <w:vAlign w:val="bottom"/>
            <w:shd w:val="clear" w:color="auto" w:fill="E8FFFA"/>
          </w:tcPr>
          <w:p>
            <w:pPr>
              <w:spacing w:after="0"/>
              <w:rPr>
                <w:sz w:val="18"/>
                <w:szCs w:val="18"/>
                <w:color w:val="auto"/>
              </w:rPr>
            </w:pPr>
          </w:p>
        </w:tc>
        <w:tc>
          <w:tcPr>
            <w:tcW w:w="112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5,085</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General partner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Incentive distribution rights***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E8FFFA"/>
          </w:tcPr>
          <w:p>
            <w:pPr>
              <w:spacing w:after="0"/>
              <w:rPr>
                <w:sz w:val="18"/>
                <w:szCs w:val="18"/>
                <w:color w:val="auto"/>
              </w:rPr>
            </w:pPr>
          </w:p>
        </w:tc>
        <w:tc>
          <w:tcPr>
            <w:tcW w:w="112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b w:val="1"/>
                <w:bCs w:val="1"/>
                <w:color w:val="auto"/>
                <w:w w:val="93"/>
              </w:rPr>
              <w:t>Weighted average number of units outstanding</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Common units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38,324,669</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42,363,252</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32,814,957</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41,686,447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Subordinated units**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General partner units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781,005</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864,381</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768,799</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850,656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Earnings per unit (basic)</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Common unitholders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General partner</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b w:val="1"/>
                <w:bCs w:val="1"/>
                <w:color w:val="auto"/>
                <w:w w:val="93"/>
              </w:rPr>
              <w:t>Weighted average number of units outstanding</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Common units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38,376,044</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42,422,462</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32,863,163</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41,792,558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Subordinated units**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General partner units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781,005</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864,381</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768,799</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850,656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Earnings per unit (diluted)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Common unitholders</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E8FFFA"/>
          </w:tcPr>
          <w:p>
            <w:pPr>
              <w:spacing w:after="0"/>
              <w:rPr>
                <w:sz w:val="20"/>
                <w:szCs w:val="20"/>
                <w:color w:val="auto"/>
              </w:rPr>
            </w:pPr>
            <w:r>
              <w:rPr>
                <w:rFonts w:ascii="Arial" w:cs="Arial" w:eastAsia="Arial" w:hAnsi="Arial"/>
                <w:sz w:val="18"/>
                <w:szCs w:val="18"/>
                <w:color w:val="auto"/>
              </w:rPr>
              <w:t>General partner</w:t>
            </w: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E8FFFA"/>
          </w:tcPr>
          <w:p>
            <w:pPr>
              <w:spacing w:after="0"/>
              <w:rPr>
                <w:sz w:val="18"/>
                <w:szCs w:val="18"/>
                <w:color w:val="auto"/>
              </w:rPr>
            </w:pP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32" w:right="300" w:hanging="532"/>
        <w:spacing w:after="0" w:line="234" w:lineRule="auto"/>
        <w:tabs>
          <w:tab w:leader="none" w:pos="532" w:val="left"/>
        </w:tabs>
        <w:numPr>
          <w:ilvl w:val="0"/>
          <w:numId w:val="24"/>
        </w:numPr>
        <w:rPr>
          <w:rFonts w:ascii="Arial" w:cs="Arial" w:eastAsia="Arial" w:hAnsi="Arial"/>
          <w:sz w:val="16"/>
          <w:szCs w:val="16"/>
          <w:color w:val="auto"/>
        </w:rPr>
      </w:pPr>
      <w:r>
        <w:rPr>
          <w:rFonts w:ascii="Arial" w:cs="Arial" w:eastAsia="Arial" w:hAnsi="Arial"/>
          <w:sz w:val="13"/>
          <w:szCs w:val="13"/>
          <w:color w:val="auto"/>
        </w:rPr>
        <w:t>Includes the aggregate profit of GAS-eleven Ltd., GAS-thirteen Ltd., GAS-eight Ltd. and GAS-fourteen Ltd. for the period prior to their transfers to the Partnership on May 3, 2017, July 3, 2017, October 20, 2017 and April 26, 2018, respectively.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periods prior to such transfers.</w:t>
      </w:r>
    </w:p>
    <w:p>
      <w:pPr>
        <w:spacing w:after="0" w:line="113" w:lineRule="exact"/>
        <w:rPr>
          <w:sz w:val="20"/>
          <w:szCs w:val="20"/>
          <w:color w:val="auto"/>
        </w:rPr>
      </w:pPr>
    </w:p>
    <w:p>
      <w:pPr>
        <w:ind w:left="532" w:right="80" w:hanging="532"/>
        <w:spacing w:after="0" w:line="288" w:lineRule="auto"/>
        <w:tabs>
          <w:tab w:leader="none" w:pos="532" w:val="left"/>
        </w:tabs>
        <w:numPr>
          <w:ilvl w:val="0"/>
          <w:numId w:val="25"/>
        </w:numPr>
        <w:rPr>
          <w:rFonts w:ascii="Arial" w:cs="Arial" w:eastAsia="Arial" w:hAnsi="Arial"/>
          <w:sz w:val="12"/>
          <w:szCs w:val="12"/>
          <w:color w:val="auto"/>
        </w:rPr>
      </w:pPr>
      <w:r>
        <w:rPr>
          <w:rFonts w:ascii="Arial" w:cs="Arial" w:eastAsia="Arial" w:hAnsi="Arial"/>
          <w:sz w:val="12"/>
          <w:szCs w:val="12"/>
          <w:color w:val="auto"/>
        </w:rPr>
        <w:t>On May 16, 2017, all 9,822,358 subordinated units converted into common units on a one-for-one basis. As of June 30, 2017, they participated pro rata with all other outstanding common units in distributions of available cash for the three months ended June 30, 2017. Consequently, earnings have been allocated to subordinated units and the weighted average number of subordinated units has been calculated only for the applicable period during which they were entitled to distributions based on the Partnership Agreement, i.e. for the three months ended March 31, 2017.</w:t>
      </w:r>
    </w:p>
    <w:p>
      <w:pPr>
        <w:spacing w:after="0" w:line="83" w:lineRule="exact"/>
        <w:rPr>
          <w:rFonts w:ascii="Arial" w:cs="Arial" w:eastAsia="Arial" w:hAnsi="Arial"/>
          <w:sz w:val="12"/>
          <w:szCs w:val="12"/>
          <w:color w:val="auto"/>
        </w:rPr>
      </w:pPr>
    </w:p>
    <w:p>
      <w:pPr>
        <w:ind w:left="532" w:hanging="532"/>
        <w:spacing w:after="0" w:line="288" w:lineRule="auto"/>
        <w:tabs>
          <w:tab w:leader="none" w:pos="532"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Based on the nature of such right, earnings attributable to IDRs cannot be allocated on a per unit basis.</w:t>
      </w:r>
    </w:p>
    <w:p>
      <w:pPr>
        <w:spacing w:after="0" w:line="16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15. Share-based Compensation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terms of the 2015 Plan and the assumptions for the valuation of RCUs and PCUs have been disclosed in Note 19 "Share-Based Compensation" in the annual audited consolidated financial statements for the year ended December 31, 2017.</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April 2, 2018, the Partnership granted to its executives 24,608 RCUs and 24,608 PCUs in accordance with its 2015 Plan. The RCUs and PCUs will vest on April 2, 2021. The holders are entitled to cash distributions that will be accrued and settled on vesting.</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Fair value at</w:t>
            </w:r>
          </w:p>
        </w:tc>
      </w:tr>
      <w:tr>
        <w:trPr>
          <w:trHeight w:val="229"/>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Awards</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grant date</w:t>
            </w:r>
          </w:p>
        </w:tc>
      </w:tr>
      <w:tr>
        <w:trPr>
          <w:trHeight w:val="211"/>
        </w:trPr>
        <w:tc>
          <w:tcPr>
            <w:tcW w:w="4220" w:type="dxa"/>
            <w:vAlign w:val="bottom"/>
            <w:shd w:val="clear" w:color="auto" w:fill="E8FFFA"/>
          </w:tcPr>
          <w:p>
            <w:pPr>
              <w:spacing w:after="0"/>
              <w:rPr>
                <w:sz w:val="20"/>
                <w:szCs w:val="20"/>
                <w:color w:val="auto"/>
              </w:rPr>
            </w:pPr>
            <w:r>
              <w:rPr>
                <w:rFonts w:ascii="Arial" w:cs="Arial" w:eastAsia="Arial" w:hAnsi="Arial"/>
                <w:sz w:val="18"/>
                <w:szCs w:val="18"/>
                <w:color w:val="auto"/>
              </w:rPr>
              <w:t>RCUs</w:t>
            </w:r>
          </w:p>
        </w:tc>
        <w:tc>
          <w:tcPr>
            <w:tcW w:w="160" w:type="dxa"/>
            <w:vAlign w:val="bottom"/>
            <w:shd w:val="clear" w:color="auto" w:fill="E8FFFA"/>
          </w:tcPr>
          <w:p>
            <w:pPr>
              <w:spacing w:after="0"/>
              <w:rPr>
                <w:sz w:val="18"/>
                <w:szCs w:val="18"/>
                <w:color w:val="auto"/>
              </w:rPr>
            </w:pPr>
          </w:p>
        </w:tc>
        <w:tc>
          <w:tcPr>
            <w:tcW w:w="110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7"/>
              </w:rPr>
              <w:t>24,608</w:t>
            </w:r>
          </w:p>
        </w:tc>
        <w:tc>
          <w:tcPr>
            <w:tcW w:w="160" w:type="dxa"/>
            <w:vAlign w:val="bottom"/>
            <w:shd w:val="clear" w:color="auto" w:fill="E8FFFA"/>
          </w:tcPr>
          <w:p>
            <w:pPr>
              <w:spacing w:after="0"/>
              <w:rPr>
                <w:sz w:val="18"/>
                <w:szCs w:val="18"/>
                <w:color w:val="auto"/>
              </w:rPr>
            </w:pPr>
          </w:p>
        </w:tc>
        <w:tc>
          <w:tcPr>
            <w:tcW w:w="10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92"/>
              </w:rPr>
              <w:t>April 2, 2018</w:t>
            </w:r>
          </w:p>
        </w:tc>
        <w:tc>
          <w:tcPr>
            <w:tcW w:w="180" w:type="dxa"/>
            <w:vAlign w:val="bottom"/>
            <w:shd w:val="clear" w:color="auto" w:fill="E8FFFA"/>
          </w:tcPr>
          <w:p>
            <w:pPr>
              <w:spacing w:after="0"/>
              <w:rPr>
                <w:sz w:val="18"/>
                <w:szCs w:val="18"/>
                <w:color w:val="auto"/>
              </w:rPr>
            </w:pPr>
          </w:p>
        </w:tc>
        <w:tc>
          <w:tcPr>
            <w:tcW w:w="1080" w:type="dxa"/>
            <w:vAlign w:val="bottom"/>
            <w:shd w:val="clear" w:color="auto" w:fill="E8FFFA"/>
          </w:tcPr>
          <w:p>
            <w:pPr>
              <w:jc w:val="center"/>
              <w:spacing w:after="0"/>
              <w:rPr>
                <w:sz w:val="20"/>
                <w:szCs w:val="20"/>
                <w:color w:val="auto"/>
              </w:rPr>
            </w:pPr>
            <w:r>
              <w:rPr>
                <w:rFonts w:ascii="Arial" w:cs="Arial" w:eastAsia="Arial" w:hAnsi="Arial"/>
                <w:sz w:val="18"/>
                <w:szCs w:val="18"/>
                <w:color w:val="auto"/>
                <w:w w:val="87"/>
              </w:rPr>
              <w:t>$23.40</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PCUs</w:t>
            </w:r>
          </w:p>
        </w:tc>
        <w:tc>
          <w:tcPr>
            <w:tcW w:w="12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24,608</w:t>
            </w:r>
          </w:p>
        </w:tc>
        <w:tc>
          <w:tcPr>
            <w:tcW w:w="1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April 2, 2018</w:t>
            </w:r>
          </w:p>
        </w:tc>
        <w:tc>
          <w:tcPr>
            <w:tcW w:w="12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$23.40</w:t>
            </w:r>
          </w:p>
        </w:tc>
      </w:tr>
    </w:tbl>
    <w:p>
      <w:pPr>
        <w:spacing w:after="0" w:line="20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the RCUs and PCUs in accordance with the Plan was determined by using the grant date closing price of $23.40 per common unit and was not further adjusted since the holders are entitled to cash distributions.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The summary of RCUs and PCUs is presented below:</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Number of</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average</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awards</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contractual life</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44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RCUs</w:t>
            </w:r>
          </w:p>
        </w:tc>
        <w:tc>
          <w:tcPr>
            <w:tcW w:w="960" w:type="dxa"/>
            <w:vAlign w:val="bottom"/>
            <w:tcBorders>
              <w:top w:val="single" w:sz="8" w:color="auto"/>
            </w:tcBorders>
            <w:shd w:val="clear" w:color="auto" w:fill="E8FFFA"/>
          </w:tcPr>
          <w:p>
            <w:pPr>
              <w:spacing w:after="0"/>
              <w:rPr>
                <w:sz w:val="18"/>
                <w:szCs w:val="18"/>
                <w:color w:val="auto"/>
              </w:rPr>
            </w:pPr>
          </w:p>
        </w:tc>
        <w:tc>
          <w:tcPr>
            <w:tcW w:w="20" w:type="dxa"/>
            <w:vAlign w:val="bottom"/>
            <w:shd w:val="clear" w:color="auto" w:fill="E8FFFA"/>
          </w:tcPr>
          <w:p>
            <w:pPr>
              <w:spacing w:after="0"/>
              <w:rPr>
                <w:sz w:val="18"/>
                <w:szCs w:val="18"/>
                <w:color w:val="auto"/>
              </w:rPr>
            </w:pPr>
          </w:p>
        </w:tc>
        <w:tc>
          <w:tcPr>
            <w:tcW w:w="14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spacing w:after="0"/>
              <w:rPr>
                <w:sz w:val="18"/>
                <w:szCs w:val="18"/>
                <w:color w:val="auto"/>
              </w:rPr>
            </w:pP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67,475</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shd w:val="clear" w:color="auto" w:fill="E8FFFA"/>
          </w:tcPr>
          <w:p>
            <w:pPr>
              <w:spacing w:after="0"/>
              <w:rPr>
                <w:sz w:val="20"/>
                <w:szCs w:val="20"/>
                <w:color w:val="auto"/>
              </w:rPr>
            </w:pPr>
            <w:r>
              <w:rPr>
                <w:rFonts w:ascii="Arial" w:cs="Arial" w:eastAsia="Arial" w:hAnsi="Arial"/>
                <w:sz w:val="18"/>
                <w:szCs w:val="18"/>
                <w:color w:val="auto"/>
              </w:rPr>
              <w:t>Granted during the period</w:t>
            </w:r>
          </w:p>
        </w:tc>
        <w:tc>
          <w:tcPr>
            <w:tcW w:w="98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color w:val="auto"/>
              </w:rPr>
              <w:t>24,608</w:t>
            </w:r>
          </w:p>
        </w:tc>
        <w:tc>
          <w:tcPr>
            <w:tcW w:w="140" w:type="dxa"/>
            <w:vAlign w:val="bottom"/>
            <w:shd w:val="clear" w:color="auto" w:fill="E8FFFA"/>
          </w:tcPr>
          <w:p>
            <w:pPr>
              <w:spacing w:after="0"/>
              <w:rPr>
                <w:sz w:val="18"/>
                <w:szCs w:val="18"/>
                <w:color w:val="auto"/>
              </w:rPr>
            </w:pPr>
          </w:p>
        </w:tc>
        <w:tc>
          <w:tcPr>
            <w:tcW w:w="13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Vested during the period</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(16,999)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4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Outstanding as of June 30, 2018</w:t>
            </w:r>
          </w:p>
        </w:tc>
        <w:tc>
          <w:tcPr>
            <w:tcW w:w="980" w:type="dxa"/>
            <w:vAlign w:val="bottom"/>
            <w:tcBorders>
              <w:top w:val="single" w:sz="8" w:color="auto"/>
            </w:tcBorders>
            <w:gridSpan w:val="2"/>
            <w:shd w:val="clear" w:color="auto" w:fill="E8FFFA"/>
          </w:tcPr>
          <w:p>
            <w:pPr>
              <w:jc w:val="right"/>
              <w:ind w:right="20"/>
              <w:spacing w:after="0"/>
              <w:rPr>
                <w:sz w:val="20"/>
                <w:szCs w:val="20"/>
                <w:color w:val="auto"/>
              </w:rPr>
            </w:pPr>
            <w:r>
              <w:rPr>
                <w:rFonts w:ascii="Arial" w:cs="Arial" w:eastAsia="Arial" w:hAnsi="Arial"/>
                <w:sz w:val="18"/>
                <w:szCs w:val="18"/>
                <w:b w:val="1"/>
                <w:bCs w:val="1"/>
                <w:color w:val="auto"/>
              </w:rPr>
              <w:t>75,084</w:t>
            </w:r>
          </w:p>
        </w:tc>
        <w:tc>
          <w:tcPr>
            <w:tcW w:w="14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1.75</w:t>
            </w:r>
          </w:p>
        </w:tc>
        <w:tc>
          <w:tcPr>
            <w:tcW w:w="160" w:type="dxa"/>
            <w:vAlign w:val="bottom"/>
            <w:shd w:val="clear" w:color="auto" w:fill="E8FFFA"/>
          </w:tcPr>
          <w:p>
            <w:pPr>
              <w:spacing w:after="0"/>
              <w:rPr>
                <w:sz w:val="18"/>
                <w:szCs w:val="18"/>
                <w:color w:val="auto"/>
              </w:rPr>
            </w:pPr>
          </w:p>
        </w:tc>
        <w:tc>
          <w:tcPr>
            <w:tcW w:w="9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PCUs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40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980" w:type="dxa"/>
            <w:vAlign w:val="bottom"/>
            <w:gridSpan w:val="2"/>
            <w:shd w:val="clear" w:color="auto" w:fill="E8FFFA"/>
          </w:tcPr>
          <w:p>
            <w:pPr>
              <w:jc w:val="right"/>
              <w:ind w:right="20"/>
              <w:spacing w:after="0"/>
              <w:rPr>
                <w:sz w:val="20"/>
                <w:szCs w:val="20"/>
                <w:color w:val="auto"/>
              </w:rPr>
            </w:pPr>
            <w:r>
              <w:rPr>
                <w:rFonts w:ascii="Arial" w:cs="Arial" w:eastAsia="Arial" w:hAnsi="Arial"/>
                <w:sz w:val="18"/>
                <w:szCs w:val="18"/>
                <w:b w:val="1"/>
                <w:bCs w:val="1"/>
                <w:color w:val="auto"/>
              </w:rPr>
              <w:t>67,475</w:t>
            </w:r>
          </w:p>
        </w:tc>
        <w:tc>
          <w:tcPr>
            <w:tcW w:w="140" w:type="dxa"/>
            <w:vAlign w:val="bottom"/>
            <w:shd w:val="clear" w:color="auto" w:fill="E8FFFA"/>
          </w:tcPr>
          <w:p>
            <w:pPr>
              <w:spacing w:after="0"/>
              <w:rPr>
                <w:sz w:val="18"/>
                <w:szCs w:val="18"/>
                <w:color w:val="auto"/>
              </w:rPr>
            </w:pPr>
          </w:p>
        </w:tc>
        <w:tc>
          <w:tcPr>
            <w:tcW w:w="13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b w:val="1"/>
                <w:bCs w:val="1"/>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24,608</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shd w:val="clear" w:color="auto" w:fill="E8FFFA"/>
          </w:tcPr>
          <w:p>
            <w:pPr>
              <w:spacing w:after="0"/>
              <w:rPr>
                <w:sz w:val="20"/>
                <w:szCs w:val="20"/>
                <w:color w:val="auto"/>
              </w:rPr>
            </w:pPr>
            <w:r>
              <w:rPr>
                <w:rFonts w:ascii="Arial" w:cs="Arial" w:eastAsia="Arial" w:hAnsi="Arial"/>
                <w:sz w:val="18"/>
                <w:szCs w:val="18"/>
                <w:color w:val="auto"/>
              </w:rPr>
              <w:t>Vested during the period</w:t>
            </w:r>
          </w:p>
        </w:tc>
        <w:tc>
          <w:tcPr>
            <w:tcW w:w="1120" w:type="dxa"/>
            <w:vAlign w:val="bottom"/>
            <w:gridSpan w:val="3"/>
            <w:shd w:val="clear" w:color="auto" w:fill="E8FFFA"/>
          </w:tcPr>
          <w:p>
            <w:pPr>
              <w:jc w:val="right"/>
              <w:ind w:right="100"/>
              <w:spacing w:after="0"/>
              <w:rPr>
                <w:sz w:val="20"/>
                <w:szCs w:val="20"/>
                <w:color w:val="auto"/>
              </w:rPr>
            </w:pPr>
            <w:r>
              <w:rPr>
                <w:rFonts w:ascii="Arial" w:cs="Arial" w:eastAsia="Arial" w:hAnsi="Arial"/>
                <w:sz w:val="18"/>
                <w:szCs w:val="18"/>
                <w:color w:val="auto"/>
              </w:rPr>
              <w:t>(16,999)</w:t>
            </w:r>
          </w:p>
        </w:tc>
        <w:tc>
          <w:tcPr>
            <w:tcW w:w="1340" w:type="dxa"/>
            <w:vAlign w:val="bottom"/>
            <w:gridSpan w:val="2"/>
            <w:shd w:val="clear" w:color="auto" w:fill="E8FFFA"/>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Outstanding as of June 30,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April 3, 2018, 16,999 RCUs and 16,999 PCUs vested under the Partnership's 2015 Plan. The total expense recognized in respect of equity-settled employee benefits for the three and six months ended June 30, 2018 was $263 and $498, respectively (for the three and six months ended June 30, 2017: $236 and $371, respectively). The total accrued cash distribution as of June 30, 2018 is $381 (December 31, 2017: $428).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Future gross minimum lease payments receivable in relation to non-cancellable time charter agreements for vessels in operation as of June 30, 2018 are as follows (30 off-hire days are assumed when each vessel will undergo</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4" w:name="page55"/>
    <w:bookmarkEnd w:id="54"/>
    <w:p>
      <w:pPr>
        <w:ind w:right="240"/>
        <w:spacing w:after="0" w:line="268" w:lineRule="auto"/>
        <w:rPr>
          <w:sz w:val="20"/>
          <w:szCs w:val="20"/>
          <w:color w:val="auto"/>
        </w:rPr>
      </w:pPr>
      <w:r>
        <w:rPr>
          <w:rFonts w:ascii="Arial" w:cs="Arial" w:eastAsia="Arial" w:hAnsi="Arial"/>
          <w:sz w:val="18"/>
          <w:szCs w:val="18"/>
          <w:color w:val="auto"/>
        </w:rPr>
        <w:t>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June 30, 2018</w:t>
            </w:r>
          </w:p>
        </w:tc>
      </w:tr>
      <w:tr>
        <w:trPr>
          <w:trHeight w:val="210"/>
        </w:trPr>
        <w:tc>
          <w:tcPr>
            <w:tcW w:w="20" w:type="dxa"/>
            <w:vAlign w:val="bottom"/>
          </w:tcPr>
          <w:p>
            <w:pPr>
              <w:spacing w:after="0"/>
              <w:rPr>
                <w:sz w:val="18"/>
                <w:szCs w:val="18"/>
                <w:color w:val="auto"/>
              </w:rPr>
            </w:pPr>
          </w:p>
        </w:tc>
        <w:tc>
          <w:tcPr>
            <w:tcW w:w="778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232,559</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80" w:type="dxa"/>
            <w:vAlign w:val="bottom"/>
          </w:tcPr>
          <w:p>
            <w:pPr>
              <w:jc w:val="right"/>
              <w:spacing w:after="0"/>
              <w:rPr>
                <w:sz w:val="20"/>
                <w:szCs w:val="20"/>
                <w:color w:val="auto"/>
              </w:rPr>
            </w:pPr>
            <w:r>
              <w:rPr>
                <w:rFonts w:ascii="Arial" w:cs="Arial" w:eastAsia="Arial" w:hAnsi="Arial"/>
                <w:sz w:val="18"/>
                <w:szCs w:val="18"/>
                <w:color w:val="auto"/>
              </w:rPr>
              <w:t>335,061</w:t>
            </w:r>
          </w:p>
        </w:tc>
      </w:tr>
      <w:tr>
        <w:trPr>
          <w:trHeight w:val="216"/>
        </w:trPr>
        <w:tc>
          <w:tcPr>
            <w:tcW w:w="20" w:type="dxa"/>
            <w:vAlign w:val="bottom"/>
          </w:tcPr>
          <w:p>
            <w:pPr>
              <w:spacing w:after="0"/>
              <w:rPr>
                <w:sz w:val="18"/>
                <w:szCs w:val="18"/>
                <w:color w:val="auto"/>
              </w:rPr>
            </w:pPr>
          </w:p>
        </w:tc>
        <w:tc>
          <w:tcPr>
            <w:tcW w:w="7780" w:type="dxa"/>
            <w:vAlign w:val="bottom"/>
            <w:shd w:val="clear" w:color="auto" w:fill="E8FFFA"/>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146,959</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More than five years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80,234</w:t>
            </w:r>
          </w:p>
        </w:tc>
      </w:tr>
      <w:tr>
        <w:trPr>
          <w:trHeight w:val="210"/>
        </w:trPr>
        <w:tc>
          <w:tcPr>
            <w:tcW w:w="20" w:type="dxa"/>
            <w:vAlign w:val="bottom"/>
          </w:tcPr>
          <w:p>
            <w:pPr>
              <w:spacing w:after="0"/>
              <w:rPr>
                <w:sz w:val="18"/>
                <w:szCs w:val="18"/>
                <w:color w:val="auto"/>
              </w:rPr>
            </w:pPr>
          </w:p>
        </w:tc>
        <w:tc>
          <w:tcPr>
            <w:tcW w:w="778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794,813</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April and May 2017, GasLog LNG Services entered into agreements in relation to investments in certain of the Partnership and GasLog's vessels, with the aim of enhancing their operational performance. Commitments relating to these agreements for the Partnership are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June 30, 2018</w:t>
            </w:r>
          </w:p>
        </w:tc>
      </w:tr>
      <w:tr>
        <w:trPr>
          <w:trHeight w:val="210"/>
        </w:trPr>
        <w:tc>
          <w:tcPr>
            <w:tcW w:w="20" w:type="dxa"/>
            <w:vAlign w:val="bottom"/>
          </w:tcPr>
          <w:p>
            <w:pPr>
              <w:spacing w:after="0"/>
              <w:rPr>
                <w:sz w:val="18"/>
                <w:szCs w:val="18"/>
                <w:color w:val="auto"/>
              </w:rPr>
            </w:pPr>
          </w:p>
        </w:tc>
        <w:tc>
          <w:tcPr>
            <w:tcW w:w="7780" w:type="dxa"/>
            <w:vAlign w:val="bottom"/>
            <w:shd w:val="clear" w:color="auto" w:fill="E8FFFA"/>
          </w:tcPr>
          <w:p>
            <w:pPr>
              <w:spacing w:after="0"/>
              <w:rPr>
                <w:sz w:val="20"/>
                <w:szCs w:val="20"/>
                <w:color w:val="auto"/>
              </w:rPr>
            </w:pPr>
            <w:r>
              <w:rPr>
                <w:rFonts w:ascii="Arial" w:cs="Arial" w:eastAsia="Arial" w:hAnsi="Arial"/>
                <w:sz w:val="18"/>
                <w:szCs w:val="18"/>
                <w:color w:val="auto"/>
              </w:rPr>
              <w:t>Not later than one year</w:t>
            </w:r>
          </w:p>
        </w:tc>
        <w:tc>
          <w:tcPr>
            <w:tcW w:w="11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3,114</w:t>
            </w: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3,114</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and (ii) GAS-nineteen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GAS-twenty Ltd. and GAS-twenty one Ltd., respectively, is counter guarantor for the acquisition from BG Group plc of 83.33% of depot spares with an aggregate value of $6,000, of which $660 have been purchased and paid as of June 30, 2018 by GasLog. These spares are expected to be acquired before the end of the initial term of the charter party agreements.</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Additionally, in September 2017, GasLog LNG Services entered into maintenance agreements with Wartsila Greece S.A. in respect of two of the Partnership's LNG carriers. The agreements ensure dynamic maintenance planning, technical support, security of spare parts supply, specialist technical personnel and performance monitoring.</w:t>
      </w:r>
    </w:p>
    <w:p>
      <w:pPr>
        <w:spacing w:after="0" w:line="194"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July 25, 2018, the board of directors of GasLog Partners approved and declared a quarterly cash distribution of $0.53 per common unit for the quarter ended June 30, 2018. The cash distribution is payable on August 10, 2018, to all unitholders of record as of August 6, 2018. The aggregate amount of the declared distribution will be $24,272 based on the number of units issued and outstanding as of June 30, 2018.</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July 25, 2018, the board of directors of GasLog Partners approved and declared a distribution on the Series A Preference Units of $0.5390625 per preference unit and a distribution on the Series B Preference Units of $0.5125 per preference unit. The cash distributions are payable on September 17, 2018 to all unitholders of record as of September 10, 2018.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Non-GAAP Partnership Performance Information and Reconciliation Tables</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Our IFRS Common Control Reported Results are derived from the consolidated financial statements of the Partnership. The non-GAAP Partnership Performance Results presented below exclude amounts related to GAS-eleven Ltd., the owner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GAS-thirteen Ltd., the owner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GAS-eight Ltd., the owner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for the periods prior to their transfers to the Partnership on May 3, 2017, July 3, 2017, October 20, 2017 and April 26, 2018,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on May 3, 2017, July 3, 2017, October 20, 2017 and April 26, 2018, respectively,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89"/>
              </w:rPr>
              <w:t>Partnership Performance Results</w:t>
            </w: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98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rPr>
              <w:t>(All amounts expressed in thousands of</w:t>
            </w:r>
          </w:p>
        </w:tc>
        <w:tc>
          <w:tcPr>
            <w:tcW w:w="26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3760" w:type="dxa"/>
            <w:vAlign w:val="bottom"/>
            <w:gridSpan w:val="4"/>
          </w:tcPr>
          <w:p>
            <w:pPr>
              <w:ind w:left="3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U.S. dollars)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June 30, 2017</w:t>
            </w:r>
          </w:p>
        </w:tc>
        <w:tc>
          <w:tcPr>
            <w:tcW w:w="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June 30, 2018</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June 30, 2017</w:t>
            </w:r>
          </w:p>
        </w:tc>
        <w:tc>
          <w:tcPr>
            <w:tcW w:w="24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62,582</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74,909</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119,575</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151,970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pool allocation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(357)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280" w:type="dxa"/>
            <w:vAlign w:val="bottom"/>
            <w:gridSpan w:val="2"/>
            <w:shd w:val="clear" w:color="auto" w:fill="E8FFFA"/>
          </w:tcPr>
          <w:p>
            <w:pPr>
              <w:jc w:val="right"/>
              <w:ind w:right="60"/>
              <w:spacing w:after="0"/>
              <w:rPr>
                <w:sz w:val="20"/>
                <w:szCs w:val="20"/>
                <w:color w:val="auto"/>
              </w:rPr>
            </w:pPr>
            <w:r>
              <w:rPr>
                <w:rFonts w:ascii="Arial" w:cs="Arial" w:eastAsia="Arial" w:hAnsi="Arial"/>
                <w:sz w:val="18"/>
                <w:szCs w:val="18"/>
                <w:color w:val="auto"/>
              </w:rPr>
              <w:t>(786)</w:t>
            </w:r>
          </w:p>
        </w:tc>
        <w:tc>
          <w:tcPr>
            <w:tcW w:w="14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(1,511)</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(1,501)</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(2,566)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(13,309)</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(15,110)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(24,477)</w:t>
            </w:r>
          </w:p>
        </w:tc>
        <w:tc>
          <w:tcPr>
            <w:tcW w:w="1180" w:type="dxa"/>
            <w:vAlign w:val="bottom"/>
          </w:tcPr>
          <w:p>
            <w:pPr>
              <w:jc w:val="right"/>
              <w:spacing w:after="0"/>
              <w:rPr>
                <w:sz w:val="20"/>
                <w:szCs w:val="20"/>
                <w:color w:val="auto"/>
              </w:rPr>
            </w:pPr>
            <w:r>
              <w:rPr>
                <w:rFonts w:ascii="Arial" w:cs="Arial" w:eastAsia="Arial" w:hAnsi="Arial"/>
                <w:sz w:val="18"/>
                <w:szCs w:val="18"/>
                <w:color w:val="auto"/>
              </w:rPr>
              <w:t>(30,701)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280" w:type="dxa"/>
            <w:vAlign w:val="bottom"/>
            <w:gridSpan w:val="2"/>
            <w:shd w:val="clear" w:color="auto" w:fill="E8FFFA"/>
          </w:tcPr>
          <w:p>
            <w:pPr>
              <w:jc w:val="right"/>
              <w:ind w:right="60"/>
              <w:spacing w:after="0"/>
              <w:rPr>
                <w:sz w:val="20"/>
                <w:szCs w:val="20"/>
                <w:color w:val="auto"/>
              </w:rPr>
            </w:pPr>
            <w:r>
              <w:rPr>
                <w:rFonts w:ascii="Arial" w:cs="Arial" w:eastAsia="Arial" w:hAnsi="Arial"/>
                <w:sz w:val="18"/>
                <w:szCs w:val="18"/>
                <w:color w:val="auto"/>
              </w:rPr>
              <w:t>(13,466)</w:t>
            </w:r>
          </w:p>
        </w:tc>
        <w:tc>
          <w:tcPr>
            <w:tcW w:w="1400" w:type="dxa"/>
            <w:vAlign w:val="bottom"/>
            <w:gridSpan w:val="3"/>
            <w:shd w:val="clear" w:color="auto" w:fill="E8FFFA"/>
          </w:tcPr>
          <w:p>
            <w:pPr>
              <w:jc w:val="right"/>
              <w:ind w:right="120"/>
              <w:spacing w:after="0"/>
              <w:rPr>
                <w:sz w:val="20"/>
                <w:szCs w:val="20"/>
                <w:color w:val="auto"/>
              </w:rPr>
            </w:pPr>
            <w:r>
              <w:rPr>
                <w:rFonts w:ascii="Arial" w:cs="Arial" w:eastAsia="Arial" w:hAnsi="Arial"/>
                <w:sz w:val="18"/>
                <w:szCs w:val="18"/>
                <w:color w:val="auto"/>
              </w:rPr>
              <w:t>(17,974)</w:t>
            </w:r>
          </w:p>
        </w:tc>
        <w:tc>
          <w:tcPr>
            <w:tcW w:w="1320" w:type="dxa"/>
            <w:vAlign w:val="bottom"/>
            <w:gridSpan w:val="2"/>
            <w:shd w:val="clear" w:color="auto" w:fill="E8FFFA"/>
          </w:tcPr>
          <w:p>
            <w:pPr>
              <w:jc w:val="right"/>
              <w:ind w:right="100"/>
              <w:spacing w:after="0"/>
              <w:rPr>
                <w:sz w:val="20"/>
                <w:szCs w:val="20"/>
                <w:color w:val="auto"/>
              </w:rPr>
            </w:pPr>
            <w:r>
              <w:rPr>
                <w:rFonts w:ascii="Arial" w:cs="Arial" w:eastAsia="Arial" w:hAnsi="Arial"/>
                <w:sz w:val="18"/>
                <w:szCs w:val="18"/>
                <w:color w:val="auto"/>
              </w:rPr>
              <w:t>(25,828)</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(34,760)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(3,267)</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(4,671)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(6,351)</w:t>
            </w:r>
          </w:p>
        </w:tc>
        <w:tc>
          <w:tcPr>
            <w:tcW w:w="1180" w:type="dxa"/>
            <w:vAlign w:val="bottom"/>
          </w:tcPr>
          <w:p>
            <w:pPr>
              <w:jc w:val="right"/>
              <w:spacing w:after="0"/>
              <w:rPr>
                <w:sz w:val="20"/>
                <w:szCs w:val="20"/>
                <w:color w:val="auto"/>
              </w:rPr>
            </w:pPr>
            <w:r>
              <w:rPr>
                <w:rFonts w:ascii="Arial" w:cs="Arial" w:eastAsia="Arial" w:hAnsi="Arial"/>
                <w:sz w:val="18"/>
                <w:szCs w:val="18"/>
                <w:color w:val="auto"/>
              </w:rPr>
              <w:t>(9,256)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31,754</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35,286</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61,418</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74,330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1180" w:type="dxa"/>
            <w:vAlign w:val="bottom"/>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(14,552)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E8FFFA"/>
          </w:tcPr>
          <w:p>
            <w:pPr>
              <w:spacing w:after="0"/>
              <w:rPr>
                <w:sz w:val="18"/>
                <w:szCs w:val="18"/>
                <w:color w:val="auto"/>
              </w:rPr>
            </w:pPr>
          </w:p>
        </w:tc>
        <w:tc>
          <w:tcPr>
            <w:tcW w:w="1220" w:type="dxa"/>
            <w:vAlign w:val="bottom"/>
            <w:gridSpan w:val="2"/>
            <w:shd w:val="clear" w:color="auto" w:fill="E8FFFA"/>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E8FFFA"/>
          </w:tcPr>
          <w:p>
            <w:pPr>
              <w:spacing w:after="0"/>
              <w:rPr>
                <w:sz w:val="18"/>
                <w:szCs w:val="18"/>
                <w:color w:val="auto"/>
              </w:rPr>
            </w:pPr>
          </w:p>
        </w:tc>
        <w:tc>
          <w:tcPr>
            <w:tcW w:w="116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E8FFFA"/>
          </w:tcPr>
          <w:p>
            <w:pPr>
              <w:spacing w:after="0"/>
              <w:rPr>
                <w:sz w:val="18"/>
                <w:szCs w:val="18"/>
                <w:color w:val="auto"/>
              </w:rPr>
            </w:pPr>
          </w:p>
        </w:tc>
        <w:tc>
          <w:tcPr>
            <w:tcW w:w="11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1,098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1180" w:type="dxa"/>
            <w:vAlign w:val="bottom"/>
          </w:tcPr>
          <w:p>
            <w:pPr>
              <w:jc w:val="right"/>
              <w:spacing w:after="0"/>
              <w:rPr>
                <w:sz w:val="20"/>
                <w:szCs w:val="20"/>
                <w:color w:val="auto"/>
              </w:rPr>
            </w:pPr>
            <w:r>
              <w:rPr>
                <w:rFonts w:ascii="Arial" w:cs="Arial" w:eastAsia="Arial" w:hAnsi="Arial"/>
                <w:sz w:val="18"/>
                <w:szCs w:val="18"/>
                <w:color w:val="auto"/>
              </w:rPr>
              <w:t>7,915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other expenses, net</w:t>
            </w: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(12,396)</w:t>
            </w:r>
          </w:p>
        </w:tc>
        <w:tc>
          <w:tcPr>
            <w:tcW w:w="100" w:type="dxa"/>
            <w:vAlign w:val="bottom"/>
            <w:shd w:val="clear" w:color="auto" w:fill="E8FFFA"/>
          </w:tcPr>
          <w:p>
            <w:pPr>
              <w:spacing w:after="0"/>
              <w:rPr>
                <w:sz w:val="18"/>
                <w:szCs w:val="18"/>
                <w:color w:val="auto"/>
              </w:rPr>
            </w:pPr>
          </w:p>
        </w:tc>
        <w:tc>
          <w:tcPr>
            <w:tcW w:w="6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(12,385)</w:t>
            </w:r>
          </w:p>
        </w:tc>
        <w:tc>
          <w:tcPr>
            <w:tcW w:w="180" w:type="dxa"/>
            <w:vAlign w:val="bottom"/>
            <w:shd w:val="clear" w:color="auto" w:fill="E8FFFA"/>
          </w:tcPr>
          <w:p>
            <w:pPr>
              <w:spacing w:after="0"/>
              <w:rPr>
                <w:sz w:val="18"/>
                <w:szCs w:val="18"/>
                <w:color w:val="auto"/>
              </w:rPr>
            </w:pPr>
          </w:p>
        </w:tc>
        <w:tc>
          <w:tcPr>
            <w:tcW w:w="116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(21,038)</w:t>
            </w:r>
          </w:p>
        </w:tc>
        <w:tc>
          <w:tcPr>
            <w:tcW w:w="160" w:type="dxa"/>
            <w:vAlign w:val="bottom"/>
            <w:shd w:val="clear" w:color="auto" w:fill="E8FFFA"/>
          </w:tcPr>
          <w:p>
            <w:pPr>
              <w:spacing w:after="0"/>
              <w:rPr>
                <w:sz w:val="18"/>
                <w:szCs w:val="18"/>
                <w:color w:val="auto"/>
              </w:rPr>
            </w:pPr>
          </w:p>
        </w:tc>
        <w:tc>
          <w:tcPr>
            <w:tcW w:w="11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(19,427)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Partnership's profit for the period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22,901</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40,380</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54,903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A-1</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5"/>
          <w:szCs w:val="15"/>
          <w:b w:val="1"/>
          <w:bCs w:val="1"/>
          <w:color w:val="auto"/>
        </w:rPr>
        <w:t>Reconciliation of IFRS Common Control Reported Results in our Financial Statements to Partnership Performance Results:</w:t>
      </w:r>
    </w:p>
    <w:p>
      <w:pPr>
        <w:sectPr>
          <w:pgSz w:w="11900" w:h="16838" w:orient="portrait"/>
          <w:cols w:equalWidth="0" w:num="1">
            <w:col w:w="11420"/>
          </w:cols>
          <w:pgMar w:left="240" w:top="341" w:right="239" w:bottom="1440" w:gutter="0" w:footer="0" w:header="0"/>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rPr>
              <w:t>(All amounts expressed in thousands of</w:t>
            </w:r>
          </w:p>
        </w:tc>
        <w:tc>
          <w:tcPr>
            <w:tcW w:w="6140" w:type="dxa"/>
            <w:vAlign w:val="bottom"/>
            <w:gridSpan w:val="6"/>
          </w:tcPr>
          <w:p>
            <w:pPr>
              <w:ind w:left="860"/>
              <w:spacing w:after="0"/>
              <w:rPr>
                <w:sz w:val="20"/>
                <w:szCs w:val="20"/>
                <w:color w:val="auto"/>
              </w:rPr>
            </w:pPr>
            <w:r>
              <w:rPr>
                <w:rFonts w:ascii="Arial" w:cs="Arial" w:eastAsia="Arial" w:hAnsi="Arial"/>
                <w:sz w:val="18"/>
                <w:szCs w:val="18"/>
                <w:b w:val="1"/>
                <w:bCs w:val="1"/>
                <w:color w:val="auto"/>
              </w:rPr>
              <w:t>For the three months ended June 30, 2017</w:t>
            </w: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U.S. dollars)</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Results attributable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Partnership</w:t>
            </w:r>
          </w:p>
        </w:tc>
        <w:tc>
          <w:tcPr>
            <w:tcW w:w="26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9"/>
              </w:rPr>
              <w:t>Control Reported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GasLog</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Performance Results</w:t>
            </w: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2"/>
              </w:rPr>
              <w:t>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22,823</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62,582</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85,405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1380" w:type="dxa"/>
            <w:vAlign w:val="bottom"/>
          </w:tcPr>
          <w:p>
            <w:pPr>
              <w:jc w:val="right"/>
              <w:spacing w:after="0"/>
              <w:rPr>
                <w:sz w:val="20"/>
                <w:szCs w:val="20"/>
                <w:color w:val="auto"/>
              </w:rPr>
            </w:pPr>
            <w:r>
              <w:rPr>
                <w:rFonts w:ascii="Arial" w:cs="Arial" w:eastAsia="Arial" w:hAnsi="Arial"/>
                <w:sz w:val="18"/>
                <w:szCs w:val="18"/>
                <w:color w:val="auto"/>
              </w:rPr>
              <w:t>(1,070)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Vessel operating costs</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(2,923)</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(13,309)</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(16,232)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(4,864)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(13,466)</w:t>
            </w:r>
          </w:p>
        </w:tc>
        <w:tc>
          <w:tcPr>
            <w:tcW w:w="1380" w:type="dxa"/>
            <w:vAlign w:val="bottom"/>
          </w:tcPr>
          <w:p>
            <w:pPr>
              <w:jc w:val="right"/>
              <w:spacing w:after="0"/>
              <w:rPr>
                <w:sz w:val="20"/>
                <w:szCs w:val="20"/>
                <w:color w:val="auto"/>
              </w:rPr>
            </w:pPr>
            <w:r>
              <w:rPr>
                <w:rFonts w:ascii="Arial" w:cs="Arial" w:eastAsia="Arial" w:hAnsi="Arial"/>
                <w:sz w:val="18"/>
                <w:szCs w:val="18"/>
                <w:color w:val="auto"/>
              </w:rPr>
              <w:t>(18,330)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(321)</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(3,267)</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(3,588)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14,431</w:t>
            </w:r>
          </w:p>
        </w:tc>
        <w:tc>
          <w:tcPr>
            <w:tcW w:w="1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(4,604)</w:t>
            </w:r>
          </w:p>
        </w:tc>
        <w:tc>
          <w:tcPr>
            <w:tcW w:w="18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(10,288)</w:t>
            </w:r>
          </w:p>
        </w:tc>
        <w:tc>
          <w:tcPr>
            <w:tcW w:w="160" w:type="dxa"/>
            <w:vAlign w:val="bottom"/>
            <w:shd w:val="clear" w:color="auto" w:fill="E8FFFA"/>
          </w:tcPr>
          <w:p>
            <w:pPr>
              <w:spacing w:after="0"/>
              <w:rPr>
                <w:sz w:val="18"/>
                <w:szCs w:val="18"/>
                <w:color w:val="auto"/>
              </w:rPr>
            </w:pP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(14,892)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income</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Loss on derivatives</w:t>
            </w:r>
          </w:p>
        </w:tc>
        <w:tc>
          <w:tcPr>
            <w:tcW w:w="17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(2,336)</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(4,589)</w:t>
            </w:r>
          </w:p>
        </w:tc>
        <w:tc>
          <w:tcPr>
            <w:tcW w:w="1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9,842</w:t>
            </w:r>
          </w:p>
        </w:tc>
        <w:tc>
          <w:tcPr>
            <w:tcW w:w="180" w:type="dxa"/>
            <w:vAlign w:val="bottom"/>
            <w:shd w:val="clear" w:color="auto" w:fill="E8FFFA"/>
          </w:tcPr>
          <w:p>
            <w:pPr>
              <w:spacing w:after="0"/>
              <w:rPr>
                <w:sz w:val="18"/>
                <w:szCs w:val="18"/>
                <w:color w:val="auto"/>
              </w:rPr>
            </w:pP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19,358</w:t>
            </w:r>
          </w:p>
        </w:tc>
        <w:tc>
          <w:tcPr>
            <w:tcW w:w="160" w:type="dxa"/>
            <w:vAlign w:val="bottom"/>
            <w:shd w:val="clear" w:color="auto" w:fill="E8FFFA"/>
          </w:tcPr>
          <w:p>
            <w:pPr>
              <w:spacing w:after="0"/>
              <w:rPr>
                <w:sz w:val="18"/>
                <w:szCs w:val="18"/>
                <w:color w:val="auto"/>
              </w:rPr>
            </w:pPr>
          </w:p>
        </w:tc>
        <w:tc>
          <w:tcPr>
            <w:tcW w:w="13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29,200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rPr>
              <w:t>(All amounts expressed in thousands of</w:t>
            </w:r>
          </w:p>
        </w:tc>
        <w:tc>
          <w:tcPr>
            <w:tcW w:w="6140" w:type="dxa"/>
            <w:vAlign w:val="bottom"/>
            <w:gridSpan w:val="6"/>
          </w:tcPr>
          <w:p>
            <w:pPr>
              <w:ind w:left="860"/>
              <w:spacing w:after="0"/>
              <w:rPr>
                <w:sz w:val="20"/>
                <w:szCs w:val="20"/>
                <w:color w:val="auto"/>
              </w:rPr>
            </w:pPr>
            <w:r>
              <w:rPr>
                <w:rFonts w:ascii="Arial" w:cs="Arial" w:eastAsia="Arial" w:hAnsi="Arial"/>
                <w:sz w:val="18"/>
                <w:szCs w:val="18"/>
                <w:b w:val="1"/>
                <w:bCs w:val="1"/>
                <w:color w:val="auto"/>
              </w:rPr>
              <w:t>For the three months ended June 30, 2018</w:t>
            </w: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U.S. dollars)</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Results attributable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Partnership</w:t>
            </w:r>
          </w:p>
        </w:tc>
        <w:tc>
          <w:tcPr>
            <w:tcW w:w="26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9"/>
              </w:rPr>
              <w:t>Control Reported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GasLog</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Performance Results</w:t>
            </w: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2"/>
              </w:rPr>
              <w:t>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74,909</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76,934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pool allocation</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380" w:type="dxa"/>
            <w:vAlign w:val="bottom"/>
          </w:tcPr>
          <w:p>
            <w:pPr>
              <w:jc w:val="right"/>
              <w:spacing w:after="0"/>
              <w:rPr>
                <w:sz w:val="20"/>
                <w:szCs w:val="20"/>
                <w:color w:val="auto"/>
              </w:rPr>
            </w:pPr>
            <w:r>
              <w:rPr>
                <w:rFonts w:ascii="Arial" w:cs="Arial" w:eastAsia="Arial" w:hAnsi="Arial"/>
                <w:sz w:val="18"/>
                <w:szCs w:val="18"/>
                <w:color w:val="auto"/>
              </w:rPr>
              <w:t>(357)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(25)</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(1,511)</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(1,536)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(15,110)</w:t>
            </w:r>
          </w:p>
        </w:tc>
        <w:tc>
          <w:tcPr>
            <w:tcW w:w="1380" w:type="dxa"/>
            <w:vAlign w:val="bottom"/>
          </w:tcPr>
          <w:p>
            <w:pPr>
              <w:jc w:val="right"/>
              <w:spacing w:after="0"/>
              <w:rPr>
                <w:sz w:val="20"/>
                <w:szCs w:val="20"/>
                <w:color w:val="auto"/>
              </w:rPr>
            </w:pPr>
            <w:r>
              <w:rPr>
                <w:rFonts w:ascii="Arial" w:cs="Arial" w:eastAsia="Arial" w:hAnsi="Arial"/>
                <w:sz w:val="18"/>
                <w:szCs w:val="18"/>
                <w:color w:val="auto"/>
              </w:rPr>
              <w:t>(15,351)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(401)</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(17,974)</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(18,375)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(4,671)</w:t>
            </w:r>
          </w:p>
        </w:tc>
        <w:tc>
          <w:tcPr>
            <w:tcW w:w="1380" w:type="dxa"/>
            <w:vAlign w:val="bottom"/>
          </w:tcPr>
          <w:p>
            <w:pPr>
              <w:jc w:val="right"/>
              <w:spacing w:after="0"/>
              <w:rPr>
                <w:sz w:val="20"/>
                <w:szCs w:val="20"/>
                <w:color w:val="auto"/>
              </w:rPr>
            </w:pPr>
            <w:r>
              <w:rPr>
                <w:rFonts w:ascii="Arial" w:cs="Arial" w:eastAsia="Arial" w:hAnsi="Arial"/>
                <w:sz w:val="18"/>
                <w:szCs w:val="18"/>
                <w:color w:val="auto"/>
              </w:rPr>
              <w:t>(4,698)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1,331</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35,286</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36,617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(14,552)</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(14,946)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E8FFFA"/>
          </w:tcPr>
          <w:p>
            <w:pPr>
              <w:spacing w:after="0"/>
              <w:rPr>
                <w:sz w:val="18"/>
                <w:szCs w:val="18"/>
                <w:color w:val="auto"/>
              </w:rPr>
            </w:pP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582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Loss on derivatives</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other expenses, net</w:t>
            </w: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(12,385)</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(12,776)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22,901</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60" w:type="dxa"/>
            <w:vAlign w:val="bottom"/>
            <w:gridSpan w:val="2"/>
          </w:tcPr>
          <w:p>
            <w:pPr>
              <w:jc w:val="right"/>
              <w:ind w:right="1180"/>
              <w:spacing w:after="0"/>
              <w:rPr>
                <w:sz w:val="20"/>
                <w:szCs w:val="20"/>
                <w:color w:val="auto"/>
              </w:rPr>
            </w:pPr>
            <w:r>
              <w:rPr>
                <w:rFonts w:ascii="Arial" w:cs="Arial" w:eastAsia="Arial" w:hAnsi="Arial"/>
                <w:sz w:val="18"/>
                <w:szCs w:val="18"/>
                <w:color w:val="auto"/>
              </w:rPr>
              <w:t>A-2</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rPr>
              <w:t>(All amounts expressed in thousands of</w:t>
            </w:r>
          </w:p>
        </w:tc>
        <w:tc>
          <w:tcPr>
            <w:tcW w:w="6140" w:type="dxa"/>
            <w:vAlign w:val="bottom"/>
            <w:gridSpan w:val="6"/>
          </w:tcPr>
          <w:p>
            <w:pPr>
              <w:ind w:left="960"/>
              <w:spacing w:after="0"/>
              <w:rPr>
                <w:sz w:val="20"/>
                <w:szCs w:val="20"/>
                <w:color w:val="auto"/>
              </w:rPr>
            </w:pPr>
            <w:r>
              <w:rPr>
                <w:rFonts w:ascii="Arial" w:cs="Arial" w:eastAsia="Arial" w:hAnsi="Arial"/>
                <w:sz w:val="18"/>
                <w:szCs w:val="18"/>
                <w:b w:val="1"/>
                <w:bCs w:val="1"/>
                <w:color w:val="auto"/>
              </w:rPr>
              <w:t>For the six months ended June 30, 2017</w:t>
            </w: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U.S. dollars)</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Results attributable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Partnership</w:t>
            </w:r>
          </w:p>
        </w:tc>
        <w:tc>
          <w:tcPr>
            <w:tcW w:w="26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9"/>
              </w:rPr>
              <w:t>Control Reported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GasLog</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Performance Results</w:t>
            </w: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2"/>
              </w:rPr>
              <w:t>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50,307</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119,575</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169,882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(1,501)</w:t>
            </w:r>
          </w:p>
        </w:tc>
        <w:tc>
          <w:tcPr>
            <w:tcW w:w="1380" w:type="dxa"/>
            <w:vAlign w:val="bottom"/>
          </w:tcPr>
          <w:p>
            <w:pPr>
              <w:jc w:val="right"/>
              <w:spacing w:after="0"/>
              <w:rPr>
                <w:sz w:val="20"/>
                <w:szCs w:val="20"/>
                <w:color w:val="auto"/>
              </w:rPr>
            </w:pPr>
            <w:r>
              <w:rPr>
                <w:rFonts w:ascii="Arial" w:cs="Arial" w:eastAsia="Arial" w:hAnsi="Arial"/>
                <w:sz w:val="18"/>
                <w:szCs w:val="18"/>
                <w:color w:val="auto"/>
              </w:rPr>
              <w:t>(2,128)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Vessel operating costs</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(6,743)</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(24,477)</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(31,220)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(10,636)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(25,828)</w:t>
            </w:r>
          </w:p>
        </w:tc>
        <w:tc>
          <w:tcPr>
            <w:tcW w:w="1380" w:type="dxa"/>
            <w:vAlign w:val="bottom"/>
          </w:tcPr>
          <w:p>
            <w:pPr>
              <w:jc w:val="right"/>
              <w:spacing w:after="0"/>
              <w:rPr>
                <w:sz w:val="20"/>
                <w:szCs w:val="20"/>
                <w:color w:val="auto"/>
              </w:rPr>
            </w:pPr>
            <w:r>
              <w:rPr>
                <w:rFonts w:ascii="Arial" w:cs="Arial" w:eastAsia="Arial" w:hAnsi="Arial"/>
                <w:sz w:val="18"/>
                <w:szCs w:val="18"/>
                <w:color w:val="auto"/>
              </w:rPr>
              <w:t>(36,464)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(727)</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(6,351)</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(7,078)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31,574</w:t>
            </w:r>
          </w:p>
        </w:tc>
        <w:tc>
          <w:tcPr>
            <w:tcW w:w="1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61,418</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92,992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Financial costs</w:t>
            </w: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(9,996)</w:t>
            </w:r>
          </w:p>
        </w:tc>
        <w:tc>
          <w:tcPr>
            <w:tcW w:w="18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(19,070)</w:t>
            </w:r>
          </w:p>
        </w:tc>
        <w:tc>
          <w:tcPr>
            <w:tcW w:w="160" w:type="dxa"/>
            <w:vAlign w:val="bottom"/>
            <w:shd w:val="clear" w:color="auto" w:fill="E8FFFA"/>
          </w:tcPr>
          <w:p>
            <w:pPr>
              <w:spacing w:after="0"/>
              <w:rPr>
                <w:sz w:val="18"/>
                <w:szCs w:val="18"/>
                <w:color w:val="auto"/>
              </w:rPr>
            </w:pP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(29,066)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income</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Loss on derivatives</w:t>
            </w:r>
          </w:p>
        </w:tc>
        <w:tc>
          <w:tcPr>
            <w:tcW w:w="1760" w:type="dxa"/>
            <w:vAlign w:val="bottom"/>
            <w:gridSpan w:val="2"/>
            <w:shd w:val="clear" w:color="auto" w:fill="E8FFFA"/>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(2,313)</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(2,313)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(9,968)</w:t>
            </w:r>
          </w:p>
        </w:tc>
        <w:tc>
          <w:tcPr>
            <w:tcW w:w="1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(21,038)</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for the period</w:t>
            </w: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21,606</w:t>
            </w:r>
          </w:p>
        </w:tc>
        <w:tc>
          <w:tcPr>
            <w:tcW w:w="180" w:type="dxa"/>
            <w:vAlign w:val="bottom"/>
            <w:shd w:val="clear" w:color="auto" w:fill="E8FFFA"/>
          </w:tcPr>
          <w:p>
            <w:pPr>
              <w:spacing w:after="0"/>
              <w:rPr>
                <w:sz w:val="18"/>
                <w:szCs w:val="18"/>
                <w:color w:val="auto"/>
              </w:rPr>
            </w:pPr>
          </w:p>
        </w:tc>
        <w:tc>
          <w:tcPr>
            <w:tcW w:w="15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40,380</w:t>
            </w:r>
          </w:p>
        </w:tc>
        <w:tc>
          <w:tcPr>
            <w:tcW w:w="160" w:type="dxa"/>
            <w:vAlign w:val="bottom"/>
            <w:shd w:val="clear" w:color="auto" w:fill="E8FFFA"/>
          </w:tcPr>
          <w:p>
            <w:pPr>
              <w:spacing w:after="0"/>
              <w:rPr>
                <w:sz w:val="18"/>
                <w:szCs w:val="18"/>
                <w:color w:val="auto"/>
              </w:rPr>
            </w:pPr>
          </w:p>
        </w:tc>
        <w:tc>
          <w:tcPr>
            <w:tcW w:w="1380" w:type="dxa"/>
            <w:vAlign w:val="bottom"/>
            <w:tcBorders>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61,986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i w:val="1"/>
                <w:iCs w:val="1"/>
                <w:color w:val="auto"/>
              </w:rPr>
              <w:t>(All amounts expressed in thousands of</w:t>
            </w:r>
          </w:p>
        </w:tc>
        <w:tc>
          <w:tcPr>
            <w:tcW w:w="6140" w:type="dxa"/>
            <w:vAlign w:val="bottom"/>
            <w:gridSpan w:val="6"/>
          </w:tcPr>
          <w:p>
            <w:pPr>
              <w:ind w:left="960"/>
              <w:spacing w:after="0"/>
              <w:rPr>
                <w:sz w:val="20"/>
                <w:szCs w:val="20"/>
                <w:color w:val="auto"/>
              </w:rPr>
            </w:pPr>
            <w:r>
              <w:rPr>
                <w:rFonts w:ascii="Arial" w:cs="Arial" w:eastAsia="Arial" w:hAnsi="Arial"/>
                <w:sz w:val="18"/>
                <w:szCs w:val="18"/>
                <w:b w:val="1"/>
                <w:bCs w:val="1"/>
                <w:color w:val="auto"/>
              </w:rPr>
              <w:t>For the six months ended June 30, 2018</w:t>
            </w: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IFRS Common</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U.S. dollars)</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Results attributable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Partnership</w:t>
            </w:r>
          </w:p>
        </w:tc>
        <w:tc>
          <w:tcPr>
            <w:tcW w:w="26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9"/>
              </w:rPr>
              <w:t>Control Reported</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GasLog</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Performance Results</w:t>
            </w: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2"/>
              </w:rPr>
              <w:t>Results</w:t>
            </w: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Revenues</w:t>
            </w: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9,315</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151,970</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tcBorders>
            <w:shd w:val="clear" w:color="auto" w:fill="E8FFFA"/>
          </w:tcPr>
          <w:p>
            <w:pPr>
              <w:jc w:val="right"/>
              <w:spacing w:after="0"/>
              <w:rPr>
                <w:sz w:val="20"/>
                <w:szCs w:val="20"/>
                <w:color w:val="auto"/>
              </w:rPr>
            </w:pPr>
            <w:r>
              <w:rPr>
                <w:rFonts w:ascii="Arial" w:cs="Arial" w:eastAsia="Arial" w:hAnsi="Arial"/>
                <w:sz w:val="18"/>
                <w:szCs w:val="18"/>
                <w:color w:val="auto"/>
              </w:rPr>
              <w:t>161,285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pool allocation</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1380" w:type="dxa"/>
            <w:vAlign w:val="bottom"/>
          </w:tcPr>
          <w:p>
            <w:pPr>
              <w:jc w:val="right"/>
              <w:spacing w:after="0"/>
              <w:rPr>
                <w:sz w:val="20"/>
                <w:szCs w:val="20"/>
                <w:color w:val="auto"/>
              </w:rPr>
            </w:pPr>
            <w:r>
              <w:rPr>
                <w:rFonts w:ascii="Arial" w:cs="Arial" w:eastAsia="Arial" w:hAnsi="Arial"/>
                <w:sz w:val="18"/>
                <w:szCs w:val="18"/>
                <w:color w:val="auto"/>
              </w:rPr>
              <w:t>(357)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Voyage expenses and commissions</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(117)</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(2,566)</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(2,683)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(1,712)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(30,701)</w:t>
            </w:r>
          </w:p>
        </w:tc>
        <w:tc>
          <w:tcPr>
            <w:tcW w:w="1380" w:type="dxa"/>
            <w:vAlign w:val="bottom"/>
          </w:tcPr>
          <w:p>
            <w:pPr>
              <w:jc w:val="right"/>
              <w:spacing w:after="0"/>
              <w:rPr>
                <w:sz w:val="20"/>
                <w:szCs w:val="20"/>
                <w:color w:val="auto"/>
              </w:rPr>
            </w:pPr>
            <w:r>
              <w:rPr>
                <w:rFonts w:ascii="Arial" w:cs="Arial" w:eastAsia="Arial" w:hAnsi="Arial"/>
                <w:sz w:val="18"/>
                <w:szCs w:val="18"/>
                <w:color w:val="auto"/>
              </w:rPr>
              <w:t>(32,413)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(1,844)</w:t>
            </w:r>
          </w:p>
        </w:tc>
        <w:tc>
          <w:tcPr>
            <w:tcW w:w="1740" w:type="dxa"/>
            <w:vAlign w:val="bottom"/>
            <w:gridSpan w:val="2"/>
            <w:shd w:val="clear" w:color="auto" w:fill="E8FFFA"/>
          </w:tcPr>
          <w:p>
            <w:pPr>
              <w:jc w:val="right"/>
              <w:ind w:right="120"/>
              <w:spacing w:after="0"/>
              <w:rPr>
                <w:sz w:val="20"/>
                <w:szCs w:val="20"/>
                <w:color w:val="auto"/>
              </w:rPr>
            </w:pPr>
            <w:r>
              <w:rPr>
                <w:rFonts w:ascii="Arial" w:cs="Arial" w:eastAsia="Arial" w:hAnsi="Arial"/>
                <w:sz w:val="18"/>
                <w:szCs w:val="18"/>
                <w:color w:val="auto"/>
              </w:rPr>
              <w:t>(34,760)</w:t>
            </w: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(36,604)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(9,256)</w:t>
            </w:r>
          </w:p>
        </w:tc>
        <w:tc>
          <w:tcPr>
            <w:tcW w:w="1380" w:type="dxa"/>
            <w:vAlign w:val="bottom"/>
          </w:tcPr>
          <w:p>
            <w:pPr>
              <w:jc w:val="right"/>
              <w:spacing w:after="0"/>
              <w:rPr>
                <w:sz w:val="20"/>
                <w:szCs w:val="20"/>
                <w:color w:val="auto"/>
              </w:rPr>
            </w:pPr>
            <w:r>
              <w:rPr>
                <w:rFonts w:ascii="Arial" w:cs="Arial" w:eastAsia="Arial" w:hAnsi="Arial"/>
                <w:sz w:val="18"/>
                <w:szCs w:val="18"/>
                <w:color w:val="auto"/>
              </w:rPr>
              <w:t>(9,381)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Profit from operations</w:t>
            </w: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5,517</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74,330</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79,847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(1,853)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(28,440)</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color w:val="auto"/>
              </w:rPr>
              <w:t>Financial income</w:t>
            </w: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E8FFFA"/>
          </w:tcPr>
          <w:p>
            <w:pPr>
              <w:spacing w:after="0"/>
              <w:rPr>
                <w:sz w:val="18"/>
                <w:szCs w:val="18"/>
                <w:color w:val="auto"/>
              </w:rPr>
            </w:pPr>
          </w:p>
        </w:tc>
        <w:tc>
          <w:tcPr>
            <w:tcW w:w="15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E8FFFA"/>
          </w:tcPr>
          <w:p>
            <w:pPr>
              <w:spacing w:after="0"/>
              <w:rPr>
                <w:sz w:val="18"/>
                <w:szCs w:val="18"/>
                <w:color w:val="auto"/>
              </w:rPr>
            </w:pPr>
          </w:p>
        </w:tc>
        <w:tc>
          <w:tcPr>
            <w:tcW w:w="1380" w:type="dxa"/>
            <w:vAlign w:val="bottom"/>
            <w:shd w:val="clear" w:color="auto" w:fill="E8FFFA"/>
          </w:tcPr>
          <w:p>
            <w:pPr>
              <w:jc w:val="right"/>
              <w:spacing w:after="0"/>
              <w:rPr>
                <w:sz w:val="20"/>
                <w:szCs w:val="20"/>
                <w:color w:val="auto"/>
              </w:rPr>
            </w:pPr>
            <w:r>
              <w:rPr>
                <w:rFonts w:ascii="Arial" w:cs="Arial" w:eastAsia="Arial" w:hAnsi="Arial"/>
                <w:sz w:val="18"/>
                <w:szCs w:val="18"/>
                <w:color w:val="auto"/>
              </w:rPr>
              <w:t>1,107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Loss on derivatives</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7,915</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E8FFFA"/>
          </w:tcPr>
          <w:p>
            <w:pPr>
              <w:spacing w:after="0"/>
              <w:rPr>
                <w:sz w:val="20"/>
                <w:szCs w:val="20"/>
                <w:color w:val="auto"/>
              </w:rPr>
            </w:pPr>
            <w:r>
              <w:rPr>
                <w:rFonts w:ascii="Arial" w:cs="Arial" w:eastAsia="Arial" w:hAnsi="Arial"/>
                <w:sz w:val="18"/>
                <w:szCs w:val="18"/>
                <w:b w:val="1"/>
                <w:bCs w:val="1"/>
                <w:color w:val="auto"/>
              </w:rPr>
              <w:t>Total other expenses, net</w:t>
            </w: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(1,844)</w:t>
            </w:r>
          </w:p>
        </w:tc>
        <w:tc>
          <w:tcPr>
            <w:tcW w:w="180" w:type="dxa"/>
            <w:vAlign w:val="bottom"/>
            <w:shd w:val="clear" w:color="auto" w:fill="E8FFFA"/>
          </w:tcPr>
          <w:p>
            <w:pPr>
              <w:spacing w:after="0"/>
              <w:rPr>
                <w:sz w:val="18"/>
                <w:szCs w:val="18"/>
                <w:color w:val="auto"/>
              </w:rPr>
            </w:pPr>
          </w:p>
        </w:tc>
        <w:tc>
          <w:tcPr>
            <w:tcW w:w="15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(19,427)</w:t>
            </w:r>
          </w:p>
        </w:tc>
        <w:tc>
          <w:tcPr>
            <w:tcW w:w="160" w:type="dxa"/>
            <w:vAlign w:val="bottom"/>
            <w:shd w:val="clear" w:color="auto" w:fill="E8FFFA"/>
          </w:tcPr>
          <w:p>
            <w:pPr>
              <w:spacing w:after="0"/>
              <w:rPr>
                <w:sz w:val="18"/>
                <w:szCs w:val="18"/>
                <w:color w:val="auto"/>
              </w:rPr>
            </w:pPr>
          </w:p>
        </w:tc>
        <w:tc>
          <w:tcPr>
            <w:tcW w:w="1380" w:type="dxa"/>
            <w:vAlign w:val="bottom"/>
            <w:tcBorders>
              <w:top w:val="single" w:sz="8" w:color="auto"/>
              <w:bottom w:val="single" w:sz="8" w:color="auto"/>
            </w:tcBorders>
            <w:shd w:val="clear" w:color="auto" w:fill="E8FFFA"/>
          </w:tcPr>
          <w:p>
            <w:pPr>
              <w:jc w:val="right"/>
              <w:spacing w:after="0"/>
              <w:rPr>
                <w:sz w:val="20"/>
                <w:szCs w:val="20"/>
                <w:color w:val="auto"/>
              </w:rPr>
            </w:pPr>
            <w:r>
              <w:rPr>
                <w:rFonts w:ascii="Arial" w:cs="Arial" w:eastAsia="Arial" w:hAnsi="Arial"/>
                <w:sz w:val="18"/>
                <w:szCs w:val="18"/>
                <w:b w:val="1"/>
                <w:bCs w:val="1"/>
                <w:color w:val="auto"/>
              </w:rPr>
              <w:t>(21,271)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3,673</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54,903</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58,576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60" w:type="dxa"/>
            <w:vAlign w:val="bottom"/>
            <w:gridSpan w:val="2"/>
          </w:tcPr>
          <w:p>
            <w:pPr>
              <w:jc w:val="right"/>
              <w:ind w:right="1180"/>
              <w:spacing w:after="0"/>
              <w:rPr>
                <w:sz w:val="20"/>
                <w:szCs w:val="20"/>
                <w:color w:val="auto"/>
              </w:rPr>
            </w:pPr>
            <w:r>
              <w:rPr>
                <w:rFonts w:ascii="Arial" w:cs="Arial" w:eastAsia="Arial" w:hAnsi="Arial"/>
                <w:sz w:val="18"/>
                <w:szCs w:val="18"/>
                <w:color w:val="auto"/>
              </w:rPr>
              <w:t>A-3</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2019-12-08T10:06:43Z</dcterms:created>
  <dcterms:modified xsi:type="dcterms:W3CDTF">2019-12-08T10:06:43Z</dcterms:modified>
</cp:coreProperties>
</file>