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360" w:right="0" w:hanging="0"/>
        <w:jc w:val="both"/>
        <w:rPr/>
      </w:pPr>
      <w:bookmarkStart w:id="0" w:name="tm2215238d1_6k.htm"/>
      <w:bookmarkStart w:id="1" w:name="kstm2215238d1_6k"/>
      <w:bookmarkEnd w:id="0"/>
      <w:bookmarkEnd w:id="1"/>
      <w:r>
        <w:rPr/>
        <w:t> </w:t>
      </w:r>
    </w:p>
    <w:p>
      <w:pPr>
        <w:pStyle w:val="TextBody"/>
        <w:spacing w:before="240" w:after="60"/>
        <w:rPr>
          <w:bdr w:val="single" w:sz="16" w:space="1" w:color="000000"/>
        </w:rPr>
      </w:pPr>
      <w:r>
        <w:rPr>
          <w:bdr w:val="single" w:sz="16" w:space="1" w:color="000000"/>
        </w:rPr>
        <w:t> </w:t>
      </w:r>
    </w:p>
    <w:p>
      <w:pPr>
        <w:pStyle w:val="TextBody"/>
        <w:jc w:val="center"/>
        <w:rPr/>
      </w:pPr>
      <w:r>
        <w:rPr/>
        <w:t> </w:t>
      </w:r>
    </w:p>
    <w:p>
      <w:pPr>
        <w:pStyle w:val="TextBody"/>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15d-16 UNDER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ind w:left="0" w:right="0" w:hanging="0"/>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May 12, 2022 announcing Election of Director at 2022 Annual Meeting of Limited Partners is attached hereto as 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spacing w:before="0" w:after="0"/>
        <w:ind w:left="0" w:right="0" w:hanging="0"/>
        <w:rPr>
          <w:caps w:val="false"/>
          <w:smallCaps w:val="false"/>
        </w:rPr>
      </w:pPr>
      <w:r>
        <w:rPr>
          <w:caps w:val="false"/>
          <w:smallCaps w:val="false"/>
        </w:rPr>
        <w:t> </w:t>
      </w:r>
    </w:p>
    <w:tbl>
      <w:tblPr>
        <w:tblW w:w="3445" w:type="dxa"/>
        <w:jc w:val="left"/>
        <w:tblInd w:w="0" w:type="dxa"/>
        <w:tblCellMar>
          <w:top w:w="0" w:type="dxa"/>
          <w:left w:w="0" w:type="dxa"/>
          <w:bottom w:w="0" w:type="dxa"/>
          <w:right w:w="0" w:type="dxa"/>
        </w:tblCellMar>
      </w:tblPr>
      <w:tblGrid>
        <w:gridCol w:w="650"/>
        <w:gridCol w:w="2795"/>
      </w:tblGrid>
      <w:tr>
        <w:trPr/>
        <w:tc>
          <w:tcPr>
            <w:tcW w:w="6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c>
        <w:tc>
          <w:tcPr>
            <w:tcW w:w="27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650" w:type="dxa"/>
            <w:tcBorders/>
            <w:shd w:fill="auto" w:val="clear"/>
            <w:vAlign w:val="center"/>
          </w:tcPr>
          <w:p>
            <w:pPr>
              <w:pStyle w:val="TableContents"/>
              <w:spacing w:before="0" w:after="283"/>
              <w:rPr>
                <w:caps w:val="false"/>
                <w:smallCaps w:val="false"/>
              </w:rPr>
            </w:pPr>
            <w:r>
              <w:rPr>
                <w:caps w:val="false"/>
                <w:smallCaps w:val="false"/>
              </w:rPr>
              <w:t> </w:t>
            </w:r>
          </w:p>
        </w:tc>
        <w:tc>
          <w:tcPr>
            <w:tcW w:w="27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50" w:type="dxa"/>
            <w:tcBorders/>
            <w:shd w:fill="auto" w:val="clear"/>
            <w:vAlign w:val="center"/>
          </w:tcPr>
          <w:p>
            <w:pPr>
              <w:pStyle w:val="TableContents"/>
              <w:spacing w:before="0" w:after="283"/>
              <w:rPr/>
            </w:pPr>
            <w:hyperlink w:anchor="tm2215238d1_ex99-1.htm">
              <w:r>
                <w:rPr>
                  <w:rStyle w:val="InternetLink"/>
                  <w:rFonts w:ascii="Times New Roman;Times;Serif" w:hAnsi="Times New Roman;Times;Serif"/>
                  <w:b w:val="false"/>
                  <w:i w:val="false"/>
                  <w:caps w:val="false"/>
                  <w:smallCaps w:val="false"/>
                  <w:sz w:val="20"/>
                </w:rPr>
                <w:t>99.1</w:t>
              </w:r>
            </w:hyperlink>
          </w:p>
        </w:tc>
        <w:tc>
          <w:tcPr>
            <w:tcW w:w="2795" w:type="dxa"/>
            <w:tcBorders/>
            <w:shd w:fill="auto" w:val="clear"/>
            <w:vAlign w:val="center"/>
          </w:tcPr>
          <w:p>
            <w:pPr>
              <w:pStyle w:val="TableContents"/>
              <w:spacing w:before="0" w:after="283"/>
              <w:rPr/>
            </w:pPr>
            <w:hyperlink w:anchor="tm2215238d1_ex99-1.htm">
              <w:r>
                <w:rPr>
                  <w:rStyle w:val="InternetLink"/>
                  <w:rFonts w:ascii="Times New Roman;Times;Serif" w:hAnsi="Times New Roman;Times;Serif"/>
                  <w:b w:val="false"/>
                  <w:i w:val="false"/>
                  <w:caps w:val="false"/>
                  <w:smallCaps w:val="false"/>
                  <w:sz w:val="20"/>
                </w:rPr>
                <w:t>Press Release dated May 12, 2022</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pBdr>
          <w:bottom w:val="single" w:sz="6"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4610" w:type="dxa"/>
        <w:jc w:val="left"/>
        <w:tblInd w:w="0" w:type="dxa"/>
        <w:tblCellMar>
          <w:top w:w="0" w:type="dxa"/>
          <w:left w:w="0" w:type="dxa"/>
          <w:bottom w:w="0" w:type="dxa"/>
          <w:right w:w="0" w:type="dxa"/>
        </w:tblCellMar>
      </w:tblPr>
      <w:tblGrid>
        <w:gridCol w:w="1655"/>
        <w:gridCol w:w="60"/>
        <w:gridCol w:w="60"/>
        <w:gridCol w:w="290"/>
        <w:gridCol w:w="590"/>
        <w:gridCol w:w="1955"/>
      </w:tblGrid>
      <w:tr>
        <w:trPr/>
        <w:tc>
          <w:tcPr>
            <w:tcW w:w="16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12, 2022</w:t>
            </w:r>
          </w:p>
        </w:tc>
        <w:tc>
          <w:tcPr>
            <w:tcW w:w="60" w:type="dxa"/>
            <w:tcBorders/>
            <w:shd w:fill="auto" w:val="clear"/>
            <w:vAlign w:val="center"/>
          </w:tcPr>
          <w:p>
            <w:pPr>
              <w:pStyle w:val="TableContents"/>
              <w:spacing w:before="0" w:after="283"/>
              <w:rPr/>
            </w:pPr>
            <w:r>
              <w:rPr/>
              <w:t> </w:t>
            </w:r>
          </w:p>
        </w:tc>
        <w:tc>
          <w:tcPr>
            <w:tcW w:w="2895" w:type="dxa"/>
            <w:gridSpan w:val="4"/>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5" w:type="dxa"/>
            <w:gridSpan w:val="4"/>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54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54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r>
              <w:rPr>
                <w:rFonts w:ascii="Times New Roman;Times;Serif" w:hAnsi="Times New Roman;Times;Serif"/>
                <w:sz w:val="20"/>
              </w:rPr>
              <w:t>by</w:t>
            </w:r>
          </w:p>
        </w:tc>
        <w:tc>
          <w:tcPr>
            <w:tcW w:w="254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Paolo Enoizi</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54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w:t>
            </w:r>
          </w:p>
        </w:tc>
        <w:tc>
          <w:tcPr>
            <w:tcW w:w="19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Paolo Enoizi</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w:t>
            </w:r>
          </w:p>
        </w:tc>
        <w:tc>
          <w:tcPr>
            <w:tcW w:w="19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t> </w:t>
      </w:r>
      <w:r>
        <w:br w:type="page"/>
      </w:r>
    </w:p>
    <w:p>
      <w:pPr>
        <w:pStyle w:val="TextBody"/>
        <w:ind w:left="720" w:right="0" w:hanging="0"/>
        <w:jc w:val="both"/>
        <w:rPr/>
      </w:pPr>
      <w:bookmarkStart w:id="2" w:name="tm2215238d1_ex99-1.htm"/>
      <w:bookmarkStart w:id="3" w:name="kstm2215238d1_ex991"/>
      <w:bookmarkEnd w:id="2"/>
      <w:bookmarkEnd w:id="3"/>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GasLog Partners LP Announces Election of Director at 2022 Annual Meeting of Limited Partners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Majuro, Marshall Islands, May 12, 2022</w:t>
      </w:r>
      <w:r>
        <w:rPr>
          <w:rFonts w:ascii="Arial;Helvetica;Sans-Serif" w:hAnsi="Arial;Helvetica;Sans-Serif"/>
          <w:b w:val="false"/>
          <w:i w:val="false"/>
          <w:caps w:val="false"/>
          <w:smallCaps w:val="false"/>
          <w:sz w:val="20"/>
        </w:rPr>
        <w:t xml:space="preserve"> – GasLog Partners LP (the “Partnership” (NYSE: GLOP)), a master limited partnership focused on owning, operating and acquiring liquefied natural gas (“LNG”) carriers, announced the election of Roland Fisher, as a Class I Director, at the Partnership’s annual meeting of limited partners held today. Mr. Fisher is to hold office until the 2025 annual meeting.</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Limited partners also ratified the appointment of Deloitte Certified Public Accountants S.A. as the Partnership’s independent auditors for the fiscal year ending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Robert Brinberg</w:t>
      </w:r>
    </w:p>
    <w:p>
      <w:pPr>
        <w:pStyle w:val="TextBody"/>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Rose &amp; Company</w:t>
      </w:r>
    </w:p>
    <w:p>
      <w:pPr>
        <w:pStyle w:val="TextBody"/>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+1 212-517-0810</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Email: gaslog@roseandco.com</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About GasLog Partners LP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GasLog Partners is a growth-oriented owner, operator and acquirer of LNG carriers. The Partnership’s fleet consists of 14 LNG wholly owned carriers as well as one vessel on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536</Words>
  <CharactersWithSpaces>3463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