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REPORT OF FOREIGN PRIVATE ISSUER PURSUANT TO RULE 13a-16 OR 15d-16 UNDER</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month of January,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Commission File Number: 001-36433</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GasLog Partners LP</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 GasLog Monaco S.A.M.</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Gildo Pastor Center</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7 Rue du Gabian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MC 98000, Monaco</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spacing w:after="0"/>
        <w:tabs>
          <w:tab w:leader="none" w:pos="120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6"/>
          <w:szCs w:val="16"/>
          <w:color w:val="auto"/>
        </w:rPr>
        <w:t>Form 40-F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CONTAINED IN THIS FORM 6-K REPORT</w:t>
      </w:r>
    </w:p>
    <w:p>
      <w:pPr>
        <w:spacing w:after="0" w:line="229" w:lineRule="exact"/>
        <w:rPr>
          <w:sz w:val="24"/>
          <w:szCs w:val="24"/>
          <w:color w:val="auto"/>
        </w:rPr>
      </w:pPr>
    </w:p>
    <w:p>
      <w:pPr>
        <w:ind w:right="40" w:firstLine="648"/>
        <w:spacing w:after="0" w:line="277" w:lineRule="auto"/>
        <w:rPr>
          <w:sz w:val="20"/>
          <w:szCs w:val="20"/>
          <w:color w:val="auto"/>
        </w:rPr>
      </w:pPr>
      <w:r>
        <w:rPr>
          <w:rFonts w:ascii="Arial" w:cs="Arial" w:eastAsia="Arial" w:hAnsi="Arial"/>
          <w:sz w:val="18"/>
          <w:szCs w:val="18"/>
          <w:color w:val="auto"/>
        </w:rPr>
        <w:t>The press release issued by GasLog Partners LP on January 17, 2018 announcing the closing of its public offering of its 8.200% Series B Cumulative Redeemable Perpetual Fixed to Floating Rate Preference Units is attached hereto as Exhibit 99.1.</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16"/>
          <w:szCs w:val="16"/>
          <w:color w:val="auto"/>
        </w:rPr>
        <w:t>Exhibit 3.2 to this Report on Form 6-K shall be incorporated by reference into our registration statement on Form F-3, as declared effective by the</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Securities and Exchange Commission on October 10, 2017 (Registration No. 333-220736), as amended, and the registration statement on Form S-8 (File</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 333-203139), filed with the SEC on March 31, 2015, in each case to the extent not superseded by documents or reports subsequently filed or furnished (to</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the extent we expressly state that we incorporate such furnished information by reference) by us under the Securities Act of 1933 or the Securities Exchange</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Act of 1934, in each case as amended.</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9920" w:type="dxa"/>
            <w:vAlign w:val="bottom"/>
            <w:tcBorders>
              <w:bottom w:val="single" w:sz="8" w:color="auto"/>
            </w:tcBorders>
          </w:tcPr>
          <w:p>
            <w:pPr>
              <w:jc w:val="right"/>
              <w:ind w:right="4528"/>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426"/>
        </w:trPr>
        <w:tc>
          <w:tcPr>
            <w:tcW w:w="1160" w:type="dxa"/>
            <w:vAlign w:val="bottom"/>
          </w:tcPr>
          <w:p>
            <w:pPr>
              <w:jc w:val="right"/>
              <w:ind w:right="376"/>
              <w:spacing w:after="0"/>
              <w:rPr>
                <w:sz w:val="20"/>
                <w:szCs w:val="20"/>
                <w:color w:val="auto"/>
              </w:rPr>
            </w:pPr>
            <w:r>
              <w:rPr>
                <w:rFonts w:ascii="Arial" w:cs="Arial" w:eastAsia="Arial" w:hAnsi="Arial"/>
                <w:sz w:val="18"/>
                <w:szCs w:val="18"/>
                <w:color w:val="auto"/>
              </w:rPr>
              <w:t>3.2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Third Amended and Restated Agreement of Limited Partnership of GasLog Partners LP</w:t>
            </w:r>
          </w:p>
        </w:tc>
        <w:tc>
          <w:tcPr>
            <w:tcW w:w="40" w:type="dxa"/>
            <w:vAlign w:val="bottom"/>
          </w:tcPr>
          <w:p>
            <w:pPr>
              <w:spacing w:after="0"/>
              <w:rPr>
                <w:sz w:val="24"/>
                <w:szCs w:val="24"/>
                <w:color w:val="auto"/>
              </w:rPr>
            </w:pPr>
          </w:p>
        </w:tc>
      </w:tr>
      <w:tr>
        <w:trPr>
          <w:trHeight w:val="432"/>
        </w:trPr>
        <w:tc>
          <w:tcPr>
            <w:tcW w:w="1160" w:type="dxa"/>
            <w:vAlign w:val="bottom"/>
          </w:tcPr>
          <w:p>
            <w:pPr>
              <w:jc w:val="right"/>
              <w:ind w:right="336"/>
              <w:spacing w:after="0"/>
              <w:rPr>
                <w:sz w:val="20"/>
                <w:szCs w:val="20"/>
                <w:color w:val="auto"/>
              </w:rPr>
            </w:pPr>
            <w:r>
              <w:rPr>
                <w:rFonts w:ascii="Arial" w:cs="Arial" w:eastAsia="Arial" w:hAnsi="Arial"/>
                <w:sz w:val="18"/>
                <w:szCs w:val="18"/>
                <w:color w:val="auto"/>
              </w:rPr>
              <w:t>99.1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Press Release dated January 17, 2018</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10260" w:type="dxa"/>
            <w:vAlign w:val="bottom"/>
            <w:gridSpan w:val="2"/>
          </w:tcPr>
          <w:p>
            <w:pPr>
              <w:jc w:val="right"/>
              <w:ind w:right="5588"/>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Date: January 17, 2018</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GASLOG PARTNERS LP</w:t>
      </w:r>
    </w:p>
    <w:p>
      <w:pPr>
        <w:spacing w:after="0" w:line="225" w:lineRule="exact"/>
        <w:rPr>
          <w:sz w:val="24"/>
          <w:szCs w:val="24"/>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Andrew J. Orekar</w:t>
      </w:r>
    </w:p>
    <w:p>
      <w:pPr>
        <w:spacing w:after="0" w:line="23" w:lineRule="exact"/>
        <w:rPr>
          <w:sz w:val="24"/>
          <w:szCs w:val="24"/>
          <w:color w:val="auto"/>
        </w:rPr>
      </w:pPr>
    </w:p>
    <w:tbl>
      <w:tblPr>
        <w:tblLayout w:type="fixed"/>
        <w:tblInd w:w="624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Andrew J. Orekar</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544" w:right="199" w:bottom="0" w:gutter="0" w:footer="0" w:header="0"/>
        </w:sectPr>
      </w:pPr>
    </w:p>
    <w:bookmarkStart w:id="1" w:name="page2"/>
    <w:bookmarkEnd w:id="1"/>
    <w:p>
      <w:pPr>
        <w:jc w:val="right"/>
        <w:ind w:right="40"/>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THIRD AMENDED AND RESTATED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AGREEMENT OF LIMITED PARTNERSHIP</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GASLOG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401320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8360" w:type="dxa"/>
            <w:vAlign w:val="bottom"/>
          </w:tcPr>
          <w:p>
            <w:pPr>
              <w:ind w:left="3340"/>
              <w:spacing w:after="0"/>
              <w:rPr>
                <w:sz w:val="20"/>
                <w:szCs w:val="20"/>
                <w:color w:val="auto"/>
              </w:rPr>
            </w:pPr>
            <w:r>
              <w:rPr>
                <w:rFonts w:ascii="Arial" w:cs="Arial" w:eastAsia="Arial" w:hAnsi="Arial"/>
                <w:sz w:val="18"/>
                <w:szCs w:val="18"/>
                <w:b w:val="1"/>
                <w:bCs w:val="1"/>
                <w:color w:val="auto"/>
              </w:rPr>
              <w:t>TABLE OF CONTENTS</w:t>
            </w:r>
          </w:p>
        </w:tc>
        <w:tc>
          <w:tcPr>
            <w:tcW w:w="1680" w:type="dxa"/>
            <w:vAlign w:val="bottom"/>
          </w:tcPr>
          <w:p>
            <w:pPr>
              <w:spacing w:after="0"/>
              <w:rPr>
                <w:sz w:val="20"/>
                <w:szCs w:val="20"/>
                <w:color w:val="auto"/>
              </w:rPr>
            </w:pPr>
          </w:p>
        </w:tc>
      </w:tr>
      <w:tr>
        <w:trPr>
          <w:trHeight w:val="418"/>
        </w:trPr>
        <w:tc>
          <w:tcPr>
            <w:tcW w:w="1420" w:type="dxa"/>
            <w:vAlign w:val="bottom"/>
          </w:tcPr>
          <w:p>
            <w:pPr>
              <w:spacing w:after="0"/>
              <w:rPr>
                <w:sz w:val="20"/>
                <w:szCs w:val="20"/>
                <w:color w:val="auto"/>
              </w:rPr>
            </w:pPr>
            <w:r>
              <w:rPr>
                <w:rFonts w:ascii="Arial" w:cs="Arial" w:eastAsia="Arial" w:hAnsi="Arial"/>
                <w:sz w:val="18"/>
                <w:szCs w:val="18"/>
                <w:color w:val="auto"/>
              </w:rPr>
              <w:t>ARTICLE I</w:t>
            </w:r>
          </w:p>
        </w:tc>
        <w:tc>
          <w:tcPr>
            <w:tcW w:w="8360" w:type="dxa"/>
            <w:vAlign w:val="bottom"/>
          </w:tcPr>
          <w:p>
            <w:pPr>
              <w:ind w:left="300"/>
              <w:spacing w:after="0"/>
              <w:rPr>
                <w:sz w:val="20"/>
                <w:szCs w:val="20"/>
                <w:color w:val="auto"/>
              </w:rPr>
            </w:pPr>
            <w:r>
              <w:rPr>
                <w:rFonts w:ascii="Arial" w:cs="Arial" w:eastAsia="Arial" w:hAnsi="Arial"/>
                <w:sz w:val="18"/>
                <w:szCs w:val="18"/>
                <w:color w:val="auto"/>
              </w:rPr>
              <w:t>DEFINITIONS AND CONSTRUCTION</w:t>
            </w:r>
          </w:p>
        </w:tc>
        <w:tc>
          <w:tcPr>
            <w:tcW w:w="1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420" w:type="dxa"/>
            <w:vAlign w:val="bottom"/>
          </w:tcPr>
          <w:p>
            <w:pPr>
              <w:ind w:left="260"/>
              <w:spacing w:after="0"/>
              <w:rPr>
                <w:sz w:val="20"/>
                <w:szCs w:val="20"/>
                <w:color w:val="auto"/>
              </w:rPr>
            </w:pPr>
            <w:r>
              <w:rPr>
                <w:rFonts w:ascii="Arial" w:cs="Arial" w:eastAsia="Arial" w:hAnsi="Arial"/>
                <w:sz w:val="18"/>
                <w:szCs w:val="18"/>
                <w:color w:val="auto"/>
              </w:rPr>
              <w:t>Section 1.1.</w:t>
            </w:r>
          </w:p>
        </w:tc>
        <w:tc>
          <w:tcPr>
            <w:tcW w:w="8360" w:type="dxa"/>
            <w:vAlign w:val="bottom"/>
          </w:tcPr>
          <w:p>
            <w:pPr>
              <w:ind w:left="300"/>
              <w:spacing w:after="0"/>
              <w:rPr>
                <w:sz w:val="20"/>
                <w:szCs w:val="20"/>
                <w:color w:val="auto"/>
              </w:rPr>
            </w:pPr>
            <w:r>
              <w:rPr>
                <w:rFonts w:ascii="Arial" w:cs="Arial" w:eastAsia="Arial" w:hAnsi="Arial"/>
                <w:sz w:val="18"/>
                <w:szCs w:val="18"/>
                <w:color w:val="auto"/>
              </w:rPr>
              <w:t>Definitions</w:t>
            </w:r>
          </w:p>
        </w:tc>
        <w:tc>
          <w:tcPr>
            <w:tcW w:w="1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420" w:type="dxa"/>
            <w:vAlign w:val="bottom"/>
          </w:tcPr>
          <w:p>
            <w:pPr>
              <w:ind w:left="260"/>
              <w:spacing w:after="0"/>
              <w:rPr>
                <w:sz w:val="20"/>
                <w:szCs w:val="20"/>
                <w:color w:val="auto"/>
              </w:rPr>
            </w:pPr>
            <w:r>
              <w:rPr>
                <w:rFonts w:ascii="Arial" w:cs="Arial" w:eastAsia="Arial" w:hAnsi="Arial"/>
                <w:sz w:val="18"/>
                <w:szCs w:val="18"/>
                <w:color w:val="auto"/>
              </w:rPr>
              <w:t>Section 1.2.</w:t>
            </w:r>
          </w:p>
        </w:tc>
        <w:tc>
          <w:tcPr>
            <w:tcW w:w="8360" w:type="dxa"/>
            <w:vAlign w:val="bottom"/>
          </w:tcPr>
          <w:p>
            <w:pPr>
              <w:ind w:left="300"/>
              <w:spacing w:after="0"/>
              <w:rPr>
                <w:sz w:val="20"/>
                <w:szCs w:val="20"/>
                <w:color w:val="auto"/>
              </w:rPr>
            </w:pPr>
            <w:r>
              <w:rPr>
                <w:rFonts w:ascii="Arial" w:cs="Arial" w:eastAsia="Arial" w:hAnsi="Arial"/>
                <w:sz w:val="18"/>
                <w:szCs w:val="18"/>
                <w:color w:val="auto"/>
              </w:rPr>
              <w:t>Construction</w:t>
            </w:r>
          </w:p>
        </w:tc>
        <w:tc>
          <w:tcPr>
            <w:tcW w:w="1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8"/>
        </w:trPr>
        <w:tc>
          <w:tcPr>
            <w:tcW w:w="1420" w:type="dxa"/>
            <w:vAlign w:val="bottom"/>
          </w:tcPr>
          <w:p>
            <w:pPr>
              <w:spacing w:after="0"/>
              <w:rPr>
                <w:sz w:val="20"/>
                <w:szCs w:val="20"/>
                <w:color w:val="auto"/>
              </w:rPr>
            </w:pPr>
            <w:r>
              <w:rPr>
                <w:rFonts w:ascii="Arial" w:cs="Arial" w:eastAsia="Arial" w:hAnsi="Arial"/>
                <w:sz w:val="18"/>
                <w:szCs w:val="18"/>
                <w:color w:val="auto"/>
              </w:rPr>
              <w:t>ARTICLE II</w:t>
            </w:r>
          </w:p>
        </w:tc>
        <w:tc>
          <w:tcPr>
            <w:tcW w:w="8360" w:type="dxa"/>
            <w:vAlign w:val="bottom"/>
          </w:tcPr>
          <w:p>
            <w:pPr>
              <w:ind w:left="300"/>
              <w:spacing w:after="0"/>
              <w:rPr>
                <w:sz w:val="20"/>
                <w:szCs w:val="20"/>
                <w:color w:val="auto"/>
              </w:rPr>
            </w:pPr>
            <w:r>
              <w:rPr>
                <w:rFonts w:ascii="Arial" w:cs="Arial" w:eastAsia="Arial" w:hAnsi="Arial"/>
                <w:sz w:val="18"/>
                <w:szCs w:val="18"/>
                <w:color w:val="auto"/>
              </w:rPr>
              <w:t>ORGANIZATION</w:t>
            </w:r>
          </w:p>
        </w:tc>
        <w:tc>
          <w:tcPr>
            <w:tcW w:w="16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420" w:type="dxa"/>
            <w:vAlign w:val="bottom"/>
          </w:tcPr>
          <w:p>
            <w:pPr>
              <w:ind w:left="260"/>
              <w:spacing w:after="0"/>
              <w:rPr>
                <w:sz w:val="20"/>
                <w:szCs w:val="20"/>
                <w:color w:val="auto"/>
              </w:rPr>
            </w:pPr>
            <w:r>
              <w:rPr>
                <w:rFonts w:ascii="Arial" w:cs="Arial" w:eastAsia="Arial" w:hAnsi="Arial"/>
                <w:sz w:val="18"/>
                <w:szCs w:val="18"/>
                <w:color w:val="auto"/>
              </w:rPr>
              <w:t>Section 2.1.</w:t>
            </w:r>
          </w:p>
        </w:tc>
        <w:tc>
          <w:tcPr>
            <w:tcW w:w="8360" w:type="dxa"/>
            <w:vAlign w:val="bottom"/>
          </w:tcPr>
          <w:p>
            <w:pPr>
              <w:ind w:left="300"/>
              <w:spacing w:after="0"/>
              <w:rPr>
                <w:sz w:val="20"/>
                <w:szCs w:val="20"/>
                <w:color w:val="auto"/>
              </w:rPr>
            </w:pPr>
            <w:r>
              <w:rPr>
                <w:rFonts w:ascii="Arial" w:cs="Arial" w:eastAsia="Arial" w:hAnsi="Arial"/>
                <w:sz w:val="18"/>
                <w:szCs w:val="18"/>
                <w:color w:val="auto"/>
              </w:rPr>
              <w:t>Formation</w:t>
            </w:r>
          </w:p>
        </w:tc>
        <w:tc>
          <w:tcPr>
            <w:tcW w:w="16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420" w:type="dxa"/>
            <w:vAlign w:val="bottom"/>
          </w:tcPr>
          <w:p>
            <w:pPr>
              <w:ind w:left="260"/>
              <w:spacing w:after="0"/>
              <w:rPr>
                <w:sz w:val="20"/>
                <w:szCs w:val="20"/>
                <w:color w:val="auto"/>
              </w:rPr>
            </w:pPr>
            <w:r>
              <w:rPr>
                <w:rFonts w:ascii="Arial" w:cs="Arial" w:eastAsia="Arial" w:hAnsi="Arial"/>
                <w:sz w:val="18"/>
                <w:szCs w:val="18"/>
                <w:color w:val="auto"/>
              </w:rPr>
              <w:t>Section 2.2.</w:t>
            </w:r>
          </w:p>
        </w:tc>
        <w:tc>
          <w:tcPr>
            <w:tcW w:w="8360" w:type="dxa"/>
            <w:vAlign w:val="bottom"/>
          </w:tcPr>
          <w:p>
            <w:pPr>
              <w:ind w:left="300"/>
              <w:spacing w:after="0"/>
              <w:rPr>
                <w:sz w:val="20"/>
                <w:szCs w:val="20"/>
                <w:color w:val="auto"/>
              </w:rPr>
            </w:pPr>
            <w:r>
              <w:rPr>
                <w:rFonts w:ascii="Arial" w:cs="Arial" w:eastAsia="Arial" w:hAnsi="Arial"/>
                <w:sz w:val="18"/>
                <w:szCs w:val="18"/>
                <w:color w:val="auto"/>
              </w:rPr>
              <w:t>Name</w:t>
            </w:r>
          </w:p>
        </w:tc>
        <w:tc>
          <w:tcPr>
            <w:tcW w:w="16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420" w:type="dxa"/>
            <w:vAlign w:val="bottom"/>
          </w:tcPr>
          <w:p>
            <w:pPr>
              <w:ind w:left="260"/>
              <w:spacing w:after="0"/>
              <w:rPr>
                <w:sz w:val="20"/>
                <w:szCs w:val="20"/>
                <w:color w:val="auto"/>
              </w:rPr>
            </w:pPr>
            <w:r>
              <w:rPr>
                <w:rFonts w:ascii="Arial" w:cs="Arial" w:eastAsia="Arial" w:hAnsi="Arial"/>
                <w:sz w:val="18"/>
                <w:szCs w:val="18"/>
                <w:color w:val="auto"/>
              </w:rPr>
              <w:t>Section 2.3.</w:t>
            </w:r>
          </w:p>
        </w:tc>
        <w:tc>
          <w:tcPr>
            <w:tcW w:w="8360" w:type="dxa"/>
            <w:vAlign w:val="bottom"/>
          </w:tcPr>
          <w:p>
            <w:pPr>
              <w:ind w:left="300"/>
              <w:spacing w:after="0"/>
              <w:rPr>
                <w:sz w:val="20"/>
                <w:szCs w:val="20"/>
                <w:color w:val="auto"/>
              </w:rPr>
            </w:pPr>
            <w:r>
              <w:rPr>
                <w:rFonts w:ascii="Arial" w:cs="Arial" w:eastAsia="Arial" w:hAnsi="Arial"/>
                <w:sz w:val="18"/>
                <w:szCs w:val="18"/>
                <w:color w:val="auto"/>
              </w:rPr>
              <w:t>Registered Office; Registered Agent; Principal Office; Other Offices</w:t>
            </w:r>
          </w:p>
        </w:tc>
        <w:tc>
          <w:tcPr>
            <w:tcW w:w="16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420" w:type="dxa"/>
            <w:vAlign w:val="bottom"/>
          </w:tcPr>
          <w:p>
            <w:pPr>
              <w:ind w:left="260"/>
              <w:spacing w:after="0"/>
              <w:rPr>
                <w:sz w:val="20"/>
                <w:szCs w:val="20"/>
                <w:color w:val="auto"/>
              </w:rPr>
            </w:pPr>
            <w:r>
              <w:rPr>
                <w:rFonts w:ascii="Arial" w:cs="Arial" w:eastAsia="Arial" w:hAnsi="Arial"/>
                <w:sz w:val="18"/>
                <w:szCs w:val="18"/>
                <w:color w:val="auto"/>
              </w:rPr>
              <w:t>Section 2.4.</w:t>
            </w:r>
          </w:p>
        </w:tc>
        <w:tc>
          <w:tcPr>
            <w:tcW w:w="8360" w:type="dxa"/>
            <w:vAlign w:val="bottom"/>
          </w:tcPr>
          <w:p>
            <w:pPr>
              <w:ind w:left="300"/>
              <w:spacing w:after="0"/>
              <w:rPr>
                <w:sz w:val="20"/>
                <w:szCs w:val="20"/>
                <w:color w:val="auto"/>
              </w:rPr>
            </w:pPr>
            <w:r>
              <w:rPr>
                <w:rFonts w:ascii="Arial" w:cs="Arial" w:eastAsia="Arial" w:hAnsi="Arial"/>
                <w:sz w:val="18"/>
                <w:szCs w:val="18"/>
                <w:color w:val="auto"/>
              </w:rPr>
              <w:t>Purpose and Business</w:t>
            </w:r>
          </w:p>
        </w:tc>
        <w:tc>
          <w:tcPr>
            <w:tcW w:w="16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420" w:type="dxa"/>
            <w:vAlign w:val="bottom"/>
          </w:tcPr>
          <w:p>
            <w:pPr>
              <w:ind w:left="260"/>
              <w:spacing w:after="0"/>
              <w:rPr>
                <w:sz w:val="20"/>
                <w:szCs w:val="20"/>
                <w:color w:val="auto"/>
              </w:rPr>
            </w:pPr>
            <w:r>
              <w:rPr>
                <w:rFonts w:ascii="Arial" w:cs="Arial" w:eastAsia="Arial" w:hAnsi="Arial"/>
                <w:sz w:val="18"/>
                <w:szCs w:val="18"/>
                <w:color w:val="auto"/>
              </w:rPr>
              <w:t>Section 2.5.</w:t>
            </w:r>
          </w:p>
        </w:tc>
        <w:tc>
          <w:tcPr>
            <w:tcW w:w="8360" w:type="dxa"/>
            <w:vAlign w:val="bottom"/>
          </w:tcPr>
          <w:p>
            <w:pPr>
              <w:ind w:left="300"/>
              <w:spacing w:after="0"/>
              <w:rPr>
                <w:sz w:val="20"/>
                <w:szCs w:val="20"/>
                <w:color w:val="auto"/>
              </w:rPr>
            </w:pPr>
            <w:r>
              <w:rPr>
                <w:rFonts w:ascii="Arial" w:cs="Arial" w:eastAsia="Arial" w:hAnsi="Arial"/>
                <w:sz w:val="18"/>
                <w:szCs w:val="18"/>
                <w:color w:val="auto"/>
              </w:rPr>
              <w:t>Powers</w:t>
            </w:r>
          </w:p>
        </w:tc>
        <w:tc>
          <w:tcPr>
            <w:tcW w:w="16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420" w:type="dxa"/>
            <w:vAlign w:val="bottom"/>
          </w:tcPr>
          <w:p>
            <w:pPr>
              <w:ind w:left="260"/>
              <w:spacing w:after="0"/>
              <w:rPr>
                <w:sz w:val="20"/>
                <w:szCs w:val="20"/>
                <w:color w:val="auto"/>
              </w:rPr>
            </w:pPr>
            <w:r>
              <w:rPr>
                <w:rFonts w:ascii="Arial" w:cs="Arial" w:eastAsia="Arial" w:hAnsi="Arial"/>
                <w:sz w:val="18"/>
                <w:szCs w:val="18"/>
                <w:color w:val="auto"/>
              </w:rPr>
              <w:t>Section 2.6.</w:t>
            </w:r>
          </w:p>
        </w:tc>
        <w:tc>
          <w:tcPr>
            <w:tcW w:w="8360" w:type="dxa"/>
            <w:vAlign w:val="bottom"/>
          </w:tcPr>
          <w:p>
            <w:pPr>
              <w:ind w:left="300"/>
              <w:spacing w:after="0"/>
              <w:rPr>
                <w:sz w:val="20"/>
                <w:szCs w:val="20"/>
                <w:color w:val="auto"/>
              </w:rPr>
            </w:pPr>
            <w:r>
              <w:rPr>
                <w:rFonts w:ascii="Arial" w:cs="Arial" w:eastAsia="Arial" w:hAnsi="Arial"/>
                <w:sz w:val="18"/>
                <w:szCs w:val="18"/>
                <w:color w:val="auto"/>
              </w:rPr>
              <w:t>Term</w:t>
            </w:r>
          </w:p>
        </w:tc>
        <w:tc>
          <w:tcPr>
            <w:tcW w:w="16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420" w:type="dxa"/>
            <w:vAlign w:val="bottom"/>
          </w:tcPr>
          <w:p>
            <w:pPr>
              <w:ind w:left="260"/>
              <w:spacing w:after="0"/>
              <w:rPr>
                <w:sz w:val="20"/>
                <w:szCs w:val="20"/>
                <w:color w:val="auto"/>
              </w:rPr>
            </w:pPr>
            <w:r>
              <w:rPr>
                <w:rFonts w:ascii="Arial" w:cs="Arial" w:eastAsia="Arial" w:hAnsi="Arial"/>
                <w:sz w:val="18"/>
                <w:szCs w:val="18"/>
                <w:color w:val="auto"/>
              </w:rPr>
              <w:t>Section 2.7.</w:t>
            </w:r>
          </w:p>
        </w:tc>
        <w:tc>
          <w:tcPr>
            <w:tcW w:w="8360" w:type="dxa"/>
            <w:vAlign w:val="bottom"/>
          </w:tcPr>
          <w:p>
            <w:pPr>
              <w:ind w:left="300"/>
              <w:spacing w:after="0"/>
              <w:rPr>
                <w:sz w:val="20"/>
                <w:szCs w:val="20"/>
                <w:color w:val="auto"/>
              </w:rPr>
            </w:pPr>
            <w:r>
              <w:rPr>
                <w:rFonts w:ascii="Arial" w:cs="Arial" w:eastAsia="Arial" w:hAnsi="Arial"/>
                <w:sz w:val="18"/>
                <w:szCs w:val="18"/>
                <w:color w:val="auto"/>
              </w:rPr>
              <w:t>Title to Partnership Assets</w:t>
            </w:r>
          </w:p>
        </w:tc>
        <w:tc>
          <w:tcPr>
            <w:tcW w:w="16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8"/>
        </w:trPr>
        <w:tc>
          <w:tcPr>
            <w:tcW w:w="1420" w:type="dxa"/>
            <w:vAlign w:val="bottom"/>
          </w:tcPr>
          <w:p>
            <w:pPr>
              <w:spacing w:after="0"/>
              <w:rPr>
                <w:sz w:val="20"/>
                <w:szCs w:val="20"/>
                <w:color w:val="auto"/>
              </w:rPr>
            </w:pPr>
            <w:r>
              <w:rPr>
                <w:rFonts w:ascii="Arial" w:cs="Arial" w:eastAsia="Arial" w:hAnsi="Arial"/>
                <w:sz w:val="18"/>
                <w:szCs w:val="18"/>
                <w:color w:val="auto"/>
              </w:rPr>
              <w:t>ARTICLE III</w:t>
            </w:r>
          </w:p>
        </w:tc>
        <w:tc>
          <w:tcPr>
            <w:tcW w:w="8360" w:type="dxa"/>
            <w:vAlign w:val="bottom"/>
          </w:tcPr>
          <w:p>
            <w:pPr>
              <w:ind w:left="300"/>
              <w:spacing w:after="0"/>
              <w:rPr>
                <w:sz w:val="20"/>
                <w:szCs w:val="20"/>
                <w:color w:val="auto"/>
              </w:rPr>
            </w:pPr>
            <w:r>
              <w:rPr>
                <w:rFonts w:ascii="Arial" w:cs="Arial" w:eastAsia="Arial" w:hAnsi="Arial"/>
                <w:sz w:val="18"/>
                <w:szCs w:val="18"/>
                <w:color w:val="auto"/>
              </w:rPr>
              <w:t>RIGHTS OF LIMITED PARTNERS</w:t>
            </w:r>
          </w:p>
        </w:tc>
        <w:tc>
          <w:tcPr>
            <w:tcW w:w="16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420" w:type="dxa"/>
            <w:vAlign w:val="bottom"/>
          </w:tcPr>
          <w:p>
            <w:pPr>
              <w:ind w:left="260"/>
              <w:spacing w:after="0"/>
              <w:rPr>
                <w:sz w:val="20"/>
                <w:szCs w:val="20"/>
                <w:color w:val="auto"/>
              </w:rPr>
            </w:pPr>
            <w:r>
              <w:rPr>
                <w:rFonts w:ascii="Arial" w:cs="Arial" w:eastAsia="Arial" w:hAnsi="Arial"/>
                <w:sz w:val="18"/>
                <w:szCs w:val="18"/>
                <w:color w:val="auto"/>
              </w:rPr>
              <w:t>Section 3.1.</w:t>
            </w:r>
          </w:p>
        </w:tc>
        <w:tc>
          <w:tcPr>
            <w:tcW w:w="8360" w:type="dxa"/>
            <w:vAlign w:val="bottom"/>
          </w:tcPr>
          <w:p>
            <w:pPr>
              <w:ind w:left="300"/>
              <w:spacing w:after="0"/>
              <w:rPr>
                <w:sz w:val="20"/>
                <w:szCs w:val="20"/>
                <w:color w:val="auto"/>
              </w:rPr>
            </w:pPr>
            <w:r>
              <w:rPr>
                <w:rFonts w:ascii="Arial" w:cs="Arial" w:eastAsia="Arial" w:hAnsi="Arial"/>
                <w:sz w:val="18"/>
                <w:szCs w:val="18"/>
                <w:color w:val="auto"/>
              </w:rPr>
              <w:t>Limitation of Liability</w:t>
            </w:r>
          </w:p>
        </w:tc>
        <w:tc>
          <w:tcPr>
            <w:tcW w:w="16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420" w:type="dxa"/>
            <w:vAlign w:val="bottom"/>
          </w:tcPr>
          <w:p>
            <w:pPr>
              <w:ind w:left="260"/>
              <w:spacing w:after="0"/>
              <w:rPr>
                <w:sz w:val="20"/>
                <w:szCs w:val="20"/>
                <w:color w:val="auto"/>
              </w:rPr>
            </w:pPr>
            <w:r>
              <w:rPr>
                <w:rFonts w:ascii="Arial" w:cs="Arial" w:eastAsia="Arial" w:hAnsi="Arial"/>
                <w:sz w:val="18"/>
                <w:szCs w:val="18"/>
                <w:color w:val="auto"/>
              </w:rPr>
              <w:t>Section 3.2.</w:t>
            </w:r>
          </w:p>
        </w:tc>
        <w:tc>
          <w:tcPr>
            <w:tcW w:w="8360" w:type="dxa"/>
            <w:vAlign w:val="bottom"/>
          </w:tcPr>
          <w:p>
            <w:pPr>
              <w:ind w:left="300"/>
              <w:spacing w:after="0"/>
              <w:rPr>
                <w:sz w:val="20"/>
                <w:szCs w:val="20"/>
                <w:color w:val="auto"/>
              </w:rPr>
            </w:pPr>
            <w:r>
              <w:rPr>
                <w:rFonts w:ascii="Arial" w:cs="Arial" w:eastAsia="Arial" w:hAnsi="Arial"/>
                <w:sz w:val="18"/>
                <w:szCs w:val="18"/>
                <w:color w:val="auto"/>
              </w:rPr>
              <w:t>Management of Business</w:t>
            </w:r>
          </w:p>
        </w:tc>
        <w:tc>
          <w:tcPr>
            <w:tcW w:w="16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420" w:type="dxa"/>
            <w:vAlign w:val="bottom"/>
          </w:tcPr>
          <w:p>
            <w:pPr>
              <w:ind w:left="260"/>
              <w:spacing w:after="0"/>
              <w:rPr>
                <w:sz w:val="20"/>
                <w:szCs w:val="20"/>
                <w:color w:val="auto"/>
              </w:rPr>
            </w:pPr>
            <w:r>
              <w:rPr>
                <w:rFonts w:ascii="Arial" w:cs="Arial" w:eastAsia="Arial" w:hAnsi="Arial"/>
                <w:sz w:val="18"/>
                <w:szCs w:val="18"/>
                <w:color w:val="auto"/>
              </w:rPr>
              <w:t>Section 3.3.</w:t>
            </w:r>
          </w:p>
        </w:tc>
        <w:tc>
          <w:tcPr>
            <w:tcW w:w="8360" w:type="dxa"/>
            <w:vAlign w:val="bottom"/>
          </w:tcPr>
          <w:p>
            <w:pPr>
              <w:ind w:left="300"/>
              <w:spacing w:after="0"/>
              <w:rPr>
                <w:sz w:val="20"/>
                <w:szCs w:val="20"/>
                <w:color w:val="auto"/>
              </w:rPr>
            </w:pPr>
            <w:r>
              <w:rPr>
                <w:rFonts w:ascii="Arial" w:cs="Arial" w:eastAsia="Arial" w:hAnsi="Arial"/>
                <w:sz w:val="18"/>
                <w:szCs w:val="18"/>
                <w:color w:val="auto"/>
              </w:rPr>
              <w:t>Outside Activities of the Limited Partners</w:t>
            </w:r>
          </w:p>
        </w:tc>
        <w:tc>
          <w:tcPr>
            <w:tcW w:w="16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420" w:type="dxa"/>
            <w:vAlign w:val="bottom"/>
          </w:tcPr>
          <w:p>
            <w:pPr>
              <w:ind w:left="260"/>
              <w:spacing w:after="0"/>
              <w:rPr>
                <w:sz w:val="20"/>
                <w:szCs w:val="20"/>
                <w:color w:val="auto"/>
              </w:rPr>
            </w:pPr>
            <w:r>
              <w:rPr>
                <w:rFonts w:ascii="Arial" w:cs="Arial" w:eastAsia="Arial" w:hAnsi="Arial"/>
                <w:sz w:val="18"/>
                <w:szCs w:val="18"/>
                <w:color w:val="auto"/>
              </w:rPr>
              <w:t>Section 3.4.</w:t>
            </w:r>
          </w:p>
        </w:tc>
        <w:tc>
          <w:tcPr>
            <w:tcW w:w="8360" w:type="dxa"/>
            <w:vAlign w:val="bottom"/>
          </w:tcPr>
          <w:p>
            <w:pPr>
              <w:ind w:left="300"/>
              <w:spacing w:after="0"/>
              <w:rPr>
                <w:sz w:val="20"/>
                <w:szCs w:val="20"/>
                <w:color w:val="auto"/>
              </w:rPr>
            </w:pPr>
            <w:r>
              <w:rPr>
                <w:rFonts w:ascii="Arial" w:cs="Arial" w:eastAsia="Arial" w:hAnsi="Arial"/>
                <w:sz w:val="18"/>
                <w:szCs w:val="18"/>
                <w:color w:val="auto"/>
              </w:rPr>
              <w:t>Rights of Limited Partners</w:t>
            </w:r>
          </w:p>
        </w:tc>
        <w:tc>
          <w:tcPr>
            <w:tcW w:w="16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8"/>
        </w:trPr>
        <w:tc>
          <w:tcPr>
            <w:tcW w:w="1420" w:type="dxa"/>
            <w:vAlign w:val="bottom"/>
          </w:tcPr>
          <w:p>
            <w:pPr>
              <w:spacing w:after="0"/>
              <w:rPr>
                <w:sz w:val="20"/>
                <w:szCs w:val="20"/>
                <w:color w:val="auto"/>
              </w:rPr>
            </w:pPr>
            <w:r>
              <w:rPr>
                <w:rFonts w:ascii="Arial" w:cs="Arial" w:eastAsia="Arial" w:hAnsi="Arial"/>
                <w:sz w:val="18"/>
                <w:szCs w:val="18"/>
                <w:color w:val="auto"/>
              </w:rPr>
              <w:t>ARTICLE IV</w:t>
            </w:r>
          </w:p>
        </w:tc>
        <w:tc>
          <w:tcPr>
            <w:tcW w:w="8360" w:type="dxa"/>
            <w:vAlign w:val="bottom"/>
          </w:tcPr>
          <w:p>
            <w:pPr>
              <w:ind w:left="300"/>
              <w:spacing w:after="0"/>
              <w:rPr>
                <w:sz w:val="20"/>
                <w:szCs w:val="20"/>
                <w:color w:val="auto"/>
              </w:rPr>
            </w:pPr>
            <w:r>
              <w:rPr>
                <w:rFonts w:ascii="Arial" w:cs="Arial" w:eastAsia="Arial" w:hAnsi="Arial"/>
                <w:sz w:val="18"/>
                <w:szCs w:val="18"/>
                <w:color w:val="auto"/>
              </w:rPr>
              <w:t>CERTIFICATES; RECORD HOLDERS; TRANSFER OF PARTNERSHIP INTERESTS</w:t>
            </w:r>
          </w:p>
        </w:tc>
        <w:tc>
          <w:tcPr>
            <w:tcW w:w="16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20" w:type="dxa"/>
            <w:vAlign w:val="bottom"/>
          </w:tcPr>
          <w:p>
            <w:pPr>
              <w:ind w:left="260"/>
              <w:spacing w:after="0"/>
              <w:rPr>
                <w:sz w:val="20"/>
                <w:szCs w:val="20"/>
                <w:color w:val="auto"/>
              </w:rPr>
            </w:pPr>
            <w:r>
              <w:rPr>
                <w:rFonts w:ascii="Arial" w:cs="Arial" w:eastAsia="Arial" w:hAnsi="Arial"/>
                <w:sz w:val="18"/>
                <w:szCs w:val="18"/>
                <w:color w:val="auto"/>
              </w:rPr>
              <w:t>Section 4.1.</w:t>
            </w:r>
          </w:p>
        </w:tc>
        <w:tc>
          <w:tcPr>
            <w:tcW w:w="8360" w:type="dxa"/>
            <w:vAlign w:val="bottom"/>
          </w:tcPr>
          <w:p>
            <w:pPr>
              <w:ind w:left="300"/>
              <w:spacing w:after="0"/>
              <w:rPr>
                <w:sz w:val="20"/>
                <w:szCs w:val="20"/>
                <w:color w:val="auto"/>
              </w:rPr>
            </w:pPr>
            <w:r>
              <w:rPr>
                <w:rFonts w:ascii="Arial" w:cs="Arial" w:eastAsia="Arial" w:hAnsi="Arial"/>
                <w:sz w:val="18"/>
                <w:szCs w:val="18"/>
                <w:color w:val="auto"/>
              </w:rPr>
              <w:t>Certificates</w:t>
            </w:r>
          </w:p>
        </w:tc>
        <w:tc>
          <w:tcPr>
            <w:tcW w:w="16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20" w:type="dxa"/>
            <w:vAlign w:val="bottom"/>
          </w:tcPr>
          <w:p>
            <w:pPr>
              <w:ind w:left="260"/>
              <w:spacing w:after="0"/>
              <w:rPr>
                <w:sz w:val="20"/>
                <w:szCs w:val="20"/>
                <w:color w:val="auto"/>
              </w:rPr>
            </w:pPr>
            <w:r>
              <w:rPr>
                <w:rFonts w:ascii="Arial" w:cs="Arial" w:eastAsia="Arial" w:hAnsi="Arial"/>
                <w:sz w:val="18"/>
                <w:szCs w:val="18"/>
                <w:color w:val="auto"/>
              </w:rPr>
              <w:t>Section 4.2.</w:t>
            </w:r>
          </w:p>
        </w:tc>
        <w:tc>
          <w:tcPr>
            <w:tcW w:w="8360" w:type="dxa"/>
            <w:vAlign w:val="bottom"/>
          </w:tcPr>
          <w:p>
            <w:pPr>
              <w:ind w:left="300"/>
              <w:spacing w:after="0"/>
              <w:rPr>
                <w:sz w:val="20"/>
                <w:szCs w:val="20"/>
                <w:color w:val="auto"/>
              </w:rPr>
            </w:pPr>
            <w:r>
              <w:rPr>
                <w:rFonts w:ascii="Arial" w:cs="Arial" w:eastAsia="Arial" w:hAnsi="Arial"/>
                <w:sz w:val="18"/>
                <w:szCs w:val="18"/>
                <w:color w:val="auto"/>
              </w:rPr>
              <w:t>Mutilated, Destroyed, Lost or Stolen Certificates</w:t>
            </w:r>
          </w:p>
        </w:tc>
        <w:tc>
          <w:tcPr>
            <w:tcW w:w="16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20" w:type="dxa"/>
            <w:vAlign w:val="bottom"/>
          </w:tcPr>
          <w:p>
            <w:pPr>
              <w:ind w:left="260"/>
              <w:spacing w:after="0"/>
              <w:rPr>
                <w:sz w:val="20"/>
                <w:szCs w:val="20"/>
                <w:color w:val="auto"/>
              </w:rPr>
            </w:pPr>
            <w:r>
              <w:rPr>
                <w:rFonts w:ascii="Arial" w:cs="Arial" w:eastAsia="Arial" w:hAnsi="Arial"/>
                <w:sz w:val="18"/>
                <w:szCs w:val="18"/>
                <w:color w:val="auto"/>
              </w:rPr>
              <w:t>Section 4.3.</w:t>
            </w:r>
          </w:p>
        </w:tc>
        <w:tc>
          <w:tcPr>
            <w:tcW w:w="8360" w:type="dxa"/>
            <w:vAlign w:val="bottom"/>
          </w:tcPr>
          <w:p>
            <w:pPr>
              <w:ind w:left="300"/>
              <w:spacing w:after="0"/>
              <w:rPr>
                <w:sz w:val="20"/>
                <w:szCs w:val="20"/>
                <w:color w:val="auto"/>
              </w:rPr>
            </w:pPr>
            <w:r>
              <w:rPr>
                <w:rFonts w:ascii="Arial" w:cs="Arial" w:eastAsia="Arial" w:hAnsi="Arial"/>
                <w:sz w:val="18"/>
                <w:szCs w:val="18"/>
                <w:color w:val="auto"/>
              </w:rPr>
              <w:t>Record Holders</w:t>
            </w:r>
          </w:p>
        </w:tc>
        <w:tc>
          <w:tcPr>
            <w:tcW w:w="16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20" w:type="dxa"/>
            <w:vAlign w:val="bottom"/>
          </w:tcPr>
          <w:p>
            <w:pPr>
              <w:ind w:left="260"/>
              <w:spacing w:after="0"/>
              <w:rPr>
                <w:sz w:val="20"/>
                <w:szCs w:val="20"/>
                <w:color w:val="auto"/>
              </w:rPr>
            </w:pPr>
            <w:r>
              <w:rPr>
                <w:rFonts w:ascii="Arial" w:cs="Arial" w:eastAsia="Arial" w:hAnsi="Arial"/>
                <w:sz w:val="18"/>
                <w:szCs w:val="18"/>
                <w:color w:val="auto"/>
              </w:rPr>
              <w:t>Section 4.4.</w:t>
            </w:r>
          </w:p>
        </w:tc>
        <w:tc>
          <w:tcPr>
            <w:tcW w:w="8360" w:type="dxa"/>
            <w:vAlign w:val="bottom"/>
          </w:tcPr>
          <w:p>
            <w:pPr>
              <w:ind w:left="300"/>
              <w:spacing w:after="0"/>
              <w:rPr>
                <w:sz w:val="20"/>
                <w:szCs w:val="20"/>
                <w:color w:val="auto"/>
              </w:rPr>
            </w:pPr>
            <w:r>
              <w:rPr>
                <w:rFonts w:ascii="Arial" w:cs="Arial" w:eastAsia="Arial" w:hAnsi="Arial"/>
                <w:sz w:val="18"/>
                <w:szCs w:val="18"/>
                <w:color w:val="auto"/>
              </w:rPr>
              <w:t>Transfer Generally</w:t>
            </w:r>
          </w:p>
        </w:tc>
        <w:tc>
          <w:tcPr>
            <w:tcW w:w="16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20" w:type="dxa"/>
            <w:vAlign w:val="bottom"/>
          </w:tcPr>
          <w:p>
            <w:pPr>
              <w:ind w:left="260"/>
              <w:spacing w:after="0"/>
              <w:rPr>
                <w:sz w:val="20"/>
                <w:szCs w:val="20"/>
                <w:color w:val="auto"/>
              </w:rPr>
            </w:pPr>
            <w:r>
              <w:rPr>
                <w:rFonts w:ascii="Arial" w:cs="Arial" w:eastAsia="Arial" w:hAnsi="Arial"/>
                <w:sz w:val="18"/>
                <w:szCs w:val="18"/>
                <w:color w:val="auto"/>
              </w:rPr>
              <w:t>Section 4.5.</w:t>
            </w:r>
          </w:p>
        </w:tc>
        <w:tc>
          <w:tcPr>
            <w:tcW w:w="8360" w:type="dxa"/>
            <w:vAlign w:val="bottom"/>
          </w:tcPr>
          <w:p>
            <w:pPr>
              <w:ind w:left="300"/>
              <w:spacing w:after="0"/>
              <w:rPr>
                <w:sz w:val="20"/>
                <w:szCs w:val="20"/>
                <w:color w:val="auto"/>
              </w:rPr>
            </w:pPr>
            <w:r>
              <w:rPr>
                <w:rFonts w:ascii="Arial" w:cs="Arial" w:eastAsia="Arial" w:hAnsi="Arial"/>
                <w:sz w:val="18"/>
                <w:szCs w:val="18"/>
                <w:color w:val="auto"/>
              </w:rPr>
              <w:t>Registration and Transfer of Limited Partner Interests</w:t>
            </w:r>
          </w:p>
        </w:tc>
        <w:tc>
          <w:tcPr>
            <w:tcW w:w="1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20" w:type="dxa"/>
            <w:vAlign w:val="bottom"/>
          </w:tcPr>
          <w:p>
            <w:pPr>
              <w:ind w:left="260"/>
              <w:spacing w:after="0"/>
              <w:rPr>
                <w:sz w:val="20"/>
                <w:szCs w:val="20"/>
                <w:color w:val="auto"/>
              </w:rPr>
            </w:pPr>
            <w:r>
              <w:rPr>
                <w:rFonts w:ascii="Arial" w:cs="Arial" w:eastAsia="Arial" w:hAnsi="Arial"/>
                <w:sz w:val="18"/>
                <w:szCs w:val="18"/>
                <w:color w:val="auto"/>
              </w:rPr>
              <w:t>Section 4.6.</w:t>
            </w:r>
          </w:p>
        </w:tc>
        <w:tc>
          <w:tcPr>
            <w:tcW w:w="8360" w:type="dxa"/>
            <w:vAlign w:val="bottom"/>
          </w:tcPr>
          <w:p>
            <w:pPr>
              <w:ind w:left="300"/>
              <w:spacing w:after="0"/>
              <w:rPr>
                <w:sz w:val="20"/>
                <w:szCs w:val="20"/>
                <w:color w:val="auto"/>
              </w:rPr>
            </w:pPr>
            <w:r>
              <w:rPr>
                <w:rFonts w:ascii="Arial" w:cs="Arial" w:eastAsia="Arial" w:hAnsi="Arial"/>
                <w:sz w:val="18"/>
                <w:szCs w:val="18"/>
                <w:color w:val="auto"/>
              </w:rPr>
              <w:t>Transfer of the General Partner’s General Partner Interest</w:t>
            </w:r>
          </w:p>
        </w:tc>
        <w:tc>
          <w:tcPr>
            <w:tcW w:w="1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20" w:type="dxa"/>
            <w:vAlign w:val="bottom"/>
          </w:tcPr>
          <w:p>
            <w:pPr>
              <w:ind w:left="260"/>
              <w:spacing w:after="0"/>
              <w:rPr>
                <w:sz w:val="20"/>
                <w:szCs w:val="20"/>
                <w:color w:val="auto"/>
              </w:rPr>
            </w:pPr>
            <w:r>
              <w:rPr>
                <w:rFonts w:ascii="Arial" w:cs="Arial" w:eastAsia="Arial" w:hAnsi="Arial"/>
                <w:sz w:val="18"/>
                <w:szCs w:val="18"/>
                <w:color w:val="auto"/>
              </w:rPr>
              <w:t>Section 4.7.</w:t>
            </w:r>
          </w:p>
        </w:tc>
        <w:tc>
          <w:tcPr>
            <w:tcW w:w="8360" w:type="dxa"/>
            <w:vAlign w:val="bottom"/>
          </w:tcPr>
          <w:p>
            <w:pPr>
              <w:ind w:left="300"/>
              <w:spacing w:after="0"/>
              <w:rPr>
                <w:sz w:val="20"/>
                <w:szCs w:val="20"/>
                <w:color w:val="auto"/>
              </w:rPr>
            </w:pPr>
            <w:r>
              <w:rPr>
                <w:rFonts w:ascii="Arial" w:cs="Arial" w:eastAsia="Arial" w:hAnsi="Arial"/>
                <w:sz w:val="18"/>
                <w:szCs w:val="18"/>
                <w:color w:val="auto"/>
              </w:rPr>
              <w:t>Transfer of Incentive Distribution Rights</w:t>
            </w:r>
          </w:p>
        </w:tc>
        <w:tc>
          <w:tcPr>
            <w:tcW w:w="1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420" w:type="dxa"/>
            <w:vAlign w:val="bottom"/>
          </w:tcPr>
          <w:p>
            <w:pPr>
              <w:ind w:left="260"/>
              <w:spacing w:after="0"/>
              <w:rPr>
                <w:sz w:val="20"/>
                <w:szCs w:val="20"/>
                <w:color w:val="auto"/>
              </w:rPr>
            </w:pPr>
            <w:r>
              <w:rPr>
                <w:rFonts w:ascii="Arial" w:cs="Arial" w:eastAsia="Arial" w:hAnsi="Arial"/>
                <w:sz w:val="18"/>
                <w:szCs w:val="18"/>
                <w:color w:val="auto"/>
              </w:rPr>
              <w:t>Section 4.8.</w:t>
            </w:r>
          </w:p>
        </w:tc>
        <w:tc>
          <w:tcPr>
            <w:tcW w:w="8360" w:type="dxa"/>
            <w:vAlign w:val="bottom"/>
          </w:tcPr>
          <w:p>
            <w:pPr>
              <w:ind w:left="300"/>
              <w:spacing w:after="0"/>
              <w:rPr>
                <w:sz w:val="20"/>
                <w:szCs w:val="20"/>
                <w:color w:val="auto"/>
              </w:rPr>
            </w:pPr>
            <w:r>
              <w:rPr>
                <w:rFonts w:ascii="Arial" w:cs="Arial" w:eastAsia="Arial" w:hAnsi="Arial"/>
                <w:sz w:val="18"/>
                <w:szCs w:val="18"/>
                <w:color w:val="auto"/>
              </w:rPr>
              <w:t>Restrictions on Transfers</w:t>
            </w:r>
          </w:p>
        </w:tc>
        <w:tc>
          <w:tcPr>
            <w:tcW w:w="1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8"/>
        </w:trPr>
        <w:tc>
          <w:tcPr>
            <w:tcW w:w="1420" w:type="dxa"/>
            <w:vAlign w:val="bottom"/>
          </w:tcPr>
          <w:p>
            <w:pPr>
              <w:spacing w:after="0"/>
              <w:rPr>
                <w:sz w:val="20"/>
                <w:szCs w:val="20"/>
                <w:color w:val="auto"/>
              </w:rPr>
            </w:pPr>
            <w:r>
              <w:rPr>
                <w:rFonts w:ascii="Arial" w:cs="Arial" w:eastAsia="Arial" w:hAnsi="Arial"/>
                <w:sz w:val="18"/>
                <w:szCs w:val="18"/>
                <w:color w:val="auto"/>
              </w:rPr>
              <w:t>ARTICLE V</w:t>
            </w:r>
          </w:p>
        </w:tc>
        <w:tc>
          <w:tcPr>
            <w:tcW w:w="8360" w:type="dxa"/>
            <w:vAlign w:val="bottom"/>
          </w:tcPr>
          <w:p>
            <w:pPr>
              <w:ind w:left="300"/>
              <w:spacing w:after="0"/>
              <w:rPr>
                <w:sz w:val="20"/>
                <w:szCs w:val="20"/>
                <w:color w:val="auto"/>
              </w:rPr>
            </w:pPr>
            <w:r>
              <w:rPr>
                <w:rFonts w:ascii="Arial" w:cs="Arial" w:eastAsia="Arial" w:hAnsi="Arial"/>
                <w:sz w:val="18"/>
                <w:szCs w:val="18"/>
                <w:color w:val="auto"/>
              </w:rPr>
              <w:t>CAPITAL CONTRIBUTIONS AND ISSUANCE OF PARTNERSHIP INTERESTS</w:t>
            </w:r>
          </w:p>
        </w:tc>
        <w:tc>
          <w:tcPr>
            <w:tcW w:w="1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420" w:type="dxa"/>
            <w:vAlign w:val="bottom"/>
          </w:tcPr>
          <w:p>
            <w:pPr>
              <w:ind w:left="260"/>
              <w:spacing w:after="0"/>
              <w:rPr>
                <w:sz w:val="20"/>
                <w:szCs w:val="20"/>
                <w:color w:val="auto"/>
              </w:rPr>
            </w:pPr>
            <w:r>
              <w:rPr>
                <w:rFonts w:ascii="Arial" w:cs="Arial" w:eastAsia="Arial" w:hAnsi="Arial"/>
                <w:sz w:val="18"/>
                <w:szCs w:val="18"/>
                <w:color w:val="auto"/>
              </w:rPr>
              <w:t>Section 5.1.</w:t>
            </w:r>
          </w:p>
        </w:tc>
        <w:tc>
          <w:tcPr>
            <w:tcW w:w="8360" w:type="dxa"/>
            <w:vAlign w:val="bottom"/>
          </w:tcPr>
          <w:p>
            <w:pPr>
              <w:ind w:left="300"/>
              <w:spacing w:after="0"/>
              <w:rPr>
                <w:sz w:val="20"/>
                <w:szCs w:val="20"/>
                <w:color w:val="auto"/>
              </w:rPr>
            </w:pPr>
            <w:r>
              <w:rPr>
                <w:rFonts w:ascii="Arial" w:cs="Arial" w:eastAsia="Arial" w:hAnsi="Arial"/>
                <w:sz w:val="18"/>
                <w:szCs w:val="18"/>
                <w:color w:val="auto"/>
              </w:rPr>
              <w:t>Contributions Prior to the Closing Date</w:t>
            </w:r>
          </w:p>
        </w:tc>
        <w:tc>
          <w:tcPr>
            <w:tcW w:w="1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420" w:type="dxa"/>
            <w:vAlign w:val="bottom"/>
          </w:tcPr>
          <w:p>
            <w:pPr>
              <w:ind w:left="260"/>
              <w:spacing w:after="0"/>
              <w:rPr>
                <w:sz w:val="20"/>
                <w:szCs w:val="20"/>
                <w:color w:val="auto"/>
              </w:rPr>
            </w:pPr>
            <w:r>
              <w:rPr>
                <w:rFonts w:ascii="Arial" w:cs="Arial" w:eastAsia="Arial" w:hAnsi="Arial"/>
                <w:sz w:val="18"/>
                <w:szCs w:val="18"/>
                <w:color w:val="auto"/>
              </w:rPr>
              <w:t>Section 5.2.</w:t>
            </w:r>
          </w:p>
        </w:tc>
        <w:tc>
          <w:tcPr>
            <w:tcW w:w="8360" w:type="dxa"/>
            <w:vAlign w:val="bottom"/>
          </w:tcPr>
          <w:p>
            <w:pPr>
              <w:ind w:left="300"/>
              <w:spacing w:after="0"/>
              <w:rPr>
                <w:sz w:val="20"/>
                <w:szCs w:val="20"/>
                <w:color w:val="auto"/>
              </w:rPr>
            </w:pPr>
            <w:r>
              <w:rPr>
                <w:rFonts w:ascii="Arial" w:cs="Arial" w:eastAsia="Arial" w:hAnsi="Arial"/>
                <w:sz w:val="18"/>
                <w:szCs w:val="18"/>
                <w:color w:val="auto"/>
              </w:rPr>
              <w:t>Initial Unit Issuances; Tax Election; Initial Contributors and Redemption of Common Units</w:t>
            </w:r>
          </w:p>
        </w:tc>
        <w:tc>
          <w:tcPr>
            <w:tcW w:w="1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420" w:type="dxa"/>
            <w:vAlign w:val="bottom"/>
          </w:tcPr>
          <w:p>
            <w:pPr>
              <w:ind w:left="260"/>
              <w:spacing w:after="0"/>
              <w:rPr>
                <w:sz w:val="20"/>
                <w:szCs w:val="20"/>
                <w:color w:val="auto"/>
              </w:rPr>
            </w:pPr>
            <w:r>
              <w:rPr>
                <w:rFonts w:ascii="Arial" w:cs="Arial" w:eastAsia="Arial" w:hAnsi="Arial"/>
                <w:sz w:val="18"/>
                <w:szCs w:val="18"/>
                <w:color w:val="auto"/>
              </w:rPr>
              <w:t>Section 5.3.</w:t>
            </w:r>
          </w:p>
        </w:tc>
        <w:tc>
          <w:tcPr>
            <w:tcW w:w="8360" w:type="dxa"/>
            <w:vAlign w:val="bottom"/>
          </w:tcPr>
          <w:p>
            <w:pPr>
              <w:ind w:left="300"/>
              <w:spacing w:after="0"/>
              <w:rPr>
                <w:sz w:val="20"/>
                <w:szCs w:val="20"/>
                <w:color w:val="auto"/>
              </w:rPr>
            </w:pPr>
            <w:r>
              <w:rPr>
                <w:rFonts w:ascii="Arial" w:cs="Arial" w:eastAsia="Arial" w:hAnsi="Arial"/>
                <w:sz w:val="18"/>
                <w:szCs w:val="18"/>
                <w:color w:val="auto"/>
              </w:rPr>
              <w:t>Interest and Withdrawal</w:t>
            </w:r>
          </w:p>
        </w:tc>
        <w:tc>
          <w:tcPr>
            <w:tcW w:w="1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420" w:type="dxa"/>
            <w:vAlign w:val="bottom"/>
          </w:tcPr>
          <w:p>
            <w:pPr>
              <w:ind w:left="260"/>
              <w:spacing w:after="0"/>
              <w:rPr>
                <w:sz w:val="20"/>
                <w:szCs w:val="20"/>
                <w:color w:val="auto"/>
              </w:rPr>
            </w:pPr>
            <w:r>
              <w:rPr>
                <w:rFonts w:ascii="Arial" w:cs="Arial" w:eastAsia="Arial" w:hAnsi="Arial"/>
                <w:sz w:val="18"/>
                <w:szCs w:val="18"/>
                <w:color w:val="auto"/>
              </w:rPr>
              <w:t>Section 5.4.</w:t>
            </w:r>
          </w:p>
        </w:tc>
        <w:tc>
          <w:tcPr>
            <w:tcW w:w="8360" w:type="dxa"/>
            <w:vAlign w:val="bottom"/>
          </w:tcPr>
          <w:p>
            <w:pPr>
              <w:ind w:left="300"/>
              <w:spacing w:after="0"/>
              <w:rPr>
                <w:sz w:val="20"/>
                <w:szCs w:val="20"/>
                <w:color w:val="auto"/>
              </w:rPr>
            </w:pPr>
            <w:r>
              <w:rPr>
                <w:rFonts w:ascii="Arial" w:cs="Arial" w:eastAsia="Arial" w:hAnsi="Arial"/>
                <w:sz w:val="18"/>
                <w:szCs w:val="18"/>
                <w:color w:val="auto"/>
              </w:rPr>
              <w:t>Issuances of Additional Partnership Interests</w:t>
            </w:r>
          </w:p>
        </w:tc>
        <w:tc>
          <w:tcPr>
            <w:tcW w:w="1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420" w:type="dxa"/>
            <w:vAlign w:val="bottom"/>
          </w:tcPr>
          <w:p>
            <w:pPr>
              <w:ind w:left="260"/>
              <w:spacing w:after="0"/>
              <w:rPr>
                <w:sz w:val="20"/>
                <w:szCs w:val="20"/>
                <w:color w:val="auto"/>
              </w:rPr>
            </w:pPr>
            <w:r>
              <w:rPr>
                <w:rFonts w:ascii="Arial" w:cs="Arial" w:eastAsia="Arial" w:hAnsi="Arial"/>
                <w:sz w:val="18"/>
                <w:szCs w:val="18"/>
                <w:color w:val="auto"/>
              </w:rPr>
              <w:t>Section 5.5.</w:t>
            </w:r>
          </w:p>
        </w:tc>
        <w:tc>
          <w:tcPr>
            <w:tcW w:w="8360" w:type="dxa"/>
            <w:vAlign w:val="bottom"/>
          </w:tcPr>
          <w:p>
            <w:pPr>
              <w:ind w:left="300"/>
              <w:spacing w:after="0"/>
              <w:rPr>
                <w:sz w:val="20"/>
                <w:szCs w:val="20"/>
                <w:color w:val="auto"/>
              </w:rPr>
            </w:pPr>
            <w:r>
              <w:rPr>
                <w:rFonts w:ascii="Arial" w:cs="Arial" w:eastAsia="Arial" w:hAnsi="Arial"/>
                <w:sz w:val="18"/>
                <w:szCs w:val="18"/>
                <w:color w:val="auto"/>
              </w:rPr>
              <w:t>Limitations on Issuance of Additional Partnership Interests</w:t>
            </w:r>
          </w:p>
        </w:tc>
        <w:tc>
          <w:tcPr>
            <w:tcW w:w="16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420" w:type="dxa"/>
            <w:vAlign w:val="bottom"/>
          </w:tcPr>
          <w:p>
            <w:pPr>
              <w:ind w:left="260"/>
              <w:spacing w:after="0"/>
              <w:rPr>
                <w:sz w:val="20"/>
                <w:szCs w:val="20"/>
                <w:color w:val="auto"/>
              </w:rPr>
            </w:pPr>
            <w:r>
              <w:rPr>
                <w:rFonts w:ascii="Arial" w:cs="Arial" w:eastAsia="Arial" w:hAnsi="Arial"/>
                <w:sz w:val="18"/>
                <w:szCs w:val="18"/>
                <w:color w:val="auto"/>
              </w:rPr>
              <w:t>Section 5.6.</w:t>
            </w:r>
          </w:p>
        </w:tc>
        <w:tc>
          <w:tcPr>
            <w:tcW w:w="8360" w:type="dxa"/>
            <w:vAlign w:val="bottom"/>
          </w:tcPr>
          <w:p>
            <w:pPr>
              <w:ind w:left="300"/>
              <w:spacing w:after="0"/>
              <w:rPr>
                <w:sz w:val="20"/>
                <w:szCs w:val="20"/>
                <w:color w:val="auto"/>
              </w:rPr>
            </w:pPr>
            <w:r>
              <w:rPr>
                <w:rFonts w:ascii="Arial" w:cs="Arial" w:eastAsia="Arial" w:hAnsi="Arial"/>
                <w:sz w:val="18"/>
                <w:szCs w:val="18"/>
                <w:color w:val="auto"/>
              </w:rPr>
              <w:t>Limited Preemptive Right</w:t>
            </w:r>
          </w:p>
        </w:tc>
        <w:tc>
          <w:tcPr>
            <w:tcW w:w="16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420" w:type="dxa"/>
            <w:vAlign w:val="bottom"/>
          </w:tcPr>
          <w:p>
            <w:pPr>
              <w:ind w:left="260"/>
              <w:spacing w:after="0"/>
              <w:rPr>
                <w:sz w:val="20"/>
                <w:szCs w:val="20"/>
                <w:color w:val="auto"/>
              </w:rPr>
            </w:pPr>
            <w:r>
              <w:rPr>
                <w:rFonts w:ascii="Arial" w:cs="Arial" w:eastAsia="Arial" w:hAnsi="Arial"/>
                <w:sz w:val="18"/>
                <w:szCs w:val="18"/>
                <w:color w:val="auto"/>
              </w:rPr>
              <w:t>Section 5.7.</w:t>
            </w:r>
          </w:p>
        </w:tc>
        <w:tc>
          <w:tcPr>
            <w:tcW w:w="8360" w:type="dxa"/>
            <w:vAlign w:val="bottom"/>
          </w:tcPr>
          <w:p>
            <w:pPr>
              <w:ind w:left="300"/>
              <w:spacing w:after="0"/>
              <w:rPr>
                <w:sz w:val="20"/>
                <w:szCs w:val="20"/>
                <w:color w:val="auto"/>
              </w:rPr>
            </w:pPr>
            <w:r>
              <w:rPr>
                <w:rFonts w:ascii="Arial" w:cs="Arial" w:eastAsia="Arial" w:hAnsi="Arial"/>
                <w:sz w:val="18"/>
                <w:szCs w:val="18"/>
                <w:color w:val="auto"/>
              </w:rPr>
              <w:t>Splits and Combinations</w:t>
            </w:r>
          </w:p>
        </w:tc>
        <w:tc>
          <w:tcPr>
            <w:tcW w:w="1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420" w:type="dxa"/>
            <w:vAlign w:val="bottom"/>
          </w:tcPr>
          <w:p>
            <w:pPr>
              <w:ind w:left="260"/>
              <w:spacing w:after="0"/>
              <w:rPr>
                <w:sz w:val="20"/>
                <w:szCs w:val="20"/>
                <w:color w:val="auto"/>
              </w:rPr>
            </w:pPr>
            <w:r>
              <w:rPr>
                <w:rFonts w:ascii="Arial" w:cs="Arial" w:eastAsia="Arial" w:hAnsi="Arial"/>
                <w:sz w:val="18"/>
                <w:szCs w:val="18"/>
                <w:color w:val="auto"/>
              </w:rPr>
              <w:t>Section 5.8.</w:t>
            </w:r>
          </w:p>
        </w:tc>
        <w:tc>
          <w:tcPr>
            <w:tcW w:w="8360" w:type="dxa"/>
            <w:vAlign w:val="bottom"/>
          </w:tcPr>
          <w:p>
            <w:pPr>
              <w:ind w:left="300"/>
              <w:spacing w:after="0"/>
              <w:rPr>
                <w:sz w:val="20"/>
                <w:szCs w:val="20"/>
                <w:color w:val="auto"/>
              </w:rPr>
            </w:pPr>
            <w:r>
              <w:rPr>
                <w:rFonts w:ascii="Arial" w:cs="Arial" w:eastAsia="Arial" w:hAnsi="Arial"/>
                <w:sz w:val="18"/>
                <w:szCs w:val="18"/>
                <w:color w:val="auto"/>
              </w:rPr>
              <w:t>Fully Paid and Non-Assessable Nature of Limited Partner Interests</w:t>
            </w:r>
          </w:p>
        </w:tc>
        <w:tc>
          <w:tcPr>
            <w:tcW w:w="1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420" w:type="dxa"/>
            <w:vAlign w:val="bottom"/>
          </w:tcPr>
          <w:p>
            <w:pPr>
              <w:ind w:left="260"/>
              <w:spacing w:after="0"/>
              <w:rPr>
                <w:sz w:val="20"/>
                <w:szCs w:val="20"/>
                <w:color w:val="auto"/>
              </w:rPr>
            </w:pPr>
            <w:r>
              <w:rPr>
                <w:rFonts w:ascii="Arial" w:cs="Arial" w:eastAsia="Arial" w:hAnsi="Arial"/>
                <w:sz w:val="18"/>
                <w:szCs w:val="18"/>
                <w:color w:val="auto"/>
              </w:rPr>
              <w:t>Section 5.9.</w:t>
            </w:r>
          </w:p>
        </w:tc>
        <w:tc>
          <w:tcPr>
            <w:tcW w:w="8360" w:type="dxa"/>
            <w:vAlign w:val="bottom"/>
          </w:tcPr>
          <w:p>
            <w:pPr>
              <w:ind w:left="300"/>
              <w:spacing w:after="0"/>
              <w:rPr>
                <w:sz w:val="20"/>
                <w:szCs w:val="20"/>
                <w:color w:val="auto"/>
              </w:rPr>
            </w:pPr>
            <w:r>
              <w:rPr>
                <w:rFonts w:ascii="Arial" w:cs="Arial" w:eastAsia="Arial" w:hAnsi="Arial"/>
                <w:sz w:val="18"/>
                <w:szCs w:val="18"/>
                <w:color w:val="auto"/>
              </w:rPr>
              <w:t>Issuance of Common Units in Connection with Reset of Incentive Distribution Rights</w:t>
            </w:r>
          </w:p>
        </w:tc>
        <w:tc>
          <w:tcPr>
            <w:tcW w:w="1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32"/>
        </w:trPr>
        <w:tc>
          <w:tcPr>
            <w:tcW w:w="1420" w:type="dxa"/>
            <w:vAlign w:val="bottom"/>
          </w:tcPr>
          <w:p>
            <w:pPr>
              <w:spacing w:after="0"/>
              <w:rPr>
                <w:sz w:val="24"/>
                <w:szCs w:val="24"/>
                <w:color w:val="auto"/>
              </w:rPr>
            </w:pPr>
          </w:p>
        </w:tc>
        <w:tc>
          <w:tcPr>
            <w:tcW w:w="8360" w:type="dxa"/>
            <w:vAlign w:val="bottom"/>
          </w:tcPr>
          <w:p>
            <w:pPr>
              <w:ind w:left="4260"/>
              <w:spacing w:after="0"/>
              <w:rPr>
                <w:sz w:val="20"/>
                <w:szCs w:val="20"/>
                <w:color w:val="auto"/>
              </w:rPr>
            </w:pPr>
            <w:r>
              <w:rPr>
                <w:rFonts w:ascii="Arial" w:cs="Arial" w:eastAsia="Arial" w:hAnsi="Arial"/>
                <w:sz w:val="18"/>
                <w:szCs w:val="18"/>
                <w:color w:val="auto"/>
              </w:rPr>
              <w:t>i</w:t>
            </w:r>
          </w:p>
        </w:tc>
        <w:tc>
          <w:tcPr>
            <w:tcW w:w="1680" w:type="dxa"/>
            <w:vAlign w:val="bottom"/>
          </w:tcPr>
          <w:p>
            <w:pPr>
              <w:spacing w:after="0"/>
              <w:rPr>
                <w:sz w:val="24"/>
                <w:szCs w:val="24"/>
                <w:color w:val="auto"/>
              </w:rPr>
            </w:pPr>
          </w:p>
        </w:tc>
      </w:tr>
      <w:tr>
        <w:trPr>
          <w:trHeight w:val="132"/>
        </w:trPr>
        <w:tc>
          <w:tcPr>
            <w:tcW w:w="1420" w:type="dxa"/>
            <w:vAlign w:val="bottom"/>
            <w:tcBorders>
              <w:bottom w:val="single" w:sz="8" w:color="808080"/>
            </w:tcBorders>
          </w:tcPr>
          <w:p>
            <w:pPr>
              <w:spacing w:after="0"/>
              <w:rPr>
                <w:sz w:val="11"/>
                <w:szCs w:val="11"/>
                <w:color w:val="auto"/>
              </w:rPr>
            </w:pPr>
          </w:p>
        </w:tc>
        <w:tc>
          <w:tcPr>
            <w:tcW w:w="8360" w:type="dxa"/>
            <w:vAlign w:val="bottom"/>
            <w:tcBorders>
              <w:bottom w:val="single" w:sz="8" w:color="808080"/>
            </w:tcBorders>
          </w:tcPr>
          <w:p>
            <w:pPr>
              <w:spacing w:after="0"/>
              <w:rPr>
                <w:sz w:val="11"/>
                <w:szCs w:val="11"/>
                <w:color w:val="auto"/>
              </w:rPr>
            </w:pPr>
          </w:p>
        </w:tc>
        <w:tc>
          <w:tcPr>
            <w:tcW w:w="1680" w:type="dxa"/>
            <w:vAlign w:val="bottom"/>
            <w:tcBorders>
              <w:bottom w:val="single" w:sz="8" w:color="808080"/>
            </w:tcBorders>
          </w:tcPr>
          <w:p>
            <w:pPr>
              <w:spacing w:after="0"/>
              <w:rPr>
                <w:sz w:val="11"/>
                <w:szCs w:val="11"/>
                <w:color w:val="auto"/>
              </w:rPr>
            </w:pPr>
          </w:p>
        </w:tc>
      </w:tr>
      <w:tr>
        <w:trPr>
          <w:trHeight w:val="766"/>
        </w:trPr>
        <w:tc>
          <w:tcPr>
            <w:tcW w:w="1420" w:type="dxa"/>
            <w:vAlign w:val="bottom"/>
          </w:tcPr>
          <w:p>
            <w:pPr>
              <w:spacing w:after="0"/>
              <w:rPr>
                <w:sz w:val="20"/>
                <w:szCs w:val="20"/>
                <w:color w:val="auto"/>
              </w:rPr>
            </w:pPr>
            <w:r>
              <w:rPr>
                <w:rFonts w:ascii="Arial" w:cs="Arial" w:eastAsia="Arial" w:hAnsi="Arial"/>
                <w:sz w:val="18"/>
                <w:szCs w:val="18"/>
                <w:color w:val="auto"/>
              </w:rPr>
              <w:t>ARTICLE VI</w:t>
            </w:r>
          </w:p>
        </w:tc>
        <w:tc>
          <w:tcPr>
            <w:tcW w:w="8360" w:type="dxa"/>
            <w:vAlign w:val="bottom"/>
          </w:tcPr>
          <w:p>
            <w:pPr>
              <w:ind w:left="300"/>
              <w:spacing w:after="0"/>
              <w:rPr>
                <w:sz w:val="20"/>
                <w:szCs w:val="20"/>
                <w:color w:val="auto"/>
              </w:rPr>
            </w:pPr>
            <w:r>
              <w:rPr>
                <w:rFonts w:ascii="Arial" w:cs="Arial" w:eastAsia="Arial" w:hAnsi="Arial"/>
                <w:sz w:val="18"/>
                <w:szCs w:val="18"/>
                <w:color w:val="auto"/>
              </w:rPr>
              <w:t>DISTRIBUTIONS</w:t>
            </w:r>
          </w:p>
        </w:tc>
        <w:tc>
          <w:tcPr>
            <w:tcW w:w="16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420" w:type="dxa"/>
            <w:vAlign w:val="bottom"/>
          </w:tcPr>
          <w:p>
            <w:pPr>
              <w:ind w:left="260"/>
              <w:spacing w:after="0"/>
              <w:rPr>
                <w:sz w:val="20"/>
                <w:szCs w:val="20"/>
                <w:color w:val="auto"/>
              </w:rPr>
            </w:pPr>
            <w:r>
              <w:rPr>
                <w:rFonts w:ascii="Arial" w:cs="Arial" w:eastAsia="Arial" w:hAnsi="Arial"/>
                <w:sz w:val="18"/>
                <w:szCs w:val="18"/>
                <w:color w:val="auto"/>
              </w:rPr>
              <w:t>Section 6.1.</w:t>
            </w:r>
          </w:p>
        </w:tc>
        <w:tc>
          <w:tcPr>
            <w:tcW w:w="8360" w:type="dxa"/>
            <w:vAlign w:val="bottom"/>
          </w:tcPr>
          <w:p>
            <w:pPr>
              <w:ind w:left="300"/>
              <w:spacing w:after="0"/>
              <w:rPr>
                <w:sz w:val="20"/>
                <w:szCs w:val="20"/>
                <w:color w:val="auto"/>
              </w:rPr>
            </w:pPr>
            <w:r>
              <w:rPr>
                <w:rFonts w:ascii="Arial" w:cs="Arial" w:eastAsia="Arial" w:hAnsi="Arial"/>
                <w:sz w:val="18"/>
                <w:szCs w:val="18"/>
                <w:color w:val="auto"/>
              </w:rPr>
              <w:t>Allocations</w:t>
            </w:r>
          </w:p>
        </w:tc>
        <w:tc>
          <w:tcPr>
            <w:tcW w:w="16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420" w:type="dxa"/>
            <w:vAlign w:val="bottom"/>
          </w:tcPr>
          <w:p>
            <w:pPr>
              <w:ind w:left="260"/>
              <w:spacing w:after="0"/>
              <w:rPr>
                <w:sz w:val="20"/>
                <w:szCs w:val="20"/>
                <w:color w:val="auto"/>
              </w:rPr>
            </w:pPr>
            <w:r>
              <w:rPr>
                <w:rFonts w:ascii="Arial" w:cs="Arial" w:eastAsia="Arial" w:hAnsi="Arial"/>
                <w:sz w:val="18"/>
                <w:szCs w:val="18"/>
                <w:color w:val="auto"/>
              </w:rPr>
              <w:t>Section 6.2.</w:t>
            </w:r>
          </w:p>
        </w:tc>
        <w:tc>
          <w:tcPr>
            <w:tcW w:w="8360" w:type="dxa"/>
            <w:vAlign w:val="bottom"/>
          </w:tcPr>
          <w:p>
            <w:pPr>
              <w:ind w:left="300"/>
              <w:spacing w:after="0"/>
              <w:rPr>
                <w:sz w:val="20"/>
                <w:szCs w:val="20"/>
                <w:color w:val="auto"/>
              </w:rPr>
            </w:pPr>
            <w:r>
              <w:rPr>
                <w:rFonts w:ascii="Arial" w:cs="Arial" w:eastAsia="Arial" w:hAnsi="Arial"/>
                <w:sz w:val="18"/>
                <w:szCs w:val="18"/>
                <w:color w:val="auto"/>
              </w:rPr>
              <w:t>Requirement and Characterization of Distributions; Distributions to Record Holders</w:t>
            </w:r>
          </w:p>
        </w:tc>
        <w:tc>
          <w:tcPr>
            <w:tcW w:w="16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420" w:type="dxa"/>
            <w:vAlign w:val="bottom"/>
          </w:tcPr>
          <w:p>
            <w:pPr>
              <w:ind w:left="260"/>
              <w:spacing w:after="0"/>
              <w:rPr>
                <w:sz w:val="20"/>
                <w:szCs w:val="20"/>
                <w:color w:val="auto"/>
              </w:rPr>
            </w:pPr>
            <w:r>
              <w:rPr>
                <w:rFonts w:ascii="Arial" w:cs="Arial" w:eastAsia="Arial" w:hAnsi="Arial"/>
                <w:sz w:val="18"/>
                <w:szCs w:val="18"/>
                <w:color w:val="auto"/>
              </w:rPr>
              <w:t>Section 6.3.</w:t>
            </w:r>
          </w:p>
        </w:tc>
        <w:tc>
          <w:tcPr>
            <w:tcW w:w="8360" w:type="dxa"/>
            <w:vAlign w:val="bottom"/>
          </w:tcPr>
          <w:p>
            <w:pPr>
              <w:ind w:left="300"/>
              <w:spacing w:after="0"/>
              <w:rPr>
                <w:sz w:val="20"/>
                <w:szCs w:val="20"/>
                <w:color w:val="auto"/>
              </w:rPr>
            </w:pPr>
            <w:r>
              <w:rPr>
                <w:rFonts w:ascii="Arial" w:cs="Arial" w:eastAsia="Arial" w:hAnsi="Arial"/>
                <w:sz w:val="18"/>
                <w:szCs w:val="18"/>
                <w:color w:val="auto"/>
              </w:rPr>
              <w:t>Distributions of Available Cash from Operating Surplus</w:t>
            </w:r>
          </w:p>
        </w:tc>
        <w:tc>
          <w:tcPr>
            <w:tcW w:w="16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420" w:type="dxa"/>
            <w:vAlign w:val="bottom"/>
          </w:tcPr>
          <w:p>
            <w:pPr>
              <w:ind w:left="260"/>
              <w:spacing w:after="0"/>
              <w:rPr>
                <w:sz w:val="20"/>
                <w:szCs w:val="20"/>
                <w:color w:val="auto"/>
              </w:rPr>
            </w:pPr>
            <w:r>
              <w:rPr>
                <w:rFonts w:ascii="Arial" w:cs="Arial" w:eastAsia="Arial" w:hAnsi="Arial"/>
                <w:sz w:val="18"/>
                <w:szCs w:val="18"/>
                <w:color w:val="auto"/>
              </w:rPr>
              <w:t>Section 6.4.</w:t>
            </w:r>
          </w:p>
        </w:tc>
        <w:tc>
          <w:tcPr>
            <w:tcW w:w="8360" w:type="dxa"/>
            <w:vAlign w:val="bottom"/>
          </w:tcPr>
          <w:p>
            <w:pPr>
              <w:ind w:left="300"/>
              <w:spacing w:after="0"/>
              <w:rPr>
                <w:sz w:val="20"/>
                <w:szCs w:val="20"/>
                <w:color w:val="auto"/>
              </w:rPr>
            </w:pPr>
            <w:r>
              <w:rPr>
                <w:rFonts w:ascii="Arial" w:cs="Arial" w:eastAsia="Arial" w:hAnsi="Arial"/>
                <w:sz w:val="18"/>
                <w:szCs w:val="18"/>
                <w:color w:val="auto"/>
              </w:rPr>
              <w:t>Distributions of Available Cash from Capital Surplus</w:t>
            </w:r>
          </w:p>
        </w:tc>
        <w:tc>
          <w:tcPr>
            <w:tcW w:w="16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420" w:type="dxa"/>
            <w:vAlign w:val="bottom"/>
          </w:tcPr>
          <w:p>
            <w:pPr>
              <w:ind w:left="260"/>
              <w:spacing w:after="0"/>
              <w:rPr>
                <w:sz w:val="20"/>
                <w:szCs w:val="20"/>
                <w:color w:val="auto"/>
              </w:rPr>
            </w:pPr>
            <w:r>
              <w:rPr>
                <w:rFonts w:ascii="Arial" w:cs="Arial" w:eastAsia="Arial" w:hAnsi="Arial"/>
                <w:sz w:val="18"/>
                <w:szCs w:val="18"/>
                <w:color w:val="auto"/>
              </w:rPr>
              <w:t>Section 6.5.</w:t>
            </w:r>
          </w:p>
        </w:tc>
        <w:tc>
          <w:tcPr>
            <w:tcW w:w="8360" w:type="dxa"/>
            <w:vAlign w:val="bottom"/>
          </w:tcPr>
          <w:p>
            <w:pPr>
              <w:ind w:left="300"/>
              <w:spacing w:after="0"/>
              <w:rPr>
                <w:sz w:val="20"/>
                <w:szCs w:val="20"/>
                <w:color w:val="auto"/>
              </w:rPr>
            </w:pPr>
            <w:r>
              <w:rPr>
                <w:rFonts w:ascii="Arial" w:cs="Arial" w:eastAsia="Arial" w:hAnsi="Arial"/>
                <w:sz w:val="18"/>
                <w:szCs w:val="18"/>
                <w:color w:val="auto"/>
              </w:rPr>
              <w:t>Adjustment of Minimum Quarterly Distribution and Target Distribution Levels</w:t>
            </w:r>
          </w:p>
        </w:tc>
        <w:tc>
          <w:tcPr>
            <w:tcW w:w="16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1420" w:type="dxa"/>
            <w:vAlign w:val="bottom"/>
          </w:tcPr>
          <w:p>
            <w:pPr>
              <w:ind w:left="260"/>
              <w:spacing w:after="0"/>
              <w:rPr>
                <w:sz w:val="20"/>
                <w:szCs w:val="20"/>
                <w:color w:val="auto"/>
              </w:rPr>
            </w:pPr>
            <w:r>
              <w:rPr>
                <w:rFonts w:ascii="Arial" w:cs="Arial" w:eastAsia="Arial" w:hAnsi="Arial"/>
                <w:sz w:val="18"/>
                <w:szCs w:val="18"/>
                <w:color w:val="auto"/>
              </w:rPr>
              <w:t>Section 6.6.</w:t>
            </w:r>
          </w:p>
        </w:tc>
        <w:tc>
          <w:tcPr>
            <w:tcW w:w="8360" w:type="dxa"/>
            <w:vAlign w:val="bottom"/>
          </w:tcPr>
          <w:p>
            <w:pPr>
              <w:ind w:left="300"/>
              <w:spacing w:after="0"/>
              <w:rPr>
                <w:sz w:val="20"/>
                <w:szCs w:val="20"/>
                <w:color w:val="auto"/>
              </w:rPr>
            </w:pPr>
            <w:r>
              <w:rPr>
                <w:rFonts w:ascii="Arial" w:cs="Arial" w:eastAsia="Arial" w:hAnsi="Arial"/>
                <w:sz w:val="18"/>
                <w:szCs w:val="18"/>
                <w:color w:val="auto"/>
              </w:rPr>
              <w:t>Special Provisions Relating to the Holders of Incentive Distribution Rights</w:t>
            </w:r>
          </w:p>
        </w:tc>
        <w:tc>
          <w:tcPr>
            <w:tcW w:w="16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18"/>
        </w:trPr>
        <w:tc>
          <w:tcPr>
            <w:tcW w:w="1420" w:type="dxa"/>
            <w:vAlign w:val="bottom"/>
          </w:tcPr>
          <w:p>
            <w:pPr>
              <w:spacing w:after="0"/>
              <w:rPr>
                <w:sz w:val="20"/>
                <w:szCs w:val="20"/>
                <w:color w:val="auto"/>
              </w:rPr>
            </w:pPr>
            <w:r>
              <w:rPr>
                <w:rFonts w:ascii="Arial" w:cs="Arial" w:eastAsia="Arial" w:hAnsi="Arial"/>
                <w:sz w:val="18"/>
                <w:szCs w:val="18"/>
                <w:color w:val="auto"/>
              </w:rPr>
              <w:t>ARTICLE VII</w:t>
            </w:r>
          </w:p>
        </w:tc>
        <w:tc>
          <w:tcPr>
            <w:tcW w:w="8360" w:type="dxa"/>
            <w:vAlign w:val="bottom"/>
          </w:tcPr>
          <w:p>
            <w:pPr>
              <w:ind w:left="300"/>
              <w:spacing w:after="0"/>
              <w:rPr>
                <w:sz w:val="20"/>
                <w:szCs w:val="20"/>
                <w:color w:val="auto"/>
              </w:rPr>
            </w:pPr>
            <w:r>
              <w:rPr>
                <w:rFonts w:ascii="Arial" w:cs="Arial" w:eastAsia="Arial" w:hAnsi="Arial"/>
                <w:sz w:val="18"/>
                <w:szCs w:val="18"/>
                <w:color w:val="auto"/>
              </w:rPr>
              <w:t>MANAGEMENT AND OPERATION OF BUSINESS</w:t>
            </w:r>
          </w:p>
        </w:tc>
        <w:tc>
          <w:tcPr>
            <w:tcW w:w="16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420" w:type="dxa"/>
            <w:vAlign w:val="bottom"/>
          </w:tcPr>
          <w:p>
            <w:pPr>
              <w:ind w:left="260"/>
              <w:spacing w:after="0"/>
              <w:rPr>
                <w:sz w:val="20"/>
                <w:szCs w:val="20"/>
                <w:color w:val="auto"/>
              </w:rPr>
            </w:pPr>
            <w:r>
              <w:rPr>
                <w:rFonts w:ascii="Arial" w:cs="Arial" w:eastAsia="Arial" w:hAnsi="Arial"/>
                <w:sz w:val="18"/>
                <w:szCs w:val="18"/>
                <w:color w:val="auto"/>
              </w:rPr>
              <w:t>Section 7.1.</w:t>
            </w:r>
          </w:p>
        </w:tc>
        <w:tc>
          <w:tcPr>
            <w:tcW w:w="8360" w:type="dxa"/>
            <w:vAlign w:val="bottom"/>
          </w:tcPr>
          <w:p>
            <w:pPr>
              <w:ind w:left="300"/>
              <w:spacing w:after="0"/>
              <w:rPr>
                <w:sz w:val="20"/>
                <w:szCs w:val="20"/>
                <w:color w:val="auto"/>
              </w:rPr>
            </w:pPr>
            <w:r>
              <w:rPr>
                <w:rFonts w:ascii="Arial" w:cs="Arial" w:eastAsia="Arial" w:hAnsi="Arial"/>
                <w:sz w:val="18"/>
                <w:szCs w:val="18"/>
                <w:color w:val="auto"/>
              </w:rPr>
              <w:t>Management</w:t>
            </w:r>
          </w:p>
        </w:tc>
        <w:tc>
          <w:tcPr>
            <w:tcW w:w="16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420" w:type="dxa"/>
            <w:vAlign w:val="bottom"/>
          </w:tcPr>
          <w:p>
            <w:pPr>
              <w:ind w:left="260"/>
              <w:spacing w:after="0"/>
              <w:rPr>
                <w:sz w:val="20"/>
                <w:szCs w:val="20"/>
                <w:color w:val="auto"/>
              </w:rPr>
            </w:pPr>
            <w:r>
              <w:rPr>
                <w:rFonts w:ascii="Arial" w:cs="Arial" w:eastAsia="Arial" w:hAnsi="Arial"/>
                <w:sz w:val="18"/>
                <w:szCs w:val="18"/>
                <w:color w:val="auto"/>
              </w:rPr>
              <w:t>Section 7.2.</w:t>
            </w:r>
          </w:p>
        </w:tc>
        <w:tc>
          <w:tcPr>
            <w:tcW w:w="8360" w:type="dxa"/>
            <w:vAlign w:val="bottom"/>
          </w:tcPr>
          <w:p>
            <w:pPr>
              <w:ind w:left="300"/>
              <w:spacing w:after="0"/>
              <w:rPr>
                <w:sz w:val="20"/>
                <w:szCs w:val="20"/>
                <w:color w:val="auto"/>
              </w:rPr>
            </w:pPr>
            <w:r>
              <w:rPr>
                <w:rFonts w:ascii="Arial" w:cs="Arial" w:eastAsia="Arial" w:hAnsi="Arial"/>
                <w:sz w:val="18"/>
                <w:szCs w:val="18"/>
                <w:color w:val="auto"/>
              </w:rPr>
              <w:t>Election and Appointment; Term; Manner of Acting</w:t>
            </w:r>
          </w:p>
        </w:tc>
        <w:tc>
          <w:tcPr>
            <w:tcW w:w="16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420" w:type="dxa"/>
            <w:vAlign w:val="bottom"/>
          </w:tcPr>
          <w:p>
            <w:pPr>
              <w:ind w:left="260"/>
              <w:spacing w:after="0"/>
              <w:rPr>
                <w:sz w:val="20"/>
                <w:szCs w:val="20"/>
                <w:color w:val="auto"/>
              </w:rPr>
            </w:pPr>
            <w:r>
              <w:rPr>
                <w:rFonts w:ascii="Arial" w:cs="Arial" w:eastAsia="Arial" w:hAnsi="Arial"/>
                <w:sz w:val="18"/>
                <w:szCs w:val="18"/>
                <w:color w:val="auto"/>
              </w:rPr>
              <w:t>Section 7.3.</w:t>
            </w:r>
          </w:p>
        </w:tc>
        <w:tc>
          <w:tcPr>
            <w:tcW w:w="8360" w:type="dxa"/>
            <w:vAlign w:val="bottom"/>
          </w:tcPr>
          <w:p>
            <w:pPr>
              <w:ind w:left="300"/>
              <w:spacing w:after="0"/>
              <w:rPr>
                <w:sz w:val="20"/>
                <w:szCs w:val="20"/>
                <w:color w:val="auto"/>
              </w:rPr>
            </w:pPr>
            <w:r>
              <w:rPr>
                <w:rFonts w:ascii="Arial" w:cs="Arial" w:eastAsia="Arial" w:hAnsi="Arial"/>
                <w:sz w:val="18"/>
                <w:szCs w:val="18"/>
                <w:color w:val="auto"/>
              </w:rPr>
              <w:t>Nominations of Elected Directors</w:t>
            </w:r>
          </w:p>
        </w:tc>
        <w:tc>
          <w:tcPr>
            <w:tcW w:w="16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1420" w:type="dxa"/>
            <w:vAlign w:val="bottom"/>
          </w:tcPr>
          <w:p>
            <w:pPr>
              <w:ind w:left="260"/>
              <w:spacing w:after="0"/>
              <w:rPr>
                <w:sz w:val="20"/>
                <w:szCs w:val="20"/>
                <w:color w:val="auto"/>
              </w:rPr>
            </w:pPr>
            <w:r>
              <w:rPr>
                <w:rFonts w:ascii="Arial" w:cs="Arial" w:eastAsia="Arial" w:hAnsi="Arial"/>
                <w:sz w:val="18"/>
                <w:szCs w:val="18"/>
                <w:color w:val="auto"/>
              </w:rPr>
              <w:t>Section 7.4.</w:t>
            </w:r>
          </w:p>
        </w:tc>
        <w:tc>
          <w:tcPr>
            <w:tcW w:w="8360" w:type="dxa"/>
            <w:vAlign w:val="bottom"/>
          </w:tcPr>
          <w:p>
            <w:pPr>
              <w:ind w:left="300"/>
              <w:spacing w:after="0"/>
              <w:rPr>
                <w:sz w:val="20"/>
                <w:szCs w:val="20"/>
                <w:color w:val="auto"/>
              </w:rPr>
            </w:pPr>
            <w:r>
              <w:rPr>
                <w:rFonts w:ascii="Arial" w:cs="Arial" w:eastAsia="Arial" w:hAnsi="Arial"/>
                <w:sz w:val="18"/>
                <w:szCs w:val="18"/>
                <w:color w:val="auto"/>
              </w:rPr>
              <w:t>Removal of Members of Board of Directors</w:t>
            </w:r>
          </w:p>
        </w:tc>
        <w:tc>
          <w:tcPr>
            <w:tcW w:w="168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-2171065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-2171065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7.5.</w:t>
            </w:r>
          </w:p>
        </w:tc>
        <w:tc>
          <w:tcPr>
            <w:tcW w:w="8460" w:type="dxa"/>
            <w:vAlign w:val="bottom"/>
          </w:tcPr>
          <w:p>
            <w:pPr>
              <w:ind w:left="200"/>
              <w:spacing w:after="0"/>
              <w:rPr>
                <w:sz w:val="20"/>
                <w:szCs w:val="20"/>
                <w:color w:val="auto"/>
              </w:rPr>
            </w:pPr>
            <w:r>
              <w:rPr>
                <w:rFonts w:ascii="Arial" w:cs="Arial" w:eastAsia="Arial" w:hAnsi="Arial"/>
                <w:sz w:val="18"/>
                <w:szCs w:val="18"/>
                <w:color w:val="auto"/>
              </w:rPr>
              <w:t>Resignations of Members of the Board of Directors</w:t>
            </w:r>
          </w:p>
        </w:tc>
        <w:tc>
          <w:tcPr>
            <w:tcW w:w="14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7.6.</w:t>
            </w:r>
          </w:p>
        </w:tc>
        <w:tc>
          <w:tcPr>
            <w:tcW w:w="8460" w:type="dxa"/>
            <w:vAlign w:val="bottom"/>
          </w:tcPr>
          <w:p>
            <w:pPr>
              <w:ind w:left="200"/>
              <w:spacing w:after="0"/>
              <w:rPr>
                <w:sz w:val="20"/>
                <w:szCs w:val="20"/>
                <w:color w:val="auto"/>
              </w:rPr>
            </w:pPr>
            <w:r>
              <w:rPr>
                <w:rFonts w:ascii="Arial" w:cs="Arial" w:eastAsia="Arial" w:hAnsi="Arial"/>
                <w:sz w:val="18"/>
                <w:szCs w:val="18"/>
                <w:color w:val="auto"/>
              </w:rPr>
              <w:t>Vacancies on the Board of Directors</w:t>
            </w:r>
          </w:p>
        </w:tc>
        <w:tc>
          <w:tcPr>
            <w:tcW w:w="14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7.7.</w:t>
            </w:r>
          </w:p>
        </w:tc>
        <w:tc>
          <w:tcPr>
            <w:tcW w:w="8460" w:type="dxa"/>
            <w:vAlign w:val="bottom"/>
          </w:tcPr>
          <w:p>
            <w:pPr>
              <w:ind w:left="200"/>
              <w:spacing w:after="0"/>
              <w:rPr>
                <w:sz w:val="20"/>
                <w:szCs w:val="20"/>
                <w:color w:val="auto"/>
              </w:rPr>
            </w:pPr>
            <w:r>
              <w:rPr>
                <w:rFonts w:ascii="Arial" w:cs="Arial" w:eastAsia="Arial" w:hAnsi="Arial"/>
                <w:sz w:val="18"/>
                <w:szCs w:val="18"/>
                <w:color w:val="auto"/>
              </w:rPr>
              <w:t>Meetings; Committees; Chairman</w:t>
            </w:r>
          </w:p>
        </w:tc>
        <w:tc>
          <w:tcPr>
            <w:tcW w:w="14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7.8.</w:t>
            </w:r>
          </w:p>
        </w:tc>
        <w:tc>
          <w:tcPr>
            <w:tcW w:w="8460" w:type="dxa"/>
            <w:vAlign w:val="bottom"/>
          </w:tcPr>
          <w:p>
            <w:pPr>
              <w:ind w:left="200"/>
              <w:spacing w:after="0"/>
              <w:rPr>
                <w:sz w:val="20"/>
                <w:szCs w:val="20"/>
                <w:color w:val="auto"/>
              </w:rPr>
            </w:pPr>
            <w:r>
              <w:rPr>
                <w:rFonts w:ascii="Arial" w:cs="Arial" w:eastAsia="Arial" w:hAnsi="Arial"/>
                <w:sz w:val="18"/>
                <w:szCs w:val="18"/>
                <w:color w:val="auto"/>
              </w:rPr>
              <w:t>Officers</w:t>
            </w:r>
          </w:p>
        </w:tc>
        <w:tc>
          <w:tcPr>
            <w:tcW w:w="14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7.9.</w:t>
            </w:r>
          </w:p>
        </w:tc>
        <w:tc>
          <w:tcPr>
            <w:tcW w:w="8460" w:type="dxa"/>
            <w:vAlign w:val="bottom"/>
          </w:tcPr>
          <w:p>
            <w:pPr>
              <w:ind w:left="200"/>
              <w:spacing w:after="0"/>
              <w:rPr>
                <w:sz w:val="20"/>
                <w:szCs w:val="20"/>
                <w:color w:val="auto"/>
              </w:rPr>
            </w:pPr>
            <w:r>
              <w:rPr>
                <w:rFonts w:ascii="Arial" w:cs="Arial" w:eastAsia="Arial" w:hAnsi="Arial"/>
                <w:sz w:val="18"/>
                <w:szCs w:val="18"/>
                <w:color w:val="auto"/>
              </w:rPr>
              <w:t>Compensation of Directors</w:t>
            </w:r>
          </w:p>
        </w:tc>
        <w:tc>
          <w:tcPr>
            <w:tcW w:w="14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7.10.</w:t>
            </w:r>
          </w:p>
        </w:tc>
        <w:tc>
          <w:tcPr>
            <w:tcW w:w="8460" w:type="dxa"/>
            <w:vAlign w:val="bottom"/>
          </w:tcPr>
          <w:p>
            <w:pPr>
              <w:ind w:left="200"/>
              <w:spacing w:after="0"/>
              <w:rPr>
                <w:sz w:val="20"/>
                <w:szCs w:val="20"/>
                <w:color w:val="auto"/>
              </w:rPr>
            </w:pPr>
            <w:r>
              <w:rPr>
                <w:rFonts w:ascii="Arial" w:cs="Arial" w:eastAsia="Arial" w:hAnsi="Arial"/>
                <w:sz w:val="18"/>
                <w:szCs w:val="18"/>
                <w:color w:val="auto"/>
              </w:rPr>
              <w:t>Certificate of Limited Partnership</w:t>
            </w:r>
          </w:p>
        </w:tc>
        <w:tc>
          <w:tcPr>
            <w:tcW w:w="14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7.11.</w:t>
            </w:r>
          </w:p>
        </w:tc>
        <w:tc>
          <w:tcPr>
            <w:tcW w:w="8460" w:type="dxa"/>
            <w:vAlign w:val="bottom"/>
          </w:tcPr>
          <w:p>
            <w:pPr>
              <w:ind w:left="200"/>
              <w:spacing w:after="0"/>
              <w:rPr>
                <w:sz w:val="20"/>
                <w:szCs w:val="20"/>
                <w:color w:val="auto"/>
              </w:rPr>
            </w:pPr>
            <w:r>
              <w:rPr>
                <w:rFonts w:ascii="Arial" w:cs="Arial" w:eastAsia="Arial" w:hAnsi="Arial"/>
                <w:sz w:val="18"/>
                <w:szCs w:val="18"/>
                <w:color w:val="auto"/>
              </w:rPr>
              <w:t>Restrictions on the Authority of the Board of Directors and the General Partner</w:t>
            </w:r>
          </w:p>
        </w:tc>
        <w:tc>
          <w:tcPr>
            <w:tcW w:w="14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7.12.</w:t>
            </w:r>
          </w:p>
        </w:tc>
        <w:tc>
          <w:tcPr>
            <w:tcW w:w="8460" w:type="dxa"/>
            <w:vAlign w:val="bottom"/>
          </w:tcPr>
          <w:p>
            <w:pPr>
              <w:ind w:left="200"/>
              <w:spacing w:after="0"/>
              <w:rPr>
                <w:sz w:val="20"/>
                <w:szCs w:val="20"/>
                <w:color w:val="auto"/>
              </w:rPr>
            </w:pPr>
            <w:r>
              <w:rPr>
                <w:rFonts w:ascii="Arial" w:cs="Arial" w:eastAsia="Arial" w:hAnsi="Arial"/>
                <w:sz w:val="18"/>
                <w:szCs w:val="18"/>
                <w:color w:val="auto"/>
              </w:rPr>
              <w:t>Reimbursement of the General Partner</w:t>
            </w:r>
          </w:p>
        </w:tc>
        <w:tc>
          <w:tcPr>
            <w:tcW w:w="14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7.13.</w:t>
            </w:r>
          </w:p>
        </w:tc>
        <w:tc>
          <w:tcPr>
            <w:tcW w:w="8460" w:type="dxa"/>
            <w:vAlign w:val="bottom"/>
          </w:tcPr>
          <w:p>
            <w:pPr>
              <w:ind w:left="200"/>
              <w:spacing w:after="0"/>
              <w:rPr>
                <w:sz w:val="20"/>
                <w:szCs w:val="20"/>
                <w:color w:val="auto"/>
              </w:rPr>
            </w:pPr>
            <w:r>
              <w:rPr>
                <w:rFonts w:ascii="Arial" w:cs="Arial" w:eastAsia="Arial" w:hAnsi="Arial"/>
                <w:sz w:val="18"/>
                <w:szCs w:val="18"/>
                <w:color w:val="auto"/>
              </w:rPr>
              <w:t>Outside Activities</w:t>
            </w:r>
          </w:p>
        </w:tc>
        <w:tc>
          <w:tcPr>
            <w:tcW w:w="14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7.14.</w:t>
            </w:r>
          </w:p>
        </w:tc>
        <w:tc>
          <w:tcPr>
            <w:tcW w:w="8460" w:type="dxa"/>
            <w:vAlign w:val="bottom"/>
          </w:tcPr>
          <w:p>
            <w:pPr>
              <w:ind w:left="200"/>
              <w:spacing w:after="0"/>
              <w:rPr>
                <w:sz w:val="20"/>
                <w:szCs w:val="20"/>
                <w:color w:val="auto"/>
              </w:rPr>
            </w:pPr>
            <w:r>
              <w:rPr>
                <w:rFonts w:ascii="Arial" w:cs="Arial" w:eastAsia="Arial" w:hAnsi="Arial"/>
                <w:sz w:val="18"/>
                <w:szCs w:val="18"/>
                <w:color w:val="auto"/>
              </w:rPr>
              <w:t>Loans from the General Partner; Loans or Contributions from the Partnership or Group Members</w:t>
            </w:r>
          </w:p>
        </w:tc>
        <w:tc>
          <w:tcPr>
            <w:tcW w:w="14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7.15.</w:t>
            </w:r>
          </w:p>
        </w:tc>
        <w:tc>
          <w:tcPr>
            <w:tcW w:w="8460" w:type="dxa"/>
            <w:vAlign w:val="bottom"/>
          </w:tcPr>
          <w:p>
            <w:pPr>
              <w:ind w:left="200"/>
              <w:spacing w:after="0"/>
              <w:rPr>
                <w:sz w:val="20"/>
                <w:szCs w:val="20"/>
                <w:color w:val="auto"/>
              </w:rPr>
            </w:pPr>
            <w:r>
              <w:rPr>
                <w:rFonts w:ascii="Arial" w:cs="Arial" w:eastAsia="Arial" w:hAnsi="Arial"/>
                <w:sz w:val="18"/>
                <w:szCs w:val="18"/>
                <w:color w:val="auto"/>
              </w:rPr>
              <w:t>Indemnification</w:t>
            </w:r>
          </w:p>
        </w:tc>
        <w:tc>
          <w:tcPr>
            <w:tcW w:w="14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7.16.</w:t>
            </w:r>
          </w:p>
        </w:tc>
        <w:tc>
          <w:tcPr>
            <w:tcW w:w="8460" w:type="dxa"/>
            <w:vAlign w:val="bottom"/>
          </w:tcPr>
          <w:p>
            <w:pPr>
              <w:ind w:left="200"/>
              <w:spacing w:after="0"/>
              <w:rPr>
                <w:sz w:val="20"/>
                <w:szCs w:val="20"/>
                <w:color w:val="auto"/>
              </w:rPr>
            </w:pPr>
            <w:r>
              <w:rPr>
                <w:rFonts w:ascii="Arial" w:cs="Arial" w:eastAsia="Arial" w:hAnsi="Arial"/>
                <w:sz w:val="18"/>
                <w:szCs w:val="18"/>
                <w:color w:val="auto"/>
              </w:rPr>
              <w:t>Liability of Indemnitees</w:t>
            </w:r>
          </w:p>
        </w:tc>
        <w:tc>
          <w:tcPr>
            <w:tcW w:w="14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7.17.</w:t>
            </w:r>
          </w:p>
        </w:tc>
        <w:tc>
          <w:tcPr>
            <w:tcW w:w="8460" w:type="dxa"/>
            <w:vAlign w:val="bottom"/>
          </w:tcPr>
          <w:p>
            <w:pPr>
              <w:ind w:left="200"/>
              <w:spacing w:after="0"/>
              <w:rPr>
                <w:sz w:val="20"/>
                <w:szCs w:val="20"/>
                <w:color w:val="auto"/>
              </w:rPr>
            </w:pPr>
            <w:r>
              <w:rPr>
                <w:rFonts w:ascii="Arial" w:cs="Arial" w:eastAsia="Arial" w:hAnsi="Arial"/>
                <w:sz w:val="18"/>
                <w:szCs w:val="18"/>
                <w:color w:val="auto"/>
              </w:rPr>
              <w:t>Resolution of Conflicts of Interest; Standards of Conduct and Modification of Duties</w:t>
            </w:r>
          </w:p>
        </w:tc>
        <w:tc>
          <w:tcPr>
            <w:tcW w:w="14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7.18.</w:t>
            </w:r>
          </w:p>
        </w:tc>
        <w:tc>
          <w:tcPr>
            <w:tcW w:w="8460" w:type="dxa"/>
            <w:vAlign w:val="bottom"/>
          </w:tcPr>
          <w:p>
            <w:pPr>
              <w:ind w:left="200"/>
              <w:spacing w:after="0"/>
              <w:rPr>
                <w:sz w:val="20"/>
                <w:szCs w:val="20"/>
                <w:color w:val="auto"/>
              </w:rPr>
            </w:pPr>
            <w:r>
              <w:rPr>
                <w:rFonts w:ascii="Arial" w:cs="Arial" w:eastAsia="Arial" w:hAnsi="Arial"/>
                <w:sz w:val="18"/>
                <w:szCs w:val="18"/>
                <w:color w:val="auto"/>
              </w:rPr>
              <w:t>Other Matters Concerning the General Partner and the Board of Directors</w:t>
            </w:r>
          </w:p>
        </w:tc>
        <w:tc>
          <w:tcPr>
            <w:tcW w:w="14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7.19.</w:t>
            </w:r>
          </w:p>
        </w:tc>
        <w:tc>
          <w:tcPr>
            <w:tcW w:w="8460" w:type="dxa"/>
            <w:vAlign w:val="bottom"/>
          </w:tcPr>
          <w:p>
            <w:pPr>
              <w:ind w:left="200"/>
              <w:spacing w:after="0"/>
              <w:rPr>
                <w:sz w:val="20"/>
                <w:szCs w:val="20"/>
                <w:color w:val="auto"/>
              </w:rPr>
            </w:pPr>
            <w:r>
              <w:rPr>
                <w:rFonts w:ascii="Arial" w:cs="Arial" w:eastAsia="Arial" w:hAnsi="Arial"/>
                <w:sz w:val="18"/>
                <w:szCs w:val="18"/>
                <w:color w:val="auto"/>
              </w:rPr>
              <w:t>Purchase or Sale of Partnership Interests</w:t>
            </w:r>
          </w:p>
        </w:tc>
        <w:tc>
          <w:tcPr>
            <w:tcW w:w="14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7.20.</w:t>
            </w:r>
          </w:p>
        </w:tc>
        <w:tc>
          <w:tcPr>
            <w:tcW w:w="8460" w:type="dxa"/>
            <w:vAlign w:val="bottom"/>
          </w:tcPr>
          <w:p>
            <w:pPr>
              <w:ind w:left="200"/>
              <w:spacing w:after="0"/>
              <w:rPr>
                <w:sz w:val="20"/>
                <w:szCs w:val="20"/>
                <w:color w:val="auto"/>
              </w:rPr>
            </w:pPr>
            <w:r>
              <w:rPr>
                <w:rFonts w:ascii="Arial" w:cs="Arial" w:eastAsia="Arial" w:hAnsi="Arial"/>
                <w:sz w:val="18"/>
                <w:szCs w:val="18"/>
                <w:color w:val="auto"/>
              </w:rPr>
              <w:t>Registration Rights of the General Partner and its Affiliates</w:t>
            </w:r>
          </w:p>
        </w:tc>
        <w:tc>
          <w:tcPr>
            <w:tcW w:w="14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1520" w:type="dxa"/>
            <w:vAlign w:val="bottom"/>
          </w:tcPr>
          <w:p>
            <w:pPr>
              <w:ind w:left="260"/>
              <w:spacing w:after="0"/>
              <w:rPr>
                <w:sz w:val="20"/>
                <w:szCs w:val="20"/>
                <w:color w:val="auto"/>
              </w:rPr>
            </w:pPr>
            <w:r>
              <w:rPr>
                <w:rFonts w:ascii="Arial" w:cs="Arial" w:eastAsia="Arial" w:hAnsi="Arial"/>
                <w:sz w:val="18"/>
                <w:szCs w:val="18"/>
                <w:color w:val="auto"/>
              </w:rPr>
              <w:t>Section 7.21.</w:t>
            </w:r>
          </w:p>
        </w:tc>
        <w:tc>
          <w:tcPr>
            <w:tcW w:w="8460" w:type="dxa"/>
            <w:vAlign w:val="bottom"/>
          </w:tcPr>
          <w:p>
            <w:pPr>
              <w:ind w:left="200"/>
              <w:spacing w:after="0"/>
              <w:rPr>
                <w:sz w:val="20"/>
                <w:szCs w:val="20"/>
                <w:color w:val="auto"/>
              </w:rPr>
            </w:pPr>
            <w:r>
              <w:rPr>
                <w:rFonts w:ascii="Arial" w:cs="Arial" w:eastAsia="Arial" w:hAnsi="Arial"/>
                <w:sz w:val="18"/>
                <w:szCs w:val="18"/>
                <w:color w:val="auto"/>
              </w:rPr>
              <w:t>Reliance by Third Parties</w:t>
            </w:r>
          </w:p>
        </w:tc>
        <w:tc>
          <w:tcPr>
            <w:tcW w:w="14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18"/>
        </w:trPr>
        <w:tc>
          <w:tcPr>
            <w:tcW w:w="1520" w:type="dxa"/>
            <w:vAlign w:val="bottom"/>
          </w:tcPr>
          <w:p>
            <w:pPr>
              <w:spacing w:after="0"/>
              <w:rPr>
                <w:sz w:val="20"/>
                <w:szCs w:val="20"/>
                <w:color w:val="auto"/>
              </w:rPr>
            </w:pPr>
            <w:r>
              <w:rPr>
                <w:rFonts w:ascii="Arial" w:cs="Arial" w:eastAsia="Arial" w:hAnsi="Arial"/>
                <w:sz w:val="18"/>
                <w:szCs w:val="18"/>
                <w:color w:val="auto"/>
              </w:rPr>
              <w:t>ARTICLE VIII</w:t>
            </w:r>
          </w:p>
        </w:tc>
        <w:tc>
          <w:tcPr>
            <w:tcW w:w="8460" w:type="dxa"/>
            <w:vAlign w:val="bottom"/>
          </w:tcPr>
          <w:p>
            <w:pPr>
              <w:ind w:left="200"/>
              <w:spacing w:after="0"/>
              <w:rPr>
                <w:sz w:val="20"/>
                <w:szCs w:val="20"/>
                <w:color w:val="auto"/>
              </w:rPr>
            </w:pPr>
            <w:r>
              <w:rPr>
                <w:rFonts w:ascii="Arial" w:cs="Arial" w:eastAsia="Arial" w:hAnsi="Arial"/>
                <w:sz w:val="18"/>
                <w:szCs w:val="18"/>
                <w:color w:val="auto"/>
              </w:rPr>
              <w:t>BOOKS, RECORDS, ACCOUNTING AND REPORTS</w:t>
            </w:r>
          </w:p>
        </w:tc>
        <w:tc>
          <w:tcPr>
            <w:tcW w:w="14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8.1.</w:t>
            </w:r>
          </w:p>
        </w:tc>
        <w:tc>
          <w:tcPr>
            <w:tcW w:w="8460" w:type="dxa"/>
            <w:vAlign w:val="bottom"/>
          </w:tcPr>
          <w:p>
            <w:pPr>
              <w:ind w:left="200"/>
              <w:spacing w:after="0"/>
              <w:rPr>
                <w:sz w:val="20"/>
                <w:szCs w:val="20"/>
                <w:color w:val="auto"/>
              </w:rPr>
            </w:pPr>
            <w:r>
              <w:rPr>
                <w:rFonts w:ascii="Arial" w:cs="Arial" w:eastAsia="Arial" w:hAnsi="Arial"/>
                <w:sz w:val="18"/>
                <w:szCs w:val="18"/>
                <w:color w:val="auto"/>
              </w:rPr>
              <w:t>Records and Accounting</w:t>
            </w:r>
          </w:p>
        </w:tc>
        <w:tc>
          <w:tcPr>
            <w:tcW w:w="14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8.2.</w:t>
            </w:r>
          </w:p>
        </w:tc>
        <w:tc>
          <w:tcPr>
            <w:tcW w:w="8460" w:type="dxa"/>
            <w:vAlign w:val="bottom"/>
          </w:tcPr>
          <w:p>
            <w:pPr>
              <w:ind w:left="200"/>
              <w:spacing w:after="0"/>
              <w:rPr>
                <w:sz w:val="20"/>
                <w:szCs w:val="20"/>
                <w:color w:val="auto"/>
              </w:rPr>
            </w:pPr>
            <w:r>
              <w:rPr>
                <w:rFonts w:ascii="Arial" w:cs="Arial" w:eastAsia="Arial" w:hAnsi="Arial"/>
                <w:sz w:val="18"/>
                <w:szCs w:val="18"/>
                <w:color w:val="auto"/>
              </w:rPr>
              <w:t>Fiscal Year</w:t>
            </w:r>
          </w:p>
        </w:tc>
        <w:tc>
          <w:tcPr>
            <w:tcW w:w="14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1520" w:type="dxa"/>
            <w:vAlign w:val="bottom"/>
          </w:tcPr>
          <w:p>
            <w:pPr>
              <w:ind w:left="260"/>
              <w:spacing w:after="0"/>
              <w:rPr>
                <w:sz w:val="20"/>
                <w:szCs w:val="20"/>
                <w:color w:val="auto"/>
              </w:rPr>
            </w:pPr>
            <w:r>
              <w:rPr>
                <w:rFonts w:ascii="Arial" w:cs="Arial" w:eastAsia="Arial" w:hAnsi="Arial"/>
                <w:sz w:val="18"/>
                <w:szCs w:val="18"/>
                <w:color w:val="auto"/>
              </w:rPr>
              <w:t>Section 8.3.</w:t>
            </w:r>
          </w:p>
        </w:tc>
        <w:tc>
          <w:tcPr>
            <w:tcW w:w="8460" w:type="dxa"/>
            <w:vAlign w:val="bottom"/>
          </w:tcPr>
          <w:p>
            <w:pPr>
              <w:ind w:left="200"/>
              <w:spacing w:after="0"/>
              <w:rPr>
                <w:sz w:val="20"/>
                <w:szCs w:val="20"/>
                <w:color w:val="auto"/>
              </w:rPr>
            </w:pPr>
            <w:r>
              <w:rPr>
                <w:rFonts w:ascii="Arial" w:cs="Arial" w:eastAsia="Arial" w:hAnsi="Arial"/>
                <w:sz w:val="18"/>
                <w:szCs w:val="18"/>
                <w:color w:val="auto"/>
              </w:rPr>
              <w:t>Reports</w:t>
            </w:r>
          </w:p>
        </w:tc>
        <w:tc>
          <w:tcPr>
            <w:tcW w:w="14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18"/>
        </w:trPr>
        <w:tc>
          <w:tcPr>
            <w:tcW w:w="1520" w:type="dxa"/>
            <w:vAlign w:val="bottom"/>
          </w:tcPr>
          <w:p>
            <w:pPr>
              <w:spacing w:after="0"/>
              <w:rPr>
                <w:sz w:val="20"/>
                <w:szCs w:val="20"/>
                <w:color w:val="auto"/>
              </w:rPr>
            </w:pPr>
            <w:r>
              <w:rPr>
                <w:rFonts w:ascii="Arial" w:cs="Arial" w:eastAsia="Arial" w:hAnsi="Arial"/>
                <w:sz w:val="18"/>
                <w:szCs w:val="18"/>
                <w:color w:val="auto"/>
              </w:rPr>
              <w:t>ARTICLE IX</w:t>
            </w:r>
          </w:p>
        </w:tc>
        <w:tc>
          <w:tcPr>
            <w:tcW w:w="8460" w:type="dxa"/>
            <w:vAlign w:val="bottom"/>
          </w:tcPr>
          <w:p>
            <w:pPr>
              <w:ind w:left="200"/>
              <w:spacing w:after="0"/>
              <w:rPr>
                <w:sz w:val="20"/>
                <w:szCs w:val="20"/>
                <w:color w:val="auto"/>
              </w:rPr>
            </w:pPr>
            <w:r>
              <w:rPr>
                <w:rFonts w:ascii="Arial" w:cs="Arial" w:eastAsia="Arial" w:hAnsi="Arial"/>
                <w:sz w:val="18"/>
                <w:szCs w:val="18"/>
                <w:color w:val="auto"/>
              </w:rPr>
              <w:t>TAX MATTERS</w:t>
            </w:r>
          </w:p>
        </w:tc>
        <w:tc>
          <w:tcPr>
            <w:tcW w:w="14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9.1.</w:t>
            </w:r>
          </w:p>
        </w:tc>
        <w:tc>
          <w:tcPr>
            <w:tcW w:w="8460" w:type="dxa"/>
            <w:vAlign w:val="bottom"/>
          </w:tcPr>
          <w:p>
            <w:pPr>
              <w:ind w:left="200"/>
              <w:spacing w:after="0"/>
              <w:rPr>
                <w:sz w:val="20"/>
                <w:szCs w:val="20"/>
                <w:color w:val="auto"/>
              </w:rPr>
            </w:pPr>
            <w:r>
              <w:rPr>
                <w:rFonts w:ascii="Arial" w:cs="Arial" w:eastAsia="Arial" w:hAnsi="Arial"/>
                <w:sz w:val="18"/>
                <w:szCs w:val="18"/>
                <w:color w:val="auto"/>
              </w:rPr>
              <w:t>Tax Elections and Information</w:t>
            </w:r>
          </w:p>
        </w:tc>
        <w:tc>
          <w:tcPr>
            <w:tcW w:w="14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1520" w:type="dxa"/>
            <w:vAlign w:val="bottom"/>
          </w:tcPr>
          <w:p>
            <w:pPr>
              <w:ind w:left="260"/>
              <w:spacing w:after="0"/>
              <w:rPr>
                <w:sz w:val="20"/>
                <w:szCs w:val="20"/>
                <w:color w:val="auto"/>
              </w:rPr>
            </w:pPr>
            <w:r>
              <w:rPr>
                <w:rFonts w:ascii="Arial" w:cs="Arial" w:eastAsia="Arial" w:hAnsi="Arial"/>
                <w:sz w:val="18"/>
                <w:szCs w:val="18"/>
                <w:color w:val="auto"/>
              </w:rPr>
              <w:t>Section 9.2.</w:t>
            </w:r>
          </w:p>
        </w:tc>
        <w:tc>
          <w:tcPr>
            <w:tcW w:w="8460" w:type="dxa"/>
            <w:vAlign w:val="bottom"/>
          </w:tcPr>
          <w:p>
            <w:pPr>
              <w:ind w:left="200"/>
              <w:spacing w:after="0"/>
              <w:rPr>
                <w:sz w:val="20"/>
                <w:szCs w:val="20"/>
                <w:color w:val="auto"/>
              </w:rPr>
            </w:pPr>
            <w:r>
              <w:rPr>
                <w:rFonts w:ascii="Arial" w:cs="Arial" w:eastAsia="Arial" w:hAnsi="Arial"/>
                <w:sz w:val="18"/>
                <w:szCs w:val="18"/>
                <w:color w:val="auto"/>
              </w:rPr>
              <w:t>Tax Withholding</w:t>
            </w:r>
          </w:p>
        </w:tc>
        <w:tc>
          <w:tcPr>
            <w:tcW w:w="14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32"/>
        </w:trPr>
        <w:tc>
          <w:tcPr>
            <w:tcW w:w="1520" w:type="dxa"/>
            <w:vAlign w:val="bottom"/>
          </w:tcPr>
          <w:p>
            <w:pPr>
              <w:spacing w:after="0"/>
              <w:rPr>
                <w:sz w:val="24"/>
                <w:szCs w:val="24"/>
                <w:color w:val="auto"/>
              </w:rPr>
            </w:pPr>
          </w:p>
        </w:tc>
        <w:tc>
          <w:tcPr>
            <w:tcW w:w="8460" w:type="dxa"/>
            <w:vAlign w:val="bottom"/>
          </w:tcPr>
          <w:p>
            <w:pPr>
              <w:ind w:left="4140"/>
              <w:spacing w:after="0"/>
              <w:rPr>
                <w:sz w:val="20"/>
                <w:szCs w:val="20"/>
                <w:color w:val="auto"/>
              </w:rPr>
            </w:pPr>
            <w:r>
              <w:rPr>
                <w:rFonts w:ascii="Arial" w:cs="Arial" w:eastAsia="Arial" w:hAnsi="Arial"/>
                <w:sz w:val="18"/>
                <w:szCs w:val="18"/>
                <w:color w:val="auto"/>
              </w:rPr>
              <w:t>ii</w:t>
            </w:r>
          </w:p>
        </w:tc>
        <w:tc>
          <w:tcPr>
            <w:tcW w:w="1480" w:type="dxa"/>
            <w:vAlign w:val="bottom"/>
          </w:tcPr>
          <w:p>
            <w:pPr>
              <w:spacing w:after="0"/>
              <w:rPr>
                <w:sz w:val="24"/>
                <w:szCs w:val="24"/>
                <w:color w:val="auto"/>
              </w:rPr>
            </w:pPr>
          </w:p>
        </w:tc>
      </w:tr>
      <w:tr>
        <w:trPr>
          <w:trHeight w:val="132"/>
        </w:trPr>
        <w:tc>
          <w:tcPr>
            <w:tcW w:w="1520" w:type="dxa"/>
            <w:vAlign w:val="bottom"/>
            <w:tcBorders>
              <w:bottom w:val="single" w:sz="8" w:color="808080"/>
            </w:tcBorders>
          </w:tcPr>
          <w:p>
            <w:pPr>
              <w:spacing w:after="0"/>
              <w:rPr>
                <w:sz w:val="11"/>
                <w:szCs w:val="11"/>
                <w:color w:val="auto"/>
              </w:rPr>
            </w:pPr>
          </w:p>
        </w:tc>
        <w:tc>
          <w:tcPr>
            <w:tcW w:w="8460" w:type="dxa"/>
            <w:vAlign w:val="bottom"/>
            <w:tcBorders>
              <w:bottom w:val="single" w:sz="8" w:color="808080"/>
            </w:tcBorders>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r>
      <w:tr>
        <w:trPr>
          <w:trHeight w:val="780"/>
        </w:trPr>
        <w:tc>
          <w:tcPr>
            <w:tcW w:w="1520" w:type="dxa"/>
            <w:vAlign w:val="bottom"/>
          </w:tcPr>
          <w:p>
            <w:pPr>
              <w:ind w:left="260"/>
              <w:spacing w:after="0"/>
              <w:rPr>
                <w:sz w:val="20"/>
                <w:szCs w:val="20"/>
                <w:color w:val="auto"/>
              </w:rPr>
            </w:pPr>
            <w:r>
              <w:rPr>
                <w:rFonts w:ascii="Arial" w:cs="Arial" w:eastAsia="Arial" w:hAnsi="Arial"/>
                <w:sz w:val="18"/>
                <w:szCs w:val="18"/>
                <w:color w:val="auto"/>
              </w:rPr>
              <w:t>Section 9.3.</w:t>
            </w:r>
          </w:p>
        </w:tc>
        <w:tc>
          <w:tcPr>
            <w:tcW w:w="8460" w:type="dxa"/>
            <w:vAlign w:val="bottom"/>
          </w:tcPr>
          <w:p>
            <w:pPr>
              <w:ind w:left="200"/>
              <w:spacing w:after="0"/>
              <w:rPr>
                <w:sz w:val="20"/>
                <w:szCs w:val="20"/>
                <w:color w:val="auto"/>
              </w:rPr>
            </w:pPr>
            <w:r>
              <w:rPr>
                <w:rFonts w:ascii="Arial" w:cs="Arial" w:eastAsia="Arial" w:hAnsi="Arial"/>
                <w:sz w:val="18"/>
                <w:szCs w:val="18"/>
                <w:color w:val="auto"/>
              </w:rPr>
              <w:t>Conduct of Operations</w:t>
            </w:r>
          </w:p>
        </w:tc>
        <w:tc>
          <w:tcPr>
            <w:tcW w:w="14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18"/>
        </w:trPr>
        <w:tc>
          <w:tcPr>
            <w:tcW w:w="1520" w:type="dxa"/>
            <w:vAlign w:val="bottom"/>
          </w:tcPr>
          <w:p>
            <w:pPr>
              <w:spacing w:after="0"/>
              <w:rPr>
                <w:sz w:val="20"/>
                <w:szCs w:val="20"/>
                <w:color w:val="auto"/>
              </w:rPr>
            </w:pPr>
            <w:r>
              <w:rPr>
                <w:rFonts w:ascii="Arial" w:cs="Arial" w:eastAsia="Arial" w:hAnsi="Arial"/>
                <w:sz w:val="18"/>
                <w:szCs w:val="18"/>
                <w:color w:val="auto"/>
              </w:rPr>
              <w:t>ARTICLE X</w:t>
            </w:r>
          </w:p>
        </w:tc>
        <w:tc>
          <w:tcPr>
            <w:tcW w:w="8460" w:type="dxa"/>
            <w:vAlign w:val="bottom"/>
          </w:tcPr>
          <w:p>
            <w:pPr>
              <w:ind w:left="200"/>
              <w:spacing w:after="0"/>
              <w:rPr>
                <w:sz w:val="20"/>
                <w:szCs w:val="20"/>
                <w:color w:val="auto"/>
              </w:rPr>
            </w:pPr>
            <w:r>
              <w:rPr>
                <w:rFonts w:ascii="Arial" w:cs="Arial" w:eastAsia="Arial" w:hAnsi="Arial"/>
                <w:sz w:val="18"/>
                <w:szCs w:val="18"/>
                <w:color w:val="auto"/>
              </w:rPr>
              <w:t>ADMISSION OF PARTNERS</w:t>
            </w:r>
          </w:p>
        </w:tc>
        <w:tc>
          <w:tcPr>
            <w:tcW w:w="14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10.1.</w:t>
            </w:r>
          </w:p>
        </w:tc>
        <w:tc>
          <w:tcPr>
            <w:tcW w:w="8460" w:type="dxa"/>
            <w:vAlign w:val="bottom"/>
          </w:tcPr>
          <w:p>
            <w:pPr>
              <w:ind w:left="200"/>
              <w:spacing w:after="0"/>
              <w:rPr>
                <w:sz w:val="20"/>
                <w:szCs w:val="20"/>
                <w:color w:val="auto"/>
              </w:rPr>
            </w:pPr>
            <w:r>
              <w:rPr>
                <w:rFonts w:ascii="Arial" w:cs="Arial" w:eastAsia="Arial" w:hAnsi="Arial"/>
                <w:sz w:val="18"/>
                <w:szCs w:val="18"/>
                <w:color w:val="auto"/>
              </w:rPr>
              <w:t>Admission of Initial Limited Partners</w:t>
            </w:r>
          </w:p>
        </w:tc>
        <w:tc>
          <w:tcPr>
            <w:tcW w:w="14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10.2.</w:t>
            </w:r>
          </w:p>
        </w:tc>
        <w:tc>
          <w:tcPr>
            <w:tcW w:w="8460" w:type="dxa"/>
            <w:vAlign w:val="bottom"/>
          </w:tcPr>
          <w:p>
            <w:pPr>
              <w:ind w:left="200"/>
              <w:spacing w:after="0"/>
              <w:rPr>
                <w:sz w:val="20"/>
                <w:szCs w:val="20"/>
                <w:color w:val="auto"/>
              </w:rPr>
            </w:pPr>
            <w:r>
              <w:rPr>
                <w:rFonts w:ascii="Arial" w:cs="Arial" w:eastAsia="Arial" w:hAnsi="Arial"/>
                <w:sz w:val="18"/>
                <w:szCs w:val="18"/>
                <w:color w:val="auto"/>
              </w:rPr>
              <w:t>Admission of Additional Limited Partners</w:t>
            </w:r>
          </w:p>
        </w:tc>
        <w:tc>
          <w:tcPr>
            <w:tcW w:w="14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10.3.</w:t>
            </w:r>
          </w:p>
        </w:tc>
        <w:tc>
          <w:tcPr>
            <w:tcW w:w="8460" w:type="dxa"/>
            <w:vAlign w:val="bottom"/>
          </w:tcPr>
          <w:p>
            <w:pPr>
              <w:ind w:left="200"/>
              <w:spacing w:after="0"/>
              <w:rPr>
                <w:sz w:val="20"/>
                <w:szCs w:val="20"/>
                <w:color w:val="auto"/>
              </w:rPr>
            </w:pPr>
            <w:r>
              <w:rPr>
                <w:rFonts w:ascii="Arial" w:cs="Arial" w:eastAsia="Arial" w:hAnsi="Arial"/>
                <w:sz w:val="18"/>
                <w:szCs w:val="18"/>
                <w:color w:val="auto"/>
              </w:rPr>
              <w:t>Admission of Successor General Partner</w:t>
            </w:r>
          </w:p>
        </w:tc>
        <w:tc>
          <w:tcPr>
            <w:tcW w:w="14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1520" w:type="dxa"/>
            <w:vAlign w:val="bottom"/>
          </w:tcPr>
          <w:p>
            <w:pPr>
              <w:ind w:left="260"/>
              <w:spacing w:after="0"/>
              <w:rPr>
                <w:sz w:val="20"/>
                <w:szCs w:val="20"/>
                <w:color w:val="auto"/>
              </w:rPr>
            </w:pPr>
            <w:r>
              <w:rPr>
                <w:rFonts w:ascii="Arial" w:cs="Arial" w:eastAsia="Arial" w:hAnsi="Arial"/>
                <w:sz w:val="18"/>
                <w:szCs w:val="18"/>
                <w:color w:val="auto"/>
              </w:rPr>
              <w:t>Section 10.4.</w:t>
            </w:r>
          </w:p>
        </w:tc>
        <w:tc>
          <w:tcPr>
            <w:tcW w:w="8460" w:type="dxa"/>
            <w:vAlign w:val="bottom"/>
          </w:tcPr>
          <w:p>
            <w:pPr>
              <w:ind w:left="200"/>
              <w:spacing w:after="0"/>
              <w:rPr>
                <w:sz w:val="20"/>
                <w:szCs w:val="20"/>
                <w:color w:val="auto"/>
              </w:rPr>
            </w:pPr>
            <w:r>
              <w:rPr>
                <w:rFonts w:ascii="Arial" w:cs="Arial" w:eastAsia="Arial" w:hAnsi="Arial"/>
                <w:sz w:val="18"/>
                <w:szCs w:val="18"/>
                <w:color w:val="auto"/>
              </w:rPr>
              <w:t>Amendment of Agreement and Certificate of Limited Partnership</w:t>
            </w:r>
          </w:p>
        </w:tc>
        <w:tc>
          <w:tcPr>
            <w:tcW w:w="14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18"/>
        </w:trPr>
        <w:tc>
          <w:tcPr>
            <w:tcW w:w="1520" w:type="dxa"/>
            <w:vAlign w:val="bottom"/>
          </w:tcPr>
          <w:p>
            <w:pPr>
              <w:spacing w:after="0"/>
              <w:rPr>
                <w:sz w:val="20"/>
                <w:szCs w:val="20"/>
                <w:color w:val="auto"/>
              </w:rPr>
            </w:pPr>
            <w:r>
              <w:rPr>
                <w:rFonts w:ascii="Arial" w:cs="Arial" w:eastAsia="Arial" w:hAnsi="Arial"/>
                <w:sz w:val="18"/>
                <w:szCs w:val="18"/>
                <w:color w:val="auto"/>
              </w:rPr>
              <w:t>ARTICLE XI</w:t>
            </w:r>
          </w:p>
        </w:tc>
        <w:tc>
          <w:tcPr>
            <w:tcW w:w="8460" w:type="dxa"/>
            <w:vAlign w:val="bottom"/>
          </w:tcPr>
          <w:p>
            <w:pPr>
              <w:ind w:left="200"/>
              <w:spacing w:after="0"/>
              <w:rPr>
                <w:sz w:val="20"/>
                <w:szCs w:val="20"/>
                <w:color w:val="auto"/>
              </w:rPr>
            </w:pPr>
            <w:r>
              <w:rPr>
                <w:rFonts w:ascii="Arial" w:cs="Arial" w:eastAsia="Arial" w:hAnsi="Arial"/>
                <w:sz w:val="18"/>
                <w:szCs w:val="18"/>
                <w:color w:val="auto"/>
              </w:rPr>
              <w:t>WITHDRAWAL OR REMOVAL OF PARTNERS</w:t>
            </w:r>
          </w:p>
        </w:tc>
        <w:tc>
          <w:tcPr>
            <w:tcW w:w="14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11.1.</w:t>
            </w:r>
          </w:p>
        </w:tc>
        <w:tc>
          <w:tcPr>
            <w:tcW w:w="8460" w:type="dxa"/>
            <w:vAlign w:val="bottom"/>
          </w:tcPr>
          <w:p>
            <w:pPr>
              <w:ind w:left="200"/>
              <w:spacing w:after="0"/>
              <w:rPr>
                <w:sz w:val="20"/>
                <w:szCs w:val="20"/>
                <w:color w:val="auto"/>
              </w:rPr>
            </w:pPr>
            <w:r>
              <w:rPr>
                <w:rFonts w:ascii="Arial" w:cs="Arial" w:eastAsia="Arial" w:hAnsi="Arial"/>
                <w:sz w:val="18"/>
                <w:szCs w:val="18"/>
                <w:color w:val="auto"/>
              </w:rPr>
              <w:t>Withdrawal of the General Partner</w:t>
            </w:r>
          </w:p>
        </w:tc>
        <w:tc>
          <w:tcPr>
            <w:tcW w:w="14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11.2.</w:t>
            </w:r>
          </w:p>
        </w:tc>
        <w:tc>
          <w:tcPr>
            <w:tcW w:w="8460" w:type="dxa"/>
            <w:vAlign w:val="bottom"/>
          </w:tcPr>
          <w:p>
            <w:pPr>
              <w:ind w:left="200"/>
              <w:spacing w:after="0"/>
              <w:rPr>
                <w:sz w:val="20"/>
                <w:szCs w:val="20"/>
                <w:color w:val="auto"/>
              </w:rPr>
            </w:pPr>
            <w:r>
              <w:rPr>
                <w:rFonts w:ascii="Arial" w:cs="Arial" w:eastAsia="Arial" w:hAnsi="Arial"/>
                <w:sz w:val="18"/>
                <w:szCs w:val="18"/>
                <w:color w:val="auto"/>
              </w:rPr>
              <w:t>Removal of the General Partner</w:t>
            </w:r>
          </w:p>
        </w:tc>
        <w:tc>
          <w:tcPr>
            <w:tcW w:w="14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11.3.</w:t>
            </w:r>
          </w:p>
        </w:tc>
        <w:tc>
          <w:tcPr>
            <w:tcW w:w="8460" w:type="dxa"/>
            <w:vAlign w:val="bottom"/>
          </w:tcPr>
          <w:p>
            <w:pPr>
              <w:ind w:left="200"/>
              <w:spacing w:after="0"/>
              <w:rPr>
                <w:sz w:val="20"/>
                <w:szCs w:val="20"/>
                <w:color w:val="auto"/>
              </w:rPr>
            </w:pPr>
            <w:r>
              <w:rPr>
                <w:rFonts w:ascii="Arial" w:cs="Arial" w:eastAsia="Arial" w:hAnsi="Arial"/>
                <w:sz w:val="18"/>
                <w:szCs w:val="18"/>
                <w:color w:val="auto"/>
              </w:rPr>
              <w:t>Interest of Departing General Partner and Successor General Partner</w:t>
            </w:r>
          </w:p>
        </w:tc>
        <w:tc>
          <w:tcPr>
            <w:tcW w:w="14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1520" w:type="dxa"/>
            <w:vAlign w:val="bottom"/>
          </w:tcPr>
          <w:p>
            <w:pPr>
              <w:ind w:left="260"/>
              <w:spacing w:after="0"/>
              <w:rPr>
                <w:sz w:val="20"/>
                <w:szCs w:val="20"/>
                <w:color w:val="auto"/>
              </w:rPr>
            </w:pPr>
            <w:r>
              <w:rPr>
                <w:rFonts w:ascii="Arial" w:cs="Arial" w:eastAsia="Arial" w:hAnsi="Arial"/>
                <w:sz w:val="18"/>
                <w:szCs w:val="18"/>
                <w:color w:val="auto"/>
              </w:rPr>
              <w:t>Section 11.4.</w:t>
            </w:r>
          </w:p>
        </w:tc>
        <w:tc>
          <w:tcPr>
            <w:tcW w:w="8460" w:type="dxa"/>
            <w:vAlign w:val="bottom"/>
          </w:tcPr>
          <w:p>
            <w:pPr>
              <w:ind w:left="200"/>
              <w:spacing w:after="0"/>
              <w:rPr>
                <w:sz w:val="20"/>
                <w:szCs w:val="20"/>
                <w:color w:val="auto"/>
              </w:rPr>
            </w:pPr>
            <w:r>
              <w:rPr>
                <w:rFonts w:ascii="Arial" w:cs="Arial" w:eastAsia="Arial" w:hAnsi="Arial"/>
                <w:sz w:val="18"/>
                <w:szCs w:val="18"/>
                <w:color w:val="auto"/>
              </w:rPr>
              <w:t>Withdrawal of Limited Partners</w:t>
            </w:r>
          </w:p>
        </w:tc>
        <w:tc>
          <w:tcPr>
            <w:tcW w:w="14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18"/>
        </w:trPr>
        <w:tc>
          <w:tcPr>
            <w:tcW w:w="1520" w:type="dxa"/>
            <w:vAlign w:val="bottom"/>
          </w:tcPr>
          <w:p>
            <w:pPr>
              <w:spacing w:after="0"/>
              <w:rPr>
                <w:sz w:val="20"/>
                <w:szCs w:val="20"/>
                <w:color w:val="auto"/>
              </w:rPr>
            </w:pPr>
            <w:r>
              <w:rPr>
                <w:rFonts w:ascii="Arial" w:cs="Arial" w:eastAsia="Arial" w:hAnsi="Arial"/>
                <w:sz w:val="18"/>
                <w:szCs w:val="18"/>
                <w:color w:val="auto"/>
              </w:rPr>
              <w:t>ARTICLE XII</w:t>
            </w:r>
          </w:p>
        </w:tc>
        <w:tc>
          <w:tcPr>
            <w:tcW w:w="8460" w:type="dxa"/>
            <w:vAlign w:val="bottom"/>
          </w:tcPr>
          <w:p>
            <w:pPr>
              <w:ind w:left="200"/>
              <w:spacing w:after="0"/>
              <w:rPr>
                <w:sz w:val="20"/>
                <w:szCs w:val="20"/>
                <w:color w:val="auto"/>
              </w:rPr>
            </w:pPr>
            <w:r>
              <w:rPr>
                <w:rFonts w:ascii="Arial" w:cs="Arial" w:eastAsia="Arial" w:hAnsi="Arial"/>
                <w:sz w:val="18"/>
                <w:szCs w:val="18"/>
                <w:color w:val="auto"/>
              </w:rPr>
              <w:t>DISSOLUTION AND LIQUIDATION</w:t>
            </w:r>
          </w:p>
        </w:tc>
        <w:tc>
          <w:tcPr>
            <w:tcW w:w="14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12.1.</w:t>
            </w:r>
          </w:p>
        </w:tc>
        <w:tc>
          <w:tcPr>
            <w:tcW w:w="8460" w:type="dxa"/>
            <w:vAlign w:val="bottom"/>
          </w:tcPr>
          <w:p>
            <w:pPr>
              <w:ind w:left="200"/>
              <w:spacing w:after="0"/>
              <w:rPr>
                <w:sz w:val="20"/>
                <w:szCs w:val="20"/>
                <w:color w:val="auto"/>
              </w:rPr>
            </w:pPr>
            <w:r>
              <w:rPr>
                <w:rFonts w:ascii="Arial" w:cs="Arial" w:eastAsia="Arial" w:hAnsi="Arial"/>
                <w:sz w:val="18"/>
                <w:szCs w:val="18"/>
                <w:color w:val="auto"/>
              </w:rPr>
              <w:t>Dissolution</w:t>
            </w:r>
          </w:p>
        </w:tc>
        <w:tc>
          <w:tcPr>
            <w:tcW w:w="14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12.2.</w:t>
            </w:r>
          </w:p>
        </w:tc>
        <w:tc>
          <w:tcPr>
            <w:tcW w:w="8460" w:type="dxa"/>
            <w:vAlign w:val="bottom"/>
          </w:tcPr>
          <w:p>
            <w:pPr>
              <w:ind w:left="200"/>
              <w:spacing w:after="0"/>
              <w:rPr>
                <w:sz w:val="20"/>
                <w:szCs w:val="20"/>
                <w:color w:val="auto"/>
              </w:rPr>
            </w:pPr>
            <w:r>
              <w:rPr>
                <w:rFonts w:ascii="Arial" w:cs="Arial" w:eastAsia="Arial" w:hAnsi="Arial"/>
                <w:sz w:val="18"/>
                <w:szCs w:val="18"/>
                <w:color w:val="auto"/>
              </w:rPr>
              <w:t>Continuation of the Business of the Partnership After Dissolution</w:t>
            </w:r>
          </w:p>
        </w:tc>
        <w:tc>
          <w:tcPr>
            <w:tcW w:w="14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12.3.</w:t>
            </w:r>
          </w:p>
        </w:tc>
        <w:tc>
          <w:tcPr>
            <w:tcW w:w="8460" w:type="dxa"/>
            <w:vAlign w:val="bottom"/>
          </w:tcPr>
          <w:p>
            <w:pPr>
              <w:ind w:left="200"/>
              <w:spacing w:after="0"/>
              <w:rPr>
                <w:sz w:val="20"/>
                <w:szCs w:val="20"/>
                <w:color w:val="auto"/>
              </w:rPr>
            </w:pPr>
            <w:r>
              <w:rPr>
                <w:rFonts w:ascii="Arial" w:cs="Arial" w:eastAsia="Arial" w:hAnsi="Arial"/>
                <w:sz w:val="18"/>
                <w:szCs w:val="18"/>
                <w:color w:val="auto"/>
              </w:rPr>
              <w:t>Liquidating Trustee</w:t>
            </w:r>
          </w:p>
        </w:tc>
        <w:tc>
          <w:tcPr>
            <w:tcW w:w="14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12.4.</w:t>
            </w:r>
          </w:p>
        </w:tc>
        <w:tc>
          <w:tcPr>
            <w:tcW w:w="8460" w:type="dxa"/>
            <w:vAlign w:val="bottom"/>
          </w:tcPr>
          <w:p>
            <w:pPr>
              <w:ind w:left="200"/>
              <w:spacing w:after="0"/>
              <w:rPr>
                <w:sz w:val="20"/>
                <w:szCs w:val="20"/>
                <w:color w:val="auto"/>
              </w:rPr>
            </w:pPr>
            <w:r>
              <w:rPr>
                <w:rFonts w:ascii="Arial" w:cs="Arial" w:eastAsia="Arial" w:hAnsi="Arial"/>
                <w:sz w:val="18"/>
                <w:szCs w:val="18"/>
                <w:color w:val="auto"/>
              </w:rPr>
              <w:t>Liquidation</w:t>
            </w:r>
          </w:p>
        </w:tc>
        <w:tc>
          <w:tcPr>
            <w:tcW w:w="14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12.5.</w:t>
            </w:r>
          </w:p>
        </w:tc>
        <w:tc>
          <w:tcPr>
            <w:tcW w:w="8460" w:type="dxa"/>
            <w:vAlign w:val="bottom"/>
          </w:tcPr>
          <w:p>
            <w:pPr>
              <w:ind w:left="200"/>
              <w:spacing w:after="0"/>
              <w:rPr>
                <w:sz w:val="20"/>
                <w:szCs w:val="20"/>
                <w:color w:val="auto"/>
              </w:rPr>
            </w:pPr>
            <w:r>
              <w:rPr>
                <w:rFonts w:ascii="Arial" w:cs="Arial" w:eastAsia="Arial" w:hAnsi="Arial"/>
                <w:sz w:val="18"/>
                <w:szCs w:val="18"/>
                <w:color w:val="auto"/>
              </w:rPr>
              <w:t>Cancellation of Certificate of Limited Partnership</w:t>
            </w:r>
          </w:p>
        </w:tc>
        <w:tc>
          <w:tcPr>
            <w:tcW w:w="14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12.6.</w:t>
            </w:r>
          </w:p>
        </w:tc>
        <w:tc>
          <w:tcPr>
            <w:tcW w:w="8460" w:type="dxa"/>
            <w:vAlign w:val="bottom"/>
          </w:tcPr>
          <w:p>
            <w:pPr>
              <w:ind w:left="200"/>
              <w:spacing w:after="0"/>
              <w:rPr>
                <w:sz w:val="20"/>
                <w:szCs w:val="20"/>
                <w:color w:val="auto"/>
              </w:rPr>
            </w:pPr>
            <w:r>
              <w:rPr>
                <w:rFonts w:ascii="Arial" w:cs="Arial" w:eastAsia="Arial" w:hAnsi="Arial"/>
                <w:sz w:val="18"/>
                <w:szCs w:val="18"/>
                <w:color w:val="auto"/>
              </w:rPr>
              <w:t>Return of Contributions</w:t>
            </w:r>
          </w:p>
        </w:tc>
        <w:tc>
          <w:tcPr>
            <w:tcW w:w="14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1520" w:type="dxa"/>
            <w:vAlign w:val="bottom"/>
          </w:tcPr>
          <w:p>
            <w:pPr>
              <w:ind w:left="260"/>
              <w:spacing w:after="0"/>
              <w:rPr>
                <w:sz w:val="20"/>
                <w:szCs w:val="20"/>
                <w:color w:val="auto"/>
              </w:rPr>
            </w:pPr>
            <w:r>
              <w:rPr>
                <w:rFonts w:ascii="Arial" w:cs="Arial" w:eastAsia="Arial" w:hAnsi="Arial"/>
                <w:sz w:val="18"/>
                <w:szCs w:val="18"/>
                <w:color w:val="auto"/>
              </w:rPr>
              <w:t>Section 12.7.</w:t>
            </w:r>
          </w:p>
        </w:tc>
        <w:tc>
          <w:tcPr>
            <w:tcW w:w="8460" w:type="dxa"/>
            <w:vAlign w:val="bottom"/>
          </w:tcPr>
          <w:p>
            <w:pPr>
              <w:ind w:left="200"/>
              <w:spacing w:after="0"/>
              <w:rPr>
                <w:sz w:val="20"/>
                <w:szCs w:val="20"/>
                <w:color w:val="auto"/>
              </w:rPr>
            </w:pPr>
            <w:r>
              <w:rPr>
                <w:rFonts w:ascii="Arial" w:cs="Arial" w:eastAsia="Arial" w:hAnsi="Arial"/>
                <w:sz w:val="18"/>
                <w:szCs w:val="18"/>
                <w:color w:val="auto"/>
              </w:rPr>
              <w:t>Waiver of Partition</w:t>
            </w:r>
          </w:p>
        </w:tc>
        <w:tc>
          <w:tcPr>
            <w:tcW w:w="14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18"/>
        </w:trPr>
        <w:tc>
          <w:tcPr>
            <w:tcW w:w="1520" w:type="dxa"/>
            <w:vAlign w:val="bottom"/>
          </w:tcPr>
          <w:p>
            <w:pPr>
              <w:spacing w:after="0"/>
              <w:rPr>
                <w:sz w:val="20"/>
                <w:szCs w:val="20"/>
                <w:color w:val="auto"/>
              </w:rPr>
            </w:pPr>
            <w:r>
              <w:rPr>
                <w:rFonts w:ascii="Arial" w:cs="Arial" w:eastAsia="Arial" w:hAnsi="Arial"/>
                <w:sz w:val="18"/>
                <w:szCs w:val="18"/>
                <w:color w:val="auto"/>
              </w:rPr>
              <w:t>ARTICLE XIII</w:t>
            </w:r>
          </w:p>
        </w:tc>
        <w:tc>
          <w:tcPr>
            <w:tcW w:w="8460" w:type="dxa"/>
            <w:vAlign w:val="bottom"/>
          </w:tcPr>
          <w:p>
            <w:pPr>
              <w:ind w:left="200"/>
              <w:spacing w:after="0"/>
              <w:rPr>
                <w:sz w:val="20"/>
                <w:szCs w:val="20"/>
                <w:color w:val="auto"/>
              </w:rPr>
            </w:pPr>
            <w:r>
              <w:rPr>
                <w:rFonts w:ascii="Arial" w:cs="Arial" w:eastAsia="Arial" w:hAnsi="Arial"/>
                <w:sz w:val="18"/>
                <w:szCs w:val="18"/>
                <w:color w:val="auto"/>
              </w:rPr>
              <w:t>AMENDMENT OF PARTNERSHIP AGREEMENT; MEETINGS; RECORD DATE</w:t>
            </w:r>
          </w:p>
        </w:tc>
        <w:tc>
          <w:tcPr>
            <w:tcW w:w="14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13.1.</w:t>
            </w:r>
          </w:p>
        </w:tc>
        <w:tc>
          <w:tcPr>
            <w:tcW w:w="8460" w:type="dxa"/>
            <w:vAlign w:val="bottom"/>
          </w:tcPr>
          <w:p>
            <w:pPr>
              <w:ind w:left="200"/>
              <w:spacing w:after="0"/>
              <w:rPr>
                <w:sz w:val="20"/>
                <w:szCs w:val="20"/>
                <w:color w:val="auto"/>
              </w:rPr>
            </w:pPr>
            <w:r>
              <w:rPr>
                <w:rFonts w:ascii="Arial" w:cs="Arial" w:eastAsia="Arial" w:hAnsi="Arial"/>
                <w:sz w:val="18"/>
                <w:szCs w:val="18"/>
                <w:color w:val="auto"/>
              </w:rPr>
              <w:t>Amendments to be Adopted Without Approval of the Limited Partners or the General Partner</w:t>
            </w:r>
          </w:p>
        </w:tc>
        <w:tc>
          <w:tcPr>
            <w:tcW w:w="14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13.2.</w:t>
            </w:r>
          </w:p>
        </w:tc>
        <w:tc>
          <w:tcPr>
            <w:tcW w:w="8460" w:type="dxa"/>
            <w:vAlign w:val="bottom"/>
          </w:tcPr>
          <w:p>
            <w:pPr>
              <w:ind w:left="200"/>
              <w:spacing w:after="0"/>
              <w:rPr>
                <w:sz w:val="20"/>
                <w:szCs w:val="20"/>
                <w:color w:val="auto"/>
              </w:rPr>
            </w:pPr>
            <w:r>
              <w:rPr>
                <w:rFonts w:ascii="Arial" w:cs="Arial" w:eastAsia="Arial" w:hAnsi="Arial"/>
                <w:sz w:val="18"/>
                <w:szCs w:val="18"/>
                <w:color w:val="auto"/>
              </w:rPr>
              <w:t>Amendment Procedures</w:t>
            </w:r>
          </w:p>
        </w:tc>
        <w:tc>
          <w:tcPr>
            <w:tcW w:w="14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13.3.</w:t>
            </w:r>
          </w:p>
        </w:tc>
        <w:tc>
          <w:tcPr>
            <w:tcW w:w="8460" w:type="dxa"/>
            <w:vAlign w:val="bottom"/>
          </w:tcPr>
          <w:p>
            <w:pPr>
              <w:ind w:left="200"/>
              <w:spacing w:after="0"/>
              <w:rPr>
                <w:sz w:val="20"/>
                <w:szCs w:val="20"/>
                <w:color w:val="auto"/>
              </w:rPr>
            </w:pPr>
            <w:r>
              <w:rPr>
                <w:rFonts w:ascii="Arial" w:cs="Arial" w:eastAsia="Arial" w:hAnsi="Arial"/>
                <w:sz w:val="18"/>
                <w:szCs w:val="18"/>
                <w:color w:val="auto"/>
              </w:rPr>
              <w:t>Amendment Requirements</w:t>
            </w:r>
          </w:p>
        </w:tc>
        <w:tc>
          <w:tcPr>
            <w:tcW w:w="14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13.4.</w:t>
            </w:r>
          </w:p>
        </w:tc>
        <w:tc>
          <w:tcPr>
            <w:tcW w:w="8460" w:type="dxa"/>
            <w:vAlign w:val="bottom"/>
          </w:tcPr>
          <w:p>
            <w:pPr>
              <w:ind w:left="200"/>
              <w:spacing w:after="0"/>
              <w:rPr>
                <w:sz w:val="20"/>
                <w:szCs w:val="20"/>
                <w:color w:val="auto"/>
              </w:rPr>
            </w:pPr>
            <w:r>
              <w:rPr>
                <w:rFonts w:ascii="Arial" w:cs="Arial" w:eastAsia="Arial" w:hAnsi="Arial"/>
                <w:sz w:val="18"/>
                <w:szCs w:val="18"/>
                <w:color w:val="auto"/>
              </w:rPr>
              <w:t>Special Meetings</w:t>
            </w:r>
          </w:p>
        </w:tc>
        <w:tc>
          <w:tcPr>
            <w:tcW w:w="14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13.5.</w:t>
            </w:r>
          </w:p>
        </w:tc>
        <w:tc>
          <w:tcPr>
            <w:tcW w:w="8460" w:type="dxa"/>
            <w:vAlign w:val="bottom"/>
          </w:tcPr>
          <w:p>
            <w:pPr>
              <w:ind w:left="200"/>
              <w:spacing w:after="0"/>
              <w:rPr>
                <w:sz w:val="20"/>
                <w:szCs w:val="20"/>
                <w:color w:val="auto"/>
              </w:rPr>
            </w:pPr>
            <w:r>
              <w:rPr>
                <w:rFonts w:ascii="Arial" w:cs="Arial" w:eastAsia="Arial" w:hAnsi="Arial"/>
                <w:sz w:val="18"/>
                <w:szCs w:val="18"/>
                <w:color w:val="auto"/>
              </w:rPr>
              <w:t>Notice of a Meeting</w:t>
            </w:r>
          </w:p>
        </w:tc>
        <w:tc>
          <w:tcPr>
            <w:tcW w:w="14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13.6.</w:t>
            </w:r>
          </w:p>
        </w:tc>
        <w:tc>
          <w:tcPr>
            <w:tcW w:w="8460" w:type="dxa"/>
            <w:vAlign w:val="bottom"/>
          </w:tcPr>
          <w:p>
            <w:pPr>
              <w:ind w:left="200"/>
              <w:spacing w:after="0"/>
              <w:rPr>
                <w:sz w:val="20"/>
                <w:szCs w:val="20"/>
                <w:color w:val="auto"/>
              </w:rPr>
            </w:pPr>
            <w:r>
              <w:rPr>
                <w:rFonts w:ascii="Arial" w:cs="Arial" w:eastAsia="Arial" w:hAnsi="Arial"/>
                <w:sz w:val="18"/>
                <w:szCs w:val="18"/>
                <w:color w:val="auto"/>
              </w:rPr>
              <w:t>Record Date</w:t>
            </w:r>
          </w:p>
        </w:tc>
        <w:tc>
          <w:tcPr>
            <w:tcW w:w="14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13.7.</w:t>
            </w:r>
          </w:p>
        </w:tc>
        <w:tc>
          <w:tcPr>
            <w:tcW w:w="8460" w:type="dxa"/>
            <w:vAlign w:val="bottom"/>
          </w:tcPr>
          <w:p>
            <w:pPr>
              <w:ind w:left="200"/>
              <w:spacing w:after="0"/>
              <w:rPr>
                <w:sz w:val="20"/>
                <w:szCs w:val="20"/>
                <w:color w:val="auto"/>
              </w:rPr>
            </w:pPr>
            <w:r>
              <w:rPr>
                <w:rFonts w:ascii="Arial" w:cs="Arial" w:eastAsia="Arial" w:hAnsi="Arial"/>
                <w:sz w:val="18"/>
                <w:szCs w:val="18"/>
                <w:color w:val="auto"/>
              </w:rPr>
              <w:t>Adjournment</w:t>
            </w:r>
          </w:p>
        </w:tc>
        <w:tc>
          <w:tcPr>
            <w:tcW w:w="14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13.8.</w:t>
            </w:r>
          </w:p>
        </w:tc>
        <w:tc>
          <w:tcPr>
            <w:tcW w:w="8460" w:type="dxa"/>
            <w:vAlign w:val="bottom"/>
          </w:tcPr>
          <w:p>
            <w:pPr>
              <w:ind w:left="200"/>
              <w:spacing w:after="0"/>
              <w:rPr>
                <w:sz w:val="20"/>
                <w:szCs w:val="20"/>
                <w:color w:val="auto"/>
              </w:rPr>
            </w:pPr>
            <w:r>
              <w:rPr>
                <w:rFonts w:ascii="Arial" w:cs="Arial" w:eastAsia="Arial" w:hAnsi="Arial"/>
                <w:sz w:val="18"/>
                <w:szCs w:val="18"/>
                <w:color w:val="auto"/>
              </w:rPr>
              <w:t>Waiver of Notice; Approval of Meeting; Approval of Minutes</w:t>
            </w:r>
          </w:p>
        </w:tc>
        <w:tc>
          <w:tcPr>
            <w:tcW w:w="14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13.9.</w:t>
            </w:r>
          </w:p>
        </w:tc>
        <w:tc>
          <w:tcPr>
            <w:tcW w:w="8460" w:type="dxa"/>
            <w:vAlign w:val="bottom"/>
          </w:tcPr>
          <w:p>
            <w:pPr>
              <w:ind w:left="200"/>
              <w:spacing w:after="0"/>
              <w:rPr>
                <w:sz w:val="20"/>
                <w:szCs w:val="20"/>
                <w:color w:val="auto"/>
              </w:rPr>
            </w:pPr>
            <w:r>
              <w:rPr>
                <w:rFonts w:ascii="Arial" w:cs="Arial" w:eastAsia="Arial" w:hAnsi="Arial"/>
                <w:sz w:val="18"/>
                <w:szCs w:val="18"/>
                <w:color w:val="auto"/>
              </w:rPr>
              <w:t>Quorum and Voting</w:t>
            </w:r>
          </w:p>
        </w:tc>
        <w:tc>
          <w:tcPr>
            <w:tcW w:w="14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13.10.</w:t>
            </w:r>
          </w:p>
        </w:tc>
        <w:tc>
          <w:tcPr>
            <w:tcW w:w="8460" w:type="dxa"/>
            <w:vAlign w:val="bottom"/>
          </w:tcPr>
          <w:p>
            <w:pPr>
              <w:ind w:left="200"/>
              <w:spacing w:after="0"/>
              <w:rPr>
                <w:sz w:val="20"/>
                <w:szCs w:val="20"/>
                <w:color w:val="auto"/>
              </w:rPr>
            </w:pPr>
            <w:r>
              <w:rPr>
                <w:rFonts w:ascii="Arial" w:cs="Arial" w:eastAsia="Arial" w:hAnsi="Arial"/>
                <w:sz w:val="18"/>
                <w:szCs w:val="18"/>
                <w:color w:val="auto"/>
              </w:rPr>
              <w:t>Conduct of a Meeting</w:t>
            </w:r>
          </w:p>
        </w:tc>
        <w:tc>
          <w:tcPr>
            <w:tcW w:w="14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13.11.</w:t>
            </w:r>
          </w:p>
        </w:tc>
        <w:tc>
          <w:tcPr>
            <w:tcW w:w="8460" w:type="dxa"/>
            <w:vAlign w:val="bottom"/>
          </w:tcPr>
          <w:p>
            <w:pPr>
              <w:ind w:left="200"/>
              <w:spacing w:after="0"/>
              <w:rPr>
                <w:sz w:val="20"/>
                <w:szCs w:val="20"/>
                <w:color w:val="auto"/>
              </w:rPr>
            </w:pPr>
            <w:r>
              <w:rPr>
                <w:rFonts w:ascii="Arial" w:cs="Arial" w:eastAsia="Arial" w:hAnsi="Arial"/>
                <w:sz w:val="18"/>
                <w:szCs w:val="18"/>
                <w:color w:val="auto"/>
              </w:rPr>
              <w:t>Action Without a Meeting</w:t>
            </w:r>
          </w:p>
        </w:tc>
        <w:tc>
          <w:tcPr>
            <w:tcW w:w="14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1520" w:type="dxa"/>
            <w:vAlign w:val="bottom"/>
          </w:tcPr>
          <w:p>
            <w:pPr>
              <w:ind w:left="260"/>
              <w:spacing w:after="0"/>
              <w:rPr>
                <w:sz w:val="20"/>
                <w:szCs w:val="20"/>
                <w:color w:val="auto"/>
              </w:rPr>
            </w:pPr>
            <w:r>
              <w:rPr>
                <w:rFonts w:ascii="Arial" w:cs="Arial" w:eastAsia="Arial" w:hAnsi="Arial"/>
                <w:sz w:val="18"/>
                <w:szCs w:val="18"/>
                <w:color w:val="auto"/>
              </w:rPr>
              <w:t>Section 13.12.</w:t>
            </w:r>
          </w:p>
        </w:tc>
        <w:tc>
          <w:tcPr>
            <w:tcW w:w="8460" w:type="dxa"/>
            <w:vAlign w:val="bottom"/>
          </w:tcPr>
          <w:p>
            <w:pPr>
              <w:ind w:left="200"/>
              <w:spacing w:after="0"/>
              <w:rPr>
                <w:sz w:val="20"/>
                <w:szCs w:val="20"/>
                <w:color w:val="auto"/>
              </w:rPr>
            </w:pPr>
            <w:r>
              <w:rPr>
                <w:rFonts w:ascii="Arial" w:cs="Arial" w:eastAsia="Arial" w:hAnsi="Arial"/>
                <w:sz w:val="18"/>
                <w:szCs w:val="18"/>
                <w:color w:val="auto"/>
              </w:rPr>
              <w:t>Right to Vote and Related Matters</w:t>
            </w:r>
          </w:p>
        </w:tc>
        <w:tc>
          <w:tcPr>
            <w:tcW w:w="14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418"/>
        </w:trPr>
        <w:tc>
          <w:tcPr>
            <w:tcW w:w="1520" w:type="dxa"/>
            <w:vAlign w:val="bottom"/>
          </w:tcPr>
          <w:p>
            <w:pPr>
              <w:spacing w:after="0"/>
              <w:rPr>
                <w:sz w:val="20"/>
                <w:szCs w:val="20"/>
                <w:color w:val="auto"/>
              </w:rPr>
            </w:pPr>
            <w:r>
              <w:rPr>
                <w:rFonts w:ascii="Arial" w:cs="Arial" w:eastAsia="Arial" w:hAnsi="Arial"/>
                <w:sz w:val="18"/>
                <w:szCs w:val="18"/>
                <w:color w:val="auto"/>
              </w:rPr>
              <w:t>ARTICLE XIV</w:t>
            </w:r>
          </w:p>
        </w:tc>
        <w:tc>
          <w:tcPr>
            <w:tcW w:w="8460" w:type="dxa"/>
            <w:vAlign w:val="bottom"/>
          </w:tcPr>
          <w:p>
            <w:pPr>
              <w:ind w:left="200"/>
              <w:spacing w:after="0"/>
              <w:rPr>
                <w:sz w:val="20"/>
                <w:szCs w:val="20"/>
                <w:color w:val="auto"/>
              </w:rPr>
            </w:pPr>
            <w:r>
              <w:rPr>
                <w:rFonts w:ascii="Arial" w:cs="Arial" w:eastAsia="Arial" w:hAnsi="Arial"/>
                <w:sz w:val="18"/>
                <w:szCs w:val="18"/>
                <w:color w:val="auto"/>
              </w:rPr>
              <w:t>MERGER, CONSOLIDATION OR CONVERSION</w:t>
            </w:r>
          </w:p>
        </w:tc>
        <w:tc>
          <w:tcPr>
            <w:tcW w:w="14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14.1.</w:t>
            </w:r>
          </w:p>
        </w:tc>
        <w:tc>
          <w:tcPr>
            <w:tcW w:w="8460" w:type="dxa"/>
            <w:vAlign w:val="bottom"/>
          </w:tcPr>
          <w:p>
            <w:pPr>
              <w:ind w:left="200"/>
              <w:spacing w:after="0"/>
              <w:rPr>
                <w:sz w:val="20"/>
                <w:szCs w:val="20"/>
                <w:color w:val="auto"/>
              </w:rPr>
            </w:pPr>
            <w:r>
              <w:rPr>
                <w:rFonts w:ascii="Arial" w:cs="Arial" w:eastAsia="Arial" w:hAnsi="Arial"/>
                <w:sz w:val="18"/>
                <w:szCs w:val="18"/>
                <w:color w:val="auto"/>
              </w:rPr>
              <w:t>Authority</w:t>
            </w:r>
          </w:p>
        </w:tc>
        <w:tc>
          <w:tcPr>
            <w:tcW w:w="14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14.2.</w:t>
            </w:r>
          </w:p>
        </w:tc>
        <w:tc>
          <w:tcPr>
            <w:tcW w:w="8460" w:type="dxa"/>
            <w:vAlign w:val="bottom"/>
          </w:tcPr>
          <w:p>
            <w:pPr>
              <w:ind w:left="200"/>
              <w:spacing w:after="0"/>
              <w:rPr>
                <w:sz w:val="20"/>
                <w:szCs w:val="20"/>
                <w:color w:val="auto"/>
              </w:rPr>
            </w:pPr>
            <w:r>
              <w:rPr>
                <w:rFonts w:ascii="Arial" w:cs="Arial" w:eastAsia="Arial" w:hAnsi="Arial"/>
                <w:sz w:val="18"/>
                <w:szCs w:val="18"/>
                <w:color w:val="auto"/>
              </w:rPr>
              <w:t>Procedure for Merger, Consolidation or Conversion</w:t>
            </w:r>
          </w:p>
        </w:tc>
        <w:tc>
          <w:tcPr>
            <w:tcW w:w="14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14.3.</w:t>
            </w:r>
          </w:p>
        </w:tc>
        <w:tc>
          <w:tcPr>
            <w:tcW w:w="8460" w:type="dxa"/>
            <w:vAlign w:val="bottom"/>
          </w:tcPr>
          <w:p>
            <w:pPr>
              <w:ind w:left="200"/>
              <w:spacing w:after="0"/>
              <w:rPr>
                <w:sz w:val="20"/>
                <w:szCs w:val="20"/>
                <w:color w:val="auto"/>
              </w:rPr>
            </w:pPr>
            <w:r>
              <w:rPr>
                <w:rFonts w:ascii="Arial" w:cs="Arial" w:eastAsia="Arial" w:hAnsi="Arial"/>
                <w:sz w:val="18"/>
                <w:szCs w:val="18"/>
                <w:color w:val="auto"/>
              </w:rPr>
              <w:t>Approval by Limited Partners of Merger, Consolidation or Conversion</w:t>
            </w:r>
          </w:p>
        </w:tc>
        <w:tc>
          <w:tcPr>
            <w:tcW w:w="14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14.4.</w:t>
            </w:r>
          </w:p>
        </w:tc>
        <w:tc>
          <w:tcPr>
            <w:tcW w:w="8460" w:type="dxa"/>
            <w:vAlign w:val="bottom"/>
          </w:tcPr>
          <w:p>
            <w:pPr>
              <w:ind w:left="200"/>
              <w:spacing w:after="0"/>
              <w:rPr>
                <w:sz w:val="20"/>
                <w:szCs w:val="20"/>
                <w:color w:val="auto"/>
              </w:rPr>
            </w:pPr>
            <w:r>
              <w:rPr>
                <w:rFonts w:ascii="Arial" w:cs="Arial" w:eastAsia="Arial" w:hAnsi="Arial"/>
                <w:sz w:val="18"/>
                <w:szCs w:val="18"/>
                <w:color w:val="auto"/>
              </w:rPr>
              <w:t>Certificate of Merger or Conversion</w:t>
            </w:r>
          </w:p>
        </w:tc>
        <w:tc>
          <w:tcPr>
            <w:tcW w:w="14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14.5.</w:t>
            </w:r>
          </w:p>
        </w:tc>
        <w:tc>
          <w:tcPr>
            <w:tcW w:w="8460" w:type="dxa"/>
            <w:vAlign w:val="bottom"/>
          </w:tcPr>
          <w:p>
            <w:pPr>
              <w:ind w:left="200"/>
              <w:spacing w:after="0"/>
              <w:rPr>
                <w:sz w:val="20"/>
                <w:szCs w:val="20"/>
                <w:color w:val="auto"/>
              </w:rPr>
            </w:pPr>
            <w:r>
              <w:rPr>
                <w:rFonts w:ascii="Arial" w:cs="Arial" w:eastAsia="Arial" w:hAnsi="Arial"/>
                <w:sz w:val="18"/>
                <w:szCs w:val="18"/>
                <w:color w:val="auto"/>
              </w:rPr>
              <w:t>Amendment of Partnership Agreement</w:t>
            </w:r>
          </w:p>
        </w:tc>
        <w:tc>
          <w:tcPr>
            <w:tcW w:w="14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1520" w:type="dxa"/>
            <w:vAlign w:val="bottom"/>
          </w:tcPr>
          <w:p>
            <w:pPr>
              <w:ind w:left="260"/>
              <w:spacing w:after="0"/>
              <w:rPr>
                <w:sz w:val="20"/>
                <w:szCs w:val="20"/>
                <w:color w:val="auto"/>
              </w:rPr>
            </w:pPr>
            <w:r>
              <w:rPr>
                <w:rFonts w:ascii="Arial" w:cs="Arial" w:eastAsia="Arial" w:hAnsi="Arial"/>
                <w:sz w:val="18"/>
                <w:szCs w:val="18"/>
                <w:color w:val="auto"/>
              </w:rPr>
              <w:t>Section 14.6.</w:t>
            </w:r>
          </w:p>
        </w:tc>
        <w:tc>
          <w:tcPr>
            <w:tcW w:w="8460" w:type="dxa"/>
            <w:vAlign w:val="bottom"/>
          </w:tcPr>
          <w:p>
            <w:pPr>
              <w:ind w:left="200"/>
              <w:spacing w:after="0"/>
              <w:rPr>
                <w:sz w:val="20"/>
                <w:szCs w:val="20"/>
                <w:color w:val="auto"/>
              </w:rPr>
            </w:pPr>
            <w:r>
              <w:rPr>
                <w:rFonts w:ascii="Arial" w:cs="Arial" w:eastAsia="Arial" w:hAnsi="Arial"/>
                <w:sz w:val="18"/>
                <w:szCs w:val="18"/>
                <w:color w:val="auto"/>
              </w:rPr>
              <w:t>Effect of Merger, Consolidation or Conversion</w:t>
            </w:r>
          </w:p>
        </w:tc>
        <w:tc>
          <w:tcPr>
            <w:tcW w:w="1480" w:type="dxa"/>
            <w:vAlign w:val="bottom"/>
          </w:tcPr>
          <w:p>
            <w:pPr>
              <w:jc w:val="right"/>
              <w:spacing w:after="0"/>
              <w:rPr>
                <w:sz w:val="20"/>
                <w:szCs w:val="20"/>
                <w:color w:val="auto"/>
              </w:rPr>
            </w:pPr>
            <w:r>
              <w:rPr>
                <w:rFonts w:ascii="Arial" w:cs="Arial" w:eastAsia="Arial" w:hAnsi="Arial"/>
                <w:sz w:val="18"/>
                <w:szCs w:val="18"/>
                <w:color w:val="auto"/>
              </w:rPr>
              <w:t>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-6424930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-6424930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ARTICLE XV</w:t>
            </w:r>
          </w:p>
        </w:tc>
        <w:tc>
          <w:tcPr>
            <w:tcW w:w="9080" w:type="dxa"/>
            <w:vAlign w:val="bottom"/>
          </w:tcPr>
          <w:p>
            <w:pPr>
              <w:ind w:left="200"/>
              <w:spacing w:after="0"/>
              <w:rPr>
                <w:sz w:val="20"/>
                <w:szCs w:val="20"/>
                <w:color w:val="auto"/>
              </w:rPr>
            </w:pPr>
            <w:r>
              <w:rPr>
                <w:rFonts w:ascii="Arial" w:cs="Arial" w:eastAsia="Arial" w:hAnsi="Arial"/>
                <w:sz w:val="18"/>
                <w:szCs w:val="18"/>
                <w:color w:val="auto"/>
              </w:rPr>
              <w:t>RIGHT TO ACQUIRE LIMITED PARTNER INTERESTS</w:t>
            </w:r>
          </w:p>
        </w:tc>
        <w:tc>
          <w:tcPr>
            <w:tcW w:w="8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1520" w:type="dxa"/>
            <w:vAlign w:val="bottom"/>
          </w:tcPr>
          <w:p>
            <w:pPr>
              <w:ind w:left="260"/>
              <w:spacing w:after="0"/>
              <w:rPr>
                <w:sz w:val="20"/>
                <w:szCs w:val="20"/>
                <w:color w:val="auto"/>
              </w:rPr>
            </w:pPr>
            <w:r>
              <w:rPr>
                <w:rFonts w:ascii="Arial" w:cs="Arial" w:eastAsia="Arial" w:hAnsi="Arial"/>
                <w:sz w:val="18"/>
                <w:szCs w:val="18"/>
                <w:color w:val="auto"/>
              </w:rPr>
              <w:t>Section 15.1.</w:t>
            </w:r>
          </w:p>
        </w:tc>
        <w:tc>
          <w:tcPr>
            <w:tcW w:w="9080" w:type="dxa"/>
            <w:vAlign w:val="bottom"/>
          </w:tcPr>
          <w:p>
            <w:pPr>
              <w:ind w:left="200"/>
              <w:spacing w:after="0"/>
              <w:rPr>
                <w:sz w:val="20"/>
                <w:szCs w:val="20"/>
                <w:color w:val="auto"/>
              </w:rPr>
            </w:pPr>
            <w:r>
              <w:rPr>
                <w:rFonts w:ascii="Arial" w:cs="Arial" w:eastAsia="Arial" w:hAnsi="Arial"/>
                <w:sz w:val="18"/>
                <w:szCs w:val="18"/>
                <w:color w:val="auto"/>
              </w:rPr>
              <w:t>Right to Acquire Limited Partner Interests</w:t>
            </w:r>
          </w:p>
        </w:tc>
        <w:tc>
          <w:tcPr>
            <w:tcW w:w="8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418"/>
        </w:trPr>
        <w:tc>
          <w:tcPr>
            <w:tcW w:w="1520" w:type="dxa"/>
            <w:vAlign w:val="bottom"/>
          </w:tcPr>
          <w:p>
            <w:pPr>
              <w:spacing w:after="0"/>
              <w:rPr>
                <w:sz w:val="20"/>
                <w:szCs w:val="20"/>
                <w:color w:val="auto"/>
              </w:rPr>
            </w:pPr>
            <w:r>
              <w:rPr>
                <w:rFonts w:ascii="Arial" w:cs="Arial" w:eastAsia="Arial" w:hAnsi="Arial"/>
                <w:sz w:val="18"/>
                <w:szCs w:val="18"/>
                <w:color w:val="auto"/>
              </w:rPr>
              <w:t>ARTICLE XVI</w:t>
            </w:r>
          </w:p>
        </w:tc>
        <w:tc>
          <w:tcPr>
            <w:tcW w:w="9080" w:type="dxa"/>
            <w:vAlign w:val="bottom"/>
          </w:tcPr>
          <w:p>
            <w:pPr>
              <w:ind w:left="200"/>
              <w:spacing w:after="0"/>
              <w:rPr>
                <w:sz w:val="20"/>
                <w:szCs w:val="20"/>
                <w:color w:val="auto"/>
              </w:rPr>
            </w:pPr>
            <w:r>
              <w:rPr>
                <w:rFonts w:ascii="Arial" w:cs="Arial" w:eastAsia="Arial" w:hAnsi="Arial"/>
                <w:sz w:val="18"/>
                <w:szCs w:val="18"/>
                <w:color w:val="auto"/>
              </w:rPr>
              <w:t>SERIES A CUMULATIVE REDEEMABLE PERPETUAL FIXED TO FLOATING RATE PREFERENCE UNITS</w:t>
            </w:r>
          </w:p>
        </w:tc>
        <w:tc>
          <w:tcPr>
            <w:tcW w:w="8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16.1.</w:t>
            </w:r>
          </w:p>
        </w:tc>
        <w:tc>
          <w:tcPr>
            <w:tcW w:w="9080" w:type="dxa"/>
            <w:vAlign w:val="bottom"/>
          </w:tcPr>
          <w:p>
            <w:pPr>
              <w:ind w:left="200"/>
              <w:spacing w:after="0"/>
              <w:rPr>
                <w:sz w:val="20"/>
                <w:szCs w:val="20"/>
                <w:color w:val="auto"/>
              </w:rPr>
            </w:pPr>
            <w:r>
              <w:rPr>
                <w:rFonts w:ascii="Arial" w:cs="Arial" w:eastAsia="Arial" w:hAnsi="Arial"/>
                <w:sz w:val="18"/>
                <w:szCs w:val="18"/>
                <w:color w:val="auto"/>
              </w:rPr>
              <w:t>Designations</w:t>
            </w:r>
          </w:p>
        </w:tc>
        <w:tc>
          <w:tcPr>
            <w:tcW w:w="8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16.2.</w:t>
            </w:r>
          </w:p>
        </w:tc>
        <w:tc>
          <w:tcPr>
            <w:tcW w:w="9080" w:type="dxa"/>
            <w:vAlign w:val="bottom"/>
          </w:tcPr>
          <w:p>
            <w:pPr>
              <w:ind w:left="200"/>
              <w:spacing w:after="0"/>
              <w:rPr>
                <w:sz w:val="20"/>
                <w:szCs w:val="20"/>
                <w:color w:val="auto"/>
              </w:rPr>
            </w:pPr>
            <w:r>
              <w:rPr>
                <w:rFonts w:ascii="Arial" w:cs="Arial" w:eastAsia="Arial" w:hAnsi="Arial"/>
                <w:sz w:val="18"/>
                <w:szCs w:val="18"/>
                <w:color w:val="auto"/>
              </w:rPr>
              <w:t>Units</w:t>
            </w:r>
          </w:p>
        </w:tc>
        <w:tc>
          <w:tcPr>
            <w:tcW w:w="8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16.3.</w:t>
            </w:r>
          </w:p>
        </w:tc>
        <w:tc>
          <w:tcPr>
            <w:tcW w:w="9080" w:type="dxa"/>
            <w:vAlign w:val="bottom"/>
          </w:tcPr>
          <w:p>
            <w:pPr>
              <w:ind w:left="200"/>
              <w:spacing w:after="0"/>
              <w:rPr>
                <w:sz w:val="20"/>
                <w:szCs w:val="20"/>
                <w:color w:val="auto"/>
              </w:rPr>
            </w:pPr>
            <w:r>
              <w:rPr>
                <w:rFonts w:ascii="Arial" w:cs="Arial" w:eastAsia="Arial" w:hAnsi="Arial"/>
                <w:sz w:val="18"/>
                <w:szCs w:val="18"/>
                <w:color w:val="auto"/>
              </w:rPr>
              <w:t>Distributions</w:t>
            </w:r>
          </w:p>
        </w:tc>
        <w:tc>
          <w:tcPr>
            <w:tcW w:w="8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16.4.</w:t>
            </w:r>
          </w:p>
        </w:tc>
        <w:tc>
          <w:tcPr>
            <w:tcW w:w="9080" w:type="dxa"/>
            <w:vAlign w:val="bottom"/>
          </w:tcPr>
          <w:p>
            <w:pPr>
              <w:ind w:left="200"/>
              <w:spacing w:after="0"/>
              <w:rPr>
                <w:sz w:val="20"/>
                <w:szCs w:val="20"/>
                <w:color w:val="auto"/>
              </w:rPr>
            </w:pPr>
            <w:r>
              <w:rPr>
                <w:rFonts w:ascii="Arial" w:cs="Arial" w:eastAsia="Arial" w:hAnsi="Arial"/>
                <w:sz w:val="18"/>
                <w:szCs w:val="18"/>
                <w:color w:val="auto"/>
              </w:rPr>
              <w:t>Liquidation Rights</w:t>
            </w:r>
          </w:p>
        </w:tc>
        <w:tc>
          <w:tcPr>
            <w:tcW w:w="8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16.5.</w:t>
            </w:r>
          </w:p>
        </w:tc>
        <w:tc>
          <w:tcPr>
            <w:tcW w:w="9080" w:type="dxa"/>
            <w:vAlign w:val="bottom"/>
          </w:tcPr>
          <w:p>
            <w:pPr>
              <w:ind w:left="200"/>
              <w:spacing w:after="0"/>
              <w:rPr>
                <w:sz w:val="20"/>
                <w:szCs w:val="20"/>
                <w:color w:val="auto"/>
              </w:rPr>
            </w:pPr>
            <w:r>
              <w:rPr>
                <w:rFonts w:ascii="Arial" w:cs="Arial" w:eastAsia="Arial" w:hAnsi="Arial"/>
                <w:sz w:val="18"/>
                <w:szCs w:val="18"/>
                <w:color w:val="auto"/>
              </w:rPr>
              <w:t>Voting Rights</w:t>
            </w:r>
          </w:p>
        </w:tc>
        <w:tc>
          <w:tcPr>
            <w:tcW w:w="8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16.6.</w:t>
            </w:r>
          </w:p>
        </w:tc>
        <w:tc>
          <w:tcPr>
            <w:tcW w:w="9080" w:type="dxa"/>
            <w:vAlign w:val="bottom"/>
          </w:tcPr>
          <w:p>
            <w:pPr>
              <w:ind w:left="200"/>
              <w:spacing w:after="0"/>
              <w:rPr>
                <w:sz w:val="20"/>
                <w:szCs w:val="20"/>
                <w:color w:val="auto"/>
              </w:rPr>
            </w:pPr>
            <w:r>
              <w:rPr>
                <w:rFonts w:ascii="Arial" w:cs="Arial" w:eastAsia="Arial" w:hAnsi="Arial"/>
                <w:sz w:val="18"/>
                <w:szCs w:val="18"/>
                <w:color w:val="auto"/>
              </w:rPr>
              <w:t>Optional Redemption</w:t>
            </w:r>
          </w:p>
        </w:tc>
        <w:tc>
          <w:tcPr>
            <w:tcW w:w="8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16.7.</w:t>
            </w:r>
          </w:p>
        </w:tc>
        <w:tc>
          <w:tcPr>
            <w:tcW w:w="9080" w:type="dxa"/>
            <w:vAlign w:val="bottom"/>
          </w:tcPr>
          <w:p>
            <w:pPr>
              <w:ind w:left="200"/>
              <w:spacing w:after="0"/>
              <w:rPr>
                <w:sz w:val="20"/>
                <w:szCs w:val="20"/>
                <w:color w:val="auto"/>
              </w:rPr>
            </w:pPr>
            <w:r>
              <w:rPr>
                <w:rFonts w:ascii="Arial" w:cs="Arial" w:eastAsia="Arial" w:hAnsi="Arial"/>
                <w:sz w:val="18"/>
                <w:szCs w:val="18"/>
                <w:color w:val="auto"/>
              </w:rPr>
              <w:t>Rank</w:t>
            </w:r>
          </w:p>
        </w:tc>
        <w:tc>
          <w:tcPr>
            <w:tcW w:w="8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16.8.</w:t>
            </w:r>
          </w:p>
        </w:tc>
        <w:tc>
          <w:tcPr>
            <w:tcW w:w="9080" w:type="dxa"/>
            <w:vAlign w:val="bottom"/>
          </w:tcPr>
          <w:p>
            <w:pPr>
              <w:ind w:left="200"/>
              <w:spacing w:after="0"/>
              <w:rPr>
                <w:sz w:val="20"/>
                <w:szCs w:val="20"/>
                <w:color w:val="auto"/>
              </w:rPr>
            </w:pPr>
            <w:r>
              <w:rPr>
                <w:rFonts w:ascii="Arial" w:cs="Arial" w:eastAsia="Arial" w:hAnsi="Arial"/>
                <w:sz w:val="18"/>
                <w:szCs w:val="18"/>
                <w:color w:val="auto"/>
              </w:rPr>
              <w:t>No Sinking Fund</w:t>
            </w:r>
          </w:p>
        </w:tc>
        <w:tc>
          <w:tcPr>
            <w:tcW w:w="8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16.9.</w:t>
            </w:r>
          </w:p>
        </w:tc>
        <w:tc>
          <w:tcPr>
            <w:tcW w:w="9080" w:type="dxa"/>
            <w:vAlign w:val="bottom"/>
          </w:tcPr>
          <w:p>
            <w:pPr>
              <w:ind w:left="200"/>
              <w:spacing w:after="0"/>
              <w:rPr>
                <w:sz w:val="20"/>
                <w:szCs w:val="20"/>
                <w:color w:val="auto"/>
              </w:rPr>
            </w:pPr>
            <w:r>
              <w:rPr>
                <w:rFonts w:ascii="Arial" w:cs="Arial" w:eastAsia="Arial" w:hAnsi="Arial"/>
                <w:sz w:val="18"/>
                <w:szCs w:val="18"/>
                <w:color w:val="auto"/>
              </w:rPr>
              <w:t>Record Holders</w:t>
            </w:r>
          </w:p>
        </w:tc>
        <w:tc>
          <w:tcPr>
            <w:tcW w:w="8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16.10.</w:t>
            </w:r>
          </w:p>
        </w:tc>
        <w:tc>
          <w:tcPr>
            <w:tcW w:w="9080" w:type="dxa"/>
            <w:vAlign w:val="bottom"/>
          </w:tcPr>
          <w:p>
            <w:pPr>
              <w:ind w:left="200"/>
              <w:spacing w:after="0"/>
              <w:rPr>
                <w:sz w:val="20"/>
                <w:szCs w:val="20"/>
                <w:color w:val="auto"/>
              </w:rPr>
            </w:pPr>
            <w:r>
              <w:rPr>
                <w:rFonts w:ascii="Arial" w:cs="Arial" w:eastAsia="Arial" w:hAnsi="Arial"/>
                <w:sz w:val="18"/>
                <w:szCs w:val="18"/>
                <w:color w:val="auto"/>
              </w:rPr>
              <w:t>Notices</w:t>
            </w:r>
          </w:p>
        </w:tc>
        <w:tc>
          <w:tcPr>
            <w:tcW w:w="8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1520" w:type="dxa"/>
            <w:vAlign w:val="bottom"/>
          </w:tcPr>
          <w:p>
            <w:pPr>
              <w:ind w:left="260"/>
              <w:spacing w:after="0"/>
              <w:rPr>
                <w:sz w:val="20"/>
                <w:szCs w:val="20"/>
                <w:color w:val="auto"/>
              </w:rPr>
            </w:pPr>
            <w:r>
              <w:rPr>
                <w:rFonts w:ascii="Arial" w:cs="Arial" w:eastAsia="Arial" w:hAnsi="Arial"/>
                <w:sz w:val="18"/>
                <w:szCs w:val="18"/>
                <w:color w:val="auto"/>
              </w:rPr>
              <w:t>Section 16.11.</w:t>
            </w:r>
          </w:p>
        </w:tc>
        <w:tc>
          <w:tcPr>
            <w:tcW w:w="9080" w:type="dxa"/>
            <w:vAlign w:val="bottom"/>
          </w:tcPr>
          <w:p>
            <w:pPr>
              <w:ind w:left="200"/>
              <w:spacing w:after="0"/>
              <w:rPr>
                <w:sz w:val="20"/>
                <w:szCs w:val="20"/>
                <w:color w:val="auto"/>
              </w:rPr>
            </w:pPr>
            <w:r>
              <w:rPr>
                <w:rFonts w:ascii="Arial" w:cs="Arial" w:eastAsia="Arial" w:hAnsi="Arial"/>
                <w:sz w:val="18"/>
                <w:szCs w:val="18"/>
                <w:color w:val="auto"/>
              </w:rPr>
              <w:t>Other Rights; Fiduciary Duties</w:t>
            </w:r>
          </w:p>
        </w:tc>
        <w:tc>
          <w:tcPr>
            <w:tcW w:w="8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418"/>
        </w:trPr>
        <w:tc>
          <w:tcPr>
            <w:tcW w:w="1520" w:type="dxa"/>
            <w:vAlign w:val="bottom"/>
          </w:tcPr>
          <w:p>
            <w:pPr>
              <w:spacing w:after="0"/>
              <w:rPr>
                <w:sz w:val="20"/>
                <w:szCs w:val="20"/>
                <w:color w:val="auto"/>
              </w:rPr>
            </w:pPr>
            <w:r>
              <w:rPr>
                <w:rFonts w:ascii="Arial" w:cs="Arial" w:eastAsia="Arial" w:hAnsi="Arial"/>
                <w:sz w:val="18"/>
                <w:szCs w:val="18"/>
                <w:color w:val="auto"/>
              </w:rPr>
              <w:t>ARTICLE XVII</w:t>
            </w:r>
          </w:p>
        </w:tc>
        <w:tc>
          <w:tcPr>
            <w:tcW w:w="9080" w:type="dxa"/>
            <w:vAlign w:val="bottom"/>
          </w:tcPr>
          <w:p>
            <w:pPr>
              <w:ind w:left="200"/>
              <w:spacing w:after="0"/>
              <w:rPr>
                <w:sz w:val="20"/>
                <w:szCs w:val="20"/>
                <w:color w:val="auto"/>
              </w:rPr>
            </w:pPr>
            <w:r>
              <w:rPr>
                <w:rFonts w:ascii="Arial" w:cs="Arial" w:eastAsia="Arial" w:hAnsi="Arial"/>
                <w:sz w:val="18"/>
                <w:szCs w:val="18"/>
                <w:color w:val="auto"/>
              </w:rPr>
              <w:t>SERIES B CUMULATIVE REDEEMABLE PERPETUAL FIXED TO FLOATING RATE PREFERENCE UNITS</w:t>
            </w:r>
          </w:p>
        </w:tc>
        <w:tc>
          <w:tcPr>
            <w:tcW w:w="8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17.1.</w:t>
            </w:r>
          </w:p>
        </w:tc>
        <w:tc>
          <w:tcPr>
            <w:tcW w:w="9080" w:type="dxa"/>
            <w:vAlign w:val="bottom"/>
          </w:tcPr>
          <w:p>
            <w:pPr>
              <w:ind w:left="200"/>
              <w:spacing w:after="0"/>
              <w:rPr>
                <w:sz w:val="20"/>
                <w:szCs w:val="20"/>
                <w:color w:val="auto"/>
              </w:rPr>
            </w:pPr>
            <w:r>
              <w:rPr>
                <w:rFonts w:ascii="Arial" w:cs="Arial" w:eastAsia="Arial" w:hAnsi="Arial"/>
                <w:sz w:val="18"/>
                <w:szCs w:val="18"/>
                <w:color w:val="auto"/>
              </w:rPr>
              <w:t>Designations</w:t>
            </w:r>
          </w:p>
        </w:tc>
        <w:tc>
          <w:tcPr>
            <w:tcW w:w="8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17.2.</w:t>
            </w:r>
          </w:p>
        </w:tc>
        <w:tc>
          <w:tcPr>
            <w:tcW w:w="9080" w:type="dxa"/>
            <w:vAlign w:val="bottom"/>
          </w:tcPr>
          <w:p>
            <w:pPr>
              <w:ind w:left="200"/>
              <w:spacing w:after="0"/>
              <w:rPr>
                <w:sz w:val="20"/>
                <w:szCs w:val="20"/>
                <w:color w:val="auto"/>
              </w:rPr>
            </w:pPr>
            <w:r>
              <w:rPr>
                <w:rFonts w:ascii="Arial" w:cs="Arial" w:eastAsia="Arial" w:hAnsi="Arial"/>
                <w:sz w:val="18"/>
                <w:szCs w:val="18"/>
                <w:color w:val="auto"/>
              </w:rPr>
              <w:t>Units</w:t>
            </w:r>
          </w:p>
        </w:tc>
        <w:tc>
          <w:tcPr>
            <w:tcW w:w="8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17.3.</w:t>
            </w:r>
          </w:p>
        </w:tc>
        <w:tc>
          <w:tcPr>
            <w:tcW w:w="9080" w:type="dxa"/>
            <w:vAlign w:val="bottom"/>
          </w:tcPr>
          <w:p>
            <w:pPr>
              <w:ind w:left="200"/>
              <w:spacing w:after="0"/>
              <w:rPr>
                <w:sz w:val="20"/>
                <w:szCs w:val="20"/>
                <w:color w:val="auto"/>
              </w:rPr>
            </w:pPr>
            <w:r>
              <w:rPr>
                <w:rFonts w:ascii="Arial" w:cs="Arial" w:eastAsia="Arial" w:hAnsi="Arial"/>
                <w:sz w:val="18"/>
                <w:szCs w:val="18"/>
                <w:color w:val="auto"/>
              </w:rPr>
              <w:t>Distributions</w:t>
            </w:r>
          </w:p>
        </w:tc>
        <w:tc>
          <w:tcPr>
            <w:tcW w:w="8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17.4.</w:t>
            </w:r>
          </w:p>
        </w:tc>
        <w:tc>
          <w:tcPr>
            <w:tcW w:w="9080" w:type="dxa"/>
            <w:vAlign w:val="bottom"/>
          </w:tcPr>
          <w:p>
            <w:pPr>
              <w:ind w:left="200"/>
              <w:spacing w:after="0"/>
              <w:rPr>
                <w:sz w:val="20"/>
                <w:szCs w:val="20"/>
                <w:color w:val="auto"/>
              </w:rPr>
            </w:pPr>
            <w:r>
              <w:rPr>
                <w:rFonts w:ascii="Arial" w:cs="Arial" w:eastAsia="Arial" w:hAnsi="Arial"/>
                <w:sz w:val="18"/>
                <w:szCs w:val="18"/>
                <w:color w:val="auto"/>
              </w:rPr>
              <w:t>Liquidation Rights</w:t>
            </w:r>
          </w:p>
        </w:tc>
        <w:tc>
          <w:tcPr>
            <w:tcW w:w="8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17.5.</w:t>
            </w:r>
          </w:p>
        </w:tc>
        <w:tc>
          <w:tcPr>
            <w:tcW w:w="9080" w:type="dxa"/>
            <w:vAlign w:val="bottom"/>
          </w:tcPr>
          <w:p>
            <w:pPr>
              <w:ind w:left="200"/>
              <w:spacing w:after="0"/>
              <w:rPr>
                <w:sz w:val="20"/>
                <w:szCs w:val="20"/>
                <w:color w:val="auto"/>
              </w:rPr>
            </w:pPr>
            <w:r>
              <w:rPr>
                <w:rFonts w:ascii="Arial" w:cs="Arial" w:eastAsia="Arial" w:hAnsi="Arial"/>
                <w:sz w:val="18"/>
                <w:szCs w:val="18"/>
                <w:color w:val="auto"/>
              </w:rPr>
              <w:t>Voting Rights</w:t>
            </w:r>
          </w:p>
        </w:tc>
        <w:tc>
          <w:tcPr>
            <w:tcW w:w="8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17.6.</w:t>
            </w:r>
          </w:p>
        </w:tc>
        <w:tc>
          <w:tcPr>
            <w:tcW w:w="9080" w:type="dxa"/>
            <w:vAlign w:val="bottom"/>
          </w:tcPr>
          <w:p>
            <w:pPr>
              <w:ind w:left="200"/>
              <w:spacing w:after="0"/>
              <w:rPr>
                <w:sz w:val="20"/>
                <w:szCs w:val="20"/>
                <w:color w:val="auto"/>
              </w:rPr>
            </w:pPr>
            <w:r>
              <w:rPr>
                <w:rFonts w:ascii="Arial" w:cs="Arial" w:eastAsia="Arial" w:hAnsi="Arial"/>
                <w:sz w:val="18"/>
                <w:szCs w:val="18"/>
                <w:color w:val="auto"/>
              </w:rPr>
              <w:t>Optional Redemption</w:t>
            </w:r>
          </w:p>
        </w:tc>
        <w:tc>
          <w:tcPr>
            <w:tcW w:w="8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17.7.</w:t>
            </w:r>
          </w:p>
        </w:tc>
        <w:tc>
          <w:tcPr>
            <w:tcW w:w="9080" w:type="dxa"/>
            <w:vAlign w:val="bottom"/>
          </w:tcPr>
          <w:p>
            <w:pPr>
              <w:ind w:left="200"/>
              <w:spacing w:after="0"/>
              <w:rPr>
                <w:sz w:val="20"/>
                <w:szCs w:val="20"/>
                <w:color w:val="auto"/>
              </w:rPr>
            </w:pPr>
            <w:r>
              <w:rPr>
                <w:rFonts w:ascii="Arial" w:cs="Arial" w:eastAsia="Arial" w:hAnsi="Arial"/>
                <w:sz w:val="18"/>
                <w:szCs w:val="18"/>
                <w:color w:val="auto"/>
              </w:rPr>
              <w:t>Rank</w:t>
            </w:r>
          </w:p>
        </w:tc>
        <w:tc>
          <w:tcPr>
            <w:tcW w:w="8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17.8.</w:t>
            </w:r>
          </w:p>
        </w:tc>
        <w:tc>
          <w:tcPr>
            <w:tcW w:w="9080" w:type="dxa"/>
            <w:vAlign w:val="bottom"/>
          </w:tcPr>
          <w:p>
            <w:pPr>
              <w:ind w:left="200"/>
              <w:spacing w:after="0"/>
              <w:rPr>
                <w:sz w:val="20"/>
                <w:szCs w:val="20"/>
                <w:color w:val="auto"/>
              </w:rPr>
            </w:pPr>
            <w:r>
              <w:rPr>
                <w:rFonts w:ascii="Arial" w:cs="Arial" w:eastAsia="Arial" w:hAnsi="Arial"/>
                <w:sz w:val="18"/>
                <w:szCs w:val="18"/>
                <w:color w:val="auto"/>
              </w:rPr>
              <w:t>No Sinking Fund</w:t>
            </w:r>
          </w:p>
        </w:tc>
        <w:tc>
          <w:tcPr>
            <w:tcW w:w="8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17.9.</w:t>
            </w:r>
          </w:p>
        </w:tc>
        <w:tc>
          <w:tcPr>
            <w:tcW w:w="9080" w:type="dxa"/>
            <w:vAlign w:val="bottom"/>
          </w:tcPr>
          <w:p>
            <w:pPr>
              <w:ind w:left="200"/>
              <w:spacing w:after="0"/>
              <w:rPr>
                <w:sz w:val="20"/>
                <w:szCs w:val="20"/>
                <w:color w:val="auto"/>
              </w:rPr>
            </w:pPr>
            <w:r>
              <w:rPr>
                <w:rFonts w:ascii="Arial" w:cs="Arial" w:eastAsia="Arial" w:hAnsi="Arial"/>
                <w:sz w:val="18"/>
                <w:szCs w:val="18"/>
                <w:color w:val="auto"/>
              </w:rPr>
              <w:t>Record Holders</w:t>
            </w:r>
          </w:p>
        </w:tc>
        <w:tc>
          <w:tcPr>
            <w:tcW w:w="8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17.10.</w:t>
            </w:r>
          </w:p>
        </w:tc>
        <w:tc>
          <w:tcPr>
            <w:tcW w:w="9080" w:type="dxa"/>
            <w:vAlign w:val="bottom"/>
          </w:tcPr>
          <w:p>
            <w:pPr>
              <w:ind w:left="200"/>
              <w:spacing w:after="0"/>
              <w:rPr>
                <w:sz w:val="20"/>
                <w:szCs w:val="20"/>
                <w:color w:val="auto"/>
              </w:rPr>
            </w:pPr>
            <w:r>
              <w:rPr>
                <w:rFonts w:ascii="Arial" w:cs="Arial" w:eastAsia="Arial" w:hAnsi="Arial"/>
                <w:sz w:val="18"/>
                <w:szCs w:val="18"/>
                <w:color w:val="auto"/>
              </w:rPr>
              <w:t>Notices</w:t>
            </w:r>
          </w:p>
        </w:tc>
        <w:tc>
          <w:tcPr>
            <w:tcW w:w="8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1520" w:type="dxa"/>
            <w:vAlign w:val="bottom"/>
          </w:tcPr>
          <w:p>
            <w:pPr>
              <w:ind w:left="260"/>
              <w:spacing w:after="0"/>
              <w:rPr>
                <w:sz w:val="20"/>
                <w:szCs w:val="20"/>
                <w:color w:val="auto"/>
              </w:rPr>
            </w:pPr>
            <w:r>
              <w:rPr>
                <w:rFonts w:ascii="Arial" w:cs="Arial" w:eastAsia="Arial" w:hAnsi="Arial"/>
                <w:sz w:val="18"/>
                <w:szCs w:val="18"/>
                <w:color w:val="auto"/>
              </w:rPr>
              <w:t>Section 17.11.</w:t>
            </w:r>
          </w:p>
        </w:tc>
        <w:tc>
          <w:tcPr>
            <w:tcW w:w="9080" w:type="dxa"/>
            <w:vAlign w:val="bottom"/>
          </w:tcPr>
          <w:p>
            <w:pPr>
              <w:ind w:left="200"/>
              <w:spacing w:after="0"/>
              <w:rPr>
                <w:sz w:val="20"/>
                <w:szCs w:val="20"/>
                <w:color w:val="auto"/>
              </w:rPr>
            </w:pPr>
            <w:r>
              <w:rPr>
                <w:rFonts w:ascii="Arial" w:cs="Arial" w:eastAsia="Arial" w:hAnsi="Arial"/>
                <w:sz w:val="18"/>
                <w:szCs w:val="18"/>
                <w:color w:val="auto"/>
              </w:rPr>
              <w:t>Other Rights; Fiduciary Duties</w:t>
            </w:r>
          </w:p>
        </w:tc>
        <w:tc>
          <w:tcPr>
            <w:tcW w:w="8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418"/>
        </w:trPr>
        <w:tc>
          <w:tcPr>
            <w:tcW w:w="1520" w:type="dxa"/>
            <w:vAlign w:val="bottom"/>
          </w:tcPr>
          <w:p>
            <w:pPr>
              <w:spacing w:after="0"/>
              <w:rPr>
                <w:sz w:val="20"/>
                <w:szCs w:val="20"/>
                <w:color w:val="auto"/>
              </w:rPr>
            </w:pPr>
            <w:r>
              <w:rPr>
                <w:rFonts w:ascii="Arial" w:cs="Arial" w:eastAsia="Arial" w:hAnsi="Arial"/>
                <w:sz w:val="18"/>
                <w:szCs w:val="18"/>
                <w:color w:val="auto"/>
              </w:rPr>
              <w:t>ARTICLE XVIII</w:t>
            </w:r>
          </w:p>
        </w:tc>
        <w:tc>
          <w:tcPr>
            <w:tcW w:w="9080" w:type="dxa"/>
            <w:vAlign w:val="bottom"/>
          </w:tcPr>
          <w:p>
            <w:pPr>
              <w:ind w:left="200"/>
              <w:spacing w:after="0"/>
              <w:rPr>
                <w:sz w:val="20"/>
                <w:szCs w:val="20"/>
                <w:color w:val="auto"/>
              </w:rPr>
            </w:pPr>
            <w:r>
              <w:rPr>
                <w:rFonts w:ascii="Arial" w:cs="Arial" w:eastAsia="Arial" w:hAnsi="Arial"/>
                <w:sz w:val="18"/>
                <w:szCs w:val="18"/>
                <w:color w:val="auto"/>
              </w:rPr>
              <w:t>GENERAL PROVISIONS</w:t>
            </w:r>
          </w:p>
        </w:tc>
        <w:tc>
          <w:tcPr>
            <w:tcW w:w="8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18.1.</w:t>
            </w:r>
          </w:p>
        </w:tc>
        <w:tc>
          <w:tcPr>
            <w:tcW w:w="9080" w:type="dxa"/>
            <w:vAlign w:val="bottom"/>
          </w:tcPr>
          <w:p>
            <w:pPr>
              <w:ind w:left="200"/>
              <w:spacing w:after="0"/>
              <w:rPr>
                <w:sz w:val="20"/>
                <w:szCs w:val="20"/>
                <w:color w:val="auto"/>
              </w:rPr>
            </w:pPr>
            <w:r>
              <w:rPr>
                <w:rFonts w:ascii="Arial" w:cs="Arial" w:eastAsia="Arial" w:hAnsi="Arial"/>
                <w:sz w:val="18"/>
                <w:szCs w:val="18"/>
                <w:color w:val="auto"/>
              </w:rPr>
              <w:t>Addresses and Notices</w:t>
            </w:r>
          </w:p>
        </w:tc>
        <w:tc>
          <w:tcPr>
            <w:tcW w:w="8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18.2.</w:t>
            </w:r>
          </w:p>
        </w:tc>
        <w:tc>
          <w:tcPr>
            <w:tcW w:w="9080" w:type="dxa"/>
            <w:vAlign w:val="bottom"/>
          </w:tcPr>
          <w:p>
            <w:pPr>
              <w:ind w:left="200"/>
              <w:spacing w:after="0"/>
              <w:rPr>
                <w:sz w:val="20"/>
                <w:szCs w:val="20"/>
                <w:color w:val="auto"/>
              </w:rPr>
            </w:pPr>
            <w:r>
              <w:rPr>
                <w:rFonts w:ascii="Arial" w:cs="Arial" w:eastAsia="Arial" w:hAnsi="Arial"/>
                <w:sz w:val="18"/>
                <w:szCs w:val="18"/>
                <w:color w:val="auto"/>
              </w:rPr>
              <w:t>Further Action</w:t>
            </w:r>
          </w:p>
        </w:tc>
        <w:tc>
          <w:tcPr>
            <w:tcW w:w="8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18.3.</w:t>
            </w:r>
          </w:p>
        </w:tc>
        <w:tc>
          <w:tcPr>
            <w:tcW w:w="9080" w:type="dxa"/>
            <w:vAlign w:val="bottom"/>
          </w:tcPr>
          <w:p>
            <w:pPr>
              <w:ind w:left="200"/>
              <w:spacing w:after="0"/>
              <w:rPr>
                <w:sz w:val="20"/>
                <w:szCs w:val="20"/>
                <w:color w:val="auto"/>
              </w:rPr>
            </w:pPr>
            <w:r>
              <w:rPr>
                <w:rFonts w:ascii="Arial" w:cs="Arial" w:eastAsia="Arial" w:hAnsi="Arial"/>
                <w:sz w:val="18"/>
                <w:szCs w:val="18"/>
                <w:color w:val="auto"/>
              </w:rPr>
              <w:t>Binding Effect</w:t>
            </w:r>
          </w:p>
        </w:tc>
        <w:tc>
          <w:tcPr>
            <w:tcW w:w="8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18.4.</w:t>
            </w:r>
          </w:p>
        </w:tc>
        <w:tc>
          <w:tcPr>
            <w:tcW w:w="9080" w:type="dxa"/>
            <w:vAlign w:val="bottom"/>
          </w:tcPr>
          <w:p>
            <w:pPr>
              <w:ind w:left="200"/>
              <w:spacing w:after="0"/>
              <w:rPr>
                <w:sz w:val="20"/>
                <w:szCs w:val="20"/>
                <w:color w:val="auto"/>
              </w:rPr>
            </w:pPr>
            <w:r>
              <w:rPr>
                <w:rFonts w:ascii="Arial" w:cs="Arial" w:eastAsia="Arial" w:hAnsi="Arial"/>
                <w:sz w:val="18"/>
                <w:szCs w:val="18"/>
                <w:color w:val="auto"/>
              </w:rPr>
              <w:t>Integration</w:t>
            </w:r>
          </w:p>
        </w:tc>
        <w:tc>
          <w:tcPr>
            <w:tcW w:w="8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18.5.</w:t>
            </w:r>
          </w:p>
        </w:tc>
        <w:tc>
          <w:tcPr>
            <w:tcW w:w="9080" w:type="dxa"/>
            <w:vAlign w:val="bottom"/>
          </w:tcPr>
          <w:p>
            <w:pPr>
              <w:ind w:left="200"/>
              <w:spacing w:after="0"/>
              <w:rPr>
                <w:sz w:val="20"/>
                <w:szCs w:val="20"/>
                <w:color w:val="auto"/>
              </w:rPr>
            </w:pPr>
            <w:r>
              <w:rPr>
                <w:rFonts w:ascii="Arial" w:cs="Arial" w:eastAsia="Arial" w:hAnsi="Arial"/>
                <w:sz w:val="18"/>
                <w:szCs w:val="18"/>
                <w:color w:val="auto"/>
              </w:rPr>
              <w:t>Creditors</w:t>
            </w:r>
          </w:p>
        </w:tc>
        <w:tc>
          <w:tcPr>
            <w:tcW w:w="8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18.6.</w:t>
            </w:r>
          </w:p>
        </w:tc>
        <w:tc>
          <w:tcPr>
            <w:tcW w:w="9080" w:type="dxa"/>
            <w:vAlign w:val="bottom"/>
          </w:tcPr>
          <w:p>
            <w:pPr>
              <w:ind w:left="200"/>
              <w:spacing w:after="0"/>
              <w:rPr>
                <w:sz w:val="20"/>
                <w:szCs w:val="20"/>
                <w:color w:val="auto"/>
              </w:rPr>
            </w:pPr>
            <w:r>
              <w:rPr>
                <w:rFonts w:ascii="Arial" w:cs="Arial" w:eastAsia="Arial" w:hAnsi="Arial"/>
                <w:sz w:val="18"/>
                <w:szCs w:val="18"/>
                <w:color w:val="auto"/>
              </w:rPr>
              <w:t>Waiver</w:t>
            </w:r>
          </w:p>
        </w:tc>
        <w:tc>
          <w:tcPr>
            <w:tcW w:w="8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18.7.</w:t>
            </w:r>
          </w:p>
        </w:tc>
        <w:tc>
          <w:tcPr>
            <w:tcW w:w="9080" w:type="dxa"/>
            <w:vAlign w:val="bottom"/>
          </w:tcPr>
          <w:p>
            <w:pPr>
              <w:ind w:left="200"/>
              <w:spacing w:after="0"/>
              <w:rPr>
                <w:sz w:val="20"/>
                <w:szCs w:val="20"/>
                <w:color w:val="auto"/>
              </w:rPr>
            </w:pPr>
            <w:r>
              <w:rPr>
                <w:rFonts w:ascii="Arial" w:cs="Arial" w:eastAsia="Arial" w:hAnsi="Arial"/>
                <w:sz w:val="18"/>
                <w:szCs w:val="18"/>
                <w:color w:val="auto"/>
              </w:rPr>
              <w:t>Counterparts</w:t>
            </w:r>
          </w:p>
        </w:tc>
        <w:tc>
          <w:tcPr>
            <w:tcW w:w="8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18.8.</w:t>
            </w:r>
          </w:p>
        </w:tc>
        <w:tc>
          <w:tcPr>
            <w:tcW w:w="9080" w:type="dxa"/>
            <w:vAlign w:val="bottom"/>
          </w:tcPr>
          <w:p>
            <w:pPr>
              <w:ind w:left="200"/>
              <w:spacing w:after="0"/>
              <w:rPr>
                <w:sz w:val="20"/>
                <w:szCs w:val="20"/>
                <w:color w:val="auto"/>
              </w:rPr>
            </w:pPr>
            <w:r>
              <w:rPr>
                <w:rFonts w:ascii="Arial" w:cs="Arial" w:eastAsia="Arial" w:hAnsi="Arial"/>
                <w:sz w:val="18"/>
                <w:szCs w:val="18"/>
                <w:color w:val="auto"/>
              </w:rPr>
              <w:t>Applicable Law; Forum, Venue and Jurisdiction</w:t>
            </w:r>
          </w:p>
        </w:tc>
        <w:tc>
          <w:tcPr>
            <w:tcW w:w="8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18.9.</w:t>
            </w:r>
          </w:p>
        </w:tc>
        <w:tc>
          <w:tcPr>
            <w:tcW w:w="9080" w:type="dxa"/>
            <w:vAlign w:val="bottom"/>
          </w:tcPr>
          <w:p>
            <w:pPr>
              <w:ind w:left="200"/>
              <w:spacing w:after="0"/>
              <w:rPr>
                <w:sz w:val="20"/>
                <w:szCs w:val="20"/>
                <w:color w:val="auto"/>
              </w:rPr>
            </w:pPr>
            <w:r>
              <w:rPr>
                <w:rFonts w:ascii="Arial" w:cs="Arial" w:eastAsia="Arial" w:hAnsi="Arial"/>
                <w:sz w:val="18"/>
                <w:szCs w:val="18"/>
                <w:color w:val="auto"/>
              </w:rPr>
              <w:t>Invalidity of Provisions</w:t>
            </w: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18.10.</w:t>
            </w:r>
          </w:p>
        </w:tc>
        <w:tc>
          <w:tcPr>
            <w:tcW w:w="9080" w:type="dxa"/>
            <w:vAlign w:val="bottom"/>
          </w:tcPr>
          <w:p>
            <w:pPr>
              <w:ind w:left="200"/>
              <w:spacing w:after="0"/>
              <w:rPr>
                <w:sz w:val="20"/>
                <w:szCs w:val="20"/>
                <w:color w:val="auto"/>
              </w:rPr>
            </w:pPr>
            <w:r>
              <w:rPr>
                <w:rFonts w:ascii="Arial" w:cs="Arial" w:eastAsia="Arial" w:hAnsi="Arial"/>
                <w:sz w:val="18"/>
                <w:szCs w:val="18"/>
                <w:color w:val="auto"/>
              </w:rPr>
              <w:t>Consent of Partners</w:t>
            </w: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520" w:type="dxa"/>
            <w:vAlign w:val="bottom"/>
          </w:tcPr>
          <w:p>
            <w:pPr>
              <w:ind w:left="260"/>
              <w:spacing w:after="0"/>
              <w:rPr>
                <w:sz w:val="20"/>
                <w:szCs w:val="20"/>
                <w:color w:val="auto"/>
              </w:rPr>
            </w:pPr>
            <w:r>
              <w:rPr>
                <w:rFonts w:ascii="Arial" w:cs="Arial" w:eastAsia="Arial" w:hAnsi="Arial"/>
                <w:sz w:val="18"/>
                <w:szCs w:val="18"/>
                <w:color w:val="auto"/>
              </w:rPr>
              <w:t>Section 18.11.</w:t>
            </w:r>
          </w:p>
        </w:tc>
        <w:tc>
          <w:tcPr>
            <w:tcW w:w="9080" w:type="dxa"/>
            <w:vAlign w:val="bottom"/>
          </w:tcPr>
          <w:p>
            <w:pPr>
              <w:ind w:left="200"/>
              <w:spacing w:after="0"/>
              <w:rPr>
                <w:sz w:val="20"/>
                <w:szCs w:val="20"/>
                <w:color w:val="auto"/>
              </w:rPr>
            </w:pPr>
            <w:r>
              <w:rPr>
                <w:rFonts w:ascii="Arial" w:cs="Arial" w:eastAsia="Arial" w:hAnsi="Arial"/>
                <w:sz w:val="18"/>
                <w:szCs w:val="18"/>
                <w:color w:val="auto"/>
              </w:rPr>
              <w:t>Facsimile Signatures</w:t>
            </w: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1520" w:type="dxa"/>
            <w:vAlign w:val="bottom"/>
          </w:tcPr>
          <w:p>
            <w:pPr>
              <w:ind w:left="260"/>
              <w:spacing w:after="0"/>
              <w:rPr>
                <w:sz w:val="20"/>
                <w:szCs w:val="20"/>
                <w:color w:val="auto"/>
              </w:rPr>
            </w:pPr>
            <w:r>
              <w:rPr>
                <w:rFonts w:ascii="Arial" w:cs="Arial" w:eastAsia="Arial" w:hAnsi="Arial"/>
                <w:sz w:val="18"/>
                <w:szCs w:val="18"/>
                <w:color w:val="auto"/>
              </w:rPr>
              <w:t>Section 18.12.</w:t>
            </w:r>
          </w:p>
        </w:tc>
        <w:tc>
          <w:tcPr>
            <w:tcW w:w="9080" w:type="dxa"/>
            <w:vAlign w:val="bottom"/>
          </w:tcPr>
          <w:p>
            <w:pPr>
              <w:ind w:left="200"/>
              <w:spacing w:after="0"/>
              <w:rPr>
                <w:sz w:val="20"/>
                <w:szCs w:val="20"/>
                <w:color w:val="auto"/>
              </w:rPr>
            </w:pPr>
            <w:r>
              <w:rPr>
                <w:rFonts w:ascii="Arial" w:cs="Arial" w:eastAsia="Arial" w:hAnsi="Arial"/>
                <w:sz w:val="18"/>
                <w:szCs w:val="18"/>
                <w:color w:val="auto"/>
              </w:rPr>
              <w:t>Third-Party Beneficiaries</w:t>
            </w: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THIRD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OF LIMITED PARTNERSHIP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PARTNERS LP</w:t>
      </w:r>
    </w:p>
    <w:p>
      <w:pPr>
        <w:spacing w:after="0" w:line="211" w:lineRule="exact"/>
        <w:rPr>
          <w:sz w:val="20"/>
          <w:szCs w:val="20"/>
          <w:color w:val="auto"/>
        </w:rPr>
      </w:pPr>
    </w:p>
    <w:p>
      <w:pPr>
        <w:ind w:right="280" w:firstLine="1297"/>
        <w:spacing w:after="0" w:line="286" w:lineRule="auto"/>
        <w:rPr>
          <w:sz w:val="20"/>
          <w:szCs w:val="20"/>
          <w:color w:val="auto"/>
        </w:rPr>
      </w:pPr>
      <w:r>
        <w:rPr>
          <w:rFonts w:ascii="Arial" w:cs="Arial" w:eastAsia="Arial" w:hAnsi="Arial"/>
          <w:sz w:val="17"/>
          <w:szCs w:val="17"/>
          <w:color w:val="auto"/>
        </w:rPr>
        <w:t>THIS THIRD AMENDED AND RESTATED AGREEMENT OF LIMITED PARTNERSHIP OF GASLOG PARTNERS LP, dated as of January 17, 2018, is entered into by and between GasLog Partners GP LLC, a Marshall Islands limited liability company, as the General Partner and the Limited Partners, together with any other Persons who become Partners in the Partnership or parties hereto as provided herein.</w:t>
      </w:r>
    </w:p>
    <w:p>
      <w:pPr>
        <w:spacing w:after="0" w:line="166"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WHEREAS, the General Partner and the other parties thereto entered into that certain Second Amended and Restated Agreement of Limited Partnership of the Partnership (the “</w:t>
      </w:r>
      <w:r>
        <w:rPr>
          <w:rFonts w:ascii="Arial" w:cs="Arial" w:eastAsia="Arial" w:hAnsi="Arial"/>
          <w:sz w:val="18"/>
          <w:szCs w:val="18"/>
          <w:b w:val="1"/>
          <w:bCs w:val="1"/>
          <w:color w:val="auto"/>
        </w:rPr>
        <w:t>Second Amended Agreement</w:t>
      </w:r>
      <w:r>
        <w:rPr>
          <w:rFonts w:ascii="Arial" w:cs="Arial" w:eastAsia="Arial" w:hAnsi="Arial"/>
          <w:sz w:val="18"/>
          <w:szCs w:val="18"/>
          <w:color w:val="auto"/>
        </w:rPr>
        <w:t>”) on May 15, 2017;</w:t>
      </w:r>
    </w:p>
    <w:p>
      <w:pPr>
        <w:spacing w:after="0" w:line="170" w:lineRule="exact"/>
        <w:rPr>
          <w:sz w:val="20"/>
          <w:szCs w:val="20"/>
          <w:color w:val="auto"/>
        </w:rPr>
      </w:pPr>
    </w:p>
    <w:p>
      <w:pPr>
        <w:ind w:right="220" w:firstLine="1297"/>
        <w:spacing w:after="0" w:line="259" w:lineRule="auto"/>
        <w:rPr>
          <w:sz w:val="20"/>
          <w:szCs w:val="20"/>
          <w:color w:val="auto"/>
        </w:rPr>
      </w:pPr>
      <w:r>
        <w:rPr>
          <w:rFonts w:ascii="Arial" w:cs="Arial" w:eastAsia="Arial" w:hAnsi="Arial"/>
          <w:sz w:val="18"/>
          <w:szCs w:val="18"/>
          <w:color w:val="auto"/>
        </w:rPr>
        <w:t>WHEREAS, Section 5.4(a) of the Second Amended Agreement provides that the Partnership is authorized to issue additional Partnership Interests and options, rights, warrants and appreciation rights relating to the Partnership Interests for any partnership purpose at any time and from time to time to such Persons for such consideration and on such terms and conditions as the Board of Directors shall determine, all without the approval of any Partners;</w:t>
      </w:r>
    </w:p>
    <w:p>
      <w:pPr>
        <w:spacing w:after="0" w:line="187"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WHEREAS, Section 5.4(b) of the Second Amended Agreement provides that each additional Partnership Interest authorized to be issued by the Partnership pursuant to Section 5.4(a) of the Second Amended Agreement may be issued in one or more classes, or one or more series of any such classes, with such designations, preferences, rights, powers and duties (which may be senior to existing classes and series of Partnership Interests), as shall be fixed by the Board of Directors, including (i) the right to share in Partnership distributions; (ii) the rights upon dissolution and liquidation of the Partnership; (iii) whether, and the terms and conditions upon which, the Partnership may or shall be required to redeem the Partnership Interest (including sinking fund provisions); (iv) whether such Partnership Interest is issued with the privilege of conversion or exchange and, if so, the terms and conditions of such conversion or exchange; (v) the terms and conditions upon which each Partnership Interest will be issued, evidenced by certificates and assigned or</w:t>
      </w:r>
    </w:p>
    <w:p>
      <w:pPr>
        <w:sectPr>
          <w:pgSz w:w="11900" w:h="16838" w:orient="portrait"/>
          <w:cols w:equalWidth="0" w:num="1">
            <w:col w:w="11420"/>
          </w:cols>
          <w:pgMar w:left="240" w:top="125" w:right="239" w:bottom="0" w:gutter="0" w:footer="0" w:header="0"/>
        </w:sectPr>
      </w:pPr>
    </w:p>
    <w:bookmarkStart w:id="4" w:name="page5"/>
    <w:bookmarkEnd w:id="4"/>
    <w:p>
      <w:pPr>
        <w:ind w:right="80"/>
        <w:spacing w:after="0" w:line="308" w:lineRule="auto"/>
        <w:rPr>
          <w:sz w:val="20"/>
          <w:szCs w:val="20"/>
          <w:color w:val="auto"/>
        </w:rPr>
      </w:pPr>
      <w:r>
        <w:rPr>
          <w:rFonts w:ascii="Arial" w:cs="Arial" w:eastAsia="Arial" w:hAnsi="Arial"/>
          <w:sz w:val="17"/>
          <w:szCs w:val="17"/>
          <w:color w:val="auto"/>
        </w:rPr>
        <w:t>transferred; (vi) the method for determining the Percentage Interest as to such Partnership Interest; and (vii) the right, if any, of each such Partnership Interest to vote on Partnership matters, including matters relating to the relative rights, preferences and privileges of such Partnership Interest;</w:t>
      </w:r>
    </w:p>
    <w:p>
      <w:pPr>
        <w:spacing w:after="0" w:line="147" w:lineRule="exact"/>
        <w:rPr>
          <w:sz w:val="20"/>
          <w:szCs w:val="20"/>
          <w:color w:val="auto"/>
        </w:rPr>
      </w:pPr>
    </w:p>
    <w:p>
      <w:pPr>
        <w:ind w:right="120" w:firstLine="1297"/>
        <w:spacing w:after="0" w:line="273" w:lineRule="auto"/>
        <w:rPr>
          <w:sz w:val="20"/>
          <w:szCs w:val="20"/>
          <w:color w:val="auto"/>
        </w:rPr>
      </w:pPr>
      <w:r>
        <w:rPr>
          <w:rFonts w:ascii="Arial" w:cs="Arial" w:eastAsia="Arial" w:hAnsi="Arial"/>
          <w:sz w:val="17"/>
          <w:szCs w:val="17"/>
          <w:color w:val="auto"/>
        </w:rPr>
        <w:t>WHEREAS, Section 5.4(c) of the Second Amended Agreement provides that the Board of Directors is authorized and directed to take all actions that it determines to be necessary or appropriate in connection with each issuance of Partnership Interests and options, rights, warrants and appreciation rights relating to Partnership Interests pursuant to Section 5.4 of the Second Amended Agreement and to take all actions that it determines to be necessary or appropriate in connection with any future issuance of Partnership Interests pursuant to the Second Amended Agreement, including compliance with any statute, rule, regulation or guideline of any federal, state or other governmental agency or any National Securities Exchange on which the Common Units or other Partnership Interests are listed or admitted to trading;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1297"/>
        <w:spacing w:after="0" w:line="255" w:lineRule="auto"/>
        <w:rPr>
          <w:sz w:val="20"/>
          <w:szCs w:val="20"/>
          <w:color w:val="auto"/>
        </w:rPr>
      </w:pPr>
      <w:r>
        <w:rPr>
          <w:rFonts w:ascii="Arial" w:cs="Arial" w:eastAsia="Arial" w:hAnsi="Arial"/>
          <w:sz w:val="18"/>
          <w:szCs w:val="18"/>
          <w:color w:val="auto"/>
        </w:rPr>
        <w:t>WHEREAS, Section 13.1(g) of the Second Amended Agreement provides that the General Partner and each Limited Partner agree that the Board of Directors, without the approval of any Limited Partner or, subject to Section 5.5 of the Second Amended Agreement, the General Partner, may amend any provision of the Second Amended Agreement and execute, swear to, acknowledge, deliver, file and record whatever documents may be required in connection therewith, to reflect an amendment that the Board of Directors, and if required by Section 5.5 of the Second Amended Agreement, the General Partner, determines to be necessary or appropriate in connection with the authorization of issuance of any class or series of Partnership Interests pursuant to Section 5.4 of the Second Amended Agreement; and</w:t>
      </w:r>
    </w:p>
    <w:p>
      <w:pPr>
        <w:spacing w:after="0" w:line="193" w:lineRule="exact"/>
        <w:rPr>
          <w:sz w:val="20"/>
          <w:szCs w:val="20"/>
          <w:color w:val="auto"/>
        </w:rPr>
      </w:pPr>
    </w:p>
    <w:p>
      <w:pPr>
        <w:ind w:right="20" w:firstLine="1297"/>
        <w:spacing w:after="0" w:line="291" w:lineRule="auto"/>
        <w:rPr>
          <w:sz w:val="20"/>
          <w:szCs w:val="20"/>
          <w:color w:val="auto"/>
        </w:rPr>
      </w:pPr>
      <w:r>
        <w:rPr>
          <w:rFonts w:ascii="Arial" w:cs="Arial" w:eastAsia="Arial" w:hAnsi="Arial"/>
          <w:sz w:val="16"/>
          <w:szCs w:val="16"/>
          <w:color w:val="auto"/>
        </w:rPr>
        <w:t>WHEREAS, the Subordination Period (as defined in the Second Amended Agreement) has ended and the General Partner desires to remove the terms and provisions of the Second Amended Agreement related to such and other historical matters and such provisions and related terms because they</w:t>
      </w:r>
    </w:p>
    <w:p>
      <w:pPr>
        <w:ind w:right="580" w:firstLine="8"/>
        <w:spacing w:after="0" w:line="261" w:lineRule="auto"/>
        <w:tabs>
          <w:tab w:leader="none" w:pos="215" w:val="left"/>
        </w:tabs>
        <w:numPr>
          <w:ilvl w:val="0"/>
          <w:numId w:val="1"/>
        </w:numPr>
        <w:rPr>
          <w:rFonts w:ascii="Arial" w:cs="Arial" w:eastAsia="Arial" w:hAnsi="Arial"/>
          <w:sz w:val="18"/>
          <w:szCs w:val="18"/>
          <w:color w:val="auto"/>
        </w:rPr>
      </w:pPr>
      <w:r>
        <w:rPr>
          <w:rFonts w:ascii="Arial" w:cs="Arial" w:eastAsia="Arial" w:hAnsi="Arial"/>
          <w:sz w:val="18"/>
          <w:szCs w:val="18"/>
          <w:color w:val="auto"/>
        </w:rPr>
        <w:t>are no longer applicable to the Partnership and (ii) their removal from the Agreement does not adversely affect the Limited Partners in any material respect;</w:t>
      </w:r>
    </w:p>
    <w:p>
      <w:pPr>
        <w:spacing w:after="0" w:line="184" w:lineRule="exact"/>
        <w:rPr>
          <w:sz w:val="20"/>
          <w:szCs w:val="20"/>
          <w:color w:val="auto"/>
        </w:rPr>
      </w:pPr>
    </w:p>
    <w:p>
      <w:pPr>
        <w:ind w:right="400" w:firstLine="1297"/>
        <w:spacing w:after="0" w:line="277" w:lineRule="auto"/>
        <w:rPr>
          <w:sz w:val="20"/>
          <w:szCs w:val="20"/>
          <w:color w:val="auto"/>
        </w:rPr>
      </w:pPr>
      <w:r>
        <w:rPr>
          <w:rFonts w:ascii="Arial" w:cs="Arial" w:eastAsia="Arial" w:hAnsi="Arial"/>
          <w:sz w:val="18"/>
          <w:szCs w:val="18"/>
          <w:color w:val="auto"/>
        </w:rPr>
        <w:t>NOW, THEREFORE, the Board of Directors and the General Partner do hereby amend and restate the Second Amended Agreement to provide, in its entirety,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CONSTRUCTION</w:t>
      </w:r>
    </w:p>
    <w:p>
      <w:pPr>
        <w:spacing w:after="0" w:line="211"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i w:val="1"/>
          <w:iCs w:val="1"/>
          <w:color w:val="auto"/>
        </w:rPr>
        <w:t>Definitions</w:t>
      </w:r>
      <w:r>
        <w:rPr>
          <w:rFonts w:ascii="Arial" w:cs="Arial" w:eastAsia="Arial" w:hAnsi="Arial"/>
          <w:sz w:val="18"/>
          <w:szCs w:val="18"/>
          <w:color w:val="auto"/>
        </w:rPr>
        <w:t>. The following definitions shall be for all purposes, unless otherwise clearly indicated to the contrary, applied to the terms used in this Agreement.</w:t>
      </w:r>
    </w:p>
    <w:p>
      <w:pPr>
        <w:spacing w:after="0" w:line="170"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Acquisition</w:t>
      </w:r>
      <w:r>
        <w:rPr>
          <w:rFonts w:ascii="Arial" w:cs="Arial" w:eastAsia="Arial" w:hAnsi="Arial"/>
          <w:sz w:val="18"/>
          <w:szCs w:val="18"/>
          <w:color w:val="auto"/>
        </w:rPr>
        <w:t xml:space="preserve">” means any transaction in which any Group Member acquires (through an asset acquisition, merger, stock acquisition or other form of investment) control over all or a portion of the assets, properties or business of another Person for the purpose of increasing the operating capacity and/or asset base of the Partnership Group from the operating capacity and/or asset base of the Partnership Group existing immediately prior to such transaction;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acquisition of properties or assets of another Person that is made solely for investment purposes shall not constitute an Acquisition under this Agreement.</w:t>
      </w:r>
    </w:p>
    <w:p>
      <w:pPr>
        <w:spacing w:after="0" w:line="188" w:lineRule="exact"/>
        <w:rPr>
          <w:sz w:val="20"/>
          <w:szCs w:val="20"/>
          <w:color w:val="auto"/>
        </w:rPr>
      </w:pPr>
    </w:p>
    <w:p>
      <w:pPr>
        <w:ind w:firstLine="1297"/>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Adjusted Operating Surplus</w:t>
      </w:r>
      <w:r>
        <w:rPr>
          <w:rFonts w:ascii="Arial" w:cs="Arial" w:eastAsia="Arial" w:hAnsi="Arial"/>
          <w:sz w:val="16"/>
          <w:szCs w:val="16"/>
          <w:color w:val="auto"/>
        </w:rPr>
        <w:t>” means, with respect to any period, Operating Surplus generated with respect to such period (a) less (i) the amount of any net increase in Working Capital Borrowings (or the Partnership’s proportionate share of any net increase in Working Capital Borrowings in the case of Subsidiaries that are not wholly-owned) with respect to such period and (ii) the amount of any net decrease in cash reserves for Operating Expenditures (or the Partnership’s proportionate share of any net decrease in cash reserves for Operating Expenditures in the case of Subsidiaries that are not wholly-owned) over such period to the extent such reduction does not relate to an Operating Expenditure made with respect to such period, and (b) plus (i) the amount of any net decrease in Working Capital Borrowings (or the Partnership’s proportionate share of any net decrease in Working Capital Borrowings in the case of Subsidiaries that are not wholly-owned) with respect to such period; (ii) the amount of any net increase in cash reserves (or the Partnership’s proportionate share of any net increase in cash reserves in the case of Subsidiaries that are not wholly-owned) for Operating Expenditures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over such period to the extent such reserve is required (A) by any debt instrument for the repayment of principal, interest or premium or (B) for any Series A Payments or Series B Payments; and (iii) the amount of any net decrease made in subsequent periods in cash reserves for Operating Expenditures initially established with respect to such period to the extent such decrease results in a reduction in Adjusted Operating Surplus in subsequent periods pursuant to </w:t>
      </w:r>
      <w:r>
        <w:rPr>
          <w:rFonts w:ascii="Arial" w:cs="Arial" w:eastAsia="Arial" w:hAnsi="Arial"/>
          <w:sz w:val="18"/>
          <w:szCs w:val="18"/>
          <w:u w:val="single" w:color="auto"/>
          <w:color w:val="auto"/>
        </w:rPr>
        <w:t>clause (a)(ii)</w:t>
      </w:r>
      <w:r>
        <w:rPr>
          <w:rFonts w:ascii="Arial" w:cs="Arial" w:eastAsia="Arial" w:hAnsi="Arial"/>
          <w:sz w:val="18"/>
          <w:szCs w:val="18"/>
          <w:color w:val="auto"/>
        </w:rPr>
        <w:t xml:space="preserve"> above. Adjusted Operating Surplus does not include that portion of Operating Surplus included in </w:t>
      </w:r>
      <w:r>
        <w:rPr>
          <w:rFonts w:ascii="Arial" w:cs="Arial" w:eastAsia="Arial" w:hAnsi="Arial"/>
          <w:sz w:val="18"/>
          <w:szCs w:val="18"/>
          <w:u w:val="single" w:color="auto"/>
          <w:color w:val="auto"/>
        </w:rPr>
        <w:t>clause (a)(i)</w:t>
      </w:r>
      <w:r>
        <w:rPr>
          <w:rFonts w:ascii="Arial" w:cs="Arial" w:eastAsia="Arial" w:hAnsi="Arial"/>
          <w:sz w:val="18"/>
          <w:szCs w:val="18"/>
          <w:color w:val="auto"/>
        </w:rPr>
        <w:t xml:space="preserve"> of the definition of Operating Surplus. Adjusted Operating Surplus includes that portion of Operating Surplus in </w:t>
      </w:r>
      <w:r>
        <w:rPr>
          <w:rFonts w:ascii="Arial" w:cs="Arial" w:eastAsia="Arial" w:hAnsi="Arial"/>
          <w:sz w:val="18"/>
          <w:szCs w:val="18"/>
          <w:u w:val="single" w:color="auto"/>
          <w:color w:val="auto"/>
        </w:rPr>
        <w:t>clause (a)(ii)</w:t>
      </w:r>
      <w:r>
        <w:rPr>
          <w:rFonts w:ascii="Arial" w:cs="Arial" w:eastAsia="Arial" w:hAnsi="Arial"/>
          <w:sz w:val="18"/>
          <w:szCs w:val="18"/>
          <w:color w:val="auto"/>
        </w:rPr>
        <w:t xml:space="preserve"> of the definition of Operating Surplus only to the extent that cash is received by the Partnership Group.</w:t>
      </w:r>
    </w:p>
    <w:p>
      <w:pPr>
        <w:spacing w:after="0" w:line="193" w:lineRule="exact"/>
        <w:rPr>
          <w:sz w:val="20"/>
          <w:szCs w:val="20"/>
          <w:color w:val="auto"/>
        </w:rPr>
      </w:pPr>
    </w:p>
    <w:p>
      <w:pPr>
        <w:ind w:right="180"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means, with respect to any Person, any other Person that directly or indirectly through one or more intermediaries controls, is controlled by or is under common control with, the Person in question. As used herein, the term “</w:t>
      </w:r>
      <w:r>
        <w:rPr>
          <w:rFonts w:ascii="Arial" w:cs="Arial" w:eastAsia="Arial" w:hAnsi="Arial"/>
          <w:sz w:val="16"/>
          <w:szCs w:val="16"/>
          <w:i w:val="1"/>
          <w:iCs w:val="1"/>
          <w:color w:val="auto"/>
        </w:rPr>
        <w:t>control</w:t>
      </w:r>
      <w:r>
        <w:rPr>
          <w:rFonts w:ascii="Arial" w:cs="Arial" w:eastAsia="Arial" w:hAnsi="Arial"/>
          <w:sz w:val="16"/>
          <w:szCs w:val="16"/>
          <w:color w:val="auto"/>
        </w:rPr>
        <w:t>” means the possession, direct or indirect, of the power to direct or cause the direction of the management and policies of a Person, whether through ownership of voting securities, by contract or otherwise.</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Aggregate Quantity of IDR Reset Common Units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5.9(a)</w:t>
      </w:r>
      <w:r>
        <w:rPr>
          <w:rFonts w:ascii="Arial" w:cs="Arial" w:eastAsia="Arial" w:hAnsi="Arial"/>
          <w:sz w:val="18"/>
          <w:szCs w:val="18"/>
          <w:color w:val="auto"/>
        </w:rPr>
        <w:t>.</w:t>
      </w:r>
    </w:p>
    <w:p>
      <w:pPr>
        <w:spacing w:after="0" w:line="225"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Agreed Value</w:t>
      </w:r>
      <w:r>
        <w:rPr>
          <w:rFonts w:ascii="Arial" w:cs="Arial" w:eastAsia="Arial" w:hAnsi="Arial"/>
          <w:sz w:val="18"/>
          <w:szCs w:val="18"/>
          <w:color w:val="auto"/>
        </w:rPr>
        <w:t>” means the fair market value of the applicable property or other consideration at the time of contribution or distribution, as the case may be, as determined by the Board of Directors.</w:t>
      </w:r>
    </w:p>
    <w:p>
      <w:pPr>
        <w:spacing w:after="0" w:line="170"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means this Third Amended and Restated Agreement of Limited Partnership of GasLog Partners LP, as it may be amended, supplemented or restated from time to time.</w:t>
      </w:r>
    </w:p>
    <w:p>
      <w:pPr>
        <w:spacing w:after="0" w:line="170"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 xml:space="preserve">” means the meeting of Limited Partners to be held every year, commencing in 2015, to elect the Elected Directors as provided in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and to vote on any other matters brought before the meeting in accordance with this Agreement.</w:t>
      </w:r>
    </w:p>
    <w:p>
      <w:pPr>
        <w:sectPr>
          <w:pgSz w:w="11900" w:h="16838" w:orient="portrait"/>
          <w:cols w:equalWidth="0" w:num="1">
            <w:col w:w="11420"/>
          </w:cols>
          <w:pgMar w:left="240" w:top="125" w:right="239" w:bottom="0" w:gutter="0" w:footer="0" w:header="0"/>
        </w:sectPr>
      </w:pPr>
    </w:p>
    <w:bookmarkStart w:id="5" w:name="page6"/>
    <w:bookmarkEnd w:id="5"/>
    <w:p>
      <w:pPr>
        <w:ind w:right="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Appointed Directors</w:t>
      </w:r>
      <w:r>
        <w:rPr>
          <w:rFonts w:ascii="Arial" w:cs="Arial" w:eastAsia="Arial" w:hAnsi="Arial"/>
          <w:sz w:val="18"/>
          <w:szCs w:val="18"/>
          <w:color w:val="auto"/>
        </w:rPr>
        <w:t xml:space="preserve">” means the members of the Board of Directors appointed by the General Partner in accordance with the provisions of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16.5(b)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17.5(b)</w:t>
      </w:r>
      <w:r>
        <w:rPr>
          <w:rFonts w:ascii="Arial" w:cs="Arial" w:eastAsia="Arial" w:hAnsi="Arial"/>
          <w:sz w:val="18"/>
          <w:szCs w:val="18"/>
          <w:color w:val="auto"/>
        </w:rPr>
        <w:t>.</w:t>
      </w:r>
    </w:p>
    <w:p>
      <w:pPr>
        <w:spacing w:after="0" w:line="170" w:lineRule="exact"/>
        <w:rPr>
          <w:sz w:val="20"/>
          <w:szCs w:val="20"/>
          <w:color w:val="auto"/>
        </w:rPr>
      </w:pPr>
    </w:p>
    <w:p>
      <w:pPr>
        <w:ind w:right="20" w:firstLine="1297"/>
        <w:spacing w:after="0" w:line="286" w:lineRule="auto"/>
        <w:rPr>
          <w:sz w:val="20"/>
          <w:szCs w:val="20"/>
          <w:color w:val="auto"/>
        </w:rPr>
      </w:pPr>
      <w:r>
        <w:rPr>
          <w:rFonts w:ascii="Arial" w:cs="Arial" w:eastAsia="Arial" w:hAnsi="Arial"/>
          <w:sz w:val="17"/>
          <w:szCs w:val="17"/>
          <w:b w:val="1"/>
          <w:bCs w:val="1"/>
          <w:i w:val="1"/>
          <w:iCs w:val="1"/>
          <w:color w:val="auto"/>
        </w:rPr>
        <w:t xml:space="preserve">“Arrears” </w:t>
      </w:r>
      <w:r>
        <w:rPr>
          <w:rFonts w:ascii="Arial" w:cs="Arial" w:eastAsia="Arial" w:hAnsi="Arial"/>
          <w:sz w:val="17"/>
          <w:szCs w:val="17"/>
          <w:color w:val="auto"/>
        </w:rPr>
        <w:t>means, with respect to Preference Distributions on any series of Preference Units for any Quarter (or, with respect to the initial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Preference Distribution, for the initial Preference Distribution Period with respect to such series), that the full cumulative Preference Distributions through the most recent Preference Distribution Payment Date have not been paid on all Outstanding Preference Units of such series.</w:t>
      </w:r>
    </w:p>
    <w:p>
      <w:pPr>
        <w:spacing w:after="0" w:line="166" w:lineRule="exact"/>
        <w:rPr>
          <w:sz w:val="20"/>
          <w:szCs w:val="20"/>
          <w:color w:val="auto"/>
        </w:rPr>
      </w:pPr>
    </w:p>
    <w:p>
      <w:pPr>
        <w:ind w:right="30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Associate</w:t>
      </w:r>
      <w:r>
        <w:rPr>
          <w:rFonts w:ascii="Arial" w:cs="Arial" w:eastAsia="Arial" w:hAnsi="Arial"/>
          <w:sz w:val="18"/>
          <w:szCs w:val="18"/>
          <w:color w:val="auto"/>
        </w:rPr>
        <w:t>” means, when used to indicate a relationship with any Person: (a) any corporation or organization of which such Person is a director, officer, manager, general partner or managing member or is, directly or indirectly, the owner of 20% or more of any class of voting stock or other voting interest; (b) any trust or other estate in which such Person has at least a 20% beneficial interest or as to which such Person serves as trustee or in a similar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fiduciary capacity; and (c) any relative or spouse of such Person, or any relative of such spouse, who has the same principal residence as such Person.</w:t>
      </w:r>
    </w:p>
    <w:p>
      <w:pPr>
        <w:spacing w:after="0" w:line="237" w:lineRule="exact"/>
        <w:rPr>
          <w:sz w:val="20"/>
          <w:szCs w:val="20"/>
          <w:color w:val="auto"/>
        </w:rPr>
      </w:pPr>
    </w:p>
    <w:p>
      <w:pPr>
        <w:ind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Audit Committee</w:t>
      </w:r>
      <w:r>
        <w:rPr>
          <w:rFonts w:ascii="Arial" w:cs="Arial" w:eastAsia="Arial" w:hAnsi="Arial"/>
          <w:sz w:val="16"/>
          <w:szCs w:val="16"/>
          <w:color w:val="auto"/>
        </w:rPr>
        <w:t>” means a committee of the Board of Directors, which, within one year of the effective date of the Registration Statement, will be composed of a minimum of three members of the Board of Directors then serving who meet the independence standards required of directors who serve on an audit committee of a board of directors established by the Exchange Act, and the rules and regulations of the Commission thereunder and meet the standards for audit committee composition established by the National Securities Exchange on which the Common Units are listed or admitted to trading.</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Available Cash</w:t>
      </w:r>
      <w:r>
        <w:rPr>
          <w:rFonts w:ascii="Arial" w:cs="Arial" w:eastAsia="Arial" w:hAnsi="Arial"/>
          <w:sz w:val="18"/>
          <w:szCs w:val="18"/>
          <w:color w:val="auto"/>
        </w:rPr>
        <w:t>” means, with respect to any Quarter ending prior to the Liquidation Date:</w:t>
      </w:r>
    </w:p>
    <w:p>
      <w:pPr>
        <w:spacing w:after="0" w:line="225" w:lineRule="exact"/>
        <w:rPr>
          <w:sz w:val="20"/>
          <w:szCs w:val="20"/>
          <w:color w:val="auto"/>
        </w:rPr>
      </w:pPr>
    </w:p>
    <w:p>
      <w:pPr>
        <w:ind w:left="660" w:right="40" w:firstLine="645"/>
        <w:spacing w:after="0" w:line="291" w:lineRule="auto"/>
        <w:tabs>
          <w:tab w:leader="none" w:pos="1553"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sum of (i) all cash and cash equivalents of the Partnership Group (or the Partnership’s proportionate share of cash and cash equivalents in the case of Subsidiaries that are not wholly-owned) on hand at the end of such Quarter, (ii) all additional cash and cash equivalents of the Partnership Group (or the Partnership’s proportionate share of cash and cash equivalents in the case of Subsidiaries that are not wholly-owned) on hand on the date of determination of Available Cash with respect to such Quarter resulting from Working Capital Borrowings made subsequent to the end of such Quarter, and (iii) all cash and cash equivalents on hand on the date of determination of Available Cash resulting from cash distributions received after the end of such Quarter from any Group Member’s equity interest in any Person (other than a Subsidiary), which distributions are paid by such Person in respect of operations conducted by such Person during such Quarter, less</w:t>
      </w:r>
    </w:p>
    <w:p>
      <w:pPr>
        <w:spacing w:after="0" w:line="167" w:lineRule="exact"/>
        <w:rPr>
          <w:rFonts w:ascii="Arial" w:cs="Arial" w:eastAsia="Arial" w:hAnsi="Arial"/>
          <w:sz w:val="16"/>
          <w:szCs w:val="16"/>
          <w:color w:val="auto"/>
        </w:rPr>
      </w:pPr>
    </w:p>
    <w:p>
      <w:pPr>
        <w:ind w:left="660" w:firstLine="645"/>
        <w:spacing w:after="0" w:line="269" w:lineRule="auto"/>
        <w:tabs>
          <w:tab w:leader="none" w:pos="1563"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the amount of any cash reserves (or the Partnership’s proportionate share of cash reserves in the case of Subsidiaries that are not wholly-owned) established by the Board of Directors to (i) provide for the proper conduct of the business of the Partnership Group (including reserves for future capital expenditures and for anticipated future credit needs of the Partnership Group) subsequent to such Quarter, (ii) comply with applicable law or any loan agreement, security agreement, mortgage, debt instrument or other agreement or obligation to which any Group Member is a party or by which it is bound or its assets are subject, (iii) provide funds for Series A Payments and Series B Payments and/or (iv) provide funds for distributions under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in respect of any one or more of the next four Quarters;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Board of Directors may not establish cash reserves pursuant to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above if the effect of establishing such reserves would be that the Partnership is unable to distribute the Minimum Quarterly Distribution on all Common Units with respect to such Quarter;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disbursements made by a Group Member or cash reserves established, increased or reduced after the end of such Quarter but on or before the date of determination of Available Cash with respect to such Quarter shall be deemed to have been made, established, increased or reduced, for purposes of determining Available Cash, within such Quarter if the Board of Directors so determines.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firstLine="1297"/>
        <w:spacing w:after="0" w:line="277" w:lineRule="auto"/>
        <w:rPr>
          <w:sz w:val="20"/>
          <w:szCs w:val="20"/>
          <w:color w:val="auto"/>
        </w:rPr>
      </w:pPr>
      <w:r>
        <w:rPr>
          <w:rFonts w:ascii="Arial" w:cs="Arial" w:eastAsia="Arial" w:hAnsi="Arial"/>
          <w:sz w:val="18"/>
          <w:szCs w:val="18"/>
          <w:color w:val="auto"/>
        </w:rPr>
        <w:t>Notwithstanding the foregoing, “</w:t>
      </w:r>
      <w:r>
        <w:rPr>
          <w:rFonts w:ascii="Arial" w:cs="Arial" w:eastAsia="Arial" w:hAnsi="Arial"/>
          <w:sz w:val="18"/>
          <w:szCs w:val="18"/>
          <w:i w:val="1"/>
          <w:iCs w:val="1"/>
          <w:color w:val="auto"/>
        </w:rPr>
        <w:t>Available Cash</w:t>
      </w:r>
      <w:r>
        <w:rPr>
          <w:rFonts w:ascii="Arial" w:cs="Arial" w:eastAsia="Arial" w:hAnsi="Arial"/>
          <w:sz w:val="18"/>
          <w:szCs w:val="18"/>
          <w:color w:val="auto"/>
        </w:rPr>
        <w:t>” with respect to the Quarter in which the Liquidation Date occurs and any subsequent Quarter shall equal zero.</w:t>
      </w:r>
    </w:p>
    <w:p>
      <w:pPr>
        <w:spacing w:after="0" w:line="170" w:lineRule="exact"/>
        <w:rPr>
          <w:sz w:val="20"/>
          <w:szCs w:val="20"/>
          <w:color w:val="auto"/>
        </w:rPr>
      </w:pPr>
    </w:p>
    <w:p>
      <w:pPr>
        <w:ind w:right="60"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Board of Directors</w:t>
      </w:r>
      <w:r>
        <w:rPr>
          <w:rFonts w:ascii="Arial" w:cs="Arial" w:eastAsia="Arial" w:hAnsi="Arial"/>
          <w:sz w:val="16"/>
          <w:szCs w:val="16"/>
          <w:color w:val="auto"/>
        </w:rPr>
        <w:t xml:space="preserve">” means the board of directors of the Partnership, composed of Appointed Directors and Elected Directors appointed or elected, as the case may be, in accordance with the provisions of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16.5(b)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17.5(b)</w:t>
      </w:r>
      <w:r>
        <w:rPr>
          <w:rFonts w:ascii="Arial" w:cs="Arial" w:eastAsia="Arial" w:hAnsi="Arial"/>
          <w:sz w:val="16"/>
          <w:szCs w:val="16"/>
          <w:color w:val="auto"/>
        </w:rPr>
        <w:t xml:space="preserve"> and a majority of whom are not United States citizens or residents, which,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and subject to </w:t>
      </w:r>
      <w:r>
        <w:rPr>
          <w:rFonts w:ascii="Arial" w:cs="Arial" w:eastAsia="Arial" w:hAnsi="Arial"/>
          <w:sz w:val="16"/>
          <w:szCs w:val="16"/>
          <w:u w:val="single" w:color="auto"/>
          <w:color w:val="auto"/>
        </w:rPr>
        <w:t>Section 7.11</w:t>
      </w:r>
      <w:r>
        <w:rPr>
          <w:rFonts w:ascii="Arial" w:cs="Arial" w:eastAsia="Arial" w:hAnsi="Arial"/>
          <w:sz w:val="16"/>
          <w:szCs w:val="16"/>
          <w:color w:val="auto"/>
        </w:rPr>
        <w:t>, oversees and directs the operations, management and policies of the Partnership. The Board of Directors shall constitute a committee within the meaning of Section 30(2)(g) of the Marshall Islands Act.</w:t>
      </w:r>
    </w:p>
    <w:p>
      <w:pPr>
        <w:spacing w:after="0" w:line="154"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Monday through Friday of each week, except that a legal holiday recognized as such by the government of the United States of America or the State of New York shall not be regarded as a Business Day.</w:t>
      </w:r>
    </w:p>
    <w:p>
      <w:pPr>
        <w:spacing w:after="0" w:line="170"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Calculation Agent</w:t>
      </w:r>
      <w:r>
        <w:rPr>
          <w:rFonts w:ascii="Arial" w:cs="Arial" w:eastAsia="Arial" w:hAnsi="Arial"/>
          <w:sz w:val="18"/>
          <w:szCs w:val="18"/>
          <w:color w:val="auto"/>
        </w:rPr>
        <w:t>” means a bank, trust company or other Person (including the Partnership and any of its Affiliates) as may be appointed from time to time by the Partnership to act as the calculation agent for the Series B Preference Units.</w:t>
      </w:r>
    </w:p>
    <w:p>
      <w:pPr>
        <w:spacing w:after="0" w:line="170" w:lineRule="exact"/>
        <w:rPr>
          <w:sz w:val="20"/>
          <w:szCs w:val="20"/>
          <w:color w:val="auto"/>
        </w:rPr>
      </w:pPr>
    </w:p>
    <w:p>
      <w:pPr>
        <w:ind w:right="120"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Contribution</w:t>
      </w:r>
      <w:r>
        <w:rPr>
          <w:rFonts w:ascii="Arial" w:cs="Arial" w:eastAsia="Arial" w:hAnsi="Arial"/>
          <w:sz w:val="18"/>
          <w:szCs w:val="18"/>
          <w:color w:val="auto"/>
        </w:rPr>
        <w:t>” means (a) with respect to any Partner, any cash, cash equivalents or the Net Agreed Value of Contributed Property that a Partner contributes to the Partnership or that is contributed or deemed contributed to the Partnership on behalf of a Partner (including, in the case of an underwritten offering of Units, the amount of any underwriting discounts or commissions) or (b) with respect to the General Partner only, (i) distributions of cash that the General Partner is entitled to receive but otherwise waives such that the Partnership retains such cash or (ii) Common Units that the General Partner contributes to the Partnership.</w:t>
      </w:r>
    </w:p>
    <w:p>
      <w:pPr>
        <w:spacing w:after="0" w:line="188" w:lineRule="exact"/>
        <w:rPr>
          <w:sz w:val="20"/>
          <w:szCs w:val="20"/>
          <w:color w:val="auto"/>
        </w:rPr>
      </w:pPr>
    </w:p>
    <w:p>
      <w:pPr>
        <w:ind w:firstLine="1297"/>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Capital Improvement</w:t>
      </w:r>
      <w:r>
        <w:rPr>
          <w:rFonts w:ascii="Arial" w:cs="Arial" w:eastAsia="Arial" w:hAnsi="Arial"/>
          <w:sz w:val="16"/>
          <w:szCs w:val="16"/>
          <w:color w:val="auto"/>
        </w:rPr>
        <w:t>” means any (a) addition or improvement to the capital assets owned by any Group Member, (b) acquisition of existing, construction of new or improvement or replacement of existing, capital assets by any Group Member or (c) capital contribution by a Group Member to a Person that is not a Subsidiary, in which a Group Member has, or after such capital contribution will have, an equity interest, to fund the Group Member’s pro rata share of the cost of the addition or improvement to or the acquisition of existing, or the construction of new, or the improvement or replacement of existing, capital assets by such Person, in each case if such addition, improvement, replacement, acquisition or construction is made to increase the operating capacity and/or asset base of the Partnership Group from the operating capacity and/or asset base of the Partnership Group or such Person, as the case may be,</w:t>
      </w:r>
    </w:p>
    <w:p>
      <w:pPr>
        <w:sectPr>
          <w:pgSz w:w="11900" w:h="16838" w:orient="portrait"/>
          <w:cols w:equalWidth="0" w:num="1">
            <w:col w:w="11420"/>
          </w:cols>
          <w:pgMar w:left="240" w:top="125" w:right="239" w:bottom="0" w:gutter="0" w:footer="0" w:header="0"/>
        </w:sectPr>
      </w:pPr>
    </w:p>
    <w:bookmarkStart w:id="6" w:name="page7"/>
    <w:bookmarkEnd w:id="6"/>
    <w:p>
      <w:pPr>
        <w:ind w:right="60"/>
        <w:spacing w:after="0" w:line="277" w:lineRule="auto"/>
        <w:rPr>
          <w:sz w:val="20"/>
          <w:szCs w:val="20"/>
          <w:color w:val="auto"/>
        </w:rPr>
      </w:pPr>
      <w:r>
        <w:rPr>
          <w:rFonts w:ascii="Arial" w:cs="Arial" w:eastAsia="Arial" w:hAnsi="Arial"/>
          <w:sz w:val="18"/>
          <w:szCs w:val="18"/>
          <w:color w:val="auto"/>
        </w:rPr>
        <w:t xml:space="preserve">existing immediately prior to such addition, improvement, replacement, acquisition or construction;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such addition, improvement, acquisition or construction that is made solely for investment purposes shall not constitute a Capital Improvement.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Surplus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6.2(a)</w:t>
      </w:r>
      <w:r>
        <w:rPr>
          <w:rFonts w:ascii="Arial" w:cs="Arial" w:eastAsia="Arial" w:hAnsi="Arial"/>
          <w:sz w:val="18"/>
          <w:szCs w:val="18"/>
          <w:color w:val="auto"/>
        </w:rPr>
        <w:t>.</w:t>
      </w:r>
    </w:p>
    <w:p>
      <w:pPr>
        <w:spacing w:after="0" w:line="225"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means a court of competent jurisdiction has entered a final, non-appealable judgment finding a Person liable to the Partnership or any Limited Partner for actual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fraud or willful misconduct in its capacity as a general partner of the Partnership or as a member of the Board of Directors, as the case may be.</w:t>
      </w:r>
    </w:p>
    <w:p>
      <w:pPr>
        <w:spacing w:after="0" w:line="225" w:lineRule="exact"/>
        <w:rPr>
          <w:sz w:val="20"/>
          <w:szCs w:val="20"/>
          <w:color w:val="auto"/>
        </w:rPr>
      </w:pPr>
    </w:p>
    <w:p>
      <w:pPr>
        <w:ind w:right="80"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Certificate</w:t>
      </w:r>
      <w:r>
        <w:rPr>
          <w:rFonts w:ascii="Arial" w:cs="Arial" w:eastAsia="Arial" w:hAnsi="Arial"/>
          <w:sz w:val="17"/>
          <w:szCs w:val="17"/>
          <w:color w:val="auto"/>
        </w:rPr>
        <w:t xml:space="preserve">” means a certificate (a)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this Agreement with respect to Common Units,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this Agreement with respect to Series A Preference Units and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to this Agreement with respect to Series B Preference Units, (b) issued in global or book entry form in accordance with the rules and regulations of the Depositary or (c) in such other form as may be adopted by the Board of Directors, issued by the Partnership evidencing ownership of one or more Common Units or Preference Units, or a certificate, in such form as may be adopted by the Board of Directors, issued by the Partnership evidencing ownership of one or more other Partnership Interests.</w:t>
      </w:r>
    </w:p>
    <w:p>
      <w:pPr>
        <w:spacing w:after="0" w:line="173" w:lineRule="exact"/>
        <w:rPr>
          <w:sz w:val="20"/>
          <w:szCs w:val="20"/>
          <w:color w:val="auto"/>
        </w:rPr>
      </w:pPr>
    </w:p>
    <w:p>
      <w:pPr>
        <w:ind w:right="3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Certificate of Limited Partnership</w:t>
      </w:r>
      <w:r>
        <w:rPr>
          <w:rFonts w:ascii="Arial" w:cs="Arial" w:eastAsia="Arial" w:hAnsi="Arial"/>
          <w:sz w:val="18"/>
          <w:szCs w:val="18"/>
          <w:color w:val="auto"/>
        </w:rPr>
        <w:t xml:space="preserve">” means the Certificate of Limited Partnership of the Partnership filed with the Registrar of Corporations of The Marshall Islands as referenced in </w:t>
      </w:r>
      <w:r>
        <w:rPr>
          <w:rFonts w:ascii="Arial" w:cs="Arial" w:eastAsia="Arial" w:hAnsi="Arial"/>
          <w:sz w:val="18"/>
          <w:szCs w:val="18"/>
          <w:u w:val="single" w:color="auto"/>
          <w:color w:val="auto"/>
        </w:rPr>
        <w:t>Section 7.10</w:t>
      </w:r>
      <w:r>
        <w:rPr>
          <w:rFonts w:ascii="Arial" w:cs="Arial" w:eastAsia="Arial" w:hAnsi="Arial"/>
          <w:sz w:val="18"/>
          <w:szCs w:val="18"/>
          <w:color w:val="auto"/>
        </w:rPr>
        <w:t xml:space="preserve"> as such Certificate of Limited Partnership may be amended, supplemented or restated from time to time.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xml:space="preserve">” (as used in </w:t>
      </w:r>
      <w:r>
        <w:rPr>
          <w:rFonts w:ascii="Arial" w:cs="Arial" w:eastAsia="Arial" w:hAnsi="Arial"/>
          <w:sz w:val="18"/>
          <w:szCs w:val="18"/>
          <w:u w:val="single" w:color="auto"/>
          <w:color w:val="auto"/>
        </w:rPr>
        <w:t>Section 7.20(c))</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7.20(c)</w:t>
      </w:r>
      <w:r>
        <w:rPr>
          <w:rFonts w:ascii="Arial" w:cs="Arial" w:eastAsia="Arial" w:hAnsi="Arial"/>
          <w:sz w:val="18"/>
          <w:szCs w:val="18"/>
          <w:color w:val="auto"/>
        </w:rPr>
        <w:t>.</w:t>
      </w:r>
    </w:p>
    <w:p>
      <w:pPr>
        <w:spacing w:after="0" w:line="22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means the first date on which Common Units are sold by the Partnership to the Underwriters pursuant to the provisions of the Underwriting Agreement.</w:t>
      </w:r>
    </w:p>
    <w:p>
      <w:pPr>
        <w:spacing w:after="0" w:line="170"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Closing Price</w:t>
      </w:r>
      <w:r>
        <w:rPr>
          <w:rFonts w:ascii="Arial" w:cs="Arial" w:eastAsia="Arial" w:hAnsi="Arial"/>
          <w:sz w:val="17"/>
          <w:szCs w:val="17"/>
          <w:color w:val="auto"/>
        </w:rPr>
        <w:t>” means, in respect of any class or series of Limited Partner Interests, as of the date of determination, the last sale price on such day, regular way, or in case no such sale takes place on such day, the average of the closing bid and asked prices on such day, regular way, as reported in the principal consolidated transaction reporting system with respect to securities listed or admitted to trading on the principal National Securities Exchange on which the respective Limited Partner Interests are listed or admitted to trading or, if such Limited Partner Interests are not listed or admitted to trading on any National Securities Exchange, the last quoted price on such day or, if not so quoted, the average of the high bid and low asked prices on such day in the over-the-counter market, as reported by any quotation system then in use with respect to such Limited Partner Interests, or, if on any such day such Limited Partner Interests of such class or series are not quoted by any such system, the average of the closing bid and asked prices on such day as furnished by a professional market maker making a market in such Limited Partner Interests of such class or series selected by the Board of Directors, or if on any such day no market maker is making a market in such Limited Partner Interests of such class or series, the fair value of such Limited Partner Interests on such day as determined by the Board of Directors.</w:t>
      </w:r>
    </w:p>
    <w:p>
      <w:pPr>
        <w:spacing w:after="0" w:line="178" w:lineRule="exact"/>
        <w:rPr>
          <w:sz w:val="20"/>
          <w:szCs w:val="20"/>
          <w:color w:val="auto"/>
        </w:rPr>
      </w:pPr>
    </w:p>
    <w:p>
      <w:pPr>
        <w:ind w:right="32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United States Internal Revenue Code of 1986, as amended and in effect from time to time. Any reference herein to a specific section or sections of the Code shall be deemed to include a reference to any corresponding provision of any successor law.</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Combined Interest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11.3(a)</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Commences Commercial Service</w:t>
      </w:r>
      <w:r>
        <w:rPr>
          <w:rFonts w:ascii="Arial" w:cs="Arial" w:eastAsia="Arial" w:hAnsi="Arial"/>
          <w:sz w:val="17"/>
          <w:szCs w:val="17"/>
          <w:color w:val="auto"/>
        </w:rPr>
        <w:t>” and “</w:t>
      </w:r>
      <w:r>
        <w:rPr>
          <w:rFonts w:ascii="Arial" w:cs="Arial" w:eastAsia="Arial" w:hAnsi="Arial"/>
          <w:sz w:val="17"/>
          <w:szCs w:val="17"/>
          <w:b w:val="1"/>
          <w:bCs w:val="1"/>
          <w:i w:val="1"/>
          <w:iCs w:val="1"/>
          <w:color w:val="auto"/>
        </w:rPr>
        <w:t>Commenced Commercial Service</w:t>
      </w:r>
      <w:r>
        <w:rPr>
          <w:rFonts w:ascii="Arial" w:cs="Arial" w:eastAsia="Arial" w:hAnsi="Arial"/>
          <w:sz w:val="17"/>
          <w:szCs w:val="17"/>
          <w:color w:val="auto"/>
        </w:rPr>
        <w:t>” shall mean the date a Capital Improvement is first put into commercial service by a Group Member following, if applicable, completion of construction, acquisition, development and testing.</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Unit</w:t>
      </w:r>
      <w:r>
        <w:rPr>
          <w:rFonts w:ascii="Arial" w:cs="Arial" w:eastAsia="Arial" w:hAnsi="Arial"/>
          <w:sz w:val="18"/>
          <w:szCs w:val="18"/>
          <w:color w:val="auto"/>
        </w:rPr>
        <w:t>” means a Partnership Interest representing a fractional part of the Partnership Interests of all Limited Partners, and having the rights and obligations specified with respect to Common Units in this Agreement.</w:t>
      </w:r>
    </w:p>
    <w:p>
      <w:pPr>
        <w:spacing w:after="0" w:line="170"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Conflicts Committee</w:t>
      </w:r>
      <w:r>
        <w:rPr>
          <w:rFonts w:ascii="Arial" w:cs="Arial" w:eastAsia="Arial" w:hAnsi="Arial"/>
          <w:sz w:val="18"/>
          <w:szCs w:val="18"/>
          <w:color w:val="auto"/>
        </w:rPr>
        <w:t>” means a committee of the Board of Directors composed entirely of two or more directors who are not any of the following: (a) officers or employees of the General Partner, (b) officers, directors or employees of any Affiliate of the General Partner (other than any Group Member) or (c) holders of any ownership interest in the General Partner, its Affiliates or the Partnership Group (other than (x) Common Units or (y) awards granted pursuant to any long-term incentive plan, equity compensation plan or similar plan of any Group Member) and who also have been determined by the Board of Directors to meet the independence standards required of directors who serve on an audit committee of a board of directors established by the Exchange Act, and the rules and regulations of the Commission thereunder and by the National Securities Exchange on which the Common Units are listed or admitted to trading.</w:t>
      </w:r>
    </w:p>
    <w:p>
      <w:pPr>
        <w:spacing w:after="0" w:line="189"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Contributed Property</w:t>
      </w:r>
      <w:r>
        <w:rPr>
          <w:rFonts w:ascii="Arial" w:cs="Arial" w:eastAsia="Arial" w:hAnsi="Arial"/>
          <w:sz w:val="18"/>
          <w:szCs w:val="18"/>
          <w:color w:val="auto"/>
        </w:rPr>
        <w:t>” means each property or other asset, in such form as may be permitted by the Marshall Islands Act, but excluding cash, contributed to the Partnership.</w:t>
      </w:r>
    </w:p>
    <w:p>
      <w:pPr>
        <w:spacing w:after="0" w:line="170" w:lineRule="exact"/>
        <w:rPr>
          <w:sz w:val="20"/>
          <w:szCs w:val="20"/>
          <w:color w:val="auto"/>
        </w:rPr>
      </w:pPr>
    </w:p>
    <w:p>
      <w:pPr>
        <w:ind w:right="54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Contribution Agreement</w:t>
      </w:r>
      <w:r>
        <w:rPr>
          <w:rFonts w:ascii="Arial" w:cs="Arial" w:eastAsia="Arial" w:hAnsi="Arial"/>
          <w:sz w:val="18"/>
          <w:szCs w:val="18"/>
          <w:color w:val="auto"/>
        </w:rPr>
        <w:t>” means that certain Contribution Agreement, dated as of May 12, 2014, among the General Partner, the Partnership, the Operating Company, GasLog and the other parties named therein, together with the additional conveyance documents and instruments contemplated or referenced thereunder or entered into in connection therewith.</w:t>
      </w:r>
    </w:p>
    <w:p>
      <w:pPr>
        <w:spacing w:after="0" w:line="181" w:lineRule="exact"/>
        <w:rPr>
          <w:sz w:val="20"/>
          <w:szCs w:val="20"/>
          <w:color w:val="auto"/>
        </w:rPr>
      </w:pPr>
    </w:p>
    <w:p>
      <w:pPr>
        <w:ind w:right="6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Current Market Price</w:t>
      </w:r>
      <w:r>
        <w:rPr>
          <w:rFonts w:ascii="Arial" w:cs="Arial" w:eastAsia="Arial" w:hAnsi="Arial"/>
          <w:sz w:val="16"/>
          <w:szCs w:val="16"/>
          <w:color w:val="auto"/>
        </w:rPr>
        <w:t>” means, in respect of any class or series of Limited Partner Interests, as of the date of determination, the average of the daily Closing Prices per Limited Partner Interest of such class or series for the 20 consecutive Trading Days immediately prior to such date.</w:t>
      </w:r>
    </w:p>
    <w:p>
      <w:pPr>
        <w:sectPr>
          <w:pgSz w:w="11900" w:h="16838" w:orient="portrait"/>
          <w:cols w:equalWidth="0" w:num="1">
            <w:col w:w="11400"/>
          </w:cols>
          <w:pgMar w:left="240" w:top="125" w:right="259" w:bottom="0" w:gutter="0" w:footer="0" w:header="0"/>
        </w:sectPr>
      </w:pPr>
    </w:p>
    <w:bookmarkStart w:id="7" w:name="page8"/>
    <w:bookmarkEnd w:id="7"/>
    <w:p>
      <w:pPr>
        <w:spacing w:after="0" w:line="137" w:lineRule="exact"/>
        <w:rPr>
          <w:sz w:val="20"/>
          <w:szCs w:val="20"/>
          <w:color w:val="auto"/>
        </w:rPr>
      </w:pPr>
    </w:p>
    <w:p>
      <w:pPr>
        <w:ind w:right="260" w:firstLine="1297"/>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Deferred Issuance and Distribution</w:t>
      </w:r>
      <w:r>
        <w:rPr>
          <w:rFonts w:ascii="Arial" w:cs="Arial" w:eastAsia="Arial" w:hAnsi="Arial"/>
          <w:sz w:val="16"/>
          <w:szCs w:val="16"/>
          <w:color w:val="auto"/>
        </w:rPr>
        <w:t xml:space="preserve">” means both (a) the issuance by the Partnership of additional Common Units that is equal to the excess, if any, of (x) 1,260,000 minus (y) the aggregate number, if any, of Common Units actually purchased by and issued to the Underwriters pursuant to the Over- Allotment Option on the Option Closing Date(s), and (b) distributions of cash pursuant to the Contribution Agreement in an amount equal to the total amount of cash contributed by the Underwriters to the Partnership on or in connection with any Option Closing Date with respect to Common Units issued by the Partnership upon the applicable exercise of the Over-Allotment Option in accordance with </w:t>
      </w:r>
      <w:r>
        <w:rPr>
          <w:rFonts w:ascii="Arial" w:cs="Arial" w:eastAsia="Arial" w:hAnsi="Arial"/>
          <w:sz w:val="16"/>
          <w:szCs w:val="16"/>
          <w:u w:val="single" w:color="auto"/>
          <w:color w:val="auto"/>
        </w:rPr>
        <w:t>Section 5.2</w:t>
      </w:r>
      <w:r>
        <w:rPr>
          <w:rFonts w:ascii="Arial" w:cs="Arial" w:eastAsia="Arial" w:hAnsi="Arial"/>
          <w:sz w:val="16"/>
          <w:szCs w:val="16"/>
          <w:color w:val="auto"/>
        </w:rPr>
        <w:t>, if 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Departing General Partner</w:t>
      </w:r>
      <w:r>
        <w:rPr>
          <w:rFonts w:ascii="Arial" w:cs="Arial" w:eastAsia="Arial" w:hAnsi="Arial"/>
          <w:sz w:val="18"/>
          <w:szCs w:val="18"/>
          <w:color w:val="auto"/>
        </w:rPr>
        <w:t xml:space="preserve">” means a former General Partner from and after the effective date of any withdrawal or removal of such former General Partner pursuant to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11.2</w:t>
      </w:r>
      <w:r>
        <w:rPr>
          <w:rFonts w:ascii="Arial" w:cs="Arial" w:eastAsia="Arial" w:hAnsi="Arial"/>
          <w:sz w:val="18"/>
          <w:szCs w:val="18"/>
          <w:color w:val="auto"/>
        </w:rPr>
        <w: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Depositary</w:t>
      </w:r>
      <w:r>
        <w:rPr>
          <w:rFonts w:ascii="Arial" w:cs="Arial" w:eastAsia="Arial" w:hAnsi="Arial"/>
          <w:sz w:val="17"/>
          <w:szCs w:val="17"/>
          <w:color w:val="auto"/>
        </w:rPr>
        <w:t>” means, with respect to any Units issued in global form, The Depository Trust Company and its successors and permitted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assigns.</w:t>
      </w:r>
    </w:p>
    <w:p>
      <w:pPr>
        <w:spacing w:after="0" w:line="211" w:lineRule="exact"/>
        <w:rPr>
          <w:sz w:val="20"/>
          <w:szCs w:val="20"/>
          <w:color w:val="auto"/>
        </w:rPr>
      </w:pPr>
    </w:p>
    <w:p>
      <w:pPr>
        <w:ind w:firstLine="1297"/>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Elected Directors</w:t>
      </w:r>
      <w:r>
        <w:rPr>
          <w:rFonts w:ascii="Arial" w:cs="Arial" w:eastAsia="Arial" w:hAnsi="Arial"/>
          <w:sz w:val="18"/>
          <w:szCs w:val="18"/>
          <w:color w:val="auto"/>
        </w:rPr>
        <w:t xml:space="preserve">” means the members of the Board of Directors who are elected as such in accordance with the provisions of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and at least two (and subject to </w:t>
      </w:r>
      <w:r>
        <w:rPr>
          <w:rFonts w:ascii="Arial" w:cs="Arial" w:eastAsia="Arial" w:hAnsi="Arial"/>
          <w:sz w:val="18"/>
          <w:szCs w:val="18"/>
          <w:u w:val="single" w:color="auto"/>
          <w:color w:val="auto"/>
        </w:rPr>
        <w:t>Section 7.2(d)</w:t>
      </w:r>
      <w:r>
        <w:rPr>
          <w:rFonts w:ascii="Arial" w:cs="Arial" w:eastAsia="Arial" w:hAnsi="Arial"/>
          <w:sz w:val="18"/>
          <w:szCs w:val="18"/>
          <w:color w:val="auto"/>
        </w:rPr>
        <w:t>) of whom are not any of the following: (a) officers or employees of the General Partner, (b) officers or employees of any Affiliate of the General Partner (other than any Group Member) or (c) holders of any ownership interest in the General Partner, its Affiliates or the Partnership Group (other than (x) Common Units, (y) Series A Preference Units and Series B Preference Units or (z) awards granted pursuant to any long-term incentive plan, equity compensation plan or similar plan of any Group Member) and who also have been determined by the Board of Directors to meet the independence standards required of directors who serve on an audit committee of a board of directors established by the Exchange Act, and the rules and regulations of the Commission thereunder and by the National Securities Exchange on which the Common Units are listed or admitted to trading or (d) United States citizens or residents.</w:t>
      </w:r>
    </w:p>
    <w:p>
      <w:pPr>
        <w:spacing w:after="0" w:line="192" w:lineRule="exact"/>
        <w:rPr>
          <w:sz w:val="20"/>
          <w:szCs w:val="20"/>
          <w:color w:val="auto"/>
        </w:rPr>
      </w:pPr>
    </w:p>
    <w:p>
      <w:pPr>
        <w:ind w:right="160" w:firstLine="1297"/>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Estimated Maintenance and Replacement Capital Expenditures</w:t>
      </w:r>
      <w:r>
        <w:rPr>
          <w:rFonts w:ascii="Arial" w:cs="Arial" w:eastAsia="Arial" w:hAnsi="Arial"/>
          <w:sz w:val="16"/>
          <w:szCs w:val="16"/>
          <w:color w:val="auto"/>
        </w:rPr>
        <w:t xml:space="preserve">” means an estimate made in good faith by the Board of Directors (with the concurrence of the Conflicts Committee) of the average quarterly Maintenance and Replacement Capital Expenditures that the Partnership will need to incur to maintain over the long-term the operating capacity and asset base of the Partnership Group (including the Partnership’s proportionate share of the average quarterly Maintenance and Replacement Capital Expenditures of its Subsidiaries that are not wholly-owned) existing at the time the estimate is made. The Board of Directors (with the concurrence of the Conflicts Committee) will be permitted to make such estimate in any manner it determines reasonable. Beginning after the Closing Date, the estimate will be made at least annually and whenever an event occurs that is likely to result in a material adjustment to the amount of Maintenance and Replacement Capital Expenditures on a long-term basis. The Partnership shall disclose to its Partners any change in the amount of Estimated Maintenance and Replacement Capital Expenditures in its reports made in accordance with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to the extent not previously disclosed. Any adjustments to Estimated Maintenance and Replacement Capital Expenditures shall be prospective only.</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Event of Withdrawal</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11.1(a)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Securities Exchange Act of 1934, as amended, supplemented or restated from time to time and any successor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statute.</w:t>
      </w:r>
    </w:p>
    <w:p>
      <w:pPr>
        <w:spacing w:after="0" w:line="211" w:lineRule="exact"/>
        <w:rPr>
          <w:sz w:val="20"/>
          <w:szCs w:val="20"/>
          <w:color w:val="auto"/>
        </w:rPr>
      </w:pPr>
    </w:p>
    <w:p>
      <w:pPr>
        <w:ind w:right="20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Expansion Capital Expenditures</w:t>
      </w:r>
      <w:r>
        <w:rPr>
          <w:rFonts w:ascii="Arial" w:cs="Arial" w:eastAsia="Arial" w:hAnsi="Arial"/>
          <w:sz w:val="18"/>
          <w:szCs w:val="18"/>
          <w:color w:val="auto"/>
        </w:rPr>
        <w:t>” means cash expenditures for Acquisitions or Capital Improvements. Expansion Capital Expenditures shall not include Maintenance and Replacement Capital Expenditures or Investment Capital Expenditures. Expansion Capital Expenditures shall include interest payments (and related fees) on debt incurred and distributions on equity issued, in each case, to fund the construction of a Capital Improvement and paid in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respect of the period beginning on the date that a Group Member enters into a binding obligation to commence construction of the Capital Improvement and ending on the earlier to occur of the date that such Capital Improvement Commences Commercial Service or the date that such Capital Improvement is abandoned or disposed of. Debt incurred or equity issued to fund any such construction period interest payments, or such construction period distributions on equity paid in respect of such period shall also be deemed to be debt incurred or equity issued, as the case may be, to fund the construction of a Capital Improvement, and the Incremental Incentive Distributions paid in respect of such newly issued equity shall be deemed to be distributions paid on equity issued to finance the construction of a Capital Improvement.</w:t>
      </w:r>
    </w:p>
    <w:p>
      <w:pPr>
        <w:spacing w:after="0" w:line="193"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First Target Distribution</w:t>
      </w:r>
      <w:r>
        <w:rPr>
          <w:rFonts w:ascii="Arial" w:cs="Arial" w:eastAsia="Arial" w:hAnsi="Arial"/>
          <w:sz w:val="18"/>
          <w:szCs w:val="18"/>
          <w:color w:val="auto"/>
        </w:rPr>
        <w:t xml:space="preserve">” means $0.43125 per Unit per Quarter (or, with respect to the period commencing on the Closing Date and ending on June 30, 2014, it means the product of $0.43125 multiplied by a fraction of which the numerator is the number of days in such period, and of which the denominator is the total number of days in the Quarter in which the Closing Date occurs), subject to adjustment in accordance with </w:t>
      </w:r>
      <w:r>
        <w:rPr>
          <w:rFonts w:ascii="Arial" w:cs="Arial" w:eastAsia="Arial" w:hAnsi="Arial"/>
          <w:sz w:val="18"/>
          <w:szCs w:val="18"/>
          <w:u w:val="single" w:color="auto"/>
          <w:color w:val="auto"/>
        </w:rPr>
        <w:t>Section 5.9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6.5</w:t>
      </w:r>
      <w:r>
        <w:rPr>
          <w:rFonts w:ascii="Arial" w:cs="Arial" w:eastAsia="Arial" w:hAnsi="Arial"/>
          <w:sz w:val="18"/>
          <w:szCs w:val="18"/>
          <w:color w:val="auto"/>
        </w:rPr>
        <w:t>.</w:t>
      </w:r>
    </w:p>
    <w:p>
      <w:pPr>
        <w:spacing w:after="0" w:line="187" w:lineRule="exact"/>
        <w:rPr>
          <w:sz w:val="20"/>
          <w:szCs w:val="20"/>
          <w:color w:val="auto"/>
        </w:rPr>
      </w:pPr>
    </w:p>
    <w:p>
      <w:pPr>
        <w:ind w:right="40" w:firstLine="1297"/>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Fully Diluted Weighted Average Basis</w:t>
      </w:r>
      <w:r>
        <w:rPr>
          <w:rFonts w:ascii="Arial" w:cs="Arial" w:eastAsia="Arial" w:hAnsi="Arial"/>
          <w:sz w:val="16"/>
          <w:szCs w:val="16"/>
          <w:color w:val="auto"/>
        </w:rPr>
        <w:t xml:space="preserve">” means, when calculating the number of Outstanding Units for any period, a basis that includes (a) the weighted average number of Outstanding Units plus (b) all Partnership Interests and options, rights, warrants and appreciation rights relating to an equity interest in the Partnership (i) that are convertible into or exercisable or exchangeable for Units or for which Units are issuable, (ii) whose conversion, exercise or exchange price is less than the Current Market Price on the date of such calculation, (iii) that may be converted into or exercised or exchanged for such Units prior to or during the Quarter immediately following the end of the period for which the calculation is being made without the satisfaction of any contingency beyond the control of the holder other than the payment of consideration and the compliance with administrative mechanics applicable to such conversion, exercise or exchange and (iv) that were not converted into or exercised or exchanged for such Units during the period for which the calculation is being made;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consideration will be paid to any Group Member in connection with such conversion, exercise or exchange, the number of Units to be included in such calculation shall be that number equal to the difference between (y) the number of Units issuable upon such conversion, exercise or exchange and (z) the number of Units that such consideration would purchase at the Current Market Price.</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GasLog</w:t>
      </w:r>
      <w:r>
        <w:rPr>
          <w:rFonts w:ascii="Arial" w:cs="Arial" w:eastAsia="Arial" w:hAnsi="Arial"/>
          <w:sz w:val="18"/>
          <w:szCs w:val="18"/>
          <w:color w:val="auto"/>
        </w:rPr>
        <w:t>” means GasLog Ltd.</w:t>
      </w:r>
    </w:p>
    <w:p>
      <w:pPr>
        <w:spacing w:after="0" w:line="225" w:lineRule="exact"/>
        <w:rPr>
          <w:sz w:val="20"/>
          <w:szCs w:val="20"/>
          <w:color w:val="auto"/>
        </w:rPr>
      </w:pPr>
    </w:p>
    <w:p>
      <w:pPr>
        <w:ind w:right="8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General Partner</w:t>
      </w:r>
      <w:r>
        <w:rPr>
          <w:rFonts w:ascii="Arial" w:cs="Arial" w:eastAsia="Arial" w:hAnsi="Arial"/>
          <w:sz w:val="16"/>
          <w:szCs w:val="16"/>
          <w:color w:val="auto"/>
        </w:rPr>
        <w:t>” means GasLog Partners GP LLC, a Marshall Islands limited liability company, and its successors and permitted assigns that are admitted to the Partnership as general partner of the Partnership, in its capacity as general partner of the Partnership (except as the context otherwise</w:t>
      </w:r>
    </w:p>
    <w:p>
      <w:pPr>
        <w:sectPr>
          <w:pgSz w:w="11900" w:h="16975" w:orient="portrait"/>
          <w:cols w:equalWidth="0" w:num="1">
            <w:col w:w="11420"/>
          </w:cols>
          <w:pgMar w:left="240" w:top="125" w:right="239" w:bottom="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requires).</w:t>
      </w:r>
    </w:p>
    <w:p>
      <w:pPr>
        <w:spacing w:after="0" w:line="225"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General Partner Interest</w:t>
      </w:r>
      <w:r>
        <w:rPr>
          <w:rFonts w:ascii="Arial" w:cs="Arial" w:eastAsia="Arial" w:hAnsi="Arial"/>
          <w:sz w:val="18"/>
          <w:szCs w:val="18"/>
          <w:color w:val="auto"/>
        </w:rPr>
        <w:t>” means the ownership interest of the General Partner in the Partnership (in its capacity as a general partner and without reference to any Limited Partner Interest held by it), which is evidenced by General Partner Units and includes any and all benefits to which the General Partner is entitled as provided in this Agreement, together with all obligations of the General Partner to comply with the terms and provisions of this Agreement.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General Partner Unit</w:t>
      </w:r>
      <w:r>
        <w:rPr>
          <w:rFonts w:ascii="Arial" w:cs="Arial" w:eastAsia="Arial" w:hAnsi="Arial"/>
          <w:sz w:val="18"/>
          <w:szCs w:val="18"/>
          <w:color w:val="auto"/>
        </w:rPr>
        <w:t>” means a fractional part of the General Partner Interest having the rights and obligations specified with respect to the General Partner Interest. A General Partner Unit is not a Unit.</w:t>
      </w:r>
    </w:p>
    <w:p>
      <w:pPr>
        <w:spacing w:after="0" w:line="170" w:lineRule="exact"/>
        <w:rPr>
          <w:sz w:val="20"/>
          <w:szCs w:val="20"/>
          <w:color w:val="auto"/>
        </w:rPr>
      </w:pPr>
    </w:p>
    <w:p>
      <w:pPr>
        <w:ind w:right="60"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Group</w:t>
      </w:r>
      <w:r>
        <w:rPr>
          <w:rFonts w:ascii="Arial" w:cs="Arial" w:eastAsia="Arial" w:hAnsi="Arial"/>
          <w:sz w:val="17"/>
          <w:szCs w:val="17"/>
          <w:color w:val="auto"/>
        </w:rPr>
        <w:t>” means a Person that with or through any of its Affiliates or Associates has any agreement, arrangement, understanding or relationship for the purpose of acquiring, holding, voting (except voting pursuant to a revocable proxy or consent given to such Person in response to a proxy or consent solicitation made to 10 or more Persons), exercising investment power over or disposing of any Partnership Interests with any other Person that beneficially owns, or whose Affiliates or Associates beneficially own, directly or indirectly, Partnership Interests.</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Group Member</w:t>
      </w:r>
      <w:r>
        <w:rPr>
          <w:rFonts w:ascii="Arial" w:cs="Arial" w:eastAsia="Arial" w:hAnsi="Arial"/>
          <w:sz w:val="18"/>
          <w:szCs w:val="18"/>
          <w:color w:val="auto"/>
        </w:rPr>
        <w:t>” means a member of the Partnership Group.</w:t>
      </w:r>
    </w:p>
    <w:p>
      <w:pPr>
        <w:spacing w:after="0" w:line="225" w:lineRule="exact"/>
        <w:rPr>
          <w:sz w:val="20"/>
          <w:szCs w:val="20"/>
          <w:color w:val="auto"/>
        </w:rPr>
      </w:pPr>
    </w:p>
    <w:p>
      <w:pPr>
        <w:ind w:right="160"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Group Member Agreement</w:t>
      </w:r>
      <w:r>
        <w:rPr>
          <w:rFonts w:ascii="Arial" w:cs="Arial" w:eastAsia="Arial" w:hAnsi="Arial"/>
          <w:sz w:val="18"/>
          <w:szCs w:val="18"/>
          <w:color w:val="auto"/>
        </w:rPr>
        <w:t>” means the partnership agreement of any Group Member, other than the Partnership, that is a limited or general partnership, the limited liability company agreement of any Group Member that is a limited liability company, the certificate of incorporation and bylaws (or similar organizational documents) of any Group Member that is a corporation, the joint venture agreement or similar governing document of any Group Member that is a joint venture and the governing or organizational or similar documents of any other Group Member that is a Person other than a limited or general partnership, limited liability company, corporation or joint venture, in each case as such may be amended, supplemented or restated from time to time.</w:t>
      </w:r>
    </w:p>
    <w:p>
      <w:pPr>
        <w:spacing w:after="0" w:line="19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Hedge Contract</w:t>
      </w:r>
      <w:r>
        <w:rPr>
          <w:rFonts w:ascii="Arial" w:cs="Arial" w:eastAsia="Arial" w:hAnsi="Arial"/>
          <w:sz w:val="18"/>
          <w:szCs w:val="18"/>
          <w:color w:val="auto"/>
        </w:rPr>
        <w:t>” means any exchange, swap, forward, future, cap, floor, collar or other similar agreement or arrangement entered into for the purpose of hedging the Partnership Group’s exposure to fluctuations in the price of interest rates, currencies or commodities in their operations and not for speculative purposes.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7.20(a)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ICE</w:t>
      </w:r>
      <w:r>
        <w:rPr>
          <w:rFonts w:ascii="Arial" w:cs="Arial" w:eastAsia="Arial" w:hAnsi="Arial"/>
          <w:sz w:val="18"/>
          <w:szCs w:val="18"/>
          <w:color w:val="auto"/>
        </w:rPr>
        <w:t>” means the ICE Benchmark Administration Limited.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IDR Reset Common Units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IDR Reset Election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IFRS</w:t>
      </w:r>
      <w:r>
        <w:rPr>
          <w:rFonts w:ascii="Arial" w:cs="Arial" w:eastAsia="Arial" w:hAnsi="Arial"/>
          <w:sz w:val="18"/>
          <w:szCs w:val="18"/>
          <w:color w:val="auto"/>
        </w:rPr>
        <w:t>” means the international financial reporting standards.</w:t>
      </w:r>
    </w:p>
    <w:p>
      <w:pPr>
        <w:spacing w:after="0" w:line="225" w:lineRule="exact"/>
        <w:rPr>
          <w:sz w:val="20"/>
          <w:szCs w:val="20"/>
          <w:color w:val="auto"/>
        </w:rPr>
      </w:pPr>
    </w:p>
    <w:p>
      <w:pPr>
        <w:ind w:right="80"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Incentive Distribution Right</w:t>
      </w:r>
      <w:r>
        <w:rPr>
          <w:rFonts w:ascii="Arial" w:cs="Arial" w:eastAsia="Arial" w:hAnsi="Arial"/>
          <w:sz w:val="16"/>
          <w:szCs w:val="16"/>
          <w:color w:val="auto"/>
        </w:rPr>
        <w:t>” means a non-voting Limited Partner Interest, which Partnership Interest will confer upon the holder thereof only the rights and obligations specifically provided in this Agreement with respect to Incentive Distribution Rights (and no other rights otherwise available to or other obligations of a holder of a Partnership Interest). Notwithstanding anything in this Agreement to the contrary, the holder of an Incentive Distribution Right shall not be entitled to vote such Incentive Distribution Right on any Partnership matter except as may otherwise be required by law.</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Incentive Distributions</w:t>
      </w:r>
      <w:r>
        <w:rPr>
          <w:rFonts w:ascii="Arial" w:cs="Arial" w:eastAsia="Arial" w:hAnsi="Arial"/>
          <w:sz w:val="16"/>
          <w:szCs w:val="16"/>
          <w:color w:val="auto"/>
        </w:rPr>
        <w:t xml:space="preserve">” means any amount of cash distributed to the holders of the Incentive Distribution Rights pursuant to </w:t>
      </w:r>
      <w:r>
        <w:rPr>
          <w:rFonts w:ascii="Arial" w:cs="Arial" w:eastAsia="Arial" w:hAnsi="Arial"/>
          <w:sz w:val="16"/>
          <w:szCs w:val="16"/>
          <w:u w:val="single" w:color="auto"/>
          <w:color w:val="auto"/>
        </w:rPr>
        <w:t>Section 6.3.</w:t>
      </w:r>
    </w:p>
    <w:p>
      <w:pPr>
        <w:spacing w:after="0" w:line="248" w:lineRule="exact"/>
        <w:rPr>
          <w:sz w:val="20"/>
          <w:szCs w:val="20"/>
          <w:color w:val="auto"/>
        </w:rPr>
      </w:pPr>
    </w:p>
    <w:p>
      <w:pPr>
        <w:ind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Incremental Incentive Distributions</w:t>
      </w:r>
      <w:r>
        <w:rPr>
          <w:rFonts w:ascii="Arial" w:cs="Arial" w:eastAsia="Arial" w:hAnsi="Arial"/>
          <w:sz w:val="16"/>
          <w:szCs w:val="16"/>
          <w:color w:val="auto"/>
        </w:rPr>
        <w:t xml:space="preserve">” means, with respect to any newly issued equity securities of the Partnership, the incremental amount of any Incentive Distributions payable under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based solely upon the amount of distributions paid in respect of such newly issued equity securities.</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Indemnified Persons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7.20(c)</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 means (a) the General Partner, (b) any Departing General Partner, (c) any Person who is or was an Affiliate of the General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Partner or any Departing General Partner, (d) any Person who is or was a member, partner, director, officer, fiduciary or trustee of any Person which any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preceding clauses of this definition describes, (e) any Person who is or was serving at the request of the General Partner or any Departing General Partner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any Affiliate of the General Partner or any Departing General Partner as an officer, director, member, partner, fiduciary or trustee of another Person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Person shall not be an Indemnitee by reason of providing, on a fee-for-services basis, trustee, fiduciary or custodial services), (f)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members of the Board of Directors, (g) the Officers, and (h) any other Person the Board of Directors designates as an “</w:t>
      </w:r>
      <w:r>
        <w:rPr>
          <w:rFonts w:ascii="Arial" w:cs="Arial" w:eastAsia="Arial" w:hAnsi="Arial"/>
          <w:sz w:val="16"/>
          <w:szCs w:val="16"/>
          <w:i w:val="1"/>
          <w:iCs w:val="1"/>
          <w:color w:val="auto"/>
        </w:rPr>
        <w:t>Indemnitee</w:t>
      </w:r>
      <w:r>
        <w:rPr>
          <w:rFonts w:ascii="Arial" w:cs="Arial" w:eastAsia="Arial" w:hAnsi="Arial"/>
          <w:sz w:val="16"/>
          <w:szCs w:val="16"/>
          <w:color w:val="auto"/>
        </w:rPr>
        <w:t>” for purposes of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Common Units</w:t>
      </w:r>
      <w:r>
        <w:rPr>
          <w:rFonts w:ascii="Arial" w:cs="Arial" w:eastAsia="Arial" w:hAnsi="Arial"/>
          <w:sz w:val="18"/>
          <w:szCs w:val="18"/>
          <w:color w:val="auto"/>
        </w:rPr>
        <w:t>” means the Common Units sold in the Initial Offering.</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General Partner Interest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Limited Partner Interest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5.1(a)</w:t>
      </w:r>
      <w:r>
        <w:rPr>
          <w:rFonts w:ascii="Arial" w:cs="Arial" w:eastAsia="Arial" w:hAnsi="Arial"/>
          <w:sz w:val="18"/>
          <w:szCs w:val="18"/>
          <w:color w:val="auto"/>
        </w:rPr>
        <w:t>.</w:t>
      </w:r>
    </w:p>
    <w:p>
      <w:pPr>
        <w:spacing w:after="0" w:line="225" w:lineRule="exact"/>
        <w:rPr>
          <w:sz w:val="20"/>
          <w:szCs w:val="20"/>
          <w:color w:val="auto"/>
        </w:rPr>
      </w:pPr>
    </w:p>
    <w:p>
      <w:pPr>
        <w:ind w:right="6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Limited Partners</w:t>
      </w:r>
      <w:r>
        <w:rPr>
          <w:rFonts w:ascii="Arial" w:cs="Arial" w:eastAsia="Arial" w:hAnsi="Arial"/>
          <w:sz w:val="18"/>
          <w:szCs w:val="18"/>
          <w:color w:val="auto"/>
        </w:rPr>
        <w:t xml:space="preserve">” means GasLog and the Underwriters, in each case upon being admitted as Partners to the Partnership in accordance with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ectPr>
          <w:pgSz w:w="11900" w:h="16838" w:orient="portrait"/>
          <w:cols w:equalWidth="0" w:num="1">
            <w:col w:w="11400"/>
          </w:cols>
          <w:pgMar w:left="240" w:top="125" w:right="259" w:bottom="0" w:gutter="0" w:footer="0" w:header="0"/>
        </w:sectPr>
      </w:pPr>
    </w:p>
    <w:bookmarkStart w:id="9" w:name="page10"/>
    <w:bookmarkEnd w:id="9"/>
    <w:p>
      <w:pPr>
        <w:spacing w:after="0" w:line="96"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Offering</w:t>
      </w:r>
      <w:r>
        <w:rPr>
          <w:rFonts w:ascii="Arial" w:cs="Arial" w:eastAsia="Arial" w:hAnsi="Arial"/>
          <w:sz w:val="18"/>
          <w:szCs w:val="18"/>
          <w:color w:val="auto"/>
        </w:rPr>
        <w:t>” means the initial public offering and sale of Common Units to the public, as described in the Registration Statement, including any Common Units sold pursuant to the exercise of the Over-Allotment Option.</w:t>
      </w:r>
    </w:p>
    <w:p>
      <w:pPr>
        <w:spacing w:after="0" w:line="170" w:lineRule="exact"/>
        <w:rPr>
          <w:sz w:val="20"/>
          <w:szCs w:val="20"/>
          <w:color w:val="auto"/>
        </w:rPr>
      </w:pPr>
    </w:p>
    <w:p>
      <w:pPr>
        <w:ind w:right="180"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Initial Unit Price</w:t>
      </w:r>
      <w:r>
        <w:rPr>
          <w:rFonts w:ascii="Arial" w:cs="Arial" w:eastAsia="Arial" w:hAnsi="Arial"/>
          <w:sz w:val="17"/>
          <w:szCs w:val="17"/>
          <w:color w:val="auto"/>
        </w:rPr>
        <w:t>” means (a) with respect to the Common Units, the initial public offering price per Common Unit at which the Underwriters first offered the Common Units to the public for sale as set forth on the cover page of the prospectus included as part of the Registration Statement and first issued at or after the time the Registration Statement first became effective or (b) with respect to any other class or series of Units, the price per Unit at which such class or series of Units is initially sold by the Partnership, as determined by the Board of Directors, in each case adjusted as the Board of Directors determines to be appropriate to give effect to any distribution, subdivision or combination of Units.</w:t>
      </w:r>
    </w:p>
    <w:p>
      <w:pPr>
        <w:spacing w:after="0" w:line="173"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Interim Capital Transactions</w:t>
      </w:r>
      <w:r>
        <w:rPr>
          <w:rFonts w:ascii="Arial" w:cs="Arial" w:eastAsia="Arial" w:hAnsi="Arial"/>
          <w:sz w:val="18"/>
          <w:szCs w:val="18"/>
          <w:color w:val="auto"/>
        </w:rPr>
        <w:t>” means the following transactions if they occur prior to the Liquidation Date: (a) borrowings, refinancings or refundings of indebtedness (other than Working Capital Borrowings and other than for items purchased on open account in the ordinary course of business) by any Group Member and sales of debt securities of any Group</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Member; (b) sales of equity interests of any Group Member (including the Common Units sold to the Underwriters in the Initial Offering or pursuant to the exercise of the Over-Allotment Option); (c) sales or other voluntary or involuntary dispositions of any assets of any Group Member (including assets acquired using Investment Capital Expenditures) other than (i) sales or other dispositions of inventory, accounts receivable and other assets in the ordinary course of business and (ii) sales or other dispositions of assets as part of normal retirements or replacements; (d) capital contributions received; and (e) corporate reorganizations or restructurings.</w:t>
      </w:r>
    </w:p>
    <w:p>
      <w:pPr>
        <w:spacing w:after="0" w:line="188" w:lineRule="exact"/>
        <w:rPr>
          <w:sz w:val="20"/>
          <w:szCs w:val="20"/>
          <w:color w:val="auto"/>
        </w:rPr>
      </w:pPr>
    </w:p>
    <w:p>
      <w:pPr>
        <w:ind w:right="6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Investment Capital Expenditures</w:t>
      </w:r>
      <w:r>
        <w:rPr>
          <w:rFonts w:ascii="Arial" w:cs="Arial" w:eastAsia="Arial" w:hAnsi="Arial"/>
          <w:sz w:val="18"/>
          <w:szCs w:val="18"/>
          <w:color w:val="auto"/>
        </w:rPr>
        <w:t>” means capital expenditures other than Maintenance and Replacement Capital Expenditures and Expansion Capital Expenditures.</w:t>
      </w:r>
    </w:p>
    <w:p>
      <w:pPr>
        <w:spacing w:after="0" w:line="170" w:lineRule="exact"/>
        <w:rPr>
          <w:sz w:val="20"/>
          <w:szCs w:val="20"/>
          <w:color w:val="auto"/>
        </w:rPr>
      </w:pPr>
    </w:p>
    <w:p>
      <w:pPr>
        <w:ind w:right="40"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Junior Securities</w:t>
      </w:r>
      <w:r>
        <w:rPr>
          <w:rFonts w:ascii="Arial" w:cs="Arial" w:eastAsia="Arial" w:hAnsi="Arial"/>
          <w:sz w:val="16"/>
          <w:szCs w:val="16"/>
          <w:color w:val="auto"/>
        </w:rPr>
        <w:t xml:space="preserve">” means: (i) the Common Units and (ii) any other class or series of Partnership Interests established after May 15, 2017 by the General Partner, the terms of which class or series do not expressly provide that it is made senior to or on parity with the Series A Preference Units and Series B Preference Units as to the right to distributions of cash or property or distributions upon any dissolution or liquidation pursuant to </w:t>
      </w:r>
      <w:r>
        <w:rPr>
          <w:rFonts w:ascii="Arial" w:cs="Arial" w:eastAsia="Arial" w:hAnsi="Arial"/>
          <w:sz w:val="16"/>
          <w:szCs w:val="16"/>
          <w:u w:val="single" w:color="auto"/>
          <w:color w:val="auto"/>
        </w:rPr>
        <w:t>Article XII</w:t>
      </w:r>
      <w:r>
        <w:rPr>
          <w:rFonts w:ascii="Arial" w:cs="Arial" w:eastAsia="Arial" w:hAnsi="Arial"/>
          <w:sz w:val="16"/>
          <w:szCs w:val="16"/>
          <w:color w:val="auto"/>
        </w:rPr>
        <w:t>.</w:t>
      </w:r>
    </w:p>
    <w:p>
      <w:pPr>
        <w:spacing w:after="0" w:line="147" w:lineRule="exact"/>
        <w:rPr>
          <w:sz w:val="20"/>
          <w:szCs w:val="20"/>
          <w:color w:val="auto"/>
        </w:rPr>
      </w:pPr>
    </w:p>
    <w:p>
      <w:pPr>
        <w:ind w:firstLine="129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Limited Partner</w:t>
      </w:r>
      <w:r>
        <w:rPr>
          <w:rFonts w:ascii="Arial" w:cs="Arial" w:eastAsia="Arial" w:hAnsi="Arial"/>
          <w:sz w:val="17"/>
          <w:szCs w:val="17"/>
          <w:color w:val="auto"/>
        </w:rPr>
        <w:t xml:space="preserve">” means, unless the context otherwise requires, the Organizational Limited Partner, each Initial Limited Partner, each additional Person that becomes a Limited Partner pursuant to the terms of this Agreement and any Departing General Partner upon the change of its status from General Partner to Limited Partner pursuant to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in each case, in such Person’s capacity as a limited partner of the Partnership;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when the term “</w:t>
      </w:r>
      <w:r>
        <w:rPr>
          <w:rFonts w:ascii="Arial" w:cs="Arial" w:eastAsia="Arial" w:hAnsi="Arial"/>
          <w:sz w:val="17"/>
          <w:szCs w:val="17"/>
          <w:i w:val="1"/>
          <w:iCs w:val="1"/>
          <w:color w:val="auto"/>
        </w:rPr>
        <w:t>Limited Partner</w:t>
      </w:r>
      <w:r>
        <w:rPr>
          <w:rFonts w:ascii="Arial" w:cs="Arial" w:eastAsia="Arial" w:hAnsi="Arial"/>
          <w:sz w:val="17"/>
          <w:szCs w:val="17"/>
          <w:color w:val="auto"/>
        </w:rPr>
        <w:t>” is used herein in the context of any vote or other approval, including</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Articles XIII</w:t>
      </w:r>
      <w:r>
        <w:rPr>
          <w:rFonts w:ascii="Arial" w:cs="Arial" w:eastAsia="Arial" w:hAnsi="Arial"/>
          <w:sz w:val="17"/>
          <w:szCs w:val="17"/>
          <w:i w:val="1"/>
          <w:iCs w:val="1"/>
          <w:color w:val="auto"/>
        </w:rPr>
        <w:t xml:space="preserve"> </w:t>
      </w:r>
      <w:r>
        <w:rPr>
          <w:rFonts w:ascii="Arial" w:cs="Arial" w:eastAsia="Arial" w:hAnsi="Arial"/>
          <w:sz w:val="17"/>
          <w:szCs w:val="17"/>
          <w:color w:val="auto"/>
        </w:rPr>
        <w:t>and</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XIV</w:t>
      </w:r>
      <w:r>
        <w:rPr>
          <w:rFonts w:ascii="Arial" w:cs="Arial" w:eastAsia="Arial" w:hAnsi="Arial"/>
          <w:sz w:val="17"/>
          <w:szCs w:val="17"/>
          <w:color w:val="auto"/>
        </w:rPr>
        <w:t>, such term shall</w:t>
      </w:r>
      <w:r>
        <w:rPr>
          <w:rFonts w:ascii="Arial" w:cs="Arial" w:eastAsia="Arial" w:hAnsi="Arial"/>
          <w:sz w:val="17"/>
          <w:szCs w:val="17"/>
          <w:i w:val="1"/>
          <w:iCs w:val="1"/>
          <w:color w:val="auto"/>
        </w:rPr>
        <w:t xml:space="preserve"> </w:t>
      </w:r>
      <w:r>
        <w:rPr>
          <w:rFonts w:ascii="Arial" w:cs="Arial" w:eastAsia="Arial" w:hAnsi="Arial"/>
          <w:sz w:val="17"/>
          <w:szCs w:val="17"/>
          <w:color w:val="auto"/>
        </w:rPr>
        <w:t>not, solely for such purpose, include any holder of an Incentive Distribution Right (solely with respect to its Incentive Distribution Rights and not with respect to any other Limited Partner Interest held by such Person) except as may otherwise be required by law. Limited Partners may include custodians, nominees or any other individual or entity in its own or any representative capacity.</w:t>
      </w:r>
    </w:p>
    <w:p>
      <w:pPr>
        <w:spacing w:after="0" w:line="178" w:lineRule="exact"/>
        <w:rPr>
          <w:sz w:val="20"/>
          <w:szCs w:val="20"/>
          <w:color w:val="auto"/>
        </w:rPr>
      </w:pPr>
    </w:p>
    <w:p>
      <w:pPr>
        <w:ind w:right="120"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Limited Partner Interest</w:t>
      </w:r>
      <w:r>
        <w:rPr>
          <w:rFonts w:ascii="Arial" w:cs="Arial" w:eastAsia="Arial" w:hAnsi="Arial"/>
          <w:sz w:val="18"/>
          <w:szCs w:val="18"/>
          <w:color w:val="auto"/>
        </w:rPr>
        <w:t xml:space="preserve">” means the ownership interest of a Limited Partner in the Partnership, which may be evidenced by Common Units, Preference Units, Incentive Distribution Rights or other Partnership Interests or a combination thereof or interest therein, and includes any and all benefits to which such Limited Partner is entitled as provided in this Agreement, together with all obligations of such Limited Partner to comply with the terms and provisions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when the term “</w:t>
      </w:r>
      <w:r>
        <w:rPr>
          <w:rFonts w:ascii="Arial" w:cs="Arial" w:eastAsia="Arial" w:hAnsi="Arial"/>
          <w:sz w:val="18"/>
          <w:szCs w:val="18"/>
          <w:i w:val="1"/>
          <w:iCs w:val="1"/>
          <w:color w:val="auto"/>
        </w:rPr>
        <w:t>Limited Partner Interest</w:t>
      </w:r>
      <w:r>
        <w:rPr>
          <w:rFonts w:ascii="Arial" w:cs="Arial" w:eastAsia="Arial" w:hAnsi="Arial"/>
          <w:sz w:val="18"/>
          <w:szCs w:val="18"/>
          <w:color w:val="auto"/>
        </w:rPr>
        <w:t xml:space="preserve">” is used herein in the context of any vote or other approval, including </w:t>
      </w:r>
      <w:r>
        <w:rPr>
          <w:rFonts w:ascii="Arial" w:cs="Arial" w:eastAsia="Arial" w:hAnsi="Arial"/>
          <w:sz w:val="18"/>
          <w:szCs w:val="18"/>
          <w:u w:val="single" w:color="auto"/>
          <w:color w:val="auto"/>
        </w:rPr>
        <w:t>Articles XIII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XIV</w:t>
      </w:r>
      <w:r>
        <w:rPr>
          <w:rFonts w:ascii="Arial" w:cs="Arial" w:eastAsia="Arial" w:hAnsi="Arial"/>
          <w:sz w:val="18"/>
          <w:szCs w:val="18"/>
          <w:color w:val="auto"/>
        </w:rPr>
        <w:t>, such term shall not, solely for such purpose, include any Incentive Distribution Right except as may otherwise be required by law.</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Liquidation Date</w:t>
      </w:r>
      <w:r>
        <w:rPr>
          <w:rFonts w:ascii="Arial" w:cs="Arial" w:eastAsia="Arial" w:hAnsi="Arial"/>
          <w:sz w:val="16"/>
          <w:szCs w:val="16"/>
          <w:color w:val="auto"/>
        </w:rPr>
        <w:t xml:space="preserve">” means (a) in the case of an event giving rise to the dissolution of the Partnership of the type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w:t>
      </w:r>
    </w:p>
    <w:p>
      <w:pPr>
        <w:spacing w:after="0" w:line="46" w:lineRule="exact"/>
        <w:rPr>
          <w:sz w:val="20"/>
          <w:szCs w:val="20"/>
          <w:color w:val="auto"/>
        </w:rPr>
      </w:pPr>
    </w:p>
    <w:p>
      <w:pPr>
        <w:jc w:val="both"/>
        <w:ind w:right="140" w:firstLine="8"/>
        <w:spacing w:after="0" w:line="255" w:lineRule="auto"/>
        <w:tabs>
          <w:tab w:leader="none" w:pos="255" w:val="left"/>
        </w:tabs>
        <w:numPr>
          <w:ilvl w:val="0"/>
          <w:numId w:val="3"/>
        </w:numPr>
        <w:rPr>
          <w:rFonts w:ascii="Arial" w:cs="Arial" w:eastAsia="Arial" w:hAnsi="Arial"/>
          <w:sz w:val="18"/>
          <w:szCs w:val="18"/>
          <w:u w:val="single" w:color="auto"/>
          <w:color w:val="auto"/>
        </w:rPr>
      </w:pPr>
      <w:r>
        <w:rPr>
          <w:rFonts w:ascii="Arial" w:cs="Arial" w:eastAsia="Arial" w:hAnsi="Arial"/>
          <w:sz w:val="18"/>
          <w:szCs w:val="18"/>
          <w:color w:val="auto"/>
        </w:rPr>
        <w:t xml:space="preserve">of the first sentence of </w:t>
      </w:r>
      <w:r>
        <w:rPr>
          <w:rFonts w:ascii="Arial" w:cs="Arial" w:eastAsia="Arial" w:hAnsi="Arial"/>
          <w:sz w:val="18"/>
          <w:szCs w:val="18"/>
          <w:u w:val="single" w:color="auto"/>
          <w:color w:val="auto"/>
        </w:rPr>
        <w:t>Section 12.2</w:t>
      </w:r>
      <w:r>
        <w:rPr>
          <w:rFonts w:ascii="Arial" w:cs="Arial" w:eastAsia="Arial" w:hAnsi="Arial"/>
          <w:sz w:val="18"/>
          <w:szCs w:val="18"/>
          <w:color w:val="auto"/>
        </w:rPr>
        <w:t>, the date on which the applicable time period during which the holders of Outstanding Units have the right to elect to continue the business of the Partnership has expired without such an election being made, and (b) in the case of any other event giving rise to the dissolution of the Partnership, the date on which such event occurs.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Liquidation Event</w:t>
      </w:r>
      <w:r>
        <w:rPr>
          <w:rFonts w:ascii="Arial" w:cs="Arial" w:eastAsia="Arial" w:hAnsi="Arial"/>
          <w:sz w:val="18"/>
          <w:szCs w:val="18"/>
          <w:color w:val="auto"/>
        </w:rPr>
        <w:t xml:space="preserve">” means the occurrence of a dissolution or liquidation of the Partnership, whether voluntary or involuntary;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Liquidation Event shall not precede the Liquidation Date. Neither the sale of all or substantially all of the property or business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nor the consolidation or merger of the Partnership with or into any other Person, individually or in a series of transactions, shall be deemed a Liquidation Event.</w:t>
      </w:r>
    </w:p>
    <w:p>
      <w:pPr>
        <w:spacing w:after="0" w:line="187" w:lineRule="exact"/>
        <w:rPr>
          <w:sz w:val="20"/>
          <w:szCs w:val="20"/>
          <w:color w:val="auto"/>
        </w:rPr>
      </w:pPr>
    </w:p>
    <w:p>
      <w:pPr>
        <w:ind w:right="60" w:firstLine="1297"/>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Liquidation Preference</w:t>
      </w:r>
      <w:r>
        <w:rPr>
          <w:rFonts w:ascii="Arial" w:cs="Arial" w:eastAsia="Arial" w:hAnsi="Arial"/>
          <w:sz w:val="16"/>
          <w:szCs w:val="16"/>
          <w:color w:val="auto"/>
        </w:rPr>
        <w:t xml:space="preserve">” means, in connection with any distribution in connection with a Liquidation Event pursuant to </w:t>
      </w:r>
      <w:r>
        <w:rPr>
          <w:rFonts w:ascii="Arial" w:cs="Arial" w:eastAsia="Arial" w:hAnsi="Arial"/>
          <w:sz w:val="16"/>
          <w:szCs w:val="16"/>
          <w:u w:val="single" w:color="auto"/>
          <w:color w:val="auto"/>
        </w:rPr>
        <w:t>Section 12.4</w:t>
      </w:r>
      <w:r>
        <w:rPr>
          <w:rFonts w:ascii="Arial" w:cs="Arial" w:eastAsia="Arial" w:hAnsi="Arial"/>
          <w:sz w:val="16"/>
          <w:szCs w:val="16"/>
          <w:color w:val="auto"/>
        </w:rPr>
        <w:t xml:space="preserve"> and with respect to any holder of any class or series of Partnership Interests, the amount otherwise payable to such holder in such distribution with respect to such class or series of Partnership Interests (assuming no limitation on the assets of the Partnership available for such distribution), including an amount equal to any accrued but unpaid distributions thereon to the date fixed for such payment, whether or not declared (if the terms of the applicable class or series of Partnership Interests so provide). For avoidance of doubt, for the foregoing purposes, the Series A Liquidation Preference is the Liquidation Preference with respect to the Series A Preference Units and the Series B Liquidation Preference is the Liquidation Preference with respect to the Series B Preference Units.</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Liquidating Trustee</w:t>
      </w:r>
      <w:r>
        <w:rPr>
          <w:rFonts w:ascii="Arial" w:cs="Arial" w:eastAsia="Arial" w:hAnsi="Arial"/>
          <w:sz w:val="16"/>
          <w:szCs w:val="16"/>
          <w:color w:val="auto"/>
        </w:rPr>
        <w:t xml:space="preserve">” means one or more Persons selected by the Board of Directors to perform the functions described in </w:t>
      </w:r>
      <w:r>
        <w:rPr>
          <w:rFonts w:ascii="Arial" w:cs="Arial" w:eastAsia="Arial" w:hAnsi="Arial"/>
          <w:sz w:val="16"/>
          <w:szCs w:val="16"/>
          <w:u w:val="single" w:color="auto"/>
          <w:color w:val="auto"/>
        </w:rPr>
        <w:t>Section 12.4</w:t>
      </w:r>
      <w:r>
        <w:rPr>
          <w:rFonts w:ascii="Arial" w:cs="Arial" w:eastAsia="Arial" w:hAnsi="Arial"/>
          <w:sz w:val="16"/>
          <w:szCs w:val="16"/>
          <w:color w:val="auto"/>
        </w:rPr>
        <w:t>.</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London Business Day</w:t>
      </w:r>
      <w:r>
        <w:rPr>
          <w:rFonts w:ascii="Arial" w:cs="Arial" w:eastAsia="Arial" w:hAnsi="Arial"/>
          <w:sz w:val="17"/>
          <w:szCs w:val="17"/>
          <w:color w:val="auto"/>
        </w:rPr>
        <w:t>” means any day on which dealings in deposits in U.S. dollars are transacted in the London interbank market.</w:t>
      </w:r>
    </w:p>
    <w:p>
      <w:pPr>
        <w:spacing w:after="0" w:line="237" w:lineRule="exact"/>
        <w:rPr>
          <w:sz w:val="20"/>
          <w:szCs w:val="20"/>
          <w:color w:val="auto"/>
        </w:rPr>
      </w:pPr>
    </w:p>
    <w:p>
      <w:pPr>
        <w:ind w:right="40" w:firstLine="1297"/>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Maintenance and Replacement Capital Expenditures</w:t>
      </w:r>
      <w:r>
        <w:rPr>
          <w:rFonts w:ascii="Arial" w:cs="Arial" w:eastAsia="Arial" w:hAnsi="Arial"/>
          <w:sz w:val="16"/>
          <w:szCs w:val="16"/>
          <w:color w:val="auto"/>
        </w:rPr>
        <w:t>” means cash expenditures (including expenditures for the addition or improvement to, or the replacement of, the capital assets owned by any Group Member or for the acquisition of existing, or the construction of new, capital assets) if such expenditure is made to maintain, including over the long term, the operating capacity and/or asset base of the Partnership Group or the revenue generated by the vessels owned by the Partnership Group. Maintenance and Replacement Capital Expenditures shall not include Expansion Capital Expenditures or Investment Capital Expenditures. Maintenance and Replacement Capital Expenditures shall include interest payments (and related fees) on debt incurred and distributions on equity issued, in each case, to finance the acquisition or the construction of a replacement asset and paid in respect of the period beginning on</w:t>
      </w:r>
    </w:p>
    <w:p>
      <w:pPr>
        <w:sectPr>
          <w:pgSz w:w="11900" w:h="16934" w:orient="portrait"/>
          <w:cols w:equalWidth="0" w:num="1">
            <w:col w:w="11420"/>
          </w:cols>
          <w:pgMar w:left="240" w:top="125" w:right="239" w:bottom="0" w:gutter="0" w:footer="0" w:header="0"/>
        </w:sectPr>
      </w:pPr>
    </w:p>
    <w:bookmarkStart w:id="10" w:name="page11"/>
    <w:bookmarkEnd w:id="10"/>
    <w:p>
      <w:pPr>
        <w:spacing w:after="0" w:line="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date that the Group Member enters into a binding obligation to acquire or construct a replacement asset and ending on the earlier to occur of the date that such replacement asset Commences Commercial Service or the date that such replacement asset is abandoned or disposed of. Debt incurred to pay or equity issued to fund the construction period interest payments, or such construction period distributions on equity shall also be deemed to be debt incurred or equity issued, as the case may be, to finance the construction of a replacement asset, and the Incremental Incentive Distributions paid in respect of such newly issued equity shall be deemed to be distributions paid on equity issued to finance the construction of a replacement asset.</w:t>
      </w:r>
    </w:p>
    <w:p>
      <w:pPr>
        <w:spacing w:after="0" w:line="158"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Marshall Islands Act</w:t>
      </w:r>
      <w:r>
        <w:rPr>
          <w:rFonts w:ascii="Arial" w:cs="Arial" w:eastAsia="Arial" w:hAnsi="Arial"/>
          <w:sz w:val="18"/>
          <w:szCs w:val="18"/>
          <w:color w:val="auto"/>
        </w:rPr>
        <w:t>” means the Limited Partnership Act of The Republic of the Marshall Islands, as amended, supplemented or restated from time to time, and any successor to such statute.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14.1</w:t>
      </w:r>
      <w:r>
        <w:rPr>
          <w:rFonts w:ascii="Arial" w:cs="Arial" w:eastAsia="Arial" w:hAnsi="Arial"/>
          <w:sz w:val="18"/>
          <w:szCs w:val="18"/>
          <w:color w:val="auto"/>
        </w:rPr>
        <w:t>.</w:t>
      </w:r>
    </w:p>
    <w:p>
      <w:pPr>
        <w:spacing w:after="0" w:line="225" w:lineRule="exact"/>
        <w:rPr>
          <w:sz w:val="20"/>
          <w:szCs w:val="20"/>
          <w:color w:val="auto"/>
        </w:rPr>
      </w:pPr>
    </w:p>
    <w:p>
      <w:pPr>
        <w:jc w:val="both"/>
        <w:ind w:right="2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Minimum Quarterly Distribution</w:t>
      </w:r>
      <w:r>
        <w:rPr>
          <w:rFonts w:ascii="Arial" w:cs="Arial" w:eastAsia="Arial" w:hAnsi="Arial"/>
          <w:sz w:val="18"/>
          <w:szCs w:val="18"/>
          <w:color w:val="auto"/>
        </w:rPr>
        <w:t xml:space="preserve">” means $0.375 per Common Unit per Quarter (or with respect to the period commencing on the Closing Date and ending on June 30, 2014, it means the product of $0.375 multiplied by a fraction of which the numerator is the number of days in such period and of which the denominator is the total number of days in the Quarter in which the Closing Date occurs), subject to adjustment in accordance with </w:t>
      </w:r>
      <w:r>
        <w:rPr>
          <w:rFonts w:ascii="Arial" w:cs="Arial" w:eastAsia="Arial" w:hAnsi="Arial"/>
          <w:sz w:val="18"/>
          <w:szCs w:val="18"/>
          <w:u w:val="single" w:color="auto"/>
          <w:color w:val="auto"/>
        </w:rPr>
        <w:t>Section 5.9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6.5</w:t>
      </w:r>
      <w:r>
        <w:rPr>
          <w:rFonts w:ascii="Arial" w:cs="Arial" w:eastAsia="Arial" w:hAnsi="Arial"/>
          <w:sz w:val="18"/>
          <w:szCs w:val="18"/>
          <w:color w:val="auto"/>
        </w:rPr>
        <w:t>.</w:t>
      </w:r>
    </w:p>
    <w:p>
      <w:pPr>
        <w:spacing w:after="0" w:line="187" w:lineRule="exact"/>
        <w:rPr>
          <w:sz w:val="20"/>
          <w:szCs w:val="20"/>
          <w:color w:val="auto"/>
        </w:rPr>
      </w:pPr>
    </w:p>
    <w:p>
      <w:pPr>
        <w:ind w:right="10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National Securities Exchange</w:t>
      </w:r>
      <w:r>
        <w:rPr>
          <w:rFonts w:ascii="Arial" w:cs="Arial" w:eastAsia="Arial" w:hAnsi="Arial"/>
          <w:sz w:val="18"/>
          <w:szCs w:val="18"/>
          <w:color w:val="auto"/>
        </w:rPr>
        <w:t>” means an exchange registered with the Commission under Section 6(a) of the Exchange Act, supplemented or restated from time to time, and any successor to such statute.</w:t>
      </w:r>
    </w:p>
    <w:p>
      <w:pPr>
        <w:spacing w:after="0" w:line="170"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Net Agreed Value</w:t>
      </w:r>
      <w:r>
        <w:rPr>
          <w:rFonts w:ascii="Arial" w:cs="Arial" w:eastAsia="Arial" w:hAnsi="Arial"/>
          <w:sz w:val="18"/>
          <w:szCs w:val="18"/>
          <w:color w:val="auto"/>
        </w:rPr>
        <w:t>” means, (a) in the case of any Contributed Property, the Agreed Value of such property reduced by any liabilities either assumed by the Partnership upon such contribution or to which such property is subject when contributed, and (b) in the case of any property distributed to a Partner by the Partnership, the Agreed Value of such property, reduced by any indebtedness either assumed by such Partner upon such distribution or to which such property is subject at the time of distribution.</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 of Election to Purchase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15.1(b)</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7.8(a)</w:t>
      </w:r>
      <w:r>
        <w:rPr>
          <w:rFonts w:ascii="Arial" w:cs="Arial" w:eastAsia="Arial" w:hAnsi="Arial"/>
          <w:sz w:val="18"/>
          <w:szCs w:val="18"/>
          <w:color w:val="auto"/>
        </w:rPr>
        <w:t>.</w:t>
      </w:r>
    </w:p>
    <w:p>
      <w:pPr>
        <w:spacing w:after="0" w:line="225"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Omnibus Agreement</w:t>
      </w:r>
      <w:r>
        <w:rPr>
          <w:rFonts w:ascii="Arial" w:cs="Arial" w:eastAsia="Arial" w:hAnsi="Arial"/>
          <w:sz w:val="18"/>
          <w:szCs w:val="18"/>
          <w:color w:val="auto"/>
        </w:rPr>
        <w:t>” means that Omnibus Agreement, dated as of the Closing Date, among GasLog, the Partnership, the General Partner and the Operating Company.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Operating Company</w:t>
      </w:r>
      <w:r>
        <w:rPr>
          <w:rFonts w:ascii="Arial" w:cs="Arial" w:eastAsia="Arial" w:hAnsi="Arial"/>
          <w:sz w:val="16"/>
          <w:szCs w:val="16"/>
          <w:color w:val="auto"/>
        </w:rPr>
        <w:t>” means GasLog Partners Holdings LLC, a Marshall Islands limited liability company, and any successors thereto.</w:t>
      </w:r>
    </w:p>
    <w:p>
      <w:pPr>
        <w:spacing w:after="0" w:line="248" w:lineRule="exact"/>
        <w:rPr>
          <w:sz w:val="20"/>
          <w:szCs w:val="20"/>
          <w:color w:val="auto"/>
        </w:rPr>
      </w:pPr>
    </w:p>
    <w:p>
      <w:pPr>
        <w:ind w:right="40" w:firstLine="129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Operating Expenditures</w:t>
      </w:r>
      <w:r>
        <w:rPr>
          <w:rFonts w:ascii="Arial" w:cs="Arial" w:eastAsia="Arial" w:hAnsi="Arial"/>
          <w:sz w:val="17"/>
          <w:szCs w:val="17"/>
          <w:color w:val="auto"/>
        </w:rPr>
        <w:t>” means all Partnership Group cash expenditures (or the Partnership’s proportionate share of expenditures in the case of Subsidiaries that are not wholly-owned), including taxes, employee and director compensation, reimbursements of expenses of the General Partner, repayment of Working Capital Borrowings, debt service payments, capital expenditures, payments made in the ordinary course of business under any Hedge Contracts (</w:t>
      </w:r>
      <w:r>
        <w:rPr>
          <w:rFonts w:ascii="Arial" w:cs="Arial" w:eastAsia="Arial" w:hAnsi="Arial"/>
          <w:sz w:val="17"/>
          <w:szCs w:val="17"/>
          <w:i w:val="1"/>
          <w:iCs w:val="1"/>
          <w:color w:val="auto"/>
        </w:rPr>
        <w:t>provided</w:t>
      </w:r>
      <w:r>
        <w:rPr>
          <w:rFonts w:ascii="Arial" w:cs="Arial" w:eastAsia="Arial" w:hAnsi="Arial"/>
          <w:sz w:val="17"/>
          <w:szCs w:val="17"/>
          <w:color w:val="auto"/>
        </w:rPr>
        <w:t>, (i) with respect to amounts paid in connection with the initial purchase of any Hedge Contract, such amounts shall be amortized over the life of the Hedge Contract and (ii) that payments made in connection with the termination of any Hedge Contract prior to the expiration of its stipulated settlement or termination date shall be included in Operating Expenditures in equal quarterly installments over the remaining scheduled life of such Hedge Contract) and Series A Distributions and Series B Distributions, subject to the following:</w:t>
      </w:r>
    </w:p>
    <w:p>
      <w:pPr>
        <w:spacing w:after="0" w:line="178" w:lineRule="exact"/>
        <w:rPr>
          <w:sz w:val="20"/>
          <w:szCs w:val="20"/>
          <w:color w:val="auto"/>
        </w:rPr>
      </w:pPr>
    </w:p>
    <w:p>
      <w:pPr>
        <w:ind w:left="660" w:right="380" w:firstLine="645"/>
        <w:spacing w:after="0" w:line="277" w:lineRule="auto"/>
        <w:tabs>
          <w:tab w:leader="none" w:pos="1553"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deemed repayments of Working Capital Borrowings deducted from Operating Surplus pursuant to </w:t>
      </w:r>
      <w:r>
        <w:rPr>
          <w:rFonts w:ascii="Arial" w:cs="Arial" w:eastAsia="Arial" w:hAnsi="Arial"/>
          <w:sz w:val="18"/>
          <w:szCs w:val="18"/>
          <w:u w:val="single" w:color="auto"/>
          <w:color w:val="auto"/>
        </w:rPr>
        <w:t>clause (b)(iii)</w:t>
      </w:r>
      <w:r>
        <w:rPr>
          <w:rFonts w:ascii="Arial" w:cs="Arial" w:eastAsia="Arial" w:hAnsi="Arial"/>
          <w:sz w:val="18"/>
          <w:szCs w:val="18"/>
          <w:color w:val="auto"/>
        </w:rPr>
        <w:t xml:space="preserve"> of the definition of Operating Surplus shall not constitute Operating Expenditures when actually repaid;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80" w:firstLine="645"/>
        <w:spacing w:after="0" w:line="277" w:lineRule="auto"/>
        <w:tabs>
          <w:tab w:leader="none" w:pos="1563"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payments (including prepayments and prepayment penalties) of principal of and premium on indebtedness other than Working Capital Borrowings shall not constitute Operating Expenditures; and</w:t>
      </w:r>
    </w:p>
    <w:p>
      <w:pPr>
        <w:spacing w:after="0" w:line="170" w:lineRule="exact"/>
        <w:rPr>
          <w:rFonts w:ascii="Arial" w:cs="Arial" w:eastAsia="Arial" w:hAnsi="Arial"/>
          <w:sz w:val="18"/>
          <w:szCs w:val="18"/>
          <w:color w:val="auto"/>
        </w:rPr>
      </w:pPr>
    </w:p>
    <w:p>
      <w:pPr>
        <w:ind w:left="660" w:right="60" w:firstLine="645"/>
        <w:spacing w:after="0" w:line="302" w:lineRule="auto"/>
        <w:tabs>
          <w:tab w:leader="none" w:pos="1553" w:val="left"/>
        </w:tabs>
        <w:numPr>
          <w:ilvl w:val="0"/>
          <w:numId w:val="5"/>
        </w:numPr>
        <w:rPr>
          <w:rFonts w:ascii="Arial" w:cs="Arial" w:eastAsia="Arial" w:hAnsi="Arial"/>
          <w:sz w:val="16"/>
          <w:szCs w:val="16"/>
          <w:color w:val="auto"/>
        </w:rPr>
      </w:pPr>
      <w:r>
        <w:rPr>
          <w:rFonts w:ascii="Arial" w:cs="Arial" w:eastAsia="Arial" w:hAnsi="Arial"/>
          <w:sz w:val="16"/>
          <w:szCs w:val="16"/>
          <w:color w:val="auto"/>
        </w:rPr>
        <w:t>Operating Expenditures shall not include (i) Expansion Capital Expenditures, Investment Capital Expenditures or actual Maintenance and Replacement Capital Expenditures, but shall include Estimated Maintenance and Replacement Capital Expenditures, (ii) payment of transaction expenses (including taxes) relating to Interim Capital Transactions, (iii) Series A Redemption Payments and Series B Redemption Payments, (iv) payments made to Series A Holders and Series B Holders to purchase or otherwise acquire Preference Units, or (v) distributions to Partners,</w:t>
      </w:r>
    </w:p>
    <w:p>
      <w:pPr>
        <w:spacing w:after="0" w:line="15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where capital expenditures consist of both (y) Maintenance and Replacement Capital Expenditures and (z) Expansion Capital Expenditures and/or Investment Capital Expenditures, the Board of Directors (with the concurrence of the Conflicts Committee) shall determine the allocation between the amounts paid for each.</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Operating Surplus</w:t>
      </w:r>
      <w:r>
        <w:rPr>
          <w:rFonts w:ascii="Arial" w:cs="Arial" w:eastAsia="Arial" w:hAnsi="Arial"/>
          <w:sz w:val="16"/>
          <w:szCs w:val="16"/>
          <w:color w:val="auto"/>
        </w:rPr>
        <w:t>” means, with respect to any period ending prior to the Liquidation Date, on a cumulative basis and without duplication:</w:t>
      </w:r>
    </w:p>
    <w:p>
      <w:pPr>
        <w:spacing w:after="0" w:line="248" w:lineRule="exact"/>
        <w:rPr>
          <w:sz w:val="20"/>
          <w:szCs w:val="20"/>
          <w:color w:val="auto"/>
        </w:rPr>
      </w:pPr>
    </w:p>
    <w:p>
      <w:pPr>
        <w:ind w:left="660" w:firstLine="645"/>
        <w:spacing w:after="0" w:line="288" w:lineRule="auto"/>
        <w:tabs>
          <w:tab w:leader="none" w:pos="1553"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the sum of (i) $19.0 million, (ii) all cash receipts of the Partnership Group (or the Partnership’s proportionate share of cash receipts in the case of Subsidiaries that are not wholly-owned) for the period beginning on the Closing Date and ending on the last day of such period, other than cash receipts from Interim Capital Transactions (excluding return on capital from Investment Capital Expenditures); </w:t>
      </w:r>
      <w:r>
        <w:rPr>
          <w:rFonts w:ascii="Arial" w:cs="Arial" w:eastAsia="Arial" w:hAnsi="Arial"/>
          <w:sz w:val="16"/>
          <w:szCs w:val="16"/>
          <w:i w:val="1"/>
          <w:iCs w:val="1"/>
          <w:color w:val="auto"/>
        </w:rPr>
        <w:t>provided</w:t>
      </w:r>
      <w:r>
        <w:rPr>
          <w:rFonts w:ascii="Arial" w:cs="Arial" w:eastAsia="Arial" w:hAnsi="Arial"/>
          <w:sz w:val="16"/>
          <w:szCs w:val="16"/>
          <w:color w:val="auto"/>
        </w:rPr>
        <w:t>, that cash receipts from the termination of a Hedge Contract prior to its specified termination date shall be included in Operating Surplus in equal quarterly installments over the remaining scheduled life of such Hedge Contract, (iii) all cash receipts of the Partnership Group (or the Partnership’s proportionate share of cash receipts in the case of Subsidiaries that are not wholly-owned) after the end of such period but on or before the date of determination of Operating Surplus with respect to such period resulting from Working Capital Borrowings and (iv) the amount of cash distributions paid on equity issued (including Incremental Incentive Distributions) in connection with the construction of a Capital Improvement or replacement of a capital asset and paid in respect of the period beginning on the date that the Group Member enters into a binding obligation to commence the construction of such Capital Improvement or replacement of such capital asset and ending on the earlier to occur of the date that such Capital Improvement or</w:t>
      </w:r>
    </w:p>
    <w:p>
      <w:pPr>
        <w:sectPr>
          <w:pgSz w:w="11900" w:h="16930" w:orient="portrait"/>
          <w:cols w:equalWidth="0" w:num="1">
            <w:col w:w="11400"/>
          </w:cols>
          <w:pgMar w:left="240" w:top="125" w:right="259" w:bottom="0" w:gutter="0" w:footer="0" w:header="0"/>
        </w:sectPr>
      </w:pPr>
    </w:p>
    <w:bookmarkStart w:id="11" w:name="page12"/>
    <w:bookmarkEnd w:id="11"/>
    <w:p>
      <w:pPr>
        <w:ind w:left="660" w:right="80"/>
        <w:spacing w:after="0" w:line="257" w:lineRule="auto"/>
        <w:rPr>
          <w:sz w:val="20"/>
          <w:szCs w:val="20"/>
          <w:color w:val="auto"/>
        </w:rPr>
      </w:pPr>
      <w:r>
        <w:rPr>
          <w:rFonts w:ascii="Arial" w:cs="Arial" w:eastAsia="Arial" w:hAnsi="Arial"/>
          <w:sz w:val="18"/>
          <w:szCs w:val="18"/>
          <w:color w:val="auto"/>
        </w:rPr>
        <w:t xml:space="preserve">replacement capital asset Commences Commercial Service or the date that it is abandoned or disposed of (equity issued to fund the construction period interest payments on debt incurred (including periodic net payments under related Hedge Contracts), or construction period distributions on equity issued (including Incremental Incentive Distributions), to finance the construction of a Capital Improvement or replacement of a capital asset shall also be deemed to be equity issued to finance the construction of a Capital Improvement or replacement of such capital asset for purposes of this </w:t>
      </w:r>
      <w:r>
        <w:rPr>
          <w:rFonts w:ascii="Arial" w:cs="Arial" w:eastAsia="Arial" w:hAnsi="Arial"/>
          <w:sz w:val="18"/>
          <w:szCs w:val="18"/>
          <w:u w:val="single" w:color="auto"/>
          <w:color w:val="auto"/>
        </w:rPr>
        <w:t>clause (iv)</w:t>
      </w:r>
      <w:r>
        <w:rPr>
          <w:rFonts w:ascii="Arial" w:cs="Arial" w:eastAsia="Arial" w:hAnsi="Arial"/>
          <w:sz w:val="18"/>
          <w:szCs w:val="18"/>
          <w:color w:val="auto"/>
        </w:rPr>
        <w:t>), less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firstLine="645"/>
        <w:spacing w:after="0" w:line="254" w:lineRule="auto"/>
        <w:tabs>
          <w:tab w:leader="none" w:pos="1563"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sum of (i) Operating Expenditures for the period beginning immediately after the Closing Date and ending on the last day of such period, (ii) the amount of cash reserves (or the Partnership’s proportionate share of cash reserves in the case of Subsidiaries that are not wholly-owned) established by the Board of Directors to provide funds for future Operating Expenditures, (iii) all Working Capital Borrowings not repaid within 12 months after having been incurred and (iv) any cash loss realized on disposition of an Investment Capital Expenditure;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disbursements made (including contributions to a Group Member or disbursements on behalf of a Group Member) or cash reserves established, increased or reduced after the end of such period but on or before the date of determination of Available Cash with respect to such period shall be deemed to have been made, established, increased or reduced, for purposes of determining Operating Surplus, within such period if the Board of Directors so determines.</w:t>
      </w:r>
    </w:p>
    <w:p>
      <w:pPr>
        <w:spacing w:after="0" w:line="192" w:lineRule="exact"/>
        <w:rPr>
          <w:sz w:val="20"/>
          <w:szCs w:val="20"/>
          <w:color w:val="auto"/>
        </w:rPr>
      </w:pPr>
    </w:p>
    <w:p>
      <w:pPr>
        <w:jc w:val="both"/>
        <w:ind w:right="160" w:firstLine="1297"/>
        <w:spacing w:after="0" w:line="264" w:lineRule="auto"/>
        <w:rPr>
          <w:sz w:val="20"/>
          <w:szCs w:val="20"/>
          <w:color w:val="auto"/>
        </w:rPr>
      </w:pPr>
      <w:r>
        <w:rPr>
          <w:rFonts w:ascii="Arial" w:cs="Arial" w:eastAsia="Arial" w:hAnsi="Arial"/>
          <w:sz w:val="18"/>
          <w:szCs w:val="18"/>
          <w:color w:val="auto"/>
        </w:rPr>
        <w:t>Notwithstanding the foregoing, “</w:t>
      </w:r>
      <w:r>
        <w:rPr>
          <w:rFonts w:ascii="Arial" w:cs="Arial" w:eastAsia="Arial" w:hAnsi="Arial"/>
          <w:sz w:val="18"/>
          <w:szCs w:val="18"/>
          <w:i w:val="1"/>
          <w:iCs w:val="1"/>
          <w:color w:val="auto"/>
        </w:rPr>
        <w:t>Operating Surplus</w:t>
      </w:r>
      <w:r>
        <w:rPr>
          <w:rFonts w:ascii="Arial" w:cs="Arial" w:eastAsia="Arial" w:hAnsi="Arial"/>
          <w:sz w:val="18"/>
          <w:szCs w:val="18"/>
          <w:color w:val="auto"/>
        </w:rPr>
        <w:t>” with respect to the Quarter in which the Liquidation Date occurs and any subsequent Quarter shall equal zero. Cash receipts from Investment Capital Expenditures shall be treated as cash receipts only to the extent they are a return on capital, but in no event shall a return of capital be treated as cash receipts.</w:t>
      </w:r>
    </w:p>
    <w:p>
      <w:pPr>
        <w:spacing w:after="0" w:line="181"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Opinion of Counsel</w:t>
      </w:r>
      <w:r>
        <w:rPr>
          <w:rFonts w:ascii="Arial" w:cs="Arial" w:eastAsia="Arial" w:hAnsi="Arial"/>
          <w:sz w:val="18"/>
          <w:szCs w:val="18"/>
          <w:color w:val="auto"/>
        </w:rPr>
        <w:t>” means a written opinion of counsel (who may be regular counsel to the Partnership or the General Partner or any of its Affiliates) acceptable to the Board of Directors.</w:t>
      </w:r>
    </w:p>
    <w:p>
      <w:pPr>
        <w:spacing w:after="0" w:line="170"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 Closing Date</w:t>
      </w:r>
      <w:r>
        <w:rPr>
          <w:rFonts w:ascii="Arial" w:cs="Arial" w:eastAsia="Arial" w:hAnsi="Arial"/>
          <w:sz w:val="18"/>
          <w:szCs w:val="18"/>
          <w:color w:val="auto"/>
        </w:rPr>
        <w:t>” means the date or dates on which any Common Units are sold by the Partnership to the Underwriters upon the exercise of the Over-Allotment Option.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Organizational Limited Partner</w:t>
      </w:r>
      <w:r>
        <w:rPr>
          <w:rFonts w:ascii="Arial" w:cs="Arial" w:eastAsia="Arial" w:hAnsi="Arial"/>
          <w:sz w:val="18"/>
          <w:szCs w:val="18"/>
          <w:color w:val="auto"/>
        </w:rPr>
        <w:t>” means GasLog Ltd., in its capacity as the organizational limited partner of the Partnership.</w:t>
      </w:r>
    </w:p>
    <w:p>
      <w:pPr>
        <w:spacing w:after="0" w:line="225" w:lineRule="exact"/>
        <w:rPr>
          <w:sz w:val="20"/>
          <w:szCs w:val="20"/>
          <w:color w:val="auto"/>
        </w:rPr>
      </w:pPr>
    </w:p>
    <w:p>
      <w:pPr>
        <w:ind w:right="20" w:firstLine="1297"/>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Outstanding</w:t>
      </w:r>
      <w:r>
        <w:rPr>
          <w:rFonts w:ascii="Arial" w:cs="Arial" w:eastAsia="Arial" w:hAnsi="Arial"/>
          <w:sz w:val="17"/>
          <w:szCs w:val="17"/>
          <w:color w:val="auto"/>
        </w:rPr>
        <w:t xml:space="preserve">” means, with respect to Partnership Interests, all Partnership Interests that are issued by the Partnership and reflected as outstanding on the Partnership’s books and records as of the date of determination;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at any time any Person or Group beneficially owns more than 4.9% of the Outstanding Partnership Interests of any class or series then Outstanding (or would own such percentage in the event this limitation were applied to other Persons or Groups), all Partnership Interests owned by such Person or Group in excess of such limitation shall not be voted on any matter and shall not be considered to be Outstanding when sending notices of a meeting of Limited Partners to vote on any matter (unless otherwise required by law), calculating required votes (except for purposes of nominating a Person for election to the Board of Directors pursuant to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determining the presence of a quorum or for other similar purposes under this Agreement, except that Partnership Interests so owned shall be considered to be Outstanding for purposes of </w:t>
      </w:r>
      <w:r>
        <w:rPr>
          <w:rFonts w:ascii="Arial" w:cs="Arial" w:eastAsia="Arial" w:hAnsi="Arial"/>
          <w:sz w:val="17"/>
          <w:szCs w:val="17"/>
          <w:u w:val="single" w:color="auto"/>
          <w:color w:val="auto"/>
        </w:rPr>
        <w:t>Section 11.1(b)(iv)</w:t>
      </w:r>
      <w:r>
        <w:rPr>
          <w:rFonts w:ascii="Arial" w:cs="Arial" w:eastAsia="Arial" w:hAnsi="Arial"/>
          <w:sz w:val="17"/>
          <w:szCs w:val="17"/>
          <w:color w:val="auto"/>
        </w:rPr>
        <w:t xml:space="preserve"> (such Partnership Interests shall not, however, be treated as a separate class or series of Partnership Interests for purposes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the foregoing limitation shall not apply to (a) the General Partner or its Affiliates, (b) any Person or Group who acquired more than 4.9% of any Partnership Interests with the prior approval of the Board of Directors after considering the potential effects of such approval on the Partnership, except, in each case, such</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limitation shall remain applicable with respect to the voting of Common Units in the election of the Elected Directors as provided in </w:t>
      </w:r>
      <w:r>
        <w:rPr>
          <w:rFonts w:ascii="Arial" w:cs="Arial" w:eastAsia="Arial" w:hAnsi="Arial"/>
          <w:sz w:val="18"/>
          <w:szCs w:val="18"/>
          <w:u w:val="single" w:color="auto"/>
          <w:color w:val="auto"/>
        </w:rPr>
        <w:t>Section 7.2(a)(ii)</w:t>
      </w:r>
      <w:r>
        <w:rPr>
          <w:rFonts w:ascii="Arial" w:cs="Arial" w:eastAsia="Arial" w:hAnsi="Arial"/>
          <w:sz w:val="18"/>
          <w:szCs w:val="18"/>
          <w:color w:val="auto"/>
        </w:rPr>
        <w:t>, or (c) with respect to any voting rights thereof, Preference Units.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Over-Allotment Option</w:t>
      </w:r>
      <w:r>
        <w:rPr>
          <w:rFonts w:ascii="Arial" w:cs="Arial" w:eastAsia="Arial" w:hAnsi="Arial"/>
          <w:sz w:val="17"/>
          <w:szCs w:val="17"/>
          <w:color w:val="auto"/>
        </w:rPr>
        <w:t>” means the over-allotment option granted to the Underwriters pursuant to the Underwriting Agreement.</w:t>
      </w:r>
    </w:p>
    <w:p>
      <w:pPr>
        <w:spacing w:after="0" w:line="237" w:lineRule="exact"/>
        <w:rPr>
          <w:sz w:val="20"/>
          <w:szCs w:val="20"/>
          <w:color w:val="auto"/>
        </w:rPr>
      </w:pPr>
    </w:p>
    <w:p>
      <w:pPr>
        <w:jc w:val="both"/>
        <w:ind w:right="20"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Parity Securities</w:t>
      </w:r>
      <w:r>
        <w:rPr>
          <w:rFonts w:ascii="Arial" w:cs="Arial" w:eastAsia="Arial" w:hAnsi="Arial"/>
          <w:sz w:val="16"/>
          <w:szCs w:val="16"/>
          <w:color w:val="auto"/>
        </w:rPr>
        <w:t xml:space="preserve">” means the Series A Preference Units, the Series B Preference Units and any other class or series of Partnership Interests established after May 15, 2017 by the General Partner, the terms of which class or series expressly provide that it ranks on parity with the Series A Preference Units and the Series B Preference Units as to distributions and amounts payable upon a dissolution or liquidation pursuant to </w:t>
      </w:r>
      <w:r>
        <w:rPr>
          <w:rFonts w:ascii="Arial" w:cs="Arial" w:eastAsia="Arial" w:hAnsi="Arial"/>
          <w:sz w:val="16"/>
          <w:szCs w:val="16"/>
          <w:u w:val="single" w:color="auto"/>
          <w:color w:val="auto"/>
        </w:rPr>
        <w:t>Article XII</w:t>
      </w:r>
      <w:r>
        <w:rPr>
          <w:rFonts w:ascii="Arial" w:cs="Arial" w:eastAsia="Arial" w:hAnsi="Arial"/>
          <w:sz w:val="16"/>
          <w:szCs w:val="16"/>
          <w:color w:val="auto"/>
        </w:rPr>
        <w:t>.</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w:t>
      </w:r>
      <w:r>
        <w:rPr>
          <w:rFonts w:ascii="Arial" w:cs="Arial" w:eastAsia="Arial" w:hAnsi="Arial"/>
          <w:sz w:val="18"/>
          <w:szCs w:val="18"/>
          <w:color w:val="auto"/>
        </w:rPr>
        <w:t>” means the General Partner and the Limited Partners.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Partnership</w:t>
      </w:r>
      <w:r>
        <w:rPr>
          <w:rFonts w:ascii="Arial" w:cs="Arial" w:eastAsia="Arial" w:hAnsi="Arial"/>
          <w:sz w:val="18"/>
          <w:szCs w:val="18"/>
          <w:color w:val="auto"/>
        </w:rPr>
        <w:t>” means GasLog Partners LP, a Marshall Islands limited partnership, and any successors thereto.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Partnership Group</w:t>
      </w:r>
      <w:r>
        <w:rPr>
          <w:rFonts w:ascii="Arial" w:cs="Arial" w:eastAsia="Arial" w:hAnsi="Arial"/>
          <w:sz w:val="16"/>
          <w:szCs w:val="16"/>
          <w:color w:val="auto"/>
        </w:rPr>
        <w:t>” means the Partnership and its Subsidiaries, including the Operating Company, treated as a single consolidated entity.</w:t>
      </w:r>
    </w:p>
    <w:p>
      <w:pPr>
        <w:spacing w:after="0" w:line="248"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Partnership Interest</w:t>
      </w:r>
      <w:r>
        <w:rPr>
          <w:rFonts w:ascii="Arial" w:cs="Arial" w:eastAsia="Arial" w:hAnsi="Arial"/>
          <w:sz w:val="18"/>
          <w:szCs w:val="18"/>
          <w:color w:val="auto"/>
        </w:rPr>
        <w:t>” means any class or series of equity interest in the Partnership (but excluding any options, rights, warrants, restricted units and appreciation rights relating to an equity interest in the Partnership), including Common Units, Preference Units, General Partner Units and Incentive Distribution Rights.</w:t>
      </w:r>
    </w:p>
    <w:p>
      <w:pPr>
        <w:spacing w:after="0" w:line="181"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Paying Agent</w:t>
      </w:r>
      <w:r>
        <w:rPr>
          <w:rFonts w:ascii="Arial" w:cs="Arial" w:eastAsia="Arial" w:hAnsi="Arial"/>
          <w:sz w:val="18"/>
          <w:szCs w:val="18"/>
          <w:color w:val="auto"/>
        </w:rPr>
        <w:t xml:space="preserve">” means American Stock Transfer &amp; Trust Company, LLC, acting in its capacity as paying agent for the Series A Preference Units and the Series B Preference Units, and its respective successors and assigns or any other payment agent appointed by the Board of Directors;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no Paying Agent is specifically designated for the Series A Preference Units or the Series B Preference Units, the Partnership shall act in such</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w:t>
      </w:r>
    </w:p>
    <w:p>
      <w:pPr>
        <w:spacing w:after="0" w:line="187" w:lineRule="exact"/>
        <w:rPr>
          <w:sz w:val="20"/>
          <w:szCs w:val="20"/>
          <w:color w:val="auto"/>
        </w:rPr>
      </w:pPr>
    </w:p>
    <w:p>
      <w:pPr>
        <w:ind w:right="140"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Percentage Interest</w:t>
      </w:r>
      <w:r>
        <w:rPr>
          <w:rFonts w:ascii="Arial" w:cs="Arial" w:eastAsia="Arial" w:hAnsi="Arial"/>
          <w:sz w:val="16"/>
          <w:szCs w:val="16"/>
          <w:color w:val="auto"/>
        </w:rPr>
        <w:t xml:space="preserve">” means as of any date of determination (a) as to the General Partner with respect to General Partner Units and as to any Unitholder with respect to Units (other than Preference Units), the product obtained by multiplying (i) 100% less the percentage applicable to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below by (ii) the quotient obtained by dividing (A) the number of Units (other than Preference Units) held by such Unitholder or the number of General Partner Units held by the General Partner, as the case may be, by (B) the total number of all Outstanding Units (other than Preference Units) and General</w:t>
      </w:r>
    </w:p>
    <w:p>
      <w:pPr>
        <w:sectPr>
          <w:pgSz w:w="11900" w:h="16838" w:orient="portrait"/>
          <w:cols w:equalWidth="0" w:num="1">
            <w:col w:w="11400"/>
          </w:cols>
          <w:pgMar w:left="240" w:top="125" w:right="259" w:bottom="0" w:gutter="0" w:footer="0" w:header="0"/>
        </w:sectPr>
      </w:pPr>
    </w:p>
    <w:bookmarkStart w:id="12" w:name="page13"/>
    <w:bookmarkEnd w:id="12"/>
    <w:p>
      <w:pPr>
        <w:spacing w:after="0" w:line="7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 xml:space="preserve">Partner Units, and (b) as to the holders of other Partnership Interests issued by the Partnership in accordance with </w:t>
      </w:r>
      <w:r>
        <w:rPr>
          <w:rFonts w:ascii="Arial" w:cs="Arial" w:eastAsia="Arial" w:hAnsi="Arial"/>
          <w:sz w:val="16"/>
          <w:szCs w:val="16"/>
          <w:u w:val="single" w:color="auto"/>
          <w:color w:val="auto"/>
        </w:rPr>
        <w:t>Section 5.4</w:t>
      </w:r>
      <w:r>
        <w:rPr>
          <w:rFonts w:ascii="Arial" w:cs="Arial" w:eastAsia="Arial" w:hAnsi="Arial"/>
          <w:sz w:val="16"/>
          <w:szCs w:val="16"/>
          <w:color w:val="auto"/>
        </w:rPr>
        <w:t>, the percentage established as a part of such issuance. The Percentage Interest with respect to an Incentive Distribution Right and to a Preference Unit shall at all times be zero.</w:t>
      </w:r>
    </w:p>
    <w:p>
      <w:pPr>
        <w:spacing w:after="0" w:line="124" w:lineRule="exact"/>
        <w:rPr>
          <w:sz w:val="20"/>
          <w:szCs w:val="20"/>
          <w:color w:val="auto"/>
        </w:rPr>
      </w:pPr>
    </w:p>
    <w:p>
      <w:pPr>
        <w:ind w:right="9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 individual or a corporation, firm, limited liability company, partnership, joint venture, trust, unincorporated organization, association, governmental agency or political subdivision thereof or other entity.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 of Conversion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14.1</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 xml:space="preserve">“Preference Distributions” </w:t>
      </w:r>
      <w:r>
        <w:rPr>
          <w:rFonts w:ascii="Arial" w:cs="Arial" w:eastAsia="Arial" w:hAnsi="Arial"/>
          <w:sz w:val="18"/>
          <w:szCs w:val="18"/>
          <w:color w:val="auto"/>
        </w:rPr>
        <w:t>means the Series A Distributions or Series B Distributions, as applicable.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b w:val="1"/>
          <w:bCs w:val="1"/>
          <w:i w:val="1"/>
          <w:iCs w:val="1"/>
          <w:color w:val="auto"/>
        </w:rPr>
        <w:t xml:space="preserve">“Preference Distribution Payment Date” </w:t>
      </w:r>
      <w:r>
        <w:rPr>
          <w:rFonts w:ascii="Arial" w:cs="Arial" w:eastAsia="Arial" w:hAnsi="Arial"/>
          <w:sz w:val="16"/>
          <w:szCs w:val="16"/>
          <w:color w:val="auto"/>
        </w:rPr>
        <w:t>means the Series A Distribution Payment Date or the Series B Distribution Payment Date,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 xml:space="preserve">“Preference Distribution Period” </w:t>
      </w:r>
      <w:r>
        <w:rPr>
          <w:rFonts w:ascii="Arial" w:cs="Arial" w:eastAsia="Arial" w:hAnsi="Arial"/>
          <w:sz w:val="18"/>
          <w:szCs w:val="18"/>
          <w:color w:val="auto"/>
        </w:rPr>
        <w:t>means the Series A Distribution Period or the Series B Distribution Period, as applicable.</w:t>
      </w:r>
    </w:p>
    <w:p>
      <w:pPr>
        <w:spacing w:after="0" w:line="225"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Preference Units</w:t>
      </w:r>
      <w:r>
        <w:rPr>
          <w:rFonts w:ascii="Arial" w:cs="Arial" w:eastAsia="Arial" w:hAnsi="Arial"/>
          <w:sz w:val="18"/>
          <w:szCs w:val="18"/>
          <w:color w:val="auto"/>
        </w:rPr>
        <w:t>” means a Partnership Interest, designated as a “</w:t>
      </w:r>
      <w:r>
        <w:rPr>
          <w:rFonts w:ascii="Arial" w:cs="Arial" w:eastAsia="Arial" w:hAnsi="Arial"/>
          <w:sz w:val="18"/>
          <w:szCs w:val="18"/>
          <w:b w:val="1"/>
          <w:bCs w:val="1"/>
          <w:i w:val="1"/>
          <w:iCs w:val="1"/>
          <w:color w:val="auto"/>
        </w:rPr>
        <w:t>Preference Unit</w:t>
      </w:r>
      <w:r>
        <w:rPr>
          <w:rFonts w:ascii="Arial" w:cs="Arial" w:eastAsia="Arial" w:hAnsi="Arial"/>
          <w:sz w:val="18"/>
          <w:szCs w:val="18"/>
          <w:color w:val="auto"/>
        </w:rPr>
        <w:t>,” including the Series A Preference Units and the Series B Preference Units, which entitles the holder thereof to a preference with respect to distributions, or as to the distribution of assets upon any Liquidation Event, over Common Units.</w:t>
      </w:r>
    </w:p>
    <w:p>
      <w:pPr>
        <w:spacing w:after="0" w:line="181" w:lineRule="exact"/>
        <w:rPr>
          <w:sz w:val="20"/>
          <w:szCs w:val="20"/>
          <w:color w:val="auto"/>
        </w:rPr>
      </w:pPr>
    </w:p>
    <w:p>
      <w:pPr>
        <w:ind w:right="120"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 Rata</w:t>
      </w:r>
      <w:r>
        <w:rPr>
          <w:rFonts w:ascii="Arial" w:cs="Arial" w:eastAsia="Arial" w:hAnsi="Arial"/>
          <w:sz w:val="17"/>
          <w:szCs w:val="17"/>
          <w:color w:val="auto"/>
        </w:rPr>
        <w:t>” means (a) when used with respect to Units (other than Preference Units) or any class or series thereof, apportioned equally among all designated Units (other than Preference Units) in accordance with their relative Percentage Interests, (b) when used with respect to Partners or Record Holders, apportioned among all Partners or Record Holders in accordance with their relative Percentage Interests and (c) when used with respect to holders of Incentive Distribution Rights or Preference Units (or a particular series thereof), apportioned equally among all holders of Incentive Distribution Rights or Preference Units (or such series thereof) in accordance with the relative number or percentage of Incentive Distribution Rights or Preference Units (or such series thereof), as applicable, held by each such holder.</w:t>
      </w:r>
    </w:p>
    <w:p>
      <w:pPr>
        <w:spacing w:after="0" w:line="178" w:lineRule="exact"/>
        <w:rPr>
          <w:sz w:val="20"/>
          <w:szCs w:val="20"/>
          <w:color w:val="auto"/>
        </w:rPr>
      </w:pPr>
    </w:p>
    <w:p>
      <w:pPr>
        <w:ind w:right="8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Purchase Date</w:t>
      </w:r>
      <w:r>
        <w:rPr>
          <w:rFonts w:ascii="Arial" w:cs="Arial" w:eastAsia="Arial" w:hAnsi="Arial"/>
          <w:sz w:val="17"/>
          <w:szCs w:val="17"/>
          <w:color w:val="auto"/>
        </w:rPr>
        <w:t xml:space="preserve">” means the date determined by the General Partner as the date for purchase of all Outstanding Limited Partner Interests of a certain class or series (other than Limited Partner Interests owned by the General Partner and its Affiliates) pursuant to </w:t>
      </w:r>
      <w:r>
        <w:rPr>
          <w:rFonts w:ascii="Arial" w:cs="Arial" w:eastAsia="Arial" w:hAnsi="Arial"/>
          <w:sz w:val="17"/>
          <w:szCs w:val="17"/>
          <w:u w:val="single" w:color="auto"/>
          <w:color w:val="auto"/>
        </w:rPr>
        <w:t>Article XV</w:t>
      </w:r>
      <w:r>
        <w:rPr>
          <w:rFonts w:ascii="Arial" w:cs="Arial" w:eastAsia="Arial" w:hAnsi="Arial"/>
          <w:sz w:val="17"/>
          <w:szCs w:val="17"/>
          <w:color w:val="auto"/>
        </w:rPr>
        <w:t>.</w:t>
      </w:r>
    </w:p>
    <w:p>
      <w:pPr>
        <w:spacing w:after="0" w:line="147"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Quarter</w:t>
      </w:r>
      <w:r>
        <w:rPr>
          <w:rFonts w:ascii="Arial" w:cs="Arial" w:eastAsia="Arial" w:hAnsi="Arial"/>
          <w:sz w:val="18"/>
          <w:szCs w:val="18"/>
          <w:color w:val="auto"/>
        </w:rPr>
        <w:t>” means, unless the context requires otherwise, a fiscal quarter, or, with respect to the first fiscal quarter including the Closing Date, the portion of such fiscal quarter after the Closing Date, of the Partnership.</w:t>
      </w:r>
    </w:p>
    <w:p>
      <w:pPr>
        <w:spacing w:after="0" w:line="170"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Record Date</w:t>
      </w:r>
      <w:r>
        <w:rPr>
          <w:rFonts w:ascii="Arial" w:cs="Arial" w:eastAsia="Arial" w:hAnsi="Arial"/>
          <w:sz w:val="18"/>
          <w:szCs w:val="18"/>
          <w:color w:val="auto"/>
        </w:rPr>
        <w:t>” means the date established by the Board of Directors or otherwise in accordance with this Agreement for determining (a) the identity of the Record Holders entitled to notice of, or to vote at, any meeting of Limited Partners or entitled to vote by ballot or give approval of Partnership action in writing without a meeting or entitled to exercise rights in respect of any lawful action of Limited Partners or (b) the identity of Record Holders entitled to receive any report or distribution or to participate in any offer.</w:t>
      </w:r>
    </w:p>
    <w:p>
      <w:pPr>
        <w:spacing w:after="0" w:line="187"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Record Holder</w:t>
      </w:r>
      <w:r>
        <w:rPr>
          <w:rFonts w:ascii="Arial" w:cs="Arial" w:eastAsia="Arial" w:hAnsi="Arial"/>
          <w:sz w:val="16"/>
          <w:szCs w:val="16"/>
          <w:color w:val="auto"/>
        </w:rPr>
        <w:t xml:space="preserve">” means (a) the Person in whose name a Common Unit is registered on the books of the Transfer Agent as of the opening of business on a particular Business Day, (b) the Person in whose name a Preference Unit is registered on the books of the Transfer Agent as of, unless otherwise set forth in </w:t>
      </w:r>
      <w:r>
        <w:rPr>
          <w:rFonts w:ascii="Arial" w:cs="Arial" w:eastAsia="Arial" w:hAnsi="Arial"/>
          <w:sz w:val="16"/>
          <w:szCs w:val="16"/>
          <w:u w:val="single" w:color="auto"/>
          <w:color w:val="auto"/>
        </w:rPr>
        <w:t>Article XVI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XVII</w:t>
      </w:r>
      <w:r>
        <w:rPr>
          <w:rFonts w:ascii="Arial" w:cs="Arial" w:eastAsia="Arial" w:hAnsi="Arial"/>
          <w:sz w:val="16"/>
          <w:szCs w:val="16"/>
          <w:color w:val="auto"/>
        </w:rPr>
        <w:t>, the opening of business on a particular Business Day or (c) with respect to other Partnership Interests,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Person in whose name any such other Partnership Interest is registered on the books that the Board of Directors has caused to be kept as of the opening of business on such Business Day (which books may be kept, at the Board of Directors’ option, by the Transfer Agent).</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means the Partnership’s Registration Statement on Form F-1 (Registration No. 333-195109) as it has been or as it may be amended or supplemented from time to time, filed by the Partnership with the Commission under the Securities Act to register the offering and sale of the Common Units in the Initial Offering.</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Reset MQD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5.9(e)</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Reset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5.9(b)</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Reuters Page LIBOR01</w:t>
      </w:r>
      <w:r>
        <w:rPr>
          <w:rFonts w:ascii="Arial" w:cs="Arial" w:eastAsia="Arial" w:hAnsi="Arial"/>
          <w:sz w:val="18"/>
          <w:szCs w:val="18"/>
          <w:color w:val="auto"/>
        </w:rPr>
        <w:t>” means the display so designated on the Reuters 3000 Xtra (or such other page as may replace the LIBOR01 page on that service, or such other service as may be nominated by ICE, or its successor, or such other entity assuming the responsibility of ICE or its successor in the event ICE or its successor no longer does so, as the successor service, for the purpose of displaying London interbank offered rates for U.S. dollar deposits).</w:t>
      </w:r>
    </w:p>
    <w:p>
      <w:pPr>
        <w:spacing w:after="0" w:line="187"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Second Target Distribution</w:t>
      </w:r>
      <w:r>
        <w:rPr>
          <w:rFonts w:ascii="Arial" w:cs="Arial" w:eastAsia="Arial" w:hAnsi="Arial"/>
          <w:sz w:val="18"/>
          <w:szCs w:val="18"/>
          <w:color w:val="auto"/>
        </w:rPr>
        <w:t xml:space="preserve">” means $0.46875 per Unit per Quarter (or, with respect to the period commencing on the Closing Date and ending on June 30, 2014, it means the product of $0.46875 multiplied by a fraction of which the numerator is equal to the number of days in such period and of which the denominator is the total number of days in the Quarter in which the Closing Date occurs), subject to adjustment in accordance with </w:t>
      </w:r>
      <w:r>
        <w:rPr>
          <w:rFonts w:ascii="Arial" w:cs="Arial" w:eastAsia="Arial" w:hAnsi="Arial"/>
          <w:sz w:val="18"/>
          <w:szCs w:val="18"/>
          <w:u w:val="single" w:color="auto"/>
          <w:color w:val="auto"/>
        </w:rPr>
        <w:t>Section 5.9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6.5</w:t>
      </w:r>
      <w:r>
        <w:rPr>
          <w:rFonts w:ascii="Arial" w:cs="Arial" w:eastAsia="Arial" w:hAnsi="Arial"/>
          <w:sz w:val="18"/>
          <w:szCs w:val="18"/>
          <w:color w:val="auto"/>
        </w:rPr>
        <w: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means the Securities Act of 1933, as amended, supplemented or restated from time to time and any successor to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statute.</w:t>
      </w:r>
    </w:p>
    <w:p>
      <w:pPr>
        <w:spacing w:after="0" w:line="211" w:lineRule="exact"/>
        <w:rPr>
          <w:sz w:val="20"/>
          <w:szCs w:val="20"/>
          <w:color w:val="auto"/>
        </w:rPr>
      </w:pPr>
    </w:p>
    <w:p>
      <w:pPr>
        <w:jc w:val="both"/>
        <w:ind w:right="2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Senior Securities</w:t>
      </w:r>
      <w:r>
        <w:rPr>
          <w:rFonts w:ascii="Arial" w:cs="Arial" w:eastAsia="Arial" w:hAnsi="Arial"/>
          <w:sz w:val="18"/>
          <w:szCs w:val="18"/>
          <w:color w:val="auto"/>
        </w:rPr>
        <w:t xml:space="preserve">” means any class or series of Partnership Interests established after May 15, 2017 by the General Partner, the terms of which class or series expressly provide that it ranks senior to the Series A Preference Units and Series B Preference Units as to the right to distributions of cash or property or distributions upon any dissolution or liquidation pursuant to </w:t>
      </w:r>
      <w:r>
        <w:rPr>
          <w:rFonts w:ascii="Arial" w:cs="Arial" w:eastAsia="Arial" w:hAnsi="Arial"/>
          <w:sz w:val="18"/>
          <w:szCs w:val="18"/>
          <w:u w:val="single" w:color="auto"/>
          <w:color w:val="auto"/>
        </w:rPr>
        <w:t>Article XII</w:t>
      </w:r>
      <w:r>
        <w:rPr>
          <w:rFonts w:ascii="Arial" w:cs="Arial" w:eastAsia="Arial" w:hAnsi="Arial"/>
          <w:sz w:val="18"/>
          <w:szCs w:val="18"/>
          <w:color w:val="auto"/>
        </w:rPr>
        <w:t>.</w:t>
      </w:r>
    </w:p>
    <w:p>
      <w:pPr>
        <w:sectPr>
          <w:pgSz w:w="11900" w:h="16918" w:orient="portrait"/>
          <w:cols w:equalWidth="0" w:num="1">
            <w:col w:w="11400"/>
          </w:cols>
          <w:pgMar w:left="240" w:top="125" w:right="259" w:bottom="0" w:gutter="0" w:footer="0" w:header="0"/>
        </w:sectPr>
      </w:pPr>
    </w:p>
    <w:bookmarkStart w:id="13" w:name="page14"/>
    <w:bookmarkEnd w:id="13"/>
    <w:p>
      <w:pPr>
        <w:ind w:right="1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A Distribution Determination Date</w:t>
      </w:r>
      <w:r>
        <w:rPr>
          <w:rFonts w:ascii="Arial" w:cs="Arial" w:eastAsia="Arial" w:hAnsi="Arial"/>
          <w:sz w:val="18"/>
          <w:szCs w:val="18"/>
          <w:color w:val="auto"/>
        </w:rPr>
        <w:t>” means the London Business Day immediately preceding the first date of the applicable Series A Distribution Period.</w:t>
      </w:r>
    </w:p>
    <w:p>
      <w:pPr>
        <w:spacing w:after="0" w:line="170"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A Distribution Payment Date</w:t>
      </w:r>
      <w:r>
        <w:rPr>
          <w:rFonts w:ascii="Arial" w:cs="Arial" w:eastAsia="Arial" w:hAnsi="Arial"/>
          <w:sz w:val="18"/>
          <w:szCs w:val="18"/>
          <w:color w:val="auto"/>
        </w:rPr>
        <w:t xml:space="preserve">” means each March 15, June 15, September 15 and December 15, commencing September 15, 2017; </w:t>
      </w:r>
      <w:r>
        <w:rPr>
          <w:rFonts w:ascii="Arial" w:cs="Arial" w:eastAsia="Arial" w:hAnsi="Arial"/>
          <w:sz w:val="18"/>
          <w:szCs w:val="18"/>
          <w:i w:val="1"/>
          <w:iCs w:val="1"/>
          <w:color w:val="auto"/>
        </w:rPr>
        <w:t>provided</w:t>
      </w:r>
      <w:r>
        <w:rPr>
          <w:rFonts w:ascii="Arial" w:cs="Arial" w:eastAsia="Arial" w:hAnsi="Arial"/>
          <w:sz w:val="18"/>
          <w:szCs w:val="18"/>
          <w:color w:val="auto"/>
        </w:rPr>
        <w:t>, however, that if any Series A Distribution Payment Date would otherwise occur on a day that is not a Business Day, such Series A Distribution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Date shall instead be on the immediately succeeding Business Day.</w:t>
      </w:r>
    </w:p>
    <w:p>
      <w:pPr>
        <w:spacing w:after="0" w:line="181"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A Distribution Period</w:t>
      </w:r>
      <w:r>
        <w:rPr>
          <w:rFonts w:ascii="Arial" w:cs="Arial" w:eastAsia="Arial" w:hAnsi="Arial"/>
          <w:sz w:val="18"/>
          <w:szCs w:val="18"/>
          <w:color w:val="auto"/>
        </w:rPr>
        <w:t>” means a period of time from and including the preceding Series A Distribution Payment Date (other than the initial Series A Distribution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Period, which shall commence on and include the Series A Original Issue Date) to, but excluding, the next Series A Distribution Payment Date for such Series A Distribution Period.</w:t>
      </w:r>
    </w:p>
    <w:p>
      <w:pPr>
        <w:spacing w:after="0" w:line="170" w:lineRule="exact"/>
        <w:rPr>
          <w:sz w:val="20"/>
          <w:szCs w:val="20"/>
          <w:color w:val="auto"/>
        </w:rPr>
      </w:pPr>
    </w:p>
    <w:p>
      <w:pPr>
        <w:ind w:right="140"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Series A Distribution Rate</w:t>
      </w:r>
      <w:r>
        <w:rPr>
          <w:rFonts w:ascii="Arial" w:cs="Arial" w:eastAsia="Arial" w:hAnsi="Arial"/>
          <w:sz w:val="17"/>
          <w:szCs w:val="17"/>
          <w:color w:val="auto"/>
        </w:rPr>
        <w:t>” means, with respect to the Series A Fixed Rate Period, a rate equal to 8.625% per annum of the Stated Series A Liquidation Preference per Series A Preference Unit and, with respect to the Series A Floating Rate Period, a floating rate equal to the Series A Three-Month LIBOR Rate plus a spread of 6.31% per annum of the stated Series A Liquidation Preference per Series A Preference Unit.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A Distribution Record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16.3(c)</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A Distributions</w:t>
      </w:r>
      <w:r>
        <w:rPr>
          <w:rFonts w:ascii="Arial" w:cs="Arial" w:eastAsia="Arial" w:hAnsi="Arial"/>
          <w:sz w:val="18"/>
          <w:szCs w:val="18"/>
          <w:color w:val="auto"/>
        </w:rPr>
        <w:t xml:space="preserve">” means distributions with respect to Series A Preference Units pursuant to </w:t>
      </w:r>
      <w:r>
        <w:rPr>
          <w:rFonts w:ascii="Arial" w:cs="Arial" w:eastAsia="Arial" w:hAnsi="Arial"/>
          <w:sz w:val="18"/>
          <w:szCs w:val="18"/>
          <w:u w:val="single" w:color="auto"/>
          <w:color w:val="auto"/>
        </w:rPr>
        <w:t>Section 16.3</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Series A Fixed Rate Period</w:t>
      </w:r>
      <w:r>
        <w:rPr>
          <w:rFonts w:ascii="Arial" w:cs="Arial" w:eastAsia="Arial" w:hAnsi="Arial"/>
          <w:sz w:val="17"/>
          <w:szCs w:val="17"/>
          <w:color w:val="auto"/>
        </w:rPr>
        <w:t>” means the period from and including the Series A Original Issue Date to, but excluding June 15, 2027.</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A Floating Rate Period</w:t>
      </w:r>
      <w:r>
        <w:rPr>
          <w:rFonts w:ascii="Arial" w:cs="Arial" w:eastAsia="Arial" w:hAnsi="Arial"/>
          <w:sz w:val="18"/>
          <w:szCs w:val="18"/>
          <w:color w:val="auto"/>
        </w:rPr>
        <w:t>” means the period from and including June 15, 2027.</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A Holder</w:t>
      </w:r>
      <w:r>
        <w:rPr>
          <w:rFonts w:ascii="Arial" w:cs="Arial" w:eastAsia="Arial" w:hAnsi="Arial"/>
          <w:sz w:val="18"/>
          <w:szCs w:val="18"/>
          <w:color w:val="auto"/>
        </w:rPr>
        <w:t>” means a Record Holder of the Series A Preference Units.</w:t>
      </w:r>
    </w:p>
    <w:p>
      <w:pPr>
        <w:spacing w:after="0" w:line="225" w:lineRule="exact"/>
        <w:rPr>
          <w:sz w:val="20"/>
          <w:szCs w:val="20"/>
          <w:color w:val="auto"/>
        </w:rPr>
      </w:pPr>
    </w:p>
    <w:p>
      <w:pPr>
        <w:ind w:right="20"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Series A Liquidation Preference</w:t>
      </w:r>
      <w:r>
        <w:rPr>
          <w:rFonts w:ascii="Arial" w:cs="Arial" w:eastAsia="Arial" w:hAnsi="Arial"/>
          <w:sz w:val="17"/>
          <w:szCs w:val="17"/>
          <w:color w:val="auto"/>
        </w:rPr>
        <w:t xml:space="preserve">” means a liquidation preference for each Series A Preference Unit initially equal to $25.00 per unit, which liquidation preference shall be subject to (a) increase by the per Series A Preference Unit amount of any accumulated and unpaid distributions (whether or not such distributions shall have been declared) and (b) decrease upon a distribution in connection with a Liquidation Event described in </w:t>
      </w:r>
      <w:r>
        <w:rPr>
          <w:rFonts w:ascii="Arial" w:cs="Arial" w:eastAsia="Arial" w:hAnsi="Arial"/>
          <w:sz w:val="17"/>
          <w:szCs w:val="17"/>
          <w:u w:val="single" w:color="auto"/>
          <w:color w:val="auto"/>
        </w:rPr>
        <w:t>Section 16.4</w:t>
      </w:r>
      <w:r>
        <w:rPr>
          <w:rFonts w:ascii="Arial" w:cs="Arial" w:eastAsia="Arial" w:hAnsi="Arial"/>
          <w:sz w:val="17"/>
          <w:szCs w:val="17"/>
          <w:color w:val="auto"/>
        </w:rPr>
        <w:t xml:space="preserve"> which does not result in payment in full of the liquidation preference of such Series A Preference Unit.</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A Original Issue Date</w:t>
      </w:r>
      <w:r>
        <w:rPr>
          <w:rFonts w:ascii="Arial" w:cs="Arial" w:eastAsia="Arial" w:hAnsi="Arial"/>
          <w:sz w:val="18"/>
          <w:szCs w:val="18"/>
          <w:color w:val="auto"/>
        </w:rPr>
        <w:t>” means May 15, 2017.</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A Payments</w:t>
      </w:r>
      <w:r>
        <w:rPr>
          <w:rFonts w:ascii="Arial" w:cs="Arial" w:eastAsia="Arial" w:hAnsi="Arial"/>
          <w:sz w:val="18"/>
          <w:szCs w:val="18"/>
          <w:color w:val="auto"/>
        </w:rPr>
        <w:t>” means, collectively, Series A Distributions and Series A Redemption Payments.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Series A Preference Unit</w:t>
      </w:r>
      <w:r>
        <w:rPr>
          <w:rFonts w:ascii="Arial" w:cs="Arial" w:eastAsia="Arial" w:hAnsi="Arial"/>
          <w:sz w:val="16"/>
          <w:szCs w:val="16"/>
          <w:color w:val="auto"/>
        </w:rPr>
        <w:t xml:space="preserve">” means a Preference Unit having the designations, preferences, rights, powers and duties set forth in </w:t>
      </w:r>
      <w:r>
        <w:rPr>
          <w:rFonts w:ascii="Arial" w:cs="Arial" w:eastAsia="Arial" w:hAnsi="Arial"/>
          <w:sz w:val="16"/>
          <w:szCs w:val="16"/>
          <w:u w:val="single" w:color="auto"/>
          <w:color w:val="auto"/>
        </w:rPr>
        <w:t>Article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XVI</w:t>
      </w:r>
      <w:r>
        <w:rPr>
          <w:rFonts w:ascii="Arial" w:cs="Arial" w:eastAsia="Arial" w:hAnsi="Arial"/>
          <w:sz w:val="18"/>
          <w:szCs w:val="18"/>
          <w:color w:val="auto"/>
        </w:rPr>
        <w: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A Redemption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16.6</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A Redemption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16.6(b)</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A Redemption Price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16.6(a)</w:t>
      </w:r>
      <w:r>
        <w:rPr>
          <w:rFonts w:ascii="Arial" w:cs="Arial" w:eastAsia="Arial" w:hAnsi="Arial"/>
          <w:sz w:val="18"/>
          <w:szCs w:val="18"/>
          <w:color w:val="auto"/>
        </w:rPr>
        <w:t>.</w:t>
      </w:r>
    </w:p>
    <w:p>
      <w:pPr>
        <w:spacing w:after="0" w:line="225"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A Redemption Payments</w:t>
      </w:r>
      <w:r>
        <w:rPr>
          <w:rFonts w:ascii="Arial" w:cs="Arial" w:eastAsia="Arial" w:hAnsi="Arial"/>
          <w:sz w:val="18"/>
          <w:szCs w:val="18"/>
          <w:color w:val="auto"/>
        </w:rPr>
        <w:t xml:space="preserve">” means payments to be made to the holders of Series A Preference Units to redeem Series A Preference Units in accordance with </w:t>
      </w:r>
      <w:r>
        <w:rPr>
          <w:rFonts w:ascii="Arial" w:cs="Arial" w:eastAsia="Arial" w:hAnsi="Arial"/>
          <w:sz w:val="18"/>
          <w:szCs w:val="18"/>
          <w:u w:val="single" w:color="auto"/>
          <w:color w:val="auto"/>
        </w:rPr>
        <w:t>Section 16.6</w:t>
      </w:r>
      <w:r>
        <w:rPr>
          <w:rFonts w:ascii="Arial" w:cs="Arial" w:eastAsia="Arial" w:hAnsi="Arial"/>
          <w:sz w:val="18"/>
          <w:szCs w:val="18"/>
          <w:color w:val="auto"/>
        </w:rPr>
        <w: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 xml:space="preserve">“Series A Three-Month LIBOR Rate” </w:t>
      </w:r>
      <w:r>
        <w:rPr>
          <w:rFonts w:ascii="Arial" w:cs="Arial" w:eastAsia="Arial" w:hAnsi="Arial"/>
          <w:sz w:val="18"/>
          <w:szCs w:val="18"/>
          <w:color w:val="auto"/>
        </w:rPr>
        <w:t>has the meaning given such term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16.3(b)</w:t>
      </w:r>
      <w:r>
        <w:rPr>
          <w:rFonts w:ascii="Arial" w:cs="Arial" w:eastAsia="Arial" w:hAnsi="Arial"/>
          <w:sz w:val="18"/>
          <w:szCs w:val="18"/>
          <w:color w:val="auto"/>
        </w:rPr>
        <w:t>.</w:t>
      </w:r>
    </w:p>
    <w:p>
      <w:pPr>
        <w:spacing w:after="0" w:line="225"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B Distribution Determination Date</w:t>
      </w:r>
      <w:r>
        <w:rPr>
          <w:rFonts w:ascii="Arial" w:cs="Arial" w:eastAsia="Arial" w:hAnsi="Arial"/>
          <w:sz w:val="18"/>
          <w:szCs w:val="18"/>
          <w:color w:val="auto"/>
        </w:rPr>
        <w:t>” means the London Business Day immediately preceding the first date of the applicable Series B Distribution Period.</w:t>
      </w:r>
    </w:p>
    <w:p>
      <w:pPr>
        <w:spacing w:after="0" w:line="170" w:lineRule="exact"/>
        <w:rPr>
          <w:sz w:val="20"/>
          <w:szCs w:val="20"/>
          <w:color w:val="auto"/>
        </w:rPr>
      </w:pPr>
    </w:p>
    <w:p>
      <w:pPr>
        <w:jc w:val="both"/>
        <w:ind w:right="3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B Distribution Payment Date</w:t>
      </w:r>
      <w:r>
        <w:rPr>
          <w:rFonts w:ascii="Arial" w:cs="Arial" w:eastAsia="Arial" w:hAnsi="Arial"/>
          <w:sz w:val="18"/>
          <w:szCs w:val="18"/>
          <w:color w:val="auto"/>
        </w:rPr>
        <w:t xml:space="preserve">” means each March 15, June 15, September 15 and December 15, commencing March 15, 2018; </w:t>
      </w:r>
      <w:r>
        <w:rPr>
          <w:rFonts w:ascii="Arial" w:cs="Arial" w:eastAsia="Arial" w:hAnsi="Arial"/>
          <w:sz w:val="18"/>
          <w:szCs w:val="18"/>
          <w:i w:val="1"/>
          <w:iCs w:val="1"/>
          <w:color w:val="auto"/>
        </w:rPr>
        <w:t>provided</w:t>
      </w:r>
      <w:r>
        <w:rPr>
          <w:rFonts w:ascii="Arial" w:cs="Arial" w:eastAsia="Arial" w:hAnsi="Arial"/>
          <w:sz w:val="18"/>
          <w:szCs w:val="18"/>
          <w:color w:val="auto"/>
        </w:rPr>
        <w:t>, however, that if any Series B Distribution Payment Date would otherwise occur on a day that is not a Business Day, such Series B Distribution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Date shall instead be on the immediately succeeding Business Day.</w:t>
      </w:r>
    </w:p>
    <w:p>
      <w:pPr>
        <w:spacing w:after="0" w:line="181"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B Distribution Period</w:t>
      </w:r>
      <w:r>
        <w:rPr>
          <w:rFonts w:ascii="Arial" w:cs="Arial" w:eastAsia="Arial" w:hAnsi="Arial"/>
          <w:sz w:val="18"/>
          <w:szCs w:val="18"/>
          <w:color w:val="auto"/>
        </w:rPr>
        <w:t>” means a period of time from and including the preceding Series B Distribution Payment Date (other than the initial Series B Distribution Period, which shall commence on and include the Series B Original Issue Date) to, but excluding, the next Series B Distribution Payment Date for such Series B Distribution Period.</w:t>
      </w:r>
    </w:p>
    <w:p>
      <w:pPr>
        <w:spacing w:after="0" w:line="181" w:lineRule="exact"/>
        <w:rPr>
          <w:sz w:val="20"/>
          <w:szCs w:val="20"/>
          <w:color w:val="auto"/>
        </w:rPr>
      </w:pPr>
    </w:p>
    <w:p>
      <w:pPr>
        <w:ind w:right="140"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Series B Distribution Rate</w:t>
      </w:r>
      <w:r>
        <w:rPr>
          <w:rFonts w:ascii="Arial" w:cs="Arial" w:eastAsia="Arial" w:hAnsi="Arial"/>
          <w:sz w:val="16"/>
          <w:szCs w:val="16"/>
          <w:color w:val="auto"/>
        </w:rPr>
        <w:t>” means, with respect to the Series B Fixed Rate Period, a rate equal to 8.200% per annum of the Stated Series B Liquidation Preference per Series B Preference Unit and, with respect to the Series B Floating Rate Period, a floating rate equal to the Series B Three-Month LIBOR Rate plus a spread of 5.839% per annum of the stated Series B Liquidation Preference per Series B Preference Unit.</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B Distribution Record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17.3(c)</w:t>
      </w:r>
      <w:r>
        <w:rPr>
          <w:rFonts w:ascii="Arial" w:cs="Arial" w:eastAsia="Arial" w:hAnsi="Arial"/>
          <w:sz w:val="18"/>
          <w:szCs w:val="18"/>
          <w:color w:val="auto"/>
        </w:rPr>
        <w:t>.</w:t>
      </w:r>
    </w:p>
    <w:p>
      <w:pPr>
        <w:sectPr>
          <w:pgSz w:w="11900" w:h="16838" w:orient="portrait"/>
          <w:cols w:equalWidth="0" w:num="1">
            <w:col w:w="11420"/>
          </w:cols>
          <w:pgMar w:left="240" w:top="341" w:right="239" w:bottom="0" w:gutter="0" w:footer="0" w:header="0"/>
        </w:sectPr>
      </w:pPr>
    </w:p>
    <w:bookmarkStart w:id="14" w:name="page15"/>
    <w:bookmarkEnd w:id="14"/>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B Distributions</w:t>
      </w:r>
      <w:r>
        <w:rPr>
          <w:rFonts w:ascii="Arial" w:cs="Arial" w:eastAsia="Arial" w:hAnsi="Arial"/>
          <w:sz w:val="18"/>
          <w:szCs w:val="18"/>
          <w:color w:val="auto"/>
        </w:rPr>
        <w:t xml:space="preserve">” means distributions with respect to Series B Preference Units pursuant to </w:t>
      </w:r>
      <w:r>
        <w:rPr>
          <w:rFonts w:ascii="Arial" w:cs="Arial" w:eastAsia="Arial" w:hAnsi="Arial"/>
          <w:sz w:val="18"/>
          <w:szCs w:val="18"/>
          <w:u w:val="single" w:color="auto"/>
          <w:color w:val="auto"/>
        </w:rPr>
        <w:t>Section 17.3</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Series B Fixed Rate Period</w:t>
      </w:r>
      <w:r>
        <w:rPr>
          <w:rFonts w:ascii="Arial" w:cs="Arial" w:eastAsia="Arial" w:hAnsi="Arial"/>
          <w:sz w:val="17"/>
          <w:szCs w:val="17"/>
          <w:color w:val="auto"/>
        </w:rPr>
        <w:t>” means the period from and including the Series B Original Issue Date to, but excluding March 15, 2023.</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B Floating Rate Period</w:t>
      </w:r>
      <w:r>
        <w:rPr>
          <w:rFonts w:ascii="Arial" w:cs="Arial" w:eastAsia="Arial" w:hAnsi="Arial"/>
          <w:sz w:val="18"/>
          <w:szCs w:val="18"/>
          <w:color w:val="auto"/>
        </w:rPr>
        <w:t>” means the period from and including March 15, 2023.</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B Holder</w:t>
      </w:r>
      <w:r>
        <w:rPr>
          <w:rFonts w:ascii="Arial" w:cs="Arial" w:eastAsia="Arial" w:hAnsi="Arial"/>
          <w:sz w:val="18"/>
          <w:szCs w:val="18"/>
          <w:color w:val="auto"/>
        </w:rPr>
        <w:t>” means a Record Holder of the Series B Preference Units.</w:t>
      </w:r>
    </w:p>
    <w:p>
      <w:pPr>
        <w:spacing w:after="0" w:line="225" w:lineRule="exact"/>
        <w:rPr>
          <w:sz w:val="20"/>
          <w:szCs w:val="20"/>
          <w:color w:val="auto"/>
        </w:rPr>
      </w:pPr>
    </w:p>
    <w:p>
      <w:pPr>
        <w:ind w:right="20"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Series B Liquidation Preference</w:t>
      </w:r>
      <w:r>
        <w:rPr>
          <w:rFonts w:ascii="Arial" w:cs="Arial" w:eastAsia="Arial" w:hAnsi="Arial"/>
          <w:sz w:val="17"/>
          <w:szCs w:val="17"/>
          <w:color w:val="auto"/>
        </w:rPr>
        <w:t xml:space="preserve">” means a liquidation preference for each Series B Preference Unit initially equal to $25.00 per unit, which liquidation preference shall be subject to (a) increase by the per Series B Preference Unit amount of any accumulated and unpaid distributions (whether or not such distributions shall have been declared) and (b) decrease upon a distribution in connection with a Liquidation Event described in </w:t>
      </w:r>
      <w:r>
        <w:rPr>
          <w:rFonts w:ascii="Arial" w:cs="Arial" w:eastAsia="Arial" w:hAnsi="Arial"/>
          <w:sz w:val="17"/>
          <w:szCs w:val="17"/>
          <w:u w:val="single" w:color="auto"/>
          <w:color w:val="auto"/>
        </w:rPr>
        <w:t>Section 17.4</w:t>
      </w:r>
      <w:r>
        <w:rPr>
          <w:rFonts w:ascii="Arial" w:cs="Arial" w:eastAsia="Arial" w:hAnsi="Arial"/>
          <w:sz w:val="17"/>
          <w:szCs w:val="17"/>
          <w:color w:val="auto"/>
        </w:rPr>
        <w:t xml:space="preserve"> which does not result in payment in full of the liquidation preference of such Series B Preference Unit.</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B Original Issue Date</w:t>
      </w:r>
      <w:r>
        <w:rPr>
          <w:rFonts w:ascii="Arial" w:cs="Arial" w:eastAsia="Arial" w:hAnsi="Arial"/>
          <w:sz w:val="18"/>
          <w:szCs w:val="18"/>
          <w:color w:val="auto"/>
        </w:rPr>
        <w:t>” means January 17, 2018.</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B Payments</w:t>
      </w:r>
      <w:r>
        <w:rPr>
          <w:rFonts w:ascii="Arial" w:cs="Arial" w:eastAsia="Arial" w:hAnsi="Arial"/>
          <w:sz w:val="18"/>
          <w:szCs w:val="18"/>
          <w:color w:val="auto"/>
        </w:rPr>
        <w:t>” means, collectively, Series B Distributions and Series B Redemption Payments.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Series B Preference Unit</w:t>
      </w:r>
      <w:r>
        <w:rPr>
          <w:rFonts w:ascii="Arial" w:cs="Arial" w:eastAsia="Arial" w:hAnsi="Arial"/>
          <w:sz w:val="16"/>
          <w:szCs w:val="16"/>
          <w:color w:val="auto"/>
        </w:rPr>
        <w:t xml:space="preserve">” means a Preference Unit having the designations, preferences, rights, powers and duties set forth in </w:t>
      </w:r>
      <w:r>
        <w:rPr>
          <w:rFonts w:ascii="Arial" w:cs="Arial" w:eastAsia="Arial" w:hAnsi="Arial"/>
          <w:sz w:val="16"/>
          <w:szCs w:val="16"/>
          <w:u w:val="single" w:color="auto"/>
          <w:color w:val="auto"/>
        </w:rPr>
        <w:t>Article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XVII</w:t>
      </w:r>
      <w:r>
        <w:rPr>
          <w:rFonts w:ascii="Arial" w:cs="Arial" w:eastAsia="Arial" w:hAnsi="Arial"/>
          <w:sz w:val="18"/>
          <w:szCs w:val="18"/>
          <w:color w:val="auto"/>
        </w:rPr>
        <w: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B Redemption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17.6</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B Redemption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17.6(b)</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B Redemption Price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17.6(a)</w:t>
      </w:r>
      <w:r>
        <w:rPr>
          <w:rFonts w:ascii="Arial" w:cs="Arial" w:eastAsia="Arial" w:hAnsi="Arial"/>
          <w:sz w:val="18"/>
          <w:szCs w:val="18"/>
          <w:color w:val="auto"/>
        </w:rPr>
        <w:t>.</w:t>
      </w:r>
    </w:p>
    <w:p>
      <w:pPr>
        <w:spacing w:after="0" w:line="225"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B Redemption Payments</w:t>
      </w:r>
      <w:r>
        <w:rPr>
          <w:rFonts w:ascii="Arial" w:cs="Arial" w:eastAsia="Arial" w:hAnsi="Arial"/>
          <w:sz w:val="18"/>
          <w:szCs w:val="18"/>
          <w:color w:val="auto"/>
        </w:rPr>
        <w:t xml:space="preserve">” means payments to be made to the holders of Series B Preference Units to redeem Series B Preference Units in accordance with </w:t>
      </w:r>
      <w:r>
        <w:rPr>
          <w:rFonts w:ascii="Arial" w:cs="Arial" w:eastAsia="Arial" w:hAnsi="Arial"/>
          <w:sz w:val="18"/>
          <w:szCs w:val="18"/>
          <w:u w:val="single" w:color="auto"/>
          <w:color w:val="auto"/>
        </w:rPr>
        <w:t>Section 17.6</w:t>
      </w:r>
      <w:r>
        <w:rPr>
          <w:rFonts w:ascii="Arial" w:cs="Arial" w:eastAsia="Arial" w:hAnsi="Arial"/>
          <w:sz w:val="18"/>
          <w:szCs w:val="18"/>
          <w:color w:val="auto"/>
        </w:rPr>
        <w: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 xml:space="preserve">“Series B Three-Month LIBOR Rate” </w:t>
      </w:r>
      <w:r>
        <w:rPr>
          <w:rFonts w:ascii="Arial" w:cs="Arial" w:eastAsia="Arial" w:hAnsi="Arial"/>
          <w:sz w:val="18"/>
          <w:szCs w:val="18"/>
          <w:color w:val="auto"/>
        </w:rPr>
        <w:t>has the meaning given such term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17.3(b)</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Special Approval</w:t>
      </w:r>
      <w:r>
        <w:rPr>
          <w:rFonts w:ascii="Arial" w:cs="Arial" w:eastAsia="Arial" w:hAnsi="Arial"/>
          <w:sz w:val="18"/>
          <w:szCs w:val="18"/>
          <w:color w:val="auto"/>
        </w:rPr>
        <w:t>” means approval by a majority of the members of the Conflicts Committee.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Stated Series A Liquidation Preference</w:t>
      </w:r>
      <w:r>
        <w:rPr>
          <w:rFonts w:ascii="Arial" w:cs="Arial" w:eastAsia="Arial" w:hAnsi="Arial"/>
          <w:sz w:val="18"/>
          <w:szCs w:val="18"/>
          <w:color w:val="auto"/>
        </w:rPr>
        <w:t>” means an amount equal to $25.00 per Series A Preference Unit.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Stated Series B Liquidation Preference</w:t>
      </w:r>
      <w:r>
        <w:rPr>
          <w:rFonts w:ascii="Arial" w:cs="Arial" w:eastAsia="Arial" w:hAnsi="Arial"/>
          <w:sz w:val="18"/>
          <w:szCs w:val="18"/>
          <w:color w:val="auto"/>
        </w:rPr>
        <w:t>” means an amount equal to $25.00 per Series B Preference Unit.</w:t>
      </w:r>
    </w:p>
    <w:p>
      <w:pPr>
        <w:spacing w:after="0" w:line="225" w:lineRule="exact"/>
        <w:rPr>
          <w:sz w:val="20"/>
          <w:szCs w:val="20"/>
          <w:color w:val="auto"/>
        </w:rPr>
      </w:pPr>
    </w:p>
    <w:p>
      <w:pPr>
        <w:ind w:firstLine="1297"/>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xml:space="preserve">” means, with respect to any Person, (a) a corporation of which more than 50% of the voting power of shares entitled (without regard to the occurrence of any contingency) to vote in the election of directors or other governing body of such corporation is owned, directly or indirectly, at the date of determination, by such Person, by one or more Subsidiaries (as defined, but excluding </w:t>
      </w:r>
      <w:r>
        <w:rPr>
          <w:rFonts w:ascii="Arial" w:cs="Arial" w:eastAsia="Arial" w:hAnsi="Arial"/>
          <w:sz w:val="16"/>
          <w:szCs w:val="16"/>
          <w:u w:val="single" w:color="auto"/>
          <w:color w:val="auto"/>
        </w:rPr>
        <w:t>subsection (d)</w:t>
      </w:r>
      <w:r>
        <w:rPr>
          <w:rFonts w:ascii="Arial" w:cs="Arial" w:eastAsia="Arial" w:hAnsi="Arial"/>
          <w:sz w:val="16"/>
          <w:szCs w:val="16"/>
          <w:color w:val="auto"/>
        </w:rPr>
        <w:t xml:space="preserve"> of this definition) of such Person or a combination thereof, (b) a partnership (whether general or limited) in which such Person or a Subsidiary (as defined, but excluding </w:t>
      </w:r>
      <w:r>
        <w:rPr>
          <w:rFonts w:ascii="Arial" w:cs="Arial" w:eastAsia="Arial" w:hAnsi="Arial"/>
          <w:sz w:val="16"/>
          <w:szCs w:val="16"/>
          <w:u w:val="single" w:color="auto"/>
          <w:color w:val="auto"/>
        </w:rPr>
        <w:t>subsection (d)</w:t>
      </w:r>
      <w:r>
        <w:rPr>
          <w:rFonts w:ascii="Arial" w:cs="Arial" w:eastAsia="Arial" w:hAnsi="Arial"/>
          <w:sz w:val="16"/>
          <w:szCs w:val="16"/>
          <w:color w:val="auto"/>
        </w:rPr>
        <w:t xml:space="preserve"> of this definition) of such Person is, at the date of determination, a general or limited partner of such partnership, but only if more than 50% of the partnership interests of such partnership (considering all of the partnership interests of the partnership as a single class) is owned, directly or indirectly, at the date of determination, by such Person, by one or more Subsidiaries (as defined, but excluding </w:t>
      </w:r>
      <w:r>
        <w:rPr>
          <w:rFonts w:ascii="Arial" w:cs="Arial" w:eastAsia="Arial" w:hAnsi="Arial"/>
          <w:sz w:val="16"/>
          <w:szCs w:val="16"/>
          <w:u w:val="single" w:color="auto"/>
          <w:color w:val="auto"/>
        </w:rPr>
        <w:t>subsection (d)</w:t>
      </w:r>
      <w:r>
        <w:rPr>
          <w:rFonts w:ascii="Arial" w:cs="Arial" w:eastAsia="Arial" w:hAnsi="Arial"/>
          <w:sz w:val="16"/>
          <w:szCs w:val="16"/>
          <w:color w:val="auto"/>
        </w:rPr>
        <w:t xml:space="preserve"> of this definition) of such Person, or a combination thereof, (c) any other Person (other than a corporation or a partnership) in which such Person, one or more Subsidiaries (as defined, but excluding </w:t>
      </w:r>
      <w:r>
        <w:rPr>
          <w:rFonts w:ascii="Arial" w:cs="Arial" w:eastAsia="Arial" w:hAnsi="Arial"/>
          <w:sz w:val="16"/>
          <w:szCs w:val="16"/>
          <w:u w:val="single" w:color="auto"/>
          <w:color w:val="auto"/>
        </w:rPr>
        <w:t>subsection</w:t>
      </w:r>
    </w:p>
    <w:p>
      <w:pPr>
        <w:spacing w:after="0" w:line="1" w:lineRule="exact"/>
        <w:rPr>
          <w:sz w:val="20"/>
          <w:szCs w:val="20"/>
          <w:color w:val="auto"/>
        </w:rPr>
      </w:pPr>
    </w:p>
    <w:p>
      <w:pPr>
        <w:ind w:right="60" w:firstLine="8"/>
        <w:spacing w:after="0" w:line="252" w:lineRule="auto"/>
        <w:tabs>
          <w:tab w:leader="none" w:pos="255" w:val="left"/>
        </w:tabs>
        <w:numPr>
          <w:ilvl w:val="0"/>
          <w:numId w:val="8"/>
        </w:numPr>
        <w:rPr>
          <w:rFonts w:ascii="Arial" w:cs="Arial" w:eastAsia="Arial" w:hAnsi="Arial"/>
          <w:sz w:val="18"/>
          <w:szCs w:val="18"/>
          <w:u w:val="single" w:color="auto"/>
          <w:color w:val="auto"/>
        </w:rPr>
      </w:pPr>
      <w:r>
        <w:rPr>
          <w:rFonts w:ascii="Arial" w:cs="Arial" w:eastAsia="Arial" w:hAnsi="Arial"/>
          <w:sz w:val="18"/>
          <w:szCs w:val="18"/>
          <w:color w:val="auto"/>
        </w:rPr>
        <w:t xml:space="preserve">of this definition) of such Person, or a combination thereof, directly or indirectly, at the date of determination, has (i) at least a majority ownership interest or (ii) the power to elect or direct the election of a majority of the directors or other governing body of such Person, or (d) any other Person in which such Person, one or more Subsidiaries (as defined, but excluding this </w:t>
      </w:r>
      <w:r>
        <w:rPr>
          <w:rFonts w:ascii="Arial" w:cs="Arial" w:eastAsia="Arial" w:hAnsi="Arial"/>
          <w:sz w:val="18"/>
          <w:szCs w:val="18"/>
          <w:u w:val="single" w:color="auto"/>
          <w:color w:val="auto"/>
        </w:rPr>
        <w:t>subsection (d)</w:t>
      </w:r>
      <w:r>
        <w:rPr>
          <w:rFonts w:ascii="Arial" w:cs="Arial" w:eastAsia="Arial" w:hAnsi="Arial"/>
          <w:sz w:val="18"/>
          <w:szCs w:val="18"/>
          <w:color w:val="auto"/>
        </w:rPr>
        <w:t xml:space="preserve"> of this definition) of such Person, or a combination thereof, directly or indirectly, at the date of determination, has (i) less than a majority ownership interest or (ii) less than the power to elect or direct the election of a majority of the directors or other governing body of such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Person, one or more Subsidiaries (as defined, but excluding this </w:t>
      </w:r>
      <w:r>
        <w:rPr>
          <w:rFonts w:ascii="Arial" w:cs="Arial" w:eastAsia="Arial" w:hAnsi="Arial"/>
          <w:sz w:val="18"/>
          <w:szCs w:val="18"/>
          <w:u w:val="single" w:color="auto"/>
          <w:color w:val="auto"/>
        </w:rPr>
        <w:t>subsection (d)</w:t>
      </w:r>
      <w:r>
        <w:rPr>
          <w:rFonts w:ascii="Arial" w:cs="Arial" w:eastAsia="Arial" w:hAnsi="Arial"/>
          <w:sz w:val="18"/>
          <w:szCs w:val="18"/>
          <w:color w:val="auto"/>
        </w:rPr>
        <w:t xml:space="preserve"> of this definition) of such Person, or a combination thereof, directly or indirectly, at the date of the determination, has at least a 20% ownership interest in such other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Person, (B) such Person accounts for such other Person (under IFRS, as in effect on the later of the date of investment in such other Person or material expansion of the operations of such other Person) on a consolidated or equity accounting basis, (C) such Person has directly or indirectly material negative control rights regarding such other Person including over such other Person’s ability to materially expand its operations beyond that contemplated at the date of investment in such other Person, and (D) such other Person is (i) other than with respect to the Operating Company, formed and maintained for the sole purpose of owning or leasing, operating and chartering vessels and (ii) obligated under its constituent documents, or as a result of a unanimous agreement of its owners, to distribute to its owners all of its income on at least an annual basis (less any cash reserves that are approved by such Person).</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Surviving Business Entity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14.2(b)(ii)</w:t>
      </w:r>
      <w:r>
        <w:rPr>
          <w:rFonts w:ascii="Arial" w:cs="Arial" w:eastAsia="Arial" w:hAnsi="Arial"/>
          <w:sz w:val="18"/>
          <w:szCs w:val="18"/>
          <w:color w:val="auto"/>
        </w:rPr>
        <w:t>.</w:t>
      </w:r>
    </w:p>
    <w:p>
      <w:pPr>
        <w:spacing w:after="0" w:line="225"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Third Target Distribution</w:t>
      </w:r>
      <w:r>
        <w:rPr>
          <w:rFonts w:ascii="Arial" w:cs="Arial" w:eastAsia="Arial" w:hAnsi="Arial"/>
          <w:sz w:val="18"/>
          <w:szCs w:val="18"/>
          <w:color w:val="auto"/>
        </w:rPr>
        <w:t xml:space="preserve">” means $0.56250 per Unit per Quarter (or, with respect to the period commencing on the Closing Date and ending on June 30, 2014, it means the product of $0.56250 multiplied by a fraction of which the numerator is equal to the number of days in such period and of which the denominator is the total number of days in the Quarter in which the Closing Date occurs), subject to adjustment in accordance with </w:t>
      </w:r>
      <w:r>
        <w:rPr>
          <w:rFonts w:ascii="Arial" w:cs="Arial" w:eastAsia="Arial" w:hAnsi="Arial"/>
          <w:sz w:val="18"/>
          <w:szCs w:val="18"/>
          <w:u w:val="single" w:color="auto"/>
          <w:color w:val="auto"/>
        </w:rPr>
        <w:t>Section 5.9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6.5</w:t>
      </w:r>
      <w:r>
        <w:rPr>
          <w:rFonts w:ascii="Arial" w:cs="Arial" w:eastAsia="Arial" w:hAnsi="Arial"/>
          <w:sz w:val="18"/>
          <w:szCs w:val="18"/>
          <w:color w:val="auto"/>
        </w:rPr>
        <w:t>.</w:t>
      </w:r>
    </w:p>
    <w:p>
      <w:pPr>
        <w:sectPr>
          <w:pgSz w:w="11900" w:h="16838" w:orient="portrait"/>
          <w:cols w:equalWidth="0" w:num="1">
            <w:col w:w="11420"/>
          </w:cols>
          <w:pgMar w:left="240" w:top="125" w:right="239" w:bottom="0" w:gutter="0" w:footer="0" w:header="0"/>
        </w:sectPr>
      </w:pPr>
    </w:p>
    <w:bookmarkStart w:id="15" w:name="page16"/>
    <w:bookmarkEnd w:id="15"/>
    <w:p>
      <w:pPr>
        <w:ind w:right="10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means, for the purpose of determining the Current Market Price of any class or series of Limited Partner Interests, a day on which the principal National Securities Exchange on which such class or series of Limited Partner Interests is listed or admitted for trading is open for the transaction of business or, if Limited Partner Interests of a class or series are not listed on any National Securities Exchange, a day on which banking institutions in New York City generally are open.</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4.4(a)</w:t>
      </w:r>
      <w:r>
        <w:rPr>
          <w:rFonts w:ascii="Arial" w:cs="Arial" w:eastAsia="Arial" w:hAnsi="Arial"/>
          <w:sz w:val="18"/>
          <w:szCs w:val="18"/>
          <w:color w:val="auto"/>
        </w:rPr>
        <w:t>.</w:t>
      </w:r>
    </w:p>
    <w:p>
      <w:pPr>
        <w:spacing w:after="0" w:line="225" w:lineRule="exact"/>
        <w:rPr>
          <w:sz w:val="20"/>
          <w:szCs w:val="20"/>
          <w:color w:val="auto"/>
        </w:rPr>
      </w:pPr>
    </w:p>
    <w:p>
      <w:pPr>
        <w:ind w:right="120"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Transfer Agent</w:t>
      </w:r>
      <w:r>
        <w:rPr>
          <w:rFonts w:ascii="Arial" w:cs="Arial" w:eastAsia="Arial" w:hAnsi="Arial"/>
          <w:sz w:val="17"/>
          <w:szCs w:val="17"/>
          <w:color w:val="auto"/>
        </w:rPr>
        <w:t xml:space="preserve">” means such bank, trust company or other Person (including the General Partner or one of its Affiliates) as shall be appointed from time to time by the Partnership to act as registrar and transfer agent for the Common Units and the Preference Units;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no Transfer Agent is specifically designated for any other Partnership Interests, the Partnership shall act in such capacity.</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Underwriter</w:t>
      </w:r>
      <w:r>
        <w:rPr>
          <w:rFonts w:ascii="Arial" w:cs="Arial" w:eastAsia="Arial" w:hAnsi="Arial"/>
          <w:sz w:val="16"/>
          <w:szCs w:val="16"/>
          <w:color w:val="auto"/>
        </w:rPr>
        <w:t>” means each Person named as an underwriter in Schedule I to the Underwriting Agreement who purchases Common Units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pursuant thereto.</w:t>
      </w:r>
    </w:p>
    <w:p>
      <w:pPr>
        <w:spacing w:after="0" w:line="211"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Underwriting Agreement</w:t>
      </w:r>
      <w:r>
        <w:rPr>
          <w:rFonts w:ascii="Arial" w:cs="Arial" w:eastAsia="Arial" w:hAnsi="Arial"/>
          <w:sz w:val="18"/>
          <w:szCs w:val="18"/>
          <w:color w:val="auto"/>
        </w:rPr>
        <w:t>” means the Underwriting Agreement dated May 6, 2014 among the Underwriters, the Partnership, the General Partner, the Operating Company, and GasLog, providing for the purchase of Common Units from the Partnership by such Underwriters in connection with the Initial Offering.</w:t>
      </w:r>
    </w:p>
    <w:p>
      <w:pPr>
        <w:spacing w:after="0" w:line="181" w:lineRule="exact"/>
        <w:rPr>
          <w:sz w:val="20"/>
          <w:szCs w:val="20"/>
          <w:color w:val="auto"/>
        </w:rPr>
      </w:pPr>
    </w:p>
    <w:p>
      <w:pPr>
        <w:ind w:right="44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Unit</w:t>
      </w:r>
      <w:r>
        <w:rPr>
          <w:rFonts w:ascii="Arial" w:cs="Arial" w:eastAsia="Arial" w:hAnsi="Arial"/>
          <w:sz w:val="17"/>
          <w:szCs w:val="17"/>
          <w:color w:val="auto"/>
        </w:rPr>
        <w:t>” means a Partnership Interest that is designated as a “</w:t>
      </w:r>
      <w:r>
        <w:rPr>
          <w:rFonts w:ascii="Arial" w:cs="Arial" w:eastAsia="Arial" w:hAnsi="Arial"/>
          <w:sz w:val="17"/>
          <w:szCs w:val="17"/>
          <w:i w:val="1"/>
          <w:iCs w:val="1"/>
          <w:color w:val="auto"/>
        </w:rPr>
        <w:t>Unit</w:t>
      </w:r>
      <w:r>
        <w:rPr>
          <w:rFonts w:ascii="Arial" w:cs="Arial" w:eastAsia="Arial" w:hAnsi="Arial"/>
          <w:sz w:val="17"/>
          <w:szCs w:val="17"/>
          <w:color w:val="auto"/>
        </w:rPr>
        <w:t>” and shall include Common Units and Preference Units, but shall not include (a) General Partner Units (or the General Partner Interest represented thereby) or (b) the Incentive Distribution Rights.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Unitholders</w:t>
      </w:r>
      <w:r>
        <w:rPr>
          <w:rFonts w:ascii="Arial" w:cs="Arial" w:eastAsia="Arial" w:hAnsi="Arial"/>
          <w:sz w:val="18"/>
          <w:szCs w:val="18"/>
          <w:color w:val="auto"/>
        </w:rPr>
        <w:t>” means the holders of Units.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Unit Majority</w:t>
      </w:r>
      <w:r>
        <w:rPr>
          <w:rFonts w:ascii="Arial" w:cs="Arial" w:eastAsia="Arial" w:hAnsi="Arial"/>
          <w:sz w:val="18"/>
          <w:szCs w:val="18"/>
          <w:color w:val="auto"/>
        </w:rPr>
        <w:t>” means at least a majority of the Outstanding Common Units, voting as a single class.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Unit Register</w:t>
      </w:r>
      <w:r>
        <w:rPr>
          <w:rFonts w:ascii="Arial" w:cs="Arial" w:eastAsia="Arial" w:hAnsi="Arial"/>
          <w:sz w:val="16"/>
          <w:szCs w:val="16"/>
          <w:color w:val="auto"/>
        </w:rPr>
        <w:t xml:space="preserve">” means the register of the Partnership for the registration and transfer of Limited Partnership Interests as provided in </w:t>
      </w:r>
      <w:r>
        <w:rPr>
          <w:rFonts w:ascii="Arial" w:cs="Arial" w:eastAsia="Arial" w:hAnsi="Arial"/>
          <w:sz w:val="16"/>
          <w:szCs w:val="16"/>
          <w:u w:val="single" w:color="auto"/>
          <w:color w:val="auto"/>
        </w:rPr>
        <w:t>Section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4.5</w:t>
      </w:r>
      <w:r>
        <w:rPr>
          <w:rFonts w:ascii="Arial" w:cs="Arial" w:eastAsia="Arial" w:hAnsi="Arial"/>
          <w:sz w:val="18"/>
          <w:szCs w:val="18"/>
          <w:color w:val="auto"/>
        </w:rPr>
        <w:t>.</w:t>
      </w:r>
    </w:p>
    <w:p>
      <w:pPr>
        <w:spacing w:after="0" w:line="211" w:lineRule="exact"/>
        <w:rPr>
          <w:sz w:val="20"/>
          <w:szCs w:val="20"/>
          <w:color w:val="auto"/>
        </w:rPr>
      </w:pPr>
    </w:p>
    <w:p>
      <w:pPr>
        <w:ind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Unrecovered Capital</w:t>
      </w:r>
      <w:r>
        <w:rPr>
          <w:rFonts w:ascii="Arial" w:cs="Arial" w:eastAsia="Arial" w:hAnsi="Arial"/>
          <w:sz w:val="17"/>
          <w:szCs w:val="17"/>
          <w:color w:val="auto"/>
        </w:rPr>
        <w:t>” means at any time, with respect to a Common Unit, the Initial Unit Price less the sum of all distributions constituting Capital Surplus theretofore made in respect of an Initial Common Unit and any distributions of cash (or the Net Agreed Value of any distributions in kind) in connection with the dissolution and liquidation of the Partnership theretofore made in respect of an Initial Common Unit, adjusted as the Board of Directors determines to be appropriate to give effect to any distribution, subdivision or combination of such Common Units.</w:t>
      </w:r>
    </w:p>
    <w:p>
      <w:pPr>
        <w:spacing w:after="0" w:line="171"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Vessel Interests</w:t>
      </w:r>
      <w:r>
        <w:rPr>
          <w:rFonts w:ascii="Arial" w:cs="Arial" w:eastAsia="Arial" w:hAnsi="Arial"/>
          <w:sz w:val="18"/>
          <w:szCs w:val="18"/>
          <w:color w:val="auto"/>
        </w:rPr>
        <w:t xml:space="preserve">” means the capital stock and other equity interests in certain of GasLog’s wholly owned Subsidiaries that have interests in three vessels—the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Santiago</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Sydney</w:t>
      </w:r>
      <w:r>
        <w:rPr>
          <w:rFonts w:ascii="Arial" w:cs="Arial" w:eastAsia="Arial" w:hAnsi="Arial"/>
          <w:sz w:val="18"/>
          <w:szCs w:val="18"/>
          <w:color w:val="auto"/>
        </w:rPr>
        <w:t>.</w:t>
      </w:r>
    </w:p>
    <w:p>
      <w:pPr>
        <w:spacing w:after="0" w:line="170" w:lineRule="exact"/>
        <w:rPr>
          <w:sz w:val="20"/>
          <w:szCs w:val="20"/>
          <w:color w:val="auto"/>
        </w:rPr>
      </w:pPr>
    </w:p>
    <w:p>
      <w:pPr>
        <w:ind w:right="220"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Volume-Weighted Average Market Price</w:t>
      </w:r>
      <w:r>
        <w:rPr>
          <w:rFonts w:ascii="Arial" w:cs="Arial" w:eastAsia="Arial" w:hAnsi="Arial"/>
          <w:sz w:val="17"/>
          <w:szCs w:val="17"/>
          <w:color w:val="auto"/>
        </w:rPr>
        <w:t>” means, for a specified period of consecutive Trading Days for the Common Units, an amount equal to (a) the cumulative sum of the products of (x) the sale price for each trade of Common Units occurring during such period multiplied by (y) the number of Common Units sold at such price, divided by (b) the total number of Common Units so traded during such period.</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Withdrawal Opinion of Counsel</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11.1(b)(i)</w:t>
      </w:r>
      <w:r>
        <w:rPr>
          <w:rFonts w:ascii="Arial" w:cs="Arial" w:eastAsia="Arial" w:hAnsi="Arial"/>
          <w:sz w:val="18"/>
          <w:szCs w:val="18"/>
          <w:color w:val="auto"/>
        </w:rPr>
        <w:t>.</w:t>
      </w:r>
    </w:p>
    <w:p>
      <w:pPr>
        <w:spacing w:after="0" w:line="225"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Working Capital Borrowings</w:t>
      </w:r>
      <w:r>
        <w:rPr>
          <w:rFonts w:ascii="Arial" w:cs="Arial" w:eastAsia="Arial" w:hAnsi="Arial"/>
          <w:sz w:val="18"/>
          <w:szCs w:val="18"/>
          <w:color w:val="auto"/>
        </w:rPr>
        <w:t xml:space="preserve">” means borrowings used solely for working capital purposes or to pay distributions to Partners made pursuant to a credit facility, commercial paper facility or similar financing arrangement available to a Group Member, </w:t>
      </w:r>
      <w:r>
        <w:rPr>
          <w:rFonts w:ascii="Arial" w:cs="Arial" w:eastAsia="Arial" w:hAnsi="Arial"/>
          <w:sz w:val="18"/>
          <w:szCs w:val="18"/>
          <w:i w:val="1"/>
          <w:iCs w:val="1"/>
          <w:color w:val="auto"/>
        </w:rPr>
        <w:t>provided</w:t>
      </w:r>
      <w:r>
        <w:rPr>
          <w:rFonts w:ascii="Arial" w:cs="Arial" w:eastAsia="Arial" w:hAnsi="Arial"/>
          <w:sz w:val="18"/>
          <w:szCs w:val="18"/>
          <w:color w:val="auto"/>
        </w:rPr>
        <w:t>, that when such borrowing is incurred it is the intent of the borrower to repay such borrowings within 12 months from the date of such borrowings other than from additional Working Capital Borrowings.</w:t>
      </w:r>
    </w:p>
    <w:p>
      <w:pPr>
        <w:spacing w:after="0" w:line="187"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Construction</w:t>
      </w:r>
      <w:r>
        <w:rPr>
          <w:rFonts w:ascii="Arial" w:cs="Arial" w:eastAsia="Arial" w:hAnsi="Arial"/>
          <w:sz w:val="18"/>
          <w:szCs w:val="18"/>
          <w:color w:val="auto"/>
        </w:rPr>
        <w:t>. Unless the context requires otherwise: (a) any pronoun used in this Agreement shall include the corresponding masculine, feminine or neuter forms, and the singular form of nouns, pronouns and verbs shall include the plural and vice versa; (b) references to Articles and Sections refer to Articles and Sections of this Agreement; (c) the term “include” or “includes” means includes, without limitation, and “including” means including, without limitation; and (d) the terms “hereof”, “herein” and “hereunder” refer to this Agreement as a whole and not to any particular provision of this Agreement. The table of contents and headings contained in this Agreement are for reference purposes only, and shall not affect in any way the meaning or interpretation of this Agreement.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ORGANIZATION</w:t>
      </w:r>
    </w:p>
    <w:p>
      <w:pPr>
        <w:spacing w:after="0" w:line="211"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i w:val="1"/>
          <w:iCs w:val="1"/>
          <w:color w:val="auto"/>
        </w:rPr>
        <w:t>Formation</w:t>
      </w:r>
      <w:r>
        <w:rPr>
          <w:rFonts w:ascii="Arial" w:cs="Arial" w:eastAsia="Arial" w:hAnsi="Arial"/>
          <w:sz w:val="18"/>
          <w:szCs w:val="18"/>
          <w:color w:val="auto"/>
        </w:rPr>
        <w:t>. The General Partner and the Organizational Limited Partner previously formed the Partnership as a limited partnership pursuant to the provisions of the Marshall Islands Act and hereby amend and restate the Second Amended Agreement in its entirety. This amendment and restatement shall become effective on the date of this Agreement. Except as expressly provided to the contrary in this Agreement, the rights, duties (including fiduciary duties), liabilities and obligations of the Partners and the administration, dissolution and termination of the Partnership shall be governed by the Marshall Islands Act. All Partnership Interests shall constitute personal property of the owner thereof for all purposes and a Partner has no interest in specific Partnership property.</w:t>
      </w:r>
    </w:p>
    <w:p>
      <w:pPr>
        <w:spacing w:after="0" w:line="193" w:lineRule="exact"/>
        <w:rPr>
          <w:sz w:val="20"/>
          <w:szCs w:val="20"/>
          <w:color w:val="auto"/>
        </w:rPr>
      </w:pPr>
    </w:p>
    <w:p>
      <w:pPr>
        <w:ind w:right="80" w:firstLine="1297"/>
        <w:spacing w:after="0" w:line="312"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i w:val="1"/>
          <w:iCs w:val="1"/>
          <w:color w:val="auto"/>
        </w:rPr>
        <w:t>Name</w:t>
      </w:r>
      <w:r>
        <w:rPr>
          <w:rFonts w:ascii="Arial" w:cs="Arial" w:eastAsia="Arial" w:hAnsi="Arial"/>
          <w:sz w:val="16"/>
          <w:szCs w:val="16"/>
          <w:color w:val="auto"/>
        </w:rPr>
        <w:t>. The name of the Partnership shall be “GasLog Partners LP”. The Partnership’s business may be conducted under any other name or names as determined by the Board of Directors. The words “Limited Partnership” or the letters “LP” or similar words or letters shall be included in the Partnership’s name where necessary for the purpose of complying with the laws of any jurisdiction that so requires. The Board of Directors</w:t>
      </w:r>
    </w:p>
    <w:p>
      <w:pPr>
        <w:sectPr>
          <w:pgSz w:w="11900" w:h="16838" w:orient="portrait"/>
          <w:cols w:equalWidth="0" w:num="1">
            <w:col w:w="11400"/>
          </w:cols>
          <w:pgMar w:left="240" w:top="125" w:right="259" w:bottom="0" w:gutter="0" w:footer="0" w:header="0"/>
        </w:sectPr>
      </w:pPr>
    </w:p>
    <w:bookmarkStart w:id="16" w:name="page17"/>
    <w:bookmarkEnd w:id="16"/>
    <w:p>
      <w:pPr>
        <w:ind w:right="220"/>
        <w:spacing w:after="0" w:line="277" w:lineRule="auto"/>
        <w:rPr>
          <w:sz w:val="20"/>
          <w:szCs w:val="20"/>
          <w:color w:val="auto"/>
        </w:rPr>
      </w:pPr>
      <w:r>
        <w:rPr>
          <w:rFonts w:ascii="Arial" w:cs="Arial" w:eastAsia="Arial" w:hAnsi="Arial"/>
          <w:sz w:val="18"/>
          <w:szCs w:val="18"/>
          <w:color w:val="auto"/>
        </w:rPr>
        <w:t>may change the name of the Partnership at any time and from time to time in compliance with the requirements of the Marshall Islands Act and shall notify the General Partner and the Limited Partners of such change in the next regular communication to the Limited Partners.</w:t>
      </w:r>
    </w:p>
    <w:p>
      <w:pPr>
        <w:spacing w:after="0" w:line="170" w:lineRule="exact"/>
        <w:rPr>
          <w:sz w:val="20"/>
          <w:szCs w:val="20"/>
          <w:color w:val="auto"/>
        </w:rPr>
      </w:pPr>
    </w:p>
    <w:p>
      <w:pPr>
        <w:ind w:firstLine="1297"/>
        <w:spacing w:after="0" w:line="271" w:lineRule="auto"/>
        <w:rPr>
          <w:sz w:val="20"/>
          <w:szCs w:val="20"/>
          <w:color w:val="auto"/>
        </w:rPr>
      </w:pPr>
      <w:r>
        <w:rPr>
          <w:rFonts w:ascii="Arial" w:cs="Arial" w:eastAsia="Arial" w:hAnsi="Arial"/>
          <w:sz w:val="17"/>
          <w:szCs w:val="17"/>
          <w:color w:val="auto"/>
        </w:rPr>
        <w:t xml:space="preserve">Section 2.3. </w:t>
      </w:r>
      <w:r>
        <w:rPr>
          <w:rFonts w:ascii="Arial" w:cs="Arial" w:eastAsia="Arial" w:hAnsi="Arial"/>
          <w:sz w:val="17"/>
          <w:szCs w:val="17"/>
          <w:i w:val="1"/>
          <w:iCs w:val="1"/>
          <w:color w:val="auto"/>
        </w:rPr>
        <w:t>Registered Office; Registered Agent; Principal Office; Other Offices</w:t>
      </w:r>
      <w:r>
        <w:rPr>
          <w:rFonts w:ascii="Arial" w:cs="Arial" w:eastAsia="Arial" w:hAnsi="Arial"/>
          <w:sz w:val="17"/>
          <w:szCs w:val="17"/>
          <w:color w:val="auto"/>
        </w:rPr>
        <w:t>. Unless and until changed by the Board of Directors, the registered office of the Partnership in The Marshall Islands shall be located at Trust Company Complex, Ajeltake Island, Ajeltake Road, Majuro, Marshall Islands MH 96960, and the registered agent for service of process on the Partnership in The Marshall Islands at such registered office shall be The Trust Company of The Marshall Islands, Inc. The principal office of the Partnership shall be located at Gildo Pastor Center, 7 Rue du Gabian, MC 98000, Monaco, or such other place as the Board of Directors may from time to time designate by notice to the General Partner and the Limited Partners. The Partnership may maintain offices at such other place or places within or outside The Marshall Islands as the Board of Directors determines to be necessary or appropriate. The address of the General Partner shall be at Gildo Pastor Center, 7 Rue du Gabian, MC 98000, Monaco, or such other place as the General Partner may from time to time designate by notice to the Limited Partners.</w:t>
      </w:r>
    </w:p>
    <w:p>
      <w:pPr>
        <w:spacing w:after="0" w:line="179" w:lineRule="exact"/>
        <w:rPr>
          <w:sz w:val="20"/>
          <w:szCs w:val="20"/>
          <w:color w:val="auto"/>
        </w:rPr>
      </w:pPr>
    </w:p>
    <w:p>
      <w:pPr>
        <w:ind w:right="160" w:firstLine="1297"/>
        <w:spacing w:after="0" w:line="276"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i w:val="1"/>
          <w:iCs w:val="1"/>
          <w:color w:val="auto"/>
        </w:rPr>
        <w:t>Purpose and Business</w:t>
      </w:r>
      <w:r>
        <w:rPr>
          <w:rFonts w:ascii="Arial" w:cs="Arial" w:eastAsia="Arial" w:hAnsi="Arial"/>
          <w:sz w:val="17"/>
          <w:szCs w:val="17"/>
          <w:color w:val="auto"/>
        </w:rPr>
        <w:t>. The purpose and nature of the business to be conducted by the Partnership shall be to (a) engage directly in, or enter into or form any corporation, partnership, joint venture, limited liability company or other arrangement to engage indirectly in, any business activity that lawfully may be conducted by a limited partnership organized pursuant to the Marshall Islands Act and, in connection therewith, to exercise all of the rights and powers conferred upon the Partnership pursuant to the agreements relating to such business activity, and (b) do anything necessary or appropriate to the foregoing, including the making of capital contributions or loans to a Group Member.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20" w:firstLine="1297"/>
        <w:spacing w:after="0" w:line="342"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i w:val="1"/>
          <w:iCs w:val="1"/>
          <w:color w:val="auto"/>
        </w:rPr>
        <w:t>Powers</w:t>
      </w:r>
      <w:r>
        <w:rPr>
          <w:rFonts w:ascii="Arial" w:cs="Arial" w:eastAsia="Arial" w:hAnsi="Arial"/>
          <w:sz w:val="16"/>
          <w:szCs w:val="16"/>
          <w:color w:val="auto"/>
        </w:rPr>
        <w:t xml:space="preserve">. The Partnership shall be empowered to do any and all acts and things necessary and appropriate for the furtherance and accomplishment of the purposes and business described in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and for the protection and benefit of the Partnership.</w:t>
      </w:r>
    </w:p>
    <w:p>
      <w:pPr>
        <w:spacing w:after="0" w:line="124"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i w:val="1"/>
          <w:iCs w:val="1"/>
          <w:color w:val="auto"/>
        </w:rPr>
        <w:t>Term</w:t>
      </w:r>
      <w:r>
        <w:rPr>
          <w:rFonts w:ascii="Arial" w:cs="Arial" w:eastAsia="Arial" w:hAnsi="Arial"/>
          <w:sz w:val="18"/>
          <w:szCs w:val="18"/>
          <w:color w:val="auto"/>
        </w:rPr>
        <w:t xml:space="preserve">. The term of the Partnership commenced upon the filing of the Certificate of Limited Partnership in accordance with the Marshall Islands Act and shall continue in existence until the dissolution of the Partnership in accordance with the provisions of </w:t>
      </w:r>
      <w:r>
        <w:rPr>
          <w:rFonts w:ascii="Arial" w:cs="Arial" w:eastAsia="Arial" w:hAnsi="Arial"/>
          <w:sz w:val="18"/>
          <w:szCs w:val="18"/>
          <w:u w:val="single" w:color="auto"/>
          <w:color w:val="auto"/>
        </w:rPr>
        <w:t>Article XII</w:t>
      </w:r>
      <w:r>
        <w:rPr>
          <w:rFonts w:ascii="Arial" w:cs="Arial" w:eastAsia="Arial" w:hAnsi="Arial"/>
          <w:sz w:val="18"/>
          <w:szCs w:val="18"/>
          <w:color w:val="auto"/>
        </w:rPr>
        <w:t>. The existence of the Partnership as a separate legal entity shall continue until the cancellation of the Certificate of Limited Partnership as provided in the Marshall Islands Act.</w:t>
      </w:r>
    </w:p>
    <w:p>
      <w:pPr>
        <w:spacing w:after="0" w:line="187" w:lineRule="exact"/>
        <w:rPr>
          <w:sz w:val="20"/>
          <w:szCs w:val="20"/>
          <w:color w:val="auto"/>
        </w:rPr>
      </w:pPr>
    </w:p>
    <w:p>
      <w:pPr>
        <w:ind w:firstLine="1297"/>
        <w:spacing w:after="0" w:line="287" w:lineRule="auto"/>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i w:val="1"/>
          <w:iCs w:val="1"/>
          <w:color w:val="auto"/>
        </w:rPr>
        <w:t>Title to Partnership Assets</w:t>
      </w:r>
      <w:r>
        <w:rPr>
          <w:rFonts w:ascii="Arial" w:cs="Arial" w:eastAsia="Arial" w:hAnsi="Arial"/>
          <w:sz w:val="16"/>
          <w:szCs w:val="16"/>
          <w:color w:val="auto"/>
        </w:rPr>
        <w:t xml:space="preserve">. Title to Partnership assets, whether real, personal or mixed and whether tangible or intangible, shall be deemed to be owned by the Partnership as an entity, and no Partner, individually or collectively, shall have any ownership interest in such Partnership assets or any portion thereof. Title to any or all of the Partnership assets may be held in the name of the Partnership, the General Partner, one or more of its Affiliates or one or more nominees, as the Board of Directors may determine. The General Partner hereby declares and warrants that any Partnership assets for which record title is held in the name of the General Partner or one or more of its Affiliates or one or more nominees shall be held by the General Partner or such Affiliate or nominee for the use and benefit of the Partnership in accordance with the provisions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General Partner shall use commercially reasonable efforts to cause record title to such assets (other than those assets in respect of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Board of Directors determines that the expense and difficulty of conveyancing makes transfer of record title to the Partnership impracticable) to be vested in the Partnership as soon as reasonably practicable;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prior to the withdrawal or removal of the General Partner or as soon thereafter as practicable, the General Partner shall use reasonable efforts to effect the transfer of record title to the Partnership and, prior to any such transfer, will provide for the use of such assets in a manner satisfactory to the Board of Directors. All Partnership assets shall be recorded as the property of the Partnership in its books and records, irrespective of the name in which record title to such Partnership assets is held.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OF LIMITED PARTNERS</w:t>
      </w:r>
    </w:p>
    <w:p>
      <w:pPr>
        <w:spacing w:after="0" w:line="211"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Limitation of Liability</w:t>
      </w:r>
      <w:r>
        <w:rPr>
          <w:rFonts w:ascii="Arial" w:cs="Arial" w:eastAsia="Arial" w:hAnsi="Arial"/>
          <w:sz w:val="18"/>
          <w:szCs w:val="18"/>
          <w:color w:val="auto"/>
        </w:rPr>
        <w:t>. The Limited Partners shall have no liability under this Agreement except as expressly provided in this Agreement or the Marshall Islands Act.</w:t>
      </w:r>
    </w:p>
    <w:p>
      <w:pPr>
        <w:spacing w:after="0" w:line="170" w:lineRule="exact"/>
        <w:rPr>
          <w:sz w:val="20"/>
          <w:szCs w:val="20"/>
          <w:color w:val="auto"/>
        </w:rPr>
      </w:pPr>
    </w:p>
    <w:p>
      <w:pPr>
        <w:ind w:right="120" w:firstLine="1297"/>
        <w:spacing w:after="0" w:line="257"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i w:val="1"/>
          <w:iCs w:val="1"/>
          <w:color w:val="auto"/>
        </w:rPr>
        <w:t>Management of Business</w:t>
      </w:r>
      <w:r>
        <w:rPr>
          <w:rFonts w:ascii="Arial" w:cs="Arial" w:eastAsia="Arial" w:hAnsi="Arial"/>
          <w:sz w:val="18"/>
          <w:szCs w:val="18"/>
          <w:color w:val="auto"/>
        </w:rPr>
        <w:t>. No Limited Partner, in its capacity as such, shall participate in the operation, management or control (within the meaning of the Marshall Islands Act) of the Partnership’s business, transact any business in the Partnership’s name or have the power to sign documents for or otherwise bind the Partnership. Any action taken by any Affiliate of the General Partner or any officer, director, employee, manager, member, general partner, agent or trustee of the General Partner or any of its Affiliates, or any officer, director, employee, manager, member, general partner, agent or trustee of a Group</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Member, in its capacity as such, shall not be deemed to be participation in the control of the business of the Partnership by a limited partner of the Partnership (within the meaning of Section 30 of the Marshall Islands Act) and shall not affect, impair or eliminate the limitations on the liability of the Limited Partners under this Agreement.</w:t>
      </w:r>
    </w:p>
    <w:p>
      <w:pPr>
        <w:spacing w:after="0" w:line="181"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i w:val="1"/>
          <w:iCs w:val="1"/>
          <w:color w:val="auto"/>
        </w:rPr>
        <w:t>Outside Activities of the Limited Partners</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Section 7.13</w:t>
      </w:r>
      <w:r>
        <w:rPr>
          <w:rFonts w:ascii="Arial" w:cs="Arial" w:eastAsia="Arial" w:hAnsi="Arial"/>
          <w:sz w:val="18"/>
          <w:szCs w:val="18"/>
          <w:color w:val="auto"/>
        </w:rPr>
        <w:t xml:space="preserve"> and the Omnibus Agreement, which shall continue to be applicable to the Persons referred to therein, regardless of whether such Persons shall also be Limited Partners, each Limited Partner shall be entitled to and may have business interests and engage in business activities in addition to those relating to the Partnership, including business interests and activities in direct competition with the Partnership Group. Neither the Partnership nor any of the other Partners shall have any rights by virtue of this Agreement in any business ventures of any Limited Partner.</w:t>
      </w:r>
    </w:p>
    <w:p>
      <w:pPr>
        <w:spacing w:after="0" w:line="188" w:lineRule="exact"/>
        <w:rPr>
          <w:sz w:val="20"/>
          <w:szCs w:val="20"/>
          <w:color w:val="auto"/>
        </w:rPr>
      </w:pPr>
    </w:p>
    <w:p>
      <w:pPr>
        <w:ind w:right="300" w:firstLine="1297"/>
        <w:spacing w:after="0" w:line="312"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i w:val="1"/>
          <w:iCs w:val="1"/>
          <w:color w:val="auto"/>
        </w:rPr>
        <w:t>Rights of Limited Partners</w:t>
      </w:r>
      <w:r>
        <w:rPr>
          <w:rFonts w:ascii="Arial" w:cs="Arial" w:eastAsia="Arial" w:hAnsi="Arial"/>
          <w:sz w:val="16"/>
          <w:szCs w:val="16"/>
          <w:color w:val="auto"/>
        </w:rPr>
        <w:t xml:space="preserve">. (a) In addition to other rights provided by this Agreement or by the Marshall Islands Act, and except as limited by </w:t>
      </w:r>
      <w:r>
        <w:rPr>
          <w:rFonts w:ascii="Arial" w:cs="Arial" w:eastAsia="Arial" w:hAnsi="Arial"/>
          <w:sz w:val="16"/>
          <w:szCs w:val="16"/>
          <w:u w:val="single" w:color="auto"/>
          <w:color w:val="auto"/>
        </w:rPr>
        <w:t>Section 3.4(b)</w:t>
      </w:r>
      <w:r>
        <w:rPr>
          <w:rFonts w:ascii="Arial" w:cs="Arial" w:eastAsia="Arial" w:hAnsi="Arial"/>
          <w:sz w:val="16"/>
          <w:szCs w:val="16"/>
          <w:color w:val="auto"/>
        </w:rPr>
        <w:t>, each Limited Partner shall have the right, for a purpose reasonably related to such Limited Partner’s interest as a Limited Partner in the Partnership, upon reasonable written demand stating the purpose of such demand and at such Limited Partner’s own expense, to:</w:t>
      </w:r>
    </w:p>
    <w:p>
      <w:pPr>
        <w:spacing w:after="0" w:line="147" w:lineRule="exact"/>
        <w:rPr>
          <w:sz w:val="20"/>
          <w:szCs w:val="20"/>
          <w:color w:val="auto"/>
        </w:rPr>
      </w:pPr>
    </w:p>
    <w:p>
      <w:pPr>
        <w:ind w:left="1980" w:hanging="675"/>
        <w:spacing w:after="0"/>
        <w:tabs>
          <w:tab w:leader="none" w:pos="1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have furnished to him a current list of the name and last known business, residence or mailing address of each Partner;</w:t>
      </w:r>
    </w:p>
    <w:p>
      <w:pPr>
        <w:sectPr>
          <w:pgSz w:w="11900" w:h="16838" w:orient="portrait"/>
          <w:cols w:equalWidth="0" w:num="1">
            <w:col w:w="11420"/>
          </w:cols>
          <w:pgMar w:left="240" w:top="125" w:right="239" w:bottom="44" w:gutter="0" w:footer="0" w:header="0"/>
        </w:sectPr>
      </w:pPr>
    </w:p>
    <w:bookmarkStart w:id="17" w:name="page18"/>
    <w:bookmarkEnd w:id="17"/>
    <w:p>
      <w:pPr>
        <w:ind w:left="660" w:right="400" w:firstLine="645"/>
        <w:spacing w:after="0" w:line="264" w:lineRule="auto"/>
        <w:tabs>
          <w:tab w:leader="none" w:pos="1987"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 true and full information regarding the amount of cash and a description and statement of the Net Agreed Value of any other Capital Contribution by each Partner and which each Partner has agreed to contribute in the future, and the date on which each became a Partner;</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have furnished to him a copy of this Agreement and the Certificate of Limited Partnership and all amendments thereto;</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obtain true and full information regarding the status of the business and financial condition of the Partnership Group; and</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 such other information regarding the affairs of the Partnership as is just and reasonable.</w:t>
      </w:r>
    </w:p>
    <w:p>
      <w:pPr>
        <w:spacing w:after="0" w:line="225" w:lineRule="exact"/>
        <w:rPr>
          <w:sz w:val="20"/>
          <w:szCs w:val="20"/>
          <w:color w:val="auto"/>
        </w:rPr>
      </w:pPr>
    </w:p>
    <w:p>
      <w:pPr>
        <w:ind w:right="40" w:firstLine="1305"/>
        <w:spacing w:after="0" w:line="276" w:lineRule="auto"/>
        <w:tabs>
          <w:tab w:leader="none" w:pos="1952"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The Board of Directors may keep confidential from the Limited Partners, for such period of time as the Board of Directors deems reasonable, (i) any information that the Board of Directors reasonably believes to be in the nature of trade secrets or (ii) other information the disclosure of which the Board of Directors in good faith believes (A) is not in the best interests of the Partnership Group, (B) could damage the Partnership Group or its business or (C) that any Group Member is required by law or by agreement with any third party to keep confidential (other than agreements with Affiliates of the Partnership the primary purpose of which is to circumvent the obligations set forth in this </w:t>
      </w:r>
      <w:r>
        <w:rPr>
          <w:rFonts w:ascii="Arial" w:cs="Arial" w:eastAsia="Arial" w:hAnsi="Arial"/>
          <w:sz w:val="17"/>
          <w:szCs w:val="17"/>
          <w:u w:val="single" w:color="auto"/>
          <w:color w:val="auto"/>
        </w:rPr>
        <w:t>Section 3.4</w:t>
      </w:r>
      <w:r>
        <w:rPr>
          <w:rFonts w:ascii="Arial" w:cs="Arial" w:eastAsia="Arial" w:hAnsi="Arial"/>
          <w:sz w:val="17"/>
          <w:szCs w:val="17"/>
          <w:color w:val="auto"/>
        </w:rPr>
        <w: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CERTIFICATES; RECORD HOLDERS; TRANSFER OF PARTNERSHIP INTERESTS</w:t>
      </w:r>
    </w:p>
    <w:p>
      <w:pPr>
        <w:spacing w:after="0" w:line="211"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i w:val="1"/>
          <w:iCs w:val="1"/>
          <w:color w:val="auto"/>
        </w:rPr>
        <w:t>Certificates</w:t>
      </w:r>
      <w:r>
        <w:rPr>
          <w:rFonts w:ascii="Arial" w:cs="Arial" w:eastAsia="Arial" w:hAnsi="Arial"/>
          <w:sz w:val="16"/>
          <w:szCs w:val="16"/>
          <w:color w:val="auto"/>
        </w:rPr>
        <w:t xml:space="preserve">. Partnership Interests shall be evidenced in certificated and uncertificated form as determined by the Board of Directors. Certificates that may be issued shall be executed on behalf of the Partnership by the Chairman of the Board of Directors, President, Chief Executive Officer or any Executive Vice President or Vice President and the Chief Financial Officer or the Secretary or any Assistant Secretary of the General Partner. If a Transfer Agent has been appointed for a class or series of Partnership Interests, no Certificate for such class or series of Partnership Interests shall be valid for any purpose until it has been countersigned by the Transfer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Board of Directors elects to cause the Partnership to issue Partnership Interests of such class or series in global form, the Certificate shall be valid upon receipt of a certificate from the Transfer Agent certifying that the Partnership Interests have been duly registered in accordance with the directions of the Partnership.</w:t>
      </w:r>
    </w:p>
    <w:p>
      <w:pPr>
        <w:spacing w:after="0" w:line="167" w:lineRule="exact"/>
        <w:rPr>
          <w:sz w:val="20"/>
          <w:szCs w:val="20"/>
          <w:color w:val="auto"/>
        </w:rPr>
      </w:pPr>
    </w:p>
    <w:p>
      <w:pPr>
        <w:ind w:right="20" w:firstLine="1297"/>
        <w:spacing w:after="0" w:line="279"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i w:val="1"/>
          <w:iCs w:val="1"/>
          <w:color w:val="auto"/>
        </w:rPr>
        <w:t>Mutilated, Destroyed, Lost or Stolen Certificates.</w:t>
      </w:r>
      <w:r>
        <w:rPr>
          <w:rFonts w:ascii="Arial" w:cs="Arial" w:eastAsia="Arial" w:hAnsi="Arial"/>
          <w:sz w:val="17"/>
          <w:szCs w:val="17"/>
          <w:color w:val="auto"/>
        </w:rPr>
        <w:t xml:space="preserve"> (a) If any mutilated Certificate is surrendered to the Transfer Agent (for Common Units or Preference Units) or the Partnership (for Partnership Interests other than Common Units or Preference Units), the appropriate Officers on behalf of the Partnership shall execute, and the Transfer Agent (for Common Units or Preference Units) shall countersign and deliver in exchange therefor, a new Certificate evidencing the same number and type of Partnership Interests as the Certificate so surrendered.</w:t>
      </w:r>
    </w:p>
    <w:p>
      <w:pPr>
        <w:spacing w:after="0" w:line="171" w:lineRule="exact"/>
        <w:rPr>
          <w:sz w:val="20"/>
          <w:szCs w:val="20"/>
          <w:color w:val="auto"/>
        </w:rPr>
      </w:pPr>
    </w:p>
    <w:p>
      <w:pPr>
        <w:ind w:right="120" w:firstLine="1305"/>
        <w:spacing w:after="0" w:line="264" w:lineRule="auto"/>
        <w:tabs>
          <w:tab w:leader="none" w:pos="19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appropriate Officers on behalf of the Partnership shall execute and deliver, and the Transfer Agent (for Common Units or Preference Units), as applicable, shall countersign, a new Certificate in place of any Certificate previously issued, or issue uncertificated Units, if the Record Holder of the Certificate:</w:t>
      </w:r>
    </w:p>
    <w:p>
      <w:pPr>
        <w:spacing w:after="0" w:line="181" w:lineRule="exact"/>
        <w:rPr>
          <w:sz w:val="20"/>
          <w:szCs w:val="20"/>
          <w:color w:val="auto"/>
        </w:rPr>
      </w:pPr>
    </w:p>
    <w:p>
      <w:pPr>
        <w:ind w:left="660" w:right="180" w:firstLine="645"/>
        <w:spacing w:after="0" w:line="277" w:lineRule="auto"/>
        <w:tabs>
          <w:tab w:leader="none" w:pos="1978"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makes proof by affidavit, in form and substance satisfactory to the Partnership, that a previously issued Certificate has been lost, destroyed or stolen;</w:t>
      </w:r>
    </w:p>
    <w:p>
      <w:pPr>
        <w:spacing w:after="0" w:line="170" w:lineRule="exact"/>
        <w:rPr>
          <w:rFonts w:ascii="Arial" w:cs="Arial" w:eastAsia="Arial" w:hAnsi="Arial"/>
          <w:sz w:val="18"/>
          <w:szCs w:val="18"/>
          <w:color w:val="auto"/>
        </w:rPr>
      </w:pPr>
    </w:p>
    <w:p>
      <w:pPr>
        <w:ind w:left="660" w:right="680" w:firstLine="645"/>
        <w:spacing w:after="0" w:line="277" w:lineRule="auto"/>
        <w:tabs>
          <w:tab w:leader="none" w:pos="19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requests the issuance of a new Certificate or the issuance of uncertificated Units before the Partnership has notice that the Certificate has been acquired by a purchaser for value in good faith and without notice of an adverse claim;</w:t>
      </w:r>
    </w:p>
    <w:p>
      <w:pPr>
        <w:spacing w:after="0" w:line="170" w:lineRule="exact"/>
        <w:rPr>
          <w:rFonts w:ascii="Arial" w:cs="Arial" w:eastAsia="Arial" w:hAnsi="Arial"/>
          <w:sz w:val="18"/>
          <w:szCs w:val="18"/>
          <w:color w:val="auto"/>
        </w:rPr>
      </w:pPr>
    </w:p>
    <w:p>
      <w:pPr>
        <w:ind w:left="660" w:right="60" w:firstLine="645"/>
        <w:spacing w:after="0" w:line="312" w:lineRule="auto"/>
        <w:tabs>
          <w:tab w:leader="none" w:pos="1997"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requested by the Partnership, delivers to the Partnership a bond, in form and substance satisfactory to the Partnership, with surety or sureties and with fixed or open penalty as the Board of Directors may direct to indemnify the Partnership, the Partners, the General Partner and the Transfer Agent against any claim that may be made on account of the alleged loss, destruction or theft of the Certificate; and</w:t>
      </w:r>
    </w:p>
    <w:p>
      <w:pPr>
        <w:spacing w:after="0" w:line="146" w:lineRule="exact"/>
        <w:rPr>
          <w:rFonts w:ascii="Arial" w:cs="Arial" w:eastAsia="Arial" w:hAnsi="Arial"/>
          <w:sz w:val="16"/>
          <w:szCs w:val="16"/>
          <w:color w:val="auto"/>
        </w:rPr>
      </w:pPr>
    </w:p>
    <w:p>
      <w:pPr>
        <w:ind w:left="1960" w:hanging="655"/>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satisfies any other reasonable requirements imposed by the Board of Directors.</w:t>
      </w:r>
    </w:p>
    <w:p>
      <w:pPr>
        <w:spacing w:after="0" w:line="225"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If a Limited Partner fails to notify the Partnership within a reasonable period of time after he has notice of the loss, destruction or theft of a Certificate, and a transfer of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Limited Partner Interests represented by the Certificate is registered before the Partnership, the General Partner or the Transfer Agent receives such notification, the Limited Partner shall be precluded from making any claim against the Partnership, the General Partner or the Transfer Agent for such transfer or for a new Certificate or uncertificated Units.</w:t>
      </w:r>
    </w:p>
    <w:p>
      <w:pPr>
        <w:spacing w:after="0" w:line="181" w:lineRule="exact"/>
        <w:rPr>
          <w:sz w:val="20"/>
          <w:szCs w:val="20"/>
          <w:color w:val="auto"/>
        </w:rPr>
      </w:pPr>
    </w:p>
    <w:p>
      <w:pPr>
        <w:jc w:val="both"/>
        <w:ind w:firstLine="1305"/>
        <w:spacing w:after="0" w:line="264" w:lineRule="auto"/>
        <w:tabs>
          <w:tab w:leader="none" w:pos="19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As a condition to the issuance of any new Certificate or uncertificated Units under this </w:t>
      </w:r>
      <w:r>
        <w:rPr>
          <w:rFonts w:ascii="Arial" w:cs="Arial" w:eastAsia="Arial" w:hAnsi="Arial"/>
          <w:sz w:val="18"/>
          <w:szCs w:val="18"/>
          <w:u w:val="single" w:color="auto"/>
          <w:color w:val="auto"/>
        </w:rPr>
        <w:t>Section 4.2</w:t>
      </w:r>
      <w:r>
        <w:rPr>
          <w:rFonts w:ascii="Arial" w:cs="Arial" w:eastAsia="Arial" w:hAnsi="Arial"/>
          <w:sz w:val="18"/>
          <w:szCs w:val="18"/>
          <w:color w:val="auto"/>
        </w:rPr>
        <w:t>, the Partnership may require the payment of a sum sufficient to cover any tax or other governmental charge that may be imposed in relation thereto and any other expenses (including the fees and expenses of the Transfer Agent) reasonably connected therewith.</w:t>
      </w:r>
    </w:p>
    <w:p>
      <w:pPr>
        <w:spacing w:after="0" w:line="181" w:lineRule="exact"/>
        <w:rPr>
          <w:sz w:val="20"/>
          <w:szCs w:val="20"/>
          <w:color w:val="auto"/>
        </w:rPr>
      </w:pPr>
    </w:p>
    <w:p>
      <w:pPr>
        <w:ind w:right="160" w:firstLine="1297"/>
        <w:spacing w:after="0" w:line="290"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i w:val="1"/>
          <w:iCs w:val="1"/>
          <w:color w:val="auto"/>
        </w:rPr>
        <w:t>Record Holders</w:t>
      </w:r>
      <w:r>
        <w:rPr>
          <w:rFonts w:ascii="Arial" w:cs="Arial" w:eastAsia="Arial" w:hAnsi="Arial"/>
          <w:sz w:val="16"/>
          <w:szCs w:val="16"/>
          <w:color w:val="auto"/>
        </w:rPr>
        <w:t>. The Partnership shall be entitled to recognize the Record Holder as the Partner with respect to any Partnership Interest and, accordingly, shall not be bound to recognize any equitable or other claim to, or interest in, such Partnership Interest on the part of any other Person, regardless of whether the Partnership shall have actual or other notice thereof, except as otherwise provided by law or any applicable rule, regulation, guideline or requirement of any National Securities Exchange on which such Partnership Interests are listed or admitted to trading. Without limiting the foregoing, when a Person (such as a broker, dealer, bank, trust company or clearing corporation or an agent of any of the foregoing) is acting as nominee, agent or in some other representative capacity for another Person in acquiring and/or holding Partnership Interests, as between the Partnership on the one hand, and such other Persons on the other, such representative Person (a) shall be the Record Holder of such Partnership Interest and (b) shall be bound by this Agreement and shall have the rights and obligations of a Partner hereunder and as, and to the extent, provided for herein.</w:t>
      </w:r>
    </w:p>
    <w:p>
      <w:pPr>
        <w:sectPr>
          <w:pgSz w:w="11900" w:h="16838" w:orient="portrait"/>
          <w:cols w:equalWidth="0" w:num="1">
            <w:col w:w="11400"/>
          </w:cols>
          <w:pgMar w:left="240" w:top="125" w:right="259" w:bottom="0" w:gutter="0" w:footer="0" w:header="0"/>
        </w:sectPr>
      </w:pPr>
    </w:p>
    <w:bookmarkStart w:id="18" w:name="page19"/>
    <w:bookmarkEnd w:id="18"/>
    <w:p>
      <w:pPr>
        <w:spacing w:after="0" w:line="114"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i w:val="1"/>
          <w:iCs w:val="1"/>
          <w:color w:val="auto"/>
        </w:rPr>
        <w:t>Transfer Generally.</w:t>
      </w:r>
      <w:r>
        <w:rPr>
          <w:rFonts w:ascii="Arial" w:cs="Arial" w:eastAsia="Arial" w:hAnsi="Arial"/>
          <w:sz w:val="18"/>
          <w:szCs w:val="18"/>
          <w:color w:val="auto"/>
        </w:rPr>
        <w:t xml:space="preserve"> (a) The term “transfer,” when used in this Agreement with respect to a Partnership Interest, shall mean a transaction (i) by which the General Partner assigns its General Partner Units to another Person or by which a holder of Incentive Distribution Rights assigns its Incentive Distribution Rights to another Person, and includes a sale, assignment, gift, pledge, encumbrance, hypothecation, mortgage, exchange or any other disposition by law or otherwise or (ii) by which the holder of a Limited Partner Interest (other than an Incentive Distribution Right) assigns such Limited Partner Interest to another Person who is or becomes a Limited Partner, and includes a sale, assignment, gift, exchange or any other disposition by law or otherwise, excluding a pledge, encumbrance, hypothecation or mortgage, but including any transfer upon foreclosure of any pledge, encumbrance, hypothecation or mortgage.</w:t>
      </w:r>
    </w:p>
    <w:p>
      <w:pPr>
        <w:spacing w:after="0" w:line="189" w:lineRule="exact"/>
        <w:rPr>
          <w:sz w:val="20"/>
          <w:szCs w:val="20"/>
          <w:color w:val="auto"/>
        </w:rPr>
      </w:pPr>
    </w:p>
    <w:p>
      <w:pPr>
        <w:ind w:firstLine="1305"/>
        <w:spacing w:after="0" w:line="308" w:lineRule="auto"/>
        <w:tabs>
          <w:tab w:leader="none" w:pos="1952"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No Partnership Interest shall be transferred, in whole or in part, except in accordance with the terms and conditions set forth in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Any transfer or purported transfer of a Partnership Interest not made in accordance with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shall be null and void.</w:t>
      </w:r>
    </w:p>
    <w:p>
      <w:pPr>
        <w:spacing w:after="0" w:line="146" w:lineRule="exact"/>
        <w:rPr>
          <w:rFonts w:ascii="Arial" w:cs="Arial" w:eastAsia="Arial" w:hAnsi="Arial"/>
          <w:sz w:val="17"/>
          <w:szCs w:val="17"/>
          <w:color w:val="auto"/>
        </w:rPr>
      </w:pPr>
    </w:p>
    <w:p>
      <w:pPr>
        <w:ind w:right="380" w:firstLine="1305"/>
        <w:spacing w:after="0" w:line="264" w:lineRule="auto"/>
        <w:tabs>
          <w:tab w:leader="none" w:pos="19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Nothing contained in this Agreement shall be construed to prevent a disposition by any stockholder, member, partner or other owner of the General Partner of any or all of the shares of stock, membership interests, partnership interests or other ownership interests in the General Partner, and the term “transfer” shall not mean any such disposition.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297"/>
        <w:spacing w:after="0" w:line="289" w:lineRule="auto"/>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i w:val="1"/>
          <w:iCs w:val="1"/>
          <w:color w:val="auto"/>
        </w:rPr>
        <w:t>Registration and Transfer of Limited Partner Interests.</w:t>
      </w:r>
      <w:r>
        <w:rPr>
          <w:rFonts w:ascii="Arial" w:cs="Arial" w:eastAsia="Arial" w:hAnsi="Arial"/>
          <w:sz w:val="16"/>
          <w:szCs w:val="16"/>
          <w:color w:val="auto"/>
        </w:rPr>
        <w:t xml:space="preserve"> (a) The General Partner shall keep or cause to be kept on behalf of the Partnership a register in which, subject to such reasonable regulations as it may prescribe and subject to the provisions of </w:t>
      </w:r>
      <w:r>
        <w:rPr>
          <w:rFonts w:ascii="Arial" w:cs="Arial" w:eastAsia="Arial" w:hAnsi="Arial"/>
          <w:sz w:val="16"/>
          <w:szCs w:val="16"/>
          <w:u w:val="single" w:color="auto"/>
          <w:color w:val="auto"/>
        </w:rPr>
        <w:t>Section 4.5(b)</w:t>
      </w:r>
      <w:r>
        <w:rPr>
          <w:rFonts w:ascii="Arial" w:cs="Arial" w:eastAsia="Arial" w:hAnsi="Arial"/>
          <w:sz w:val="16"/>
          <w:szCs w:val="16"/>
          <w:color w:val="auto"/>
        </w:rPr>
        <w:t xml:space="preserve">, the Partnership will provide for the registration and transfer of Limited Partner Interests. The Transfer Agent is hereby appointed registrar and transfer agent for the purpose of registering Common Units and Preference Units and transfers of such Common Units and Preference Units as herein provided. The Partnership shall not recognize transfers of Certificates evidencing Limited Partner Interests unless such transfers are effected in the manner described in this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Upon surrender of a Certificate for registration of transfer of any Limited Partner Interests evidenced by a Certificate, and subject to the provisions of </w:t>
      </w:r>
      <w:r>
        <w:rPr>
          <w:rFonts w:ascii="Arial" w:cs="Arial" w:eastAsia="Arial" w:hAnsi="Arial"/>
          <w:sz w:val="16"/>
          <w:szCs w:val="16"/>
          <w:u w:val="single" w:color="auto"/>
          <w:color w:val="auto"/>
        </w:rPr>
        <w:t>Section 4.5(b)</w:t>
      </w:r>
      <w:r>
        <w:rPr>
          <w:rFonts w:ascii="Arial" w:cs="Arial" w:eastAsia="Arial" w:hAnsi="Arial"/>
          <w:sz w:val="16"/>
          <w:szCs w:val="16"/>
          <w:color w:val="auto"/>
        </w:rPr>
        <w:t>, the appropriate Officers on behalf of the Partnership shall execute and deliver, and in the case of Common Units, the Transfer Agent shall countersign and deliver, in the name of the holder or the designated transferee or transferees, as required pursuant to the holder’s instructions, one or more new Certificates evidencing the same aggregate number and type of Limited Partner Interests as was evidenced by the Certificate so surrendered.</w:t>
      </w:r>
    </w:p>
    <w:p>
      <w:pPr>
        <w:spacing w:after="0" w:line="167" w:lineRule="exact"/>
        <w:rPr>
          <w:sz w:val="20"/>
          <w:szCs w:val="20"/>
          <w:color w:val="auto"/>
        </w:rPr>
      </w:pPr>
    </w:p>
    <w:p>
      <w:pPr>
        <w:jc w:val="both"/>
        <w:ind w:right="40" w:firstLine="1305"/>
        <w:spacing w:after="0" w:line="279" w:lineRule="auto"/>
        <w:tabs>
          <w:tab w:leader="none" w:pos="1952"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If Limited Partner Interests are evidenced by Certificates, the Partnership shall not recognize any transfer of Limited Partner Interests until the Certificates evidencing such Limited Partner Interests are surrendered for registration of transfer. No charge shall be imposed by the Partnership for such transfer;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as a condition to the issuance of any new Certificate under this </w:t>
      </w:r>
      <w:r>
        <w:rPr>
          <w:rFonts w:ascii="Arial" w:cs="Arial" w:eastAsia="Arial" w:hAnsi="Arial"/>
          <w:sz w:val="17"/>
          <w:szCs w:val="17"/>
          <w:u w:val="single" w:color="auto"/>
          <w:color w:val="auto"/>
        </w:rPr>
        <w:t>Section 4.5</w:t>
      </w:r>
      <w:r>
        <w:rPr>
          <w:rFonts w:ascii="Arial" w:cs="Arial" w:eastAsia="Arial" w:hAnsi="Arial"/>
          <w:sz w:val="17"/>
          <w:szCs w:val="17"/>
          <w:color w:val="auto"/>
        </w:rPr>
        <w:t>, the Partnership may require the payment of a sum sufficient to cover any tax or other governmental charge that may be imposed with respect thereto.</w:t>
      </w:r>
    </w:p>
    <w:p>
      <w:pPr>
        <w:spacing w:after="0" w:line="171" w:lineRule="exact"/>
        <w:rPr>
          <w:rFonts w:ascii="Arial" w:cs="Arial" w:eastAsia="Arial" w:hAnsi="Arial"/>
          <w:sz w:val="17"/>
          <w:szCs w:val="17"/>
          <w:color w:val="auto"/>
        </w:rPr>
      </w:pPr>
    </w:p>
    <w:p>
      <w:pPr>
        <w:ind w:right="20" w:firstLine="1305"/>
        <w:spacing w:after="0" w:line="290" w:lineRule="auto"/>
        <w:tabs>
          <w:tab w:leader="none" w:pos="19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By acceptance of the transfer of a Limited Partner Interest in accordance with this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and except as otherwise provided in </w:t>
      </w:r>
      <w:r>
        <w:rPr>
          <w:rFonts w:ascii="Arial" w:cs="Arial" w:eastAsia="Arial" w:hAnsi="Arial"/>
          <w:sz w:val="16"/>
          <w:szCs w:val="16"/>
          <w:u w:val="single" w:color="auto"/>
          <w:color w:val="auto"/>
        </w:rPr>
        <w:t>Section 4.8</w:t>
      </w:r>
      <w:r>
        <w:rPr>
          <w:rFonts w:ascii="Arial" w:cs="Arial" w:eastAsia="Arial" w:hAnsi="Arial"/>
          <w:sz w:val="16"/>
          <w:szCs w:val="16"/>
          <w:color w:val="auto"/>
        </w:rPr>
        <w:t>, each transferee of a Limited Partner Interest (including any nominee holder or an agent or representative acquiring such Limited Partner Interests for the account of another Person) (i) shall be admitted to the Partnership as a Limited Partner with respect to the Limited Partner Interests so transferred to such Person when any such transfer or admission is reflected in the books and records of the Partnership and such Limited Partner becomes the Record Holder of the Limited Partner Interests so transferred, (ii) shall become bound, and shall be deemed to have agreed to be bound, by the terms of this Agreement, (iii) represents that the transferee has the capacity, power and authority to enter into this Agreement and (iv) makes the consents, acknowledgments and waivers contained in this Agreement, all with or without execution of this Agreement by such Person. The transfer of any Limited Partner Interests and the admission of any new Limited Partner shall not constitute an amendment to this Agreement.</w:t>
      </w:r>
    </w:p>
    <w:p>
      <w:pPr>
        <w:spacing w:after="0" w:line="166" w:lineRule="exact"/>
        <w:rPr>
          <w:rFonts w:ascii="Arial" w:cs="Arial" w:eastAsia="Arial" w:hAnsi="Arial"/>
          <w:sz w:val="16"/>
          <w:szCs w:val="16"/>
          <w:color w:val="auto"/>
        </w:rPr>
      </w:pPr>
    </w:p>
    <w:p>
      <w:pPr>
        <w:ind w:left="1960" w:hanging="655"/>
        <w:spacing w:after="0"/>
        <w:tabs>
          <w:tab w:leader="none" w:pos="19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Subject to the provisions set forth in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and applicable securities laws, Limited Partner Interests shall be freely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transferable.</w:t>
      </w:r>
    </w:p>
    <w:p>
      <w:pPr>
        <w:spacing w:after="0" w:line="210" w:lineRule="exact"/>
        <w:rPr>
          <w:rFonts w:ascii="Arial" w:cs="Arial" w:eastAsia="Arial" w:hAnsi="Arial"/>
          <w:sz w:val="17"/>
          <w:szCs w:val="17"/>
          <w:color w:val="auto"/>
        </w:rPr>
      </w:pPr>
    </w:p>
    <w:p>
      <w:pPr>
        <w:ind w:left="1960" w:hanging="655"/>
        <w:spacing w:after="0"/>
        <w:tabs>
          <w:tab w:leader="none" w:pos="1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General Partner and its Affiliates shall have the right at any time to transfer their Common Units or any Preference Units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one or more Persons.</w:t>
      </w:r>
    </w:p>
    <w:p>
      <w:pPr>
        <w:spacing w:after="0" w:line="21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i w:val="1"/>
          <w:iCs w:val="1"/>
          <w:color w:val="auto"/>
        </w:rPr>
        <w:t>Transfer of the General Partner’s General Partner Interest.</w:t>
      </w:r>
      <w:r>
        <w:rPr>
          <w:rFonts w:ascii="Arial" w:cs="Arial" w:eastAsia="Arial" w:hAnsi="Arial"/>
          <w:sz w:val="18"/>
          <w:szCs w:val="18"/>
          <w:color w:val="auto"/>
        </w:rPr>
        <w:t xml:space="preserve"> (a) Subject to </w:t>
      </w:r>
      <w:r>
        <w:rPr>
          <w:rFonts w:ascii="Arial" w:cs="Arial" w:eastAsia="Arial" w:hAnsi="Arial"/>
          <w:sz w:val="18"/>
          <w:szCs w:val="18"/>
          <w:u w:val="single" w:color="auto"/>
          <w:color w:val="auto"/>
        </w:rPr>
        <w:t>Section 4.6(c)</w:t>
      </w:r>
      <w:r>
        <w:rPr>
          <w:rFonts w:ascii="Arial" w:cs="Arial" w:eastAsia="Arial" w:hAnsi="Arial"/>
          <w:sz w:val="18"/>
          <w:szCs w:val="18"/>
          <w:color w:val="auto"/>
        </w:rPr>
        <w:t xml:space="preserve"> below, prior to March 31, 2024, the General Partner shall not transfer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all or any part of its General Partner Interest (represented by General Partner Units) to a Person unless such transfer (i) has been approved by the prior written consent or vote of the holders of at least a majority of the Outstanding Common Units (excluding Common Units held by the General Partner and its Affiliates) or (ii) is of all, but not less than all, of its General Partner Interest to (A) an Affiliate of the General Partner (other than an individual) or (B) another Person (other than an individual) in connection with (y) the merger or consolidation of the General Partner with or into such other Person or (z) the transfer by the General Partner of all or substantially all of its assets to such other Person.</w:t>
      </w:r>
    </w:p>
    <w:p>
      <w:pPr>
        <w:spacing w:after="0" w:line="188" w:lineRule="exact"/>
        <w:rPr>
          <w:sz w:val="20"/>
          <w:szCs w:val="20"/>
          <w:color w:val="auto"/>
        </w:rPr>
      </w:pPr>
    </w:p>
    <w:p>
      <w:pPr>
        <w:ind w:right="380" w:firstLine="1305"/>
        <w:spacing w:after="0" w:line="277" w:lineRule="auto"/>
        <w:tabs>
          <w:tab w:leader="none" w:pos="19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4.6(c)</w:t>
      </w:r>
      <w:r>
        <w:rPr>
          <w:rFonts w:ascii="Arial" w:cs="Arial" w:eastAsia="Arial" w:hAnsi="Arial"/>
          <w:sz w:val="18"/>
          <w:szCs w:val="18"/>
          <w:color w:val="auto"/>
        </w:rPr>
        <w:t xml:space="preserve"> below, on or after March 31, 2024, the General Partner may transfer all or any of its General Partner Interest without Unitholder approval.</w:t>
      </w:r>
    </w:p>
    <w:p>
      <w:pPr>
        <w:spacing w:after="0" w:line="170" w:lineRule="exact"/>
        <w:rPr>
          <w:rFonts w:ascii="Arial" w:cs="Arial" w:eastAsia="Arial" w:hAnsi="Arial"/>
          <w:sz w:val="18"/>
          <w:szCs w:val="18"/>
          <w:color w:val="auto"/>
        </w:rPr>
      </w:pPr>
    </w:p>
    <w:p>
      <w:pPr>
        <w:ind w:right="20" w:firstLine="1305"/>
        <w:spacing w:after="0" w:line="290" w:lineRule="auto"/>
        <w:tabs>
          <w:tab w:leader="none" w:pos="19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Notwithstanding anything herein to the contrary, no transfer by the General Partner of all or any part of its General Partner Interest to another Person shall be permitted unless (i) the transferee agrees to assume the rights and duties of the General Partner under this Agreement and to be bound by the provisions of this Agreement, (ii) the Partnership receives an Opinion of Counsel that such transfer would not result in the loss of limited liability of any Limited Partner or of any limited partner or member of any other Group Member under the laws of any such entity’s jurisdiction of formation and (iii) such transferee also agrees to purchase all (or the appropriate portion thereof, if applicable) of the partnership or membership interest of the General Partner as the general partner or managing member, if any, of each other Group Member. In the case of a transfer pursuant to and in compliance with this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the transferee or successor (as the case may be) shall, subject to compliance with the terms of </w:t>
      </w:r>
      <w:r>
        <w:rPr>
          <w:rFonts w:ascii="Arial" w:cs="Arial" w:eastAsia="Arial" w:hAnsi="Arial"/>
          <w:sz w:val="16"/>
          <w:szCs w:val="16"/>
          <w:u w:val="single" w:color="auto"/>
          <w:color w:val="auto"/>
        </w:rPr>
        <w:t>Section 10.3</w:t>
      </w:r>
      <w:r>
        <w:rPr>
          <w:rFonts w:ascii="Arial" w:cs="Arial" w:eastAsia="Arial" w:hAnsi="Arial"/>
          <w:sz w:val="16"/>
          <w:szCs w:val="16"/>
          <w:color w:val="auto"/>
        </w:rPr>
        <w:t>, be admitted to the Partnership as the General Partner immediately prior to the transfer of the General Partner Interest, and the business of the Partnership shall continue without dissolution.</w:t>
      </w:r>
    </w:p>
    <w:p>
      <w:pPr>
        <w:spacing w:after="0" w:line="166" w:lineRule="exact"/>
        <w:rPr>
          <w:sz w:val="20"/>
          <w:szCs w:val="20"/>
          <w:color w:val="auto"/>
        </w:rPr>
      </w:pPr>
    </w:p>
    <w:p>
      <w:pPr>
        <w:ind w:right="20" w:firstLine="1297"/>
        <w:spacing w:after="0" w:line="308" w:lineRule="auto"/>
        <w:rPr>
          <w:sz w:val="20"/>
          <w:szCs w:val="20"/>
          <w:color w:val="auto"/>
        </w:rPr>
      </w:pPr>
      <w:r>
        <w:rPr>
          <w:rFonts w:ascii="Arial" w:cs="Arial" w:eastAsia="Arial" w:hAnsi="Arial"/>
          <w:sz w:val="17"/>
          <w:szCs w:val="17"/>
          <w:color w:val="auto"/>
        </w:rPr>
        <w:t xml:space="preserve">Section 4.7. </w:t>
      </w:r>
      <w:r>
        <w:rPr>
          <w:rFonts w:ascii="Arial" w:cs="Arial" w:eastAsia="Arial" w:hAnsi="Arial"/>
          <w:sz w:val="17"/>
          <w:szCs w:val="17"/>
          <w:i w:val="1"/>
          <w:iCs w:val="1"/>
          <w:color w:val="auto"/>
        </w:rPr>
        <w:t>Transfer of Incentive Distribution Rights</w:t>
      </w:r>
      <w:r>
        <w:rPr>
          <w:rFonts w:ascii="Arial" w:cs="Arial" w:eastAsia="Arial" w:hAnsi="Arial"/>
          <w:sz w:val="17"/>
          <w:szCs w:val="17"/>
          <w:color w:val="auto"/>
        </w:rPr>
        <w:t>. Prior to March 31, 2019, a holder of Incentive Distribution Rights may transfer any or all of the Incentive Distribution Rights held by such holder without any consent of the Unitholders to (a) an Affiliate of such holder (other than an</w:t>
      </w:r>
    </w:p>
    <w:p>
      <w:pPr>
        <w:sectPr>
          <w:pgSz w:w="11900" w:h="16953" w:orient="portrait"/>
          <w:cols w:equalWidth="0" w:num="1">
            <w:col w:w="11380"/>
          </w:cols>
          <w:pgMar w:left="240" w:top="125" w:right="279" w:bottom="0" w:gutter="0" w:footer="0" w:header="0"/>
        </w:sectPr>
      </w:pPr>
    </w:p>
    <w:bookmarkStart w:id="19" w:name="page20"/>
    <w:bookmarkEnd w:id="19"/>
    <w:p>
      <w:pPr>
        <w:spacing w:after="0" w:line="9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individual) or (b) another Person (other than an individual) in connection with (i) the merger or consolidation of such holder of Incentive Distribution Rights with or into such other Person or (ii) the transfer by such holder of all or substantially all of its assets to such other Person. Any other transfer of the Incentive Distribution Rights prior to March 31, 2019, shall require the prior approval of holders of at least a majority of the Outstanding Common Units (excluding Common Units held by GasLog and its Affiliates). On or after March 31, 2019, any holder of Incentive Distribution Rights may transfer any or all of its Incentive Distribution Rights without Unitholder approval. Notwithstanding anything herein to the contrary, (a) the transfer of Common Units issued pursuant to </w:t>
      </w:r>
      <w:r>
        <w:rPr>
          <w:rFonts w:ascii="Arial" w:cs="Arial" w:eastAsia="Arial" w:hAnsi="Arial"/>
          <w:sz w:val="17"/>
          <w:szCs w:val="17"/>
          <w:u w:val="single" w:color="auto"/>
          <w:color w:val="auto"/>
        </w:rPr>
        <w:t>Section 5.9</w:t>
      </w:r>
      <w:r>
        <w:rPr>
          <w:rFonts w:ascii="Arial" w:cs="Arial" w:eastAsia="Arial" w:hAnsi="Arial"/>
          <w:sz w:val="17"/>
          <w:szCs w:val="17"/>
          <w:color w:val="auto"/>
        </w:rPr>
        <w:t xml:space="preserve"> shall not be treated as a transfer of all or any part of the Incentive Distribution Rights and (b) no transfer of Incentive Distribution Rights to another Person shall be permitted unless the transferee agrees to be bound by the provisions of this Agreement. The General Partner and any transferee or transferees of the Incentive Distribution Rights may agree in a separate instrument as to the General Partner’s exercise of its rights with respect to the Incentive Distribution Rights under </w:t>
      </w:r>
      <w:r>
        <w:rPr>
          <w:rFonts w:ascii="Arial" w:cs="Arial" w:eastAsia="Arial" w:hAnsi="Arial"/>
          <w:sz w:val="17"/>
          <w:szCs w:val="17"/>
          <w:u w:val="single" w:color="auto"/>
          <w:color w:val="auto"/>
        </w:rPr>
        <w:t>Section 11.3</w:t>
      </w:r>
      <w:r>
        <w:rPr>
          <w:rFonts w:ascii="Arial" w:cs="Arial" w:eastAsia="Arial" w:hAnsi="Arial"/>
          <w:sz w:val="17"/>
          <w:szCs w:val="17"/>
          <w:color w:val="auto"/>
        </w:rPr>
        <w: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297"/>
        <w:spacing w:after="0" w:line="257"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i w:val="1"/>
          <w:iCs w:val="1"/>
          <w:color w:val="auto"/>
        </w:rPr>
        <w:t>Restrictions on Transfers.</w:t>
      </w:r>
      <w:r>
        <w:rPr>
          <w:rFonts w:ascii="Arial" w:cs="Arial" w:eastAsia="Arial" w:hAnsi="Arial"/>
          <w:sz w:val="18"/>
          <w:szCs w:val="18"/>
          <w:color w:val="auto"/>
        </w:rPr>
        <w:t xml:space="preserve"> (a) Except as provided in </w:t>
      </w:r>
      <w:r>
        <w:rPr>
          <w:rFonts w:ascii="Arial" w:cs="Arial" w:eastAsia="Arial" w:hAnsi="Arial"/>
          <w:sz w:val="18"/>
          <w:szCs w:val="18"/>
          <w:u w:val="single" w:color="auto"/>
          <w:color w:val="auto"/>
        </w:rPr>
        <w:t>Section 4.8(b)</w:t>
      </w:r>
      <w:r>
        <w:rPr>
          <w:rFonts w:ascii="Arial" w:cs="Arial" w:eastAsia="Arial" w:hAnsi="Arial"/>
          <w:sz w:val="18"/>
          <w:szCs w:val="18"/>
          <w:color w:val="auto"/>
        </w:rPr>
        <w:t xml:space="preserve"> below, but notwithstanding the other provisions of this </w:t>
      </w:r>
      <w:r>
        <w:rPr>
          <w:rFonts w:ascii="Arial" w:cs="Arial" w:eastAsia="Arial" w:hAnsi="Arial"/>
          <w:sz w:val="18"/>
          <w:szCs w:val="18"/>
          <w:u w:val="single" w:color="auto"/>
          <w:color w:val="auto"/>
        </w:rPr>
        <w:t>Article IV</w:t>
      </w:r>
      <w:r>
        <w:rPr>
          <w:rFonts w:ascii="Arial" w:cs="Arial" w:eastAsia="Arial" w:hAnsi="Arial"/>
          <w:sz w:val="18"/>
          <w:szCs w:val="18"/>
          <w:color w:val="auto"/>
        </w:rPr>
        <w:t>, no transfer of any Partnership Interests shall be made if such transfer would (i) violate the then applicable U.S. federal or state securities laws, laws of the Republic of the Marshall Islands or rules and regulations of the Commission, any state securities commission or any other governmental authority with jurisdiction over such transfer or (ii) terminate the existence or qualification of the Partnership or any Group Member under the laws of the jurisdiction of its formation.</w:t>
      </w:r>
    </w:p>
    <w:p>
      <w:pPr>
        <w:spacing w:after="0" w:line="188" w:lineRule="exact"/>
        <w:rPr>
          <w:sz w:val="20"/>
          <w:szCs w:val="20"/>
          <w:color w:val="auto"/>
        </w:rPr>
      </w:pPr>
    </w:p>
    <w:p>
      <w:pPr>
        <w:ind w:right="220" w:firstLine="1305"/>
        <w:spacing w:after="0" w:line="264" w:lineRule="auto"/>
        <w:tabs>
          <w:tab w:leader="none" w:pos="19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Nothing contained in this </w:t>
      </w:r>
      <w:r>
        <w:rPr>
          <w:rFonts w:ascii="Arial" w:cs="Arial" w:eastAsia="Arial" w:hAnsi="Arial"/>
          <w:sz w:val="18"/>
          <w:szCs w:val="18"/>
          <w:u w:val="single" w:color="auto"/>
          <w:color w:val="auto"/>
        </w:rPr>
        <w:t>Article IV</w:t>
      </w:r>
      <w:r>
        <w:rPr>
          <w:rFonts w:ascii="Arial" w:cs="Arial" w:eastAsia="Arial" w:hAnsi="Arial"/>
          <w:sz w:val="18"/>
          <w:szCs w:val="18"/>
          <w:color w:val="auto"/>
        </w:rPr>
        <w:t>, or elsewhere in this Agreement, shall preclude the settlement of any transactions involving Partnership Interests entered into through the facilities of any National Securities Exchange on which such Partnership Interests are listed or admitted to trading.</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 CONTRIBUTIONS AND ISSUANCE OF PARTNERSHIP INTERESTS</w:t>
      </w:r>
    </w:p>
    <w:p>
      <w:pPr>
        <w:spacing w:after="0" w:line="211" w:lineRule="exact"/>
        <w:rPr>
          <w:sz w:val="20"/>
          <w:szCs w:val="20"/>
          <w:color w:val="auto"/>
        </w:rPr>
      </w:pPr>
    </w:p>
    <w:p>
      <w:pPr>
        <w:jc w:val="both"/>
        <w:ind w:right="60" w:firstLine="1297"/>
        <w:spacing w:after="0" w:line="257"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i w:val="1"/>
          <w:iCs w:val="1"/>
          <w:color w:val="auto"/>
        </w:rPr>
        <w:t>Contributions Prior to the Closing Date.</w:t>
      </w:r>
      <w:r>
        <w:rPr>
          <w:rFonts w:ascii="Arial" w:cs="Arial" w:eastAsia="Arial" w:hAnsi="Arial"/>
          <w:sz w:val="18"/>
          <w:szCs w:val="18"/>
          <w:color w:val="auto"/>
        </w:rPr>
        <w:t xml:space="preserve"> In connection with the formation of the Partnership under the Marshall Islands Act, the General Partner made an initial Capital Contribution in the amount of $20, for a 2% General Partner Interest in the Partnership (the “</w:t>
      </w:r>
      <w:r>
        <w:rPr>
          <w:rFonts w:ascii="Arial" w:cs="Arial" w:eastAsia="Arial" w:hAnsi="Arial"/>
          <w:sz w:val="18"/>
          <w:szCs w:val="18"/>
          <w:b w:val="1"/>
          <w:bCs w:val="1"/>
          <w:i w:val="1"/>
          <w:iCs w:val="1"/>
          <w:color w:val="auto"/>
        </w:rPr>
        <w:t>Initial General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Partner Interest</w:t>
      </w:r>
      <w:r>
        <w:rPr>
          <w:rFonts w:ascii="Arial" w:cs="Arial" w:eastAsia="Arial" w:hAnsi="Arial"/>
          <w:sz w:val="18"/>
          <w:szCs w:val="18"/>
          <w:color w:val="auto"/>
        </w:rPr>
        <w:t>”) and was admitted as the General Partner of the Partnership, and the Organizational Limited Partner made an initial Capital Contribution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amount of $980 for a 98% limited partner interest in the Partnership (the “</w:t>
      </w:r>
      <w:r>
        <w:rPr>
          <w:rFonts w:ascii="Arial" w:cs="Arial" w:eastAsia="Arial" w:hAnsi="Arial"/>
          <w:sz w:val="18"/>
          <w:szCs w:val="18"/>
          <w:b w:val="1"/>
          <w:bCs w:val="1"/>
          <w:i w:val="1"/>
          <w:iCs w:val="1"/>
          <w:color w:val="auto"/>
        </w:rPr>
        <w:t>Initial Limited Partner Interest</w:t>
      </w:r>
      <w:r>
        <w:rPr>
          <w:rFonts w:ascii="Arial" w:cs="Arial" w:eastAsia="Arial" w:hAnsi="Arial"/>
          <w:sz w:val="18"/>
          <w:szCs w:val="18"/>
          <w:color w:val="auto"/>
        </w:rPr>
        <w:t>”) and was admitted as a Limited Partner of the Partnership.</w:t>
      </w:r>
    </w:p>
    <w:p>
      <w:pPr>
        <w:spacing w:after="0" w:line="188"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i w:val="1"/>
          <w:iCs w:val="1"/>
          <w:color w:val="auto"/>
        </w:rPr>
        <w:t>Initial Unit Issuances; Tax Election; Initial Contributors and Redemption of Common Units.</w:t>
      </w:r>
      <w:r>
        <w:rPr>
          <w:rFonts w:ascii="Arial" w:cs="Arial" w:eastAsia="Arial" w:hAnsi="Arial"/>
          <w:sz w:val="16"/>
          <w:szCs w:val="16"/>
          <w:color w:val="auto"/>
        </w:rPr>
        <w:t xml:space="preserve"> (a) On the Closing Date, automatically pursuant to this Agreement and the Contribution Agreement (i) GasLog made a Capital Contribution of the Vessel Interests to the Partnership in exchange for (A) 162,358 Common Units, representing a 0.81% limited partner interest in the Partnership, (B) 9,822,358 Subordinated Units (as defined in the Second Amended Agreement), representing a 49.0% limited partner interest in the Partnership (which Subordinated Units converted into Common Units on a one-for-one basis on May 16, 2017 pursuant to the Second Amended Agreement), (C) all of the Incentive Distribution Rights, (D) a payment of $68.8 million and (E) the right to receive the Deferred Issuance and Distribution, (ii) the Initial Limited Partner Interest was redeemed and (iii) the Initial General Partner Interest was converted into 400,913 General Partner Units (representing a 2.0% interest in the Partnership).</w:t>
      </w:r>
    </w:p>
    <w:p>
      <w:pPr>
        <w:spacing w:after="0" w:line="167" w:lineRule="exact"/>
        <w:rPr>
          <w:sz w:val="20"/>
          <w:szCs w:val="20"/>
          <w:color w:val="auto"/>
        </w:rPr>
      </w:pPr>
    </w:p>
    <w:p>
      <w:pPr>
        <w:ind w:right="620" w:firstLine="1305"/>
        <w:spacing w:after="0" w:line="342" w:lineRule="auto"/>
        <w:tabs>
          <w:tab w:leader="none" w:pos="1952"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 the Closing Date and pursuant to the Underwriting Agreement, each Underwriter contributed cash to the Partnership in exchange for the issuance by the Partnership of Common Units to each Underwriter, all as set forth in the Underwriting Agreement.</w:t>
      </w:r>
    </w:p>
    <w:p>
      <w:pPr>
        <w:spacing w:after="0" w:line="123" w:lineRule="exact"/>
        <w:rPr>
          <w:rFonts w:ascii="Arial" w:cs="Arial" w:eastAsia="Arial" w:hAnsi="Arial"/>
          <w:sz w:val="16"/>
          <w:szCs w:val="16"/>
          <w:color w:val="auto"/>
        </w:rPr>
      </w:pPr>
    </w:p>
    <w:p>
      <w:pPr>
        <w:ind w:right="80" w:firstLine="1305"/>
        <w:spacing w:after="0" w:line="277" w:lineRule="auto"/>
        <w:tabs>
          <w:tab w:leader="none" w:pos="19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Upon the exercise, if any, of the Over-Allotment Option, each Underwriter contributed cash to the Partnership in exchange for the issuance by the Partnership of Common Units to each Underwriter, all as set forth in the Underwriting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firstLine="1305"/>
        <w:spacing w:after="0" w:line="277" w:lineRule="auto"/>
        <w:tabs>
          <w:tab w:leader="none" w:pos="19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 on or before the Closing Date, the Partnership elected to be treated as an association taxable as a corporation for U.S. federal income tax purposes.</w:t>
      </w:r>
    </w:p>
    <w:p>
      <w:pPr>
        <w:spacing w:after="0" w:line="170" w:lineRule="exact"/>
        <w:rPr>
          <w:rFonts w:ascii="Arial" w:cs="Arial" w:eastAsia="Arial" w:hAnsi="Arial"/>
          <w:sz w:val="18"/>
          <w:szCs w:val="18"/>
          <w:color w:val="auto"/>
        </w:rPr>
      </w:pPr>
    </w:p>
    <w:p>
      <w:pPr>
        <w:ind w:right="180" w:firstLine="1305"/>
        <w:spacing w:after="0" w:line="286" w:lineRule="auto"/>
        <w:tabs>
          <w:tab w:leader="none" w:pos="19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No Limited Partner Interests were issued or issuable as of or at the Closing Date other than (i) the Common Units and Subordinated Units issuable pursuant to </w:t>
      </w:r>
      <w:r>
        <w:rPr>
          <w:rFonts w:ascii="Arial" w:cs="Arial" w:eastAsia="Arial" w:hAnsi="Arial"/>
          <w:sz w:val="17"/>
          <w:szCs w:val="17"/>
          <w:u w:val="single" w:color="auto"/>
          <w:color w:val="auto"/>
        </w:rPr>
        <w:t>Section 5.2(a)</w:t>
      </w:r>
      <w:r>
        <w:rPr>
          <w:rFonts w:ascii="Arial" w:cs="Arial" w:eastAsia="Arial" w:hAnsi="Arial"/>
          <w:sz w:val="17"/>
          <w:szCs w:val="17"/>
          <w:color w:val="auto"/>
        </w:rPr>
        <w:t>, (ii) any Common Units issued pursuant to the Deferred Issuance and Distribution, (iii) the Common Units issued to the Underwriters as described in subparagraphs (b) and (c) hereof and (iv) the Incentive Distribution Rights.</w:t>
      </w:r>
    </w:p>
    <w:p>
      <w:pPr>
        <w:spacing w:after="0" w:line="166" w:lineRule="exact"/>
        <w:rPr>
          <w:sz w:val="20"/>
          <w:szCs w:val="20"/>
          <w:color w:val="auto"/>
        </w:rPr>
      </w:pPr>
    </w:p>
    <w:p>
      <w:pPr>
        <w:ind w:right="420" w:firstLine="1297"/>
        <w:spacing w:after="0" w:line="257"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i w:val="1"/>
          <w:iCs w:val="1"/>
          <w:color w:val="auto"/>
        </w:rPr>
        <w:t>Interest and Withdrawal</w:t>
      </w:r>
      <w:r>
        <w:rPr>
          <w:rFonts w:ascii="Arial" w:cs="Arial" w:eastAsia="Arial" w:hAnsi="Arial"/>
          <w:sz w:val="18"/>
          <w:szCs w:val="18"/>
          <w:color w:val="auto"/>
        </w:rPr>
        <w:t>. No interest shall be paid by the Partnership on Capital Contributions. No Partner shall be entitled to the withdrawal or return of its Capital Contribution, except to the extent, if any, that distributions made pursuant to this Agreement or upon dissolution of the Partnership may be considered and permitted as such by law and then only to the extent provided for in this Agreement. Except to the extent expressly provided in this Agreement, no Partner shall have priority over any other Partner either as to the return of Capital Contributions or as to profits, losses or distributions.</w:t>
      </w:r>
    </w:p>
    <w:p>
      <w:pPr>
        <w:spacing w:after="0" w:line="188" w:lineRule="exact"/>
        <w:rPr>
          <w:sz w:val="20"/>
          <w:szCs w:val="20"/>
          <w:color w:val="auto"/>
        </w:rPr>
      </w:pPr>
    </w:p>
    <w:p>
      <w:pPr>
        <w:ind w:right="20" w:firstLine="1297"/>
        <w:spacing w:after="0" w:line="302"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i w:val="1"/>
          <w:iCs w:val="1"/>
          <w:color w:val="auto"/>
        </w:rPr>
        <w:t>Issuances of Additional Partnership Interests.</w:t>
      </w:r>
      <w:r>
        <w:rPr>
          <w:rFonts w:ascii="Arial" w:cs="Arial" w:eastAsia="Arial" w:hAnsi="Arial"/>
          <w:sz w:val="16"/>
          <w:szCs w:val="16"/>
          <w:color w:val="auto"/>
        </w:rPr>
        <w:t xml:space="preserve"> (a) Subject to any approvals required by Series A Holders pursuant to </w:t>
      </w:r>
      <w:r>
        <w:rPr>
          <w:rFonts w:ascii="Arial" w:cs="Arial" w:eastAsia="Arial" w:hAnsi="Arial"/>
          <w:sz w:val="16"/>
          <w:szCs w:val="16"/>
          <w:u w:val="single" w:color="auto"/>
          <w:color w:val="auto"/>
        </w:rPr>
        <w:t>Section 16.5(c)(ii)</w:t>
      </w:r>
      <w:r>
        <w:rPr>
          <w:rFonts w:ascii="Arial" w:cs="Arial" w:eastAsia="Arial" w:hAnsi="Arial"/>
          <w:sz w:val="16"/>
          <w:szCs w:val="16"/>
          <w:color w:val="auto"/>
        </w:rPr>
        <w:t xml:space="preserve"> and any approvals required by Series B Holders pursuant to </w:t>
      </w:r>
      <w:r>
        <w:rPr>
          <w:rFonts w:ascii="Arial" w:cs="Arial" w:eastAsia="Arial" w:hAnsi="Arial"/>
          <w:sz w:val="16"/>
          <w:szCs w:val="16"/>
          <w:u w:val="single" w:color="auto"/>
          <w:color w:val="auto"/>
        </w:rPr>
        <w:t>Section 17.5(c)(ii)</w:t>
      </w:r>
      <w:r>
        <w:rPr>
          <w:rFonts w:ascii="Arial" w:cs="Arial" w:eastAsia="Arial" w:hAnsi="Arial"/>
          <w:sz w:val="16"/>
          <w:szCs w:val="16"/>
          <w:color w:val="auto"/>
        </w:rPr>
        <w:t>, the Partnership may issue additional Partnership Interests and options, rights, warrants and appreciation rights relating to the Partnership Interests for any Partnership purpose at any time and from time to time to such Persons for such consideration and on such terms and conditions as the Board of Directors shall determine, all without the approval of any Partners.</w:t>
      </w:r>
    </w:p>
    <w:p>
      <w:pPr>
        <w:spacing w:after="0" w:line="154" w:lineRule="exact"/>
        <w:rPr>
          <w:sz w:val="20"/>
          <w:szCs w:val="20"/>
          <w:color w:val="auto"/>
        </w:rPr>
      </w:pPr>
    </w:p>
    <w:p>
      <w:pPr>
        <w:ind w:right="100" w:firstLine="1305"/>
        <w:spacing w:after="0" w:line="291" w:lineRule="auto"/>
        <w:tabs>
          <w:tab w:leader="none" w:pos="1952"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Each additional Partnership Interest authorized to be issued by the Partnership pursuant to </w:t>
      </w:r>
      <w:r>
        <w:rPr>
          <w:rFonts w:ascii="Arial" w:cs="Arial" w:eastAsia="Arial" w:hAnsi="Arial"/>
          <w:sz w:val="16"/>
          <w:szCs w:val="16"/>
          <w:u w:val="single" w:color="auto"/>
          <w:color w:val="auto"/>
        </w:rPr>
        <w:t>Section 5.4(a)</w:t>
      </w:r>
      <w:r>
        <w:rPr>
          <w:rFonts w:ascii="Arial" w:cs="Arial" w:eastAsia="Arial" w:hAnsi="Arial"/>
          <w:sz w:val="16"/>
          <w:szCs w:val="16"/>
          <w:color w:val="auto"/>
        </w:rPr>
        <w:t xml:space="preserve"> may be issued in one or more classes, or one or more series of any such classes, with such designations, preferences, rights, powers and duties (which may be senior to existing classes and series of Partnership Interests), as shall be fixed by the Board of Directors, including (i) the right to share in Partnership distributions; (ii) the rights upon dissolution and liquidation of the Partnership; (iii) whether, and the terms and conditions upon which, the Partnership may or shall be required to redeem the Partnership Interest (including sinking fund provisions); (iv) whether such Partnership Interest is issued with the privilege of conversion or exchange and, if so, the terms and conditions of such conversion or exchange; (v) the terms and conditions upon which each Partnership Interest will be issued, evidenced by certificates and assigned or transferred; (vi) the method for determining the Percentage Interest as to such Partnership Interest; and (vii)</w:t>
      </w:r>
    </w:p>
    <w:p>
      <w:pPr>
        <w:sectPr>
          <w:pgSz w:w="11900" w:h="16932" w:orient="portrait"/>
          <w:cols w:equalWidth="0" w:num="1">
            <w:col w:w="11400"/>
          </w:cols>
          <w:pgMar w:left="240" w:top="125" w:right="259" w:bottom="0" w:gutter="0" w:footer="0" w:header="0"/>
        </w:sectPr>
      </w:pPr>
    </w:p>
    <w:bookmarkStart w:id="20" w:name="page21"/>
    <w:bookmarkEnd w:id="20"/>
    <w:p>
      <w:pPr>
        <w:spacing w:after="0" w:line="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right, if any, of each such Partnership Interest to vote on Partnership matters, including matters relating to the relative rights, preferences and privileges of such Partnership Interest.</w:t>
      </w:r>
    </w:p>
    <w:p>
      <w:pPr>
        <w:spacing w:after="0" w:line="170" w:lineRule="exact"/>
        <w:rPr>
          <w:sz w:val="20"/>
          <w:szCs w:val="20"/>
          <w:color w:val="auto"/>
        </w:rPr>
      </w:pPr>
    </w:p>
    <w:p>
      <w:pPr>
        <w:jc w:val="both"/>
        <w:ind w:right="80" w:firstLine="1305"/>
        <w:spacing w:after="0" w:line="279" w:lineRule="auto"/>
        <w:tabs>
          <w:tab w:leader="none" w:pos="19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The Board of Directors shall take all actions that it determines to be necessary or appropriate in connection with (i) each issuance of Partnership Interests and options, rights, warrants and appreciation rights relating to Partnership Interests pursuant to this </w:t>
      </w:r>
      <w:r>
        <w:rPr>
          <w:rFonts w:ascii="Arial" w:cs="Arial" w:eastAsia="Arial" w:hAnsi="Arial"/>
          <w:sz w:val="17"/>
          <w:szCs w:val="17"/>
          <w:u w:val="single" w:color="auto"/>
          <w:color w:val="auto"/>
        </w:rPr>
        <w:t>Section 5.4</w:t>
      </w:r>
      <w:r>
        <w:rPr>
          <w:rFonts w:ascii="Arial" w:cs="Arial" w:eastAsia="Arial" w:hAnsi="Arial"/>
          <w:sz w:val="17"/>
          <w:szCs w:val="17"/>
          <w:color w:val="auto"/>
        </w:rPr>
        <w:t>, including Common Units issued in connection with the Deferred Issuance and Distribution, (ii) the conversion of the General Partner Interest (represented by General Partner Units) or any Incentive Distribution Rights into Units pursuant to the terms of this Agreement,</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8"/>
        <w:spacing w:after="0" w:line="255" w:lineRule="auto"/>
        <w:tabs>
          <w:tab w:leader="none" w:pos="3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issuance of Common Units pursuant to </w:t>
      </w:r>
      <w:r>
        <w:rPr>
          <w:rFonts w:ascii="Arial" w:cs="Arial" w:eastAsia="Arial" w:hAnsi="Arial"/>
          <w:sz w:val="18"/>
          <w:szCs w:val="18"/>
          <w:u w:val="single" w:color="auto"/>
          <w:color w:val="auto"/>
        </w:rPr>
        <w:t>Section 5.9,</w:t>
      </w:r>
      <w:r>
        <w:rPr>
          <w:rFonts w:ascii="Arial" w:cs="Arial" w:eastAsia="Arial" w:hAnsi="Arial"/>
          <w:sz w:val="18"/>
          <w:szCs w:val="18"/>
          <w:color w:val="auto"/>
        </w:rPr>
        <w:t xml:space="preserve"> (iv) the admission of additional Limited Partners and (v) all additional issuances of Partnership Interests. The Board of Directors shall determine the relative rights, powers and duties of the holders of the Units or other Partnership Interests being so issued. The Board of Directors shall do all things necessary to comply with the Marshall Islands Act and is authorized and directed to do all things that it determines to be necessary or appropriate in connection with any future issuance of Partnership Interests or in connection with the conversion of the General Partner Interest or any Incentive Distribution Rights into Units pursuant to the terms of this Agreement, including compliance with any statute, rule, regulation or guideline of any federal, state or other governmental agency or any National Securities Exchange on which the Units or other Partnership Interests are listed or admitted to trading.</w:t>
      </w:r>
    </w:p>
    <w:p>
      <w:pPr>
        <w:spacing w:after="0" w:line="189" w:lineRule="exact"/>
        <w:rPr>
          <w:sz w:val="20"/>
          <w:szCs w:val="20"/>
          <w:color w:val="auto"/>
        </w:rPr>
      </w:pPr>
    </w:p>
    <w:p>
      <w:pPr>
        <w:ind w:firstLine="1297"/>
        <w:spacing w:after="0" w:line="297" w:lineRule="auto"/>
        <w:rPr>
          <w:sz w:val="20"/>
          <w:szCs w:val="20"/>
          <w:color w:val="auto"/>
        </w:rPr>
      </w:pPr>
      <w:r>
        <w:rPr>
          <w:rFonts w:ascii="Arial" w:cs="Arial" w:eastAsia="Arial" w:hAnsi="Arial"/>
          <w:sz w:val="16"/>
          <w:szCs w:val="16"/>
          <w:color w:val="auto"/>
        </w:rPr>
        <w:t xml:space="preserve">Section 5.5. </w:t>
      </w:r>
      <w:r>
        <w:rPr>
          <w:rFonts w:ascii="Arial" w:cs="Arial" w:eastAsia="Arial" w:hAnsi="Arial"/>
          <w:sz w:val="16"/>
          <w:szCs w:val="16"/>
          <w:i w:val="1"/>
          <w:iCs w:val="1"/>
          <w:color w:val="auto"/>
        </w:rPr>
        <w:t>Limitations on Issuance of Additional Partnership Interests</w:t>
      </w:r>
      <w:r>
        <w:rPr>
          <w:rFonts w:ascii="Arial" w:cs="Arial" w:eastAsia="Arial" w:hAnsi="Arial"/>
          <w:sz w:val="16"/>
          <w:szCs w:val="16"/>
          <w:color w:val="auto"/>
        </w:rPr>
        <w:t xml:space="preserve">. The Partnership may issue an unlimited number of Partnership Interests (or options, rights, warrants or appreciation rights related thereto) pursuant to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without the approval of the Partners;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fractional units shall be issued by the Partnership; and</w:t>
      </w:r>
      <w:r>
        <w:rPr>
          <w:rFonts w:ascii="Arial" w:cs="Arial" w:eastAsia="Arial" w:hAnsi="Arial"/>
          <w:sz w:val="16"/>
          <w:szCs w:val="16"/>
          <w:i w:val="1"/>
          <w:iCs w:val="1"/>
          <w:color w:val="auto"/>
        </w:rPr>
        <w:t xml:space="preserve"> 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further</w:t>
      </w:r>
      <w:r>
        <w:rPr>
          <w:rFonts w:ascii="Arial" w:cs="Arial" w:eastAsia="Arial" w:hAnsi="Arial"/>
          <w:sz w:val="16"/>
          <w:szCs w:val="16"/>
          <w:color w:val="auto"/>
        </w:rPr>
        <w:t>, that without the approval of the General Partner, the Partnership</w:t>
      </w:r>
      <w:r>
        <w:rPr>
          <w:rFonts w:ascii="Arial" w:cs="Arial" w:eastAsia="Arial" w:hAnsi="Arial"/>
          <w:sz w:val="16"/>
          <w:szCs w:val="16"/>
          <w:i w:val="1"/>
          <w:iCs w:val="1"/>
          <w:color w:val="auto"/>
        </w:rPr>
        <w:t xml:space="preserve"> </w:t>
      </w:r>
      <w:r>
        <w:rPr>
          <w:rFonts w:ascii="Arial" w:cs="Arial" w:eastAsia="Arial" w:hAnsi="Arial"/>
          <w:sz w:val="16"/>
          <w:szCs w:val="16"/>
          <w:color w:val="auto"/>
        </w:rPr>
        <w:t>shall not issue any equity where such issuance (as determined by the Board of Directors) (a) is not reasonably expected to be accretive to equity within 12 months of issuance or (b) would otherwise have a material adverse impact on the General Partner or the General Partner Interest.</w:t>
      </w:r>
    </w:p>
    <w:p>
      <w:pPr>
        <w:spacing w:after="0" w:line="158" w:lineRule="exact"/>
        <w:rPr>
          <w:sz w:val="20"/>
          <w:szCs w:val="20"/>
          <w:color w:val="auto"/>
        </w:rPr>
      </w:pPr>
    </w:p>
    <w:p>
      <w:pPr>
        <w:ind w:right="20" w:firstLine="1297"/>
        <w:spacing w:after="0" w:line="271" w:lineRule="auto"/>
        <w:rPr>
          <w:sz w:val="20"/>
          <w:szCs w:val="20"/>
          <w:color w:val="auto"/>
        </w:rPr>
      </w:pPr>
      <w:r>
        <w:rPr>
          <w:rFonts w:ascii="Arial" w:cs="Arial" w:eastAsia="Arial" w:hAnsi="Arial"/>
          <w:sz w:val="17"/>
          <w:szCs w:val="17"/>
          <w:color w:val="auto"/>
        </w:rPr>
        <w:t xml:space="preserve">Section 5.6. </w:t>
      </w:r>
      <w:r>
        <w:rPr>
          <w:rFonts w:ascii="Arial" w:cs="Arial" w:eastAsia="Arial" w:hAnsi="Arial"/>
          <w:sz w:val="17"/>
          <w:szCs w:val="17"/>
          <w:i w:val="1"/>
          <w:iCs w:val="1"/>
          <w:color w:val="auto"/>
        </w:rPr>
        <w:t>Limited Preemptive Right.</w:t>
      </w:r>
      <w:r>
        <w:rPr>
          <w:rFonts w:ascii="Arial" w:cs="Arial" w:eastAsia="Arial" w:hAnsi="Arial"/>
          <w:sz w:val="17"/>
          <w:szCs w:val="17"/>
          <w:color w:val="auto"/>
        </w:rPr>
        <w:t xml:space="preserve"> (a) Except as provided in this </w:t>
      </w:r>
      <w:r>
        <w:rPr>
          <w:rFonts w:ascii="Arial" w:cs="Arial" w:eastAsia="Arial" w:hAnsi="Arial"/>
          <w:sz w:val="17"/>
          <w:szCs w:val="17"/>
          <w:u w:val="single" w:color="auto"/>
          <w:color w:val="auto"/>
        </w:rPr>
        <w:t>Section 5.6</w:t>
      </w:r>
      <w:r>
        <w:rPr>
          <w:rFonts w:ascii="Arial" w:cs="Arial" w:eastAsia="Arial" w:hAnsi="Arial"/>
          <w:sz w:val="17"/>
          <w:szCs w:val="17"/>
          <w:color w:val="auto"/>
        </w:rPr>
        <w:t xml:space="preserve">, no Person shall have any preemptive, preferential or other similar right with respect to the issuance of any Partnership Interest, whether unissued, held in the treasury or hereafter created. The General Partner shall have the right, which it may from time to time assign in whole or in part to any of its Affiliates, to purchase Partnership Interests from the Partnership whenever, and on the same terms that, the Partnership issues Partnership Interests to Persons other than the General Partner and its Affiliates, to the extent necessary to maintain the Percentage Interests of the General Partner and its Affiliates equal to that which existed immediately prior to the issuance of such Partnership Interests;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amount of any series of Preference Units issued by the Partnership from time to time that the General Partner shall have a right to purchase pursuant to </w:t>
      </w:r>
      <w:r>
        <w:rPr>
          <w:rFonts w:ascii="Arial" w:cs="Arial" w:eastAsia="Arial" w:hAnsi="Arial"/>
          <w:sz w:val="17"/>
          <w:szCs w:val="17"/>
          <w:u w:val="single" w:color="auto"/>
          <w:color w:val="auto"/>
        </w:rPr>
        <w:t>Section 5.6</w:t>
      </w:r>
      <w:r>
        <w:rPr>
          <w:rFonts w:ascii="Arial" w:cs="Arial" w:eastAsia="Arial" w:hAnsi="Arial"/>
          <w:sz w:val="17"/>
          <w:szCs w:val="17"/>
          <w:color w:val="auto"/>
        </w:rPr>
        <w:t xml:space="preserve"> shall equal the product of (a) the aggregate Percentage Interest of the General Partner and its Affiliates multiplied by (b) the number of such series of Preference Units so issued.</w:t>
      </w:r>
    </w:p>
    <w:p>
      <w:pPr>
        <w:spacing w:after="0" w:line="179" w:lineRule="exact"/>
        <w:rPr>
          <w:sz w:val="20"/>
          <w:szCs w:val="20"/>
          <w:color w:val="auto"/>
        </w:rPr>
      </w:pPr>
    </w:p>
    <w:p>
      <w:pPr>
        <w:ind w:right="80" w:firstLine="1305"/>
        <w:spacing w:after="0" w:line="272" w:lineRule="auto"/>
        <w:tabs>
          <w:tab w:leader="none" w:pos="1952"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Upon the issuance of any additional Limited Partner Interests by the Partnership (other than Common Units issued pursuant to </w:t>
      </w:r>
      <w:r>
        <w:rPr>
          <w:rFonts w:ascii="Arial" w:cs="Arial" w:eastAsia="Arial" w:hAnsi="Arial"/>
          <w:sz w:val="17"/>
          <w:szCs w:val="17"/>
          <w:u w:val="single" w:color="auto"/>
          <w:color w:val="auto"/>
        </w:rPr>
        <w:t>Section 5.2(a)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5.2(b)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5.2(c)</w:t>
      </w:r>
      <w:r>
        <w:rPr>
          <w:rFonts w:ascii="Arial" w:cs="Arial" w:eastAsia="Arial" w:hAnsi="Arial"/>
          <w:sz w:val="17"/>
          <w:szCs w:val="17"/>
          <w:color w:val="auto"/>
        </w:rPr>
        <w:t xml:space="preserve"> and Common Units issued in connection with a reset of the Incentive Distribution target levels or the issuance of Limited Partner Interests upon conversion of Outstanding Limited Partner Interests), the General Partner may, in exchange for a proportionate number of General Partner Units, make additional Capital Contributions in an amount equal to the product obtained by multiplying (i) the quotient determined by dividing (A) the General Partner’s Percentage Interest immediately prior to such issuance by (B) 100 less the General Partner’s Percentage Interest immediately prior to such issuance by (ii) the amount contributed to the Partnership by the Limited Partners in exchange for such additional Limited Partner Interests. The General Partner shall not be obligated to make additional Capital Contributions to the Partnership.</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297"/>
        <w:spacing w:after="0" w:line="272" w:lineRule="auto"/>
        <w:rPr>
          <w:sz w:val="20"/>
          <w:szCs w:val="20"/>
          <w:color w:val="auto"/>
        </w:rPr>
      </w:pPr>
      <w:r>
        <w:rPr>
          <w:rFonts w:ascii="Arial" w:cs="Arial" w:eastAsia="Arial" w:hAnsi="Arial"/>
          <w:sz w:val="17"/>
          <w:szCs w:val="17"/>
          <w:color w:val="auto"/>
        </w:rPr>
        <w:t xml:space="preserve">Section 5.7. </w:t>
      </w:r>
      <w:r>
        <w:rPr>
          <w:rFonts w:ascii="Arial" w:cs="Arial" w:eastAsia="Arial" w:hAnsi="Arial"/>
          <w:sz w:val="17"/>
          <w:szCs w:val="17"/>
          <w:i w:val="1"/>
          <w:iCs w:val="1"/>
          <w:color w:val="auto"/>
        </w:rPr>
        <w:t>Splits and Combinations.</w:t>
      </w:r>
      <w:r>
        <w:rPr>
          <w:rFonts w:ascii="Arial" w:cs="Arial" w:eastAsia="Arial" w:hAnsi="Arial"/>
          <w:sz w:val="17"/>
          <w:szCs w:val="17"/>
          <w:color w:val="auto"/>
        </w:rPr>
        <w:t xml:space="preserve"> (a) Subject to </w:t>
      </w:r>
      <w:r>
        <w:rPr>
          <w:rFonts w:ascii="Arial" w:cs="Arial" w:eastAsia="Arial" w:hAnsi="Arial"/>
          <w:sz w:val="17"/>
          <w:szCs w:val="17"/>
          <w:u w:val="single" w:color="auto"/>
          <w:color w:val="auto"/>
        </w:rPr>
        <w:t>Section 5.7(d)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6.5</w:t>
      </w:r>
      <w:r>
        <w:rPr>
          <w:rFonts w:ascii="Arial" w:cs="Arial" w:eastAsia="Arial" w:hAnsi="Arial"/>
          <w:sz w:val="17"/>
          <w:szCs w:val="17"/>
          <w:color w:val="auto"/>
        </w:rPr>
        <w:t xml:space="preserve"> (dealing with adjustments of distribution levels), the Partnership may make a Pro Rata distribution of Partnership Interests (other than Series A Preference Units and Series B Preference Units) to all Record Holders of the same class or series of Partnership Interests or may effect a subdivision or combination of the same class or series of Partnership Interests so long as, after any such event, each Partner holding such class or series of such Partnership Interests shall have the same Percentage Interest in the Partnership as before such event, and any amounts calculated on a per Unit basis (including those based on the Series A Liquidation Preference, the Series B Liquidation Preference, the Stated Series A Unit Liquidation Preference or the Stated Series B Unit Liquidation Preference) or stated as a number of Units are proportionately adjusted, to the extent applicable.</w:t>
      </w:r>
    </w:p>
    <w:p>
      <w:pPr>
        <w:spacing w:after="0" w:line="178" w:lineRule="exact"/>
        <w:rPr>
          <w:sz w:val="20"/>
          <w:szCs w:val="20"/>
          <w:color w:val="auto"/>
        </w:rPr>
      </w:pPr>
    </w:p>
    <w:p>
      <w:pPr>
        <w:ind w:right="140" w:firstLine="1305"/>
        <w:spacing w:after="0" w:line="255" w:lineRule="auto"/>
        <w:tabs>
          <w:tab w:leader="none" w:pos="19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Whenever such a Pro Rata distribution, subdivision or combination of Partnership Interests is declared, the Board of Directors shall select a Record Date as of which the distribution, subdivision or combination shall be effective and shall send notice thereof at least 20 days prior to such Record Date to each Record Holder as of a date not less than 10 days prior to the date of such notice. The Board of Directors also may cause a firm of independent public accountants selected by it to calculate the number of Partnership Interests to be held by each Record Holder after giving effect to such distribution, subdivision or combination. The Board of Directors shall be entitled to rely on any certificate provided by such firm as conclusive evidence of the accuracy of such calculation.</w:t>
      </w:r>
    </w:p>
    <w:p>
      <w:pPr>
        <w:spacing w:after="0" w:line="193" w:lineRule="exact"/>
        <w:rPr>
          <w:rFonts w:ascii="Arial" w:cs="Arial" w:eastAsia="Arial" w:hAnsi="Arial"/>
          <w:sz w:val="18"/>
          <w:szCs w:val="18"/>
          <w:color w:val="auto"/>
        </w:rPr>
      </w:pPr>
    </w:p>
    <w:p>
      <w:pPr>
        <w:ind w:right="240" w:firstLine="1305"/>
        <w:spacing w:after="0" w:line="255" w:lineRule="auto"/>
        <w:tabs>
          <w:tab w:leader="none" w:pos="19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Promptly following any such distribution, subdivision or combination, the Partnership may issue Certificates or uncertificated Partnership Interests to the Record Holders of Partnership Interests as of the applicable Record Date representing the new number of Partnership Interests held by such Record Holders, or the Board of Directors may adopt such other procedures that it determines to be necessary or appropriate to reflect such changes. If any such combination results in a smaller total number of Partnership Interests Outstanding, the Partnership shall require, as a condition to the delivery to a Record Holder of such new Certificate or uncertificated Partnership Interest, the surrender of any Certificate held by such Record Holder immediately prior to such Record Date.</w:t>
      </w:r>
    </w:p>
    <w:p>
      <w:pPr>
        <w:spacing w:after="0" w:line="193" w:lineRule="exact"/>
        <w:rPr>
          <w:rFonts w:ascii="Arial" w:cs="Arial" w:eastAsia="Arial" w:hAnsi="Arial"/>
          <w:sz w:val="18"/>
          <w:szCs w:val="18"/>
          <w:color w:val="auto"/>
        </w:rPr>
      </w:pPr>
    </w:p>
    <w:p>
      <w:pPr>
        <w:ind w:right="60" w:firstLine="1305"/>
        <w:spacing w:after="0" w:line="264" w:lineRule="auto"/>
        <w:tabs>
          <w:tab w:leader="none" w:pos="19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Partnership shall not issue fractional Units upon any distribution, subdivision or combination of Units. If a distribution, subdivision or combination of Units would result in the issuance of fractional Units but for the provisions of this </w:t>
      </w:r>
      <w:r>
        <w:rPr>
          <w:rFonts w:ascii="Arial" w:cs="Arial" w:eastAsia="Arial" w:hAnsi="Arial"/>
          <w:sz w:val="18"/>
          <w:szCs w:val="18"/>
          <w:u w:val="single" w:color="auto"/>
          <w:color w:val="auto"/>
        </w:rPr>
        <w:t>Section 5.7(d)</w:t>
      </w:r>
      <w:r>
        <w:rPr>
          <w:rFonts w:ascii="Arial" w:cs="Arial" w:eastAsia="Arial" w:hAnsi="Arial"/>
          <w:sz w:val="18"/>
          <w:szCs w:val="18"/>
          <w:color w:val="auto"/>
        </w:rPr>
        <w:t>, each fractional Unit shall be rounded to the nearest whole Unit (and a 0.5 Unit shall be rounded to the next higher Unit).</w:t>
      </w:r>
    </w:p>
    <w:p>
      <w:pPr>
        <w:spacing w:after="0" w:line="181"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i w:val="1"/>
          <w:iCs w:val="1"/>
          <w:color w:val="auto"/>
        </w:rPr>
        <w:t>Fully Paid and Non-Assessable Nature of Limited Partner Interests</w:t>
      </w:r>
      <w:r>
        <w:rPr>
          <w:rFonts w:ascii="Arial" w:cs="Arial" w:eastAsia="Arial" w:hAnsi="Arial"/>
          <w:sz w:val="18"/>
          <w:szCs w:val="18"/>
          <w:color w:val="auto"/>
        </w:rPr>
        <w:t xml:space="preserve">. All Limited Partner Interests issued pursuant to, and in accordance with the requirements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be fully paid and non-assessable Limited Partner Interests in the Partnership, except as such non-assessability may be affected by the Marshall Islands Act.</w:t>
      </w:r>
    </w:p>
    <w:p>
      <w:pPr>
        <w:sectPr>
          <w:pgSz w:w="11900" w:h="16918" w:orient="portrait"/>
          <w:cols w:equalWidth="0" w:num="1">
            <w:col w:w="11360"/>
          </w:cols>
          <w:pgMar w:left="240" w:top="125" w:right="299" w:bottom="0" w:gutter="0" w:footer="0" w:header="0"/>
        </w:sectPr>
      </w:pPr>
    </w:p>
    <w:bookmarkStart w:id="21" w:name="page22"/>
    <w:bookmarkEnd w:id="21"/>
    <w:p>
      <w:pPr>
        <w:ind w:right="300" w:firstLine="1297"/>
        <w:spacing w:after="0" w:line="308" w:lineRule="auto"/>
        <w:rPr>
          <w:sz w:val="20"/>
          <w:szCs w:val="20"/>
          <w:color w:val="auto"/>
        </w:rPr>
      </w:pPr>
      <w:r>
        <w:rPr>
          <w:rFonts w:ascii="Arial" w:cs="Arial" w:eastAsia="Arial" w:hAnsi="Arial"/>
          <w:sz w:val="17"/>
          <w:szCs w:val="17"/>
          <w:color w:val="auto"/>
        </w:rPr>
        <w:t xml:space="preserve">Section 5.9. </w:t>
      </w:r>
      <w:r>
        <w:rPr>
          <w:rFonts w:ascii="Arial" w:cs="Arial" w:eastAsia="Arial" w:hAnsi="Arial"/>
          <w:sz w:val="17"/>
          <w:szCs w:val="17"/>
          <w:i w:val="1"/>
          <w:iCs w:val="1"/>
          <w:color w:val="auto"/>
        </w:rPr>
        <w:t>Issuance of Common Units in Connection with Reset of Incentive Distribution Rights.</w:t>
      </w:r>
      <w:r>
        <w:rPr>
          <w:rFonts w:ascii="Arial" w:cs="Arial" w:eastAsia="Arial" w:hAnsi="Arial"/>
          <w:sz w:val="17"/>
          <w:szCs w:val="17"/>
          <w:color w:val="auto"/>
        </w:rPr>
        <w:t xml:space="preserve"> (a) Subject to the provisions of this </w:t>
      </w:r>
      <w:r>
        <w:rPr>
          <w:rFonts w:ascii="Arial" w:cs="Arial" w:eastAsia="Arial" w:hAnsi="Arial"/>
          <w:sz w:val="17"/>
          <w:szCs w:val="17"/>
          <w:u w:val="single" w:color="auto"/>
          <w:color w:val="auto"/>
        </w:rPr>
        <w:t>Section 5.9</w:t>
      </w:r>
      <w:r>
        <w:rPr>
          <w:rFonts w:ascii="Arial" w:cs="Arial" w:eastAsia="Arial" w:hAnsi="Arial"/>
          <w:sz w:val="17"/>
          <w:szCs w:val="17"/>
          <w:color w:val="auto"/>
        </w:rPr>
        <w:t>, the holder of the Incentive Distribution Rights (or, if there is more than one holder of the Incentive Distribution Rights,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holders of a majority in interest of the Incentive Distribution Rights) shall have the right, at any time when the Partnership has made a distribution pursuant to </w:t>
      </w:r>
      <w:r>
        <w:rPr>
          <w:rFonts w:ascii="Arial" w:cs="Arial" w:eastAsia="Arial" w:hAnsi="Arial"/>
          <w:sz w:val="16"/>
          <w:szCs w:val="16"/>
          <w:u w:val="single" w:color="auto"/>
          <w:color w:val="auto"/>
        </w:rPr>
        <w:t>Section 6.3(e)</w:t>
      </w:r>
      <w:r>
        <w:rPr>
          <w:rFonts w:ascii="Arial" w:cs="Arial" w:eastAsia="Arial" w:hAnsi="Arial"/>
          <w:sz w:val="16"/>
          <w:szCs w:val="16"/>
          <w:color w:val="auto"/>
        </w:rPr>
        <w:t xml:space="preserve"> for each of the four most recently completed Quarters and the amount of each such distribution did not exceed Adjusted Operating Surplus for such Quarter, to make an election (the “</w:t>
      </w:r>
      <w:r>
        <w:rPr>
          <w:rFonts w:ascii="Arial" w:cs="Arial" w:eastAsia="Arial" w:hAnsi="Arial"/>
          <w:sz w:val="16"/>
          <w:szCs w:val="16"/>
          <w:b w:val="1"/>
          <w:bCs w:val="1"/>
          <w:i w:val="1"/>
          <w:iCs w:val="1"/>
          <w:color w:val="auto"/>
        </w:rPr>
        <w:t>IDR Reset Election</w:t>
      </w:r>
      <w:r>
        <w:rPr>
          <w:rFonts w:ascii="Arial" w:cs="Arial" w:eastAsia="Arial" w:hAnsi="Arial"/>
          <w:sz w:val="16"/>
          <w:szCs w:val="16"/>
          <w:color w:val="auto"/>
        </w:rPr>
        <w:t xml:space="preserve">”) to cause the Minimum Quarterly Distribution and the Target Distributions to be reset in accordance with the provisions of </w:t>
      </w:r>
      <w:r>
        <w:rPr>
          <w:rFonts w:ascii="Arial" w:cs="Arial" w:eastAsia="Arial" w:hAnsi="Arial"/>
          <w:sz w:val="16"/>
          <w:szCs w:val="16"/>
          <w:u w:val="single" w:color="auto"/>
          <w:color w:val="auto"/>
        </w:rPr>
        <w:t>Section 5.9(e)</w:t>
      </w:r>
      <w:r>
        <w:rPr>
          <w:rFonts w:ascii="Arial" w:cs="Arial" w:eastAsia="Arial" w:hAnsi="Arial"/>
          <w:sz w:val="16"/>
          <w:szCs w:val="16"/>
          <w:color w:val="auto"/>
        </w:rPr>
        <w:t xml:space="preserve"> and, in connection therewith, the holder or holders of the Incentive Distribution Rights will become entitled to receive their respective proportionate shares of a number of Common Units (“</w:t>
      </w:r>
      <w:r>
        <w:rPr>
          <w:rFonts w:ascii="Arial" w:cs="Arial" w:eastAsia="Arial" w:hAnsi="Arial"/>
          <w:sz w:val="16"/>
          <w:szCs w:val="16"/>
          <w:b w:val="1"/>
          <w:bCs w:val="1"/>
          <w:i w:val="1"/>
          <w:iCs w:val="1"/>
          <w:color w:val="auto"/>
        </w:rPr>
        <w:t>IDR Reset Common Units</w:t>
      </w:r>
      <w:r>
        <w:rPr>
          <w:rFonts w:ascii="Arial" w:cs="Arial" w:eastAsia="Arial" w:hAnsi="Arial"/>
          <w:sz w:val="16"/>
          <w:szCs w:val="16"/>
          <w:color w:val="auto"/>
        </w:rPr>
        <w:t>”) derived by dividing (i) the average of the aggregate amount of cash distributions made by the Partnership for each of the two full Quarters immediately preceding the giving of the Reset Notice in respect of the Incentive Distribution Rights by (ii) the average of the cash distributions made by the Partnership in respect of each Common Unit for each of the two full Quarters immediately preceding the giving of the Reset Notice (the number of Common Units determined by such quotient is referred to herein as the “</w:t>
      </w:r>
      <w:r>
        <w:rPr>
          <w:rFonts w:ascii="Arial" w:cs="Arial" w:eastAsia="Arial" w:hAnsi="Arial"/>
          <w:sz w:val="16"/>
          <w:szCs w:val="16"/>
          <w:b w:val="1"/>
          <w:bCs w:val="1"/>
          <w:i w:val="1"/>
          <w:iCs w:val="1"/>
          <w:color w:val="auto"/>
        </w:rPr>
        <w:t>Aggregate Quantity of IDR Reset Common Units</w:t>
      </w:r>
      <w:r>
        <w:rPr>
          <w:rFonts w:ascii="Arial" w:cs="Arial" w:eastAsia="Arial" w:hAnsi="Arial"/>
          <w:sz w:val="16"/>
          <w:szCs w:val="16"/>
          <w:color w:val="auto"/>
        </w:rPr>
        <w:t xml:space="preserve">”). If at the time of any IDR Reset Election the General Partner and its Affiliates are not the holders of a majority interest of the Incentive Distribution Rights, then the IDR Reset Election shall be subject to the prior approval of the Board of Directors that the conditions described in the immediately preceding sentence have been satisfied. Upon the issuance of such IDR Reset Common Units, the Partnership will issue to the General Partner that number of additional General Partner Units equal to the product of (i) the quotient obtained by dividing (A) the Percentage Interest of the General Partner immediately prior to such issuance by (B) a percentage equal to 100% less such Percentage Interest and (ii) the number of such IDR Reset Common Units, and the General Partner shall not be obligated to make any additional Capital Contribution to the Partnership in exchange for such issuance. The making of the IDR Reset Election in the manner specified in </w:t>
      </w:r>
      <w:r>
        <w:rPr>
          <w:rFonts w:ascii="Arial" w:cs="Arial" w:eastAsia="Arial" w:hAnsi="Arial"/>
          <w:sz w:val="16"/>
          <w:szCs w:val="16"/>
          <w:u w:val="single" w:color="auto"/>
          <w:color w:val="auto"/>
        </w:rPr>
        <w:t>Section 5.9(b)</w:t>
      </w:r>
      <w:r>
        <w:rPr>
          <w:rFonts w:ascii="Arial" w:cs="Arial" w:eastAsia="Arial" w:hAnsi="Arial"/>
          <w:sz w:val="16"/>
          <w:szCs w:val="16"/>
          <w:color w:val="auto"/>
        </w:rPr>
        <w:t xml:space="preserve"> shall cause the Minimum Quarterly Distribution and the Target Distributions to be reset in accordance with the provisions of </w:t>
      </w:r>
      <w:r>
        <w:rPr>
          <w:rFonts w:ascii="Arial" w:cs="Arial" w:eastAsia="Arial" w:hAnsi="Arial"/>
          <w:sz w:val="16"/>
          <w:szCs w:val="16"/>
          <w:u w:val="single" w:color="auto"/>
          <w:color w:val="auto"/>
        </w:rPr>
        <w:t>Section 5.9(c)</w:t>
      </w:r>
      <w:r>
        <w:rPr>
          <w:rFonts w:ascii="Arial" w:cs="Arial" w:eastAsia="Arial" w:hAnsi="Arial"/>
          <w:sz w:val="16"/>
          <w:szCs w:val="16"/>
          <w:color w:val="auto"/>
        </w:rPr>
        <w:t xml:space="preserve"> and, in connection therewith, the holder or holders of the Incentive Distribution Rights will become entitled to receive IDR Reset Common Units and the General Partner will become entitled to receive General Partner Units on the basis specified above, without any further approval required by the General Partner or the Unitholders, at the time specified in </w:t>
      </w:r>
      <w:r>
        <w:rPr>
          <w:rFonts w:ascii="Arial" w:cs="Arial" w:eastAsia="Arial" w:hAnsi="Arial"/>
          <w:sz w:val="16"/>
          <w:szCs w:val="16"/>
          <w:u w:val="single" w:color="auto"/>
          <w:color w:val="auto"/>
        </w:rPr>
        <w:t>Section 5.9(c)</w:t>
      </w:r>
      <w:r>
        <w:rPr>
          <w:rFonts w:ascii="Arial" w:cs="Arial" w:eastAsia="Arial" w:hAnsi="Arial"/>
          <w:sz w:val="16"/>
          <w:szCs w:val="16"/>
          <w:color w:val="auto"/>
        </w:rPr>
        <w:t xml:space="preserve">, unless the IDR Reset Election is rescinded pursuant to </w:t>
      </w:r>
      <w:r>
        <w:rPr>
          <w:rFonts w:ascii="Arial" w:cs="Arial" w:eastAsia="Arial" w:hAnsi="Arial"/>
          <w:sz w:val="16"/>
          <w:szCs w:val="16"/>
          <w:u w:val="single" w:color="auto"/>
          <w:color w:val="auto"/>
        </w:rPr>
        <w:t>Section 5.9(d)</w:t>
      </w:r>
      <w:r>
        <w:rPr>
          <w:rFonts w:ascii="Arial" w:cs="Arial" w:eastAsia="Arial" w:hAnsi="Arial"/>
          <w:sz w:val="16"/>
          <w:szCs w:val="16"/>
          <w:color w:val="auto"/>
        </w:rPr>
        <w:t>.</w:t>
      </w:r>
    </w:p>
    <w:p>
      <w:pPr>
        <w:spacing w:after="0" w:line="389" w:lineRule="exact"/>
        <w:rPr>
          <w:sz w:val="20"/>
          <w:szCs w:val="20"/>
          <w:color w:val="auto"/>
        </w:rPr>
      </w:pPr>
    </w:p>
    <w:p>
      <w:pPr>
        <w:ind w:firstLine="1305"/>
        <w:spacing w:after="0" w:line="257" w:lineRule="auto"/>
        <w:tabs>
          <w:tab w:leader="none" w:pos="19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To exercise the right specified in </w:t>
      </w:r>
      <w:r>
        <w:rPr>
          <w:rFonts w:ascii="Arial" w:cs="Arial" w:eastAsia="Arial" w:hAnsi="Arial"/>
          <w:sz w:val="18"/>
          <w:szCs w:val="18"/>
          <w:u w:val="single" w:color="auto"/>
          <w:color w:val="auto"/>
        </w:rPr>
        <w:t>Section 5.9(a)</w:t>
      </w:r>
      <w:r>
        <w:rPr>
          <w:rFonts w:ascii="Arial" w:cs="Arial" w:eastAsia="Arial" w:hAnsi="Arial"/>
          <w:sz w:val="18"/>
          <w:szCs w:val="18"/>
          <w:color w:val="auto"/>
        </w:rPr>
        <w:t>, the holder of the Incentive Distribution Rights (or, if there is more than one holder of the Incentive Distribution Rights, the holders of a majority in interest of the Incentive Distribution Rights) shall deliver a written notice (the “</w:t>
      </w:r>
      <w:r>
        <w:rPr>
          <w:rFonts w:ascii="Arial" w:cs="Arial" w:eastAsia="Arial" w:hAnsi="Arial"/>
          <w:sz w:val="18"/>
          <w:szCs w:val="18"/>
          <w:b w:val="1"/>
          <w:bCs w:val="1"/>
          <w:i w:val="1"/>
          <w:iCs w:val="1"/>
          <w:color w:val="auto"/>
        </w:rPr>
        <w:t>Reset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to the Partnership. Within 10 Business Days after the receipt by the Partnership of such Reset Notice, the Partnership shall deliver a written notice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holder or holders of the Incentive Distribution Rights of the Partnership’s determination of the aggregate number of Common Units that each holder of Incentive Distribution Rights will be entitled to receive.</w:t>
      </w:r>
    </w:p>
    <w:p>
      <w:pPr>
        <w:spacing w:after="0" w:line="188" w:lineRule="exact"/>
        <w:rPr>
          <w:rFonts w:ascii="Arial" w:cs="Arial" w:eastAsia="Arial" w:hAnsi="Arial"/>
          <w:sz w:val="18"/>
          <w:szCs w:val="18"/>
          <w:color w:val="auto"/>
        </w:rPr>
      </w:pPr>
    </w:p>
    <w:p>
      <w:pPr>
        <w:ind w:right="100" w:firstLine="1305"/>
        <w:spacing w:after="0" w:line="264" w:lineRule="auto"/>
        <w:tabs>
          <w:tab w:leader="none" w:pos="19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holder or holders of the Incentive Distribution Rights will be entitled to receive the Aggregate Quantity of IDR Reset Common Units and the General Partner will become entitled to receive the related additional General Partner Units on the 15th Business Day after receipt by the Partnership of the Reset Notice, and the Partnership may issue Certificates for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Common Units or uncertificated Partnership Interests to the holder or holders of the Incentive Distribution Rights.</w:t>
      </w:r>
    </w:p>
    <w:p>
      <w:pPr>
        <w:spacing w:after="0" w:line="225" w:lineRule="exact"/>
        <w:rPr>
          <w:sz w:val="20"/>
          <w:szCs w:val="20"/>
          <w:color w:val="auto"/>
        </w:rPr>
      </w:pPr>
    </w:p>
    <w:p>
      <w:pPr>
        <w:ind w:right="20" w:firstLine="1305"/>
        <w:spacing w:after="0" w:line="269" w:lineRule="auto"/>
        <w:tabs>
          <w:tab w:leader="none" w:pos="1952"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If the principal National Securities Exchange upon which the Common Units are then traded has not approved the listing or admission for trading of the Common Units to be issued pursuant to this </w:t>
      </w:r>
      <w:r>
        <w:rPr>
          <w:rFonts w:ascii="Arial" w:cs="Arial" w:eastAsia="Arial" w:hAnsi="Arial"/>
          <w:sz w:val="17"/>
          <w:szCs w:val="17"/>
          <w:u w:val="single" w:color="auto"/>
          <w:color w:val="auto"/>
        </w:rPr>
        <w:t>Section 5.9</w:t>
      </w:r>
      <w:r>
        <w:rPr>
          <w:rFonts w:ascii="Arial" w:cs="Arial" w:eastAsia="Arial" w:hAnsi="Arial"/>
          <w:sz w:val="17"/>
          <w:szCs w:val="17"/>
          <w:color w:val="auto"/>
        </w:rPr>
        <w:t xml:space="preserve"> on or before the 30th calendar day following the Partnership’s receipt of the Reset Notice and such approval is required by the rules and regulations of such National Securities Exchange, then the holder of the Incentive Distribution Rights (or, if there is more than one holder of the Incentive Distribution Rights, the holders of a majority in interest of the Incentive Distribution Rights) shall have the right to either rescind the IDR Reset Election or elect to receive other Partnership Interests having such terms as the General Partner may approve, with the approval of the Conflicts Committee, that will provide (i) the same economic value, in the aggregate, as the Aggregate Quantity of IDR Reset Common Units would have had at the time of the Partnership’s receipt of the Reset Notice, as determined by the General Partner, and (ii) for the subsequent conversion (on terms acceptable to the National Securities Exchange upon which the Common Units are then traded) of such Partnership Interests into Common Units within not more than 12 months following the Partnership’s receipt of the Reset Notice upon the satisfaction of one or more conditions that are reasonably acceptable to the holder of the Incentive Distribution Rights (or, if there is more than one holder of the Incentive Distribution Rights, the holders of a majority in interest of the Incentive Distribution Rights).</w:t>
      </w:r>
    </w:p>
    <w:p>
      <w:pPr>
        <w:spacing w:after="0" w:line="182" w:lineRule="exact"/>
        <w:rPr>
          <w:rFonts w:ascii="Arial" w:cs="Arial" w:eastAsia="Arial" w:hAnsi="Arial"/>
          <w:sz w:val="17"/>
          <w:szCs w:val="17"/>
          <w:color w:val="auto"/>
        </w:rPr>
      </w:pPr>
    </w:p>
    <w:p>
      <w:pPr>
        <w:ind w:right="140" w:firstLine="1305"/>
        <w:spacing w:after="0" w:line="297" w:lineRule="auto"/>
        <w:tabs>
          <w:tab w:leader="none" w:pos="19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The Minimum Quarterly Distribution, First Target Distribution, Second Target Distribution and Third Target Distribution shall be adjusted at the time of the issuance of Common Units or other Partnership Interests pursuant to this </w:t>
      </w:r>
      <w:r>
        <w:rPr>
          <w:rFonts w:ascii="Arial" w:cs="Arial" w:eastAsia="Arial" w:hAnsi="Arial"/>
          <w:sz w:val="16"/>
          <w:szCs w:val="16"/>
          <w:u w:val="single" w:color="auto"/>
          <w:color w:val="auto"/>
        </w:rPr>
        <w:t>Section 5.9</w:t>
      </w:r>
      <w:r>
        <w:rPr>
          <w:rFonts w:ascii="Arial" w:cs="Arial" w:eastAsia="Arial" w:hAnsi="Arial"/>
          <w:sz w:val="16"/>
          <w:szCs w:val="16"/>
          <w:color w:val="auto"/>
        </w:rPr>
        <w:t xml:space="preserve"> such that (i) the Minimum Quarterly Distribution shall be reset to equal to the average cash distribution amount per Common Unit for the two Quarters immediately prior to the Partnership’s receipt of the Reset Notice (the “</w:t>
      </w:r>
      <w:r>
        <w:rPr>
          <w:rFonts w:ascii="Arial" w:cs="Arial" w:eastAsia="Arial" w:hAnsi="Arial"/>
          <w:sz w:val="16"/>
          <w:szCs w:val="16"/>
          <w:b w:val="1"/>
          <w:bCs w:val="1"/>
          <w:i w:val="1"/>
          <w:iCs w:val="1"/>
          <w:color w:val="auto"/>
        </w:rPr>
        <w:t>Reset MQD</w:t>
      </w:r>
      <w:r>
        <w:rPr>
          <w:rFonts w:ascii="Arial" w:cs="Arial" w:eastAsia="Arial" w:hAnsi="Arial"/>
          <w:sz w:val="16"/>
          <w:szCs w:val="16"/>
          <w:color w:val="auto"/>
        </w:rPr>
        <w:t>”), (ii) the First Target Distribution shall be reset to equal 115% of the Reset MQD, (iii) the Second Target Distribution shall be reset to equal 125% of the Reset MQD and (iv) the Third Target Distribution shall be reset to equal 150% of the Reset MQD.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211" w:lineRule="exact"/>
        <w:rPr>
          <w:sz w:val="20"/>
          <w:szCs w:val="20"/>
          <w:color w:val="auto"/>
        </w:rPr>
      </w:pPr>
    </w:p>
    <w:p>
      <w:pPr>
        <w:ind w:right="40" w:firstLine="1297"/>
        <w:spacing w:after="0" w:line="271"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i w:val="1"/>
          <w:iCs w:val="1"/>
          <w:color w:val="auto"/>
        </w:rPr>
        <w:t>Allocations</w:t>
      </w:r>
      <w:r>
        <w:rPr>
          <w:rFonts w:ascii="Arial" w:cs="Arial" w:eastAsia="Arial" w:hAnsi="Arial"/>
          <w:sz w:val="17"/>
          <w:szCs w:val="17"/>
          <w:color w:val="auto"/>
        </w:rPr>
        <w:t xml:space="preserve">. The Partnership shall determine its profit or loss and allocate such profit or loss among the Partners in a manner determined appropriate so as to cause, to the extent possible, a capital account maintained with respect to each Partnership Interest to equal the excess of (a) the hypothetical distribution that would be paid with respect to such Partnership Interest in the event the Partnership sold all of its assets for their respective book values (as determined for such purpose), satisfied all outstanding liabilities (limited, with respect to nonrecourse liabilities, to the book value of the assets securing such liabilities) and distributed the remaining proceeds in accordance with </w:t>
      </w:r>
      <w:r>
        <w:rPr>
          <w:rFonts w:ascii="Arial" w:cs="Arial" w:eastAsia="Arial" w:hAnsi="Arial"/>
          <w:sz w:val="17"/>
          <w:szCs w:val="17"/>
          <w:u w:val="single" w:color="auto"/>
          <w:color w:val="auto"/>
        </w:rPr>
        <w:t>Section 12.4</w:t>
      </w:r>
      <w:r>
        <w:rPr>
          <w:rFonts w:ascii="Arial" w:cs="Arial" w:eastAsia="Arial" w:hAnsi="Arial"/>
          <w:sz w:val="17"/>
          <w:szCs w:val="17"/>
          <w:color w:val="auto"/>
        </w:rPr>
        <w:t>, over (b) the sum of the outstanding balance of any nonrecourse liabilities not required to be repaid in the event of such a hypothetical liquidation that are properly allocable to losses or distributions with respect to such Partnership Interest and the amount (if any) that would be required to be contributed to the Partnership with respect to such Partnership Interest upon such a hypothetical liquidation;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22" w:name="page23"/>
    <w:bookmarkEnd w:id="22"/>
    <w:p>
      <w:pPr>
        <w:ind w:right="460"/>
        <w:spacing w:after="0" w:line="264"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that the Partnership may deviate from the foregoing, as determined necessary or appropriate, for proper administration of the Partnership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otherwise to preserve or achieve uniformity of the Limited Partner Interests (or any class or classes thereof). For the avoidance of doubt, the allocations described in this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shall not apply for U.S. federal income tax purposes.</w:t>
      </w:r>
    </w:p>
    <w:p>
      <w:pPr>
        <w:spacing w:after="0" w:line="181" w:lineRule="exact"/>
        <w:rPr>
          <w:sz w:val="20"/>
          <w:szCs w:val="20"/>
          <w:color w:val="auto"/>
        </w:rPr>
      </w:pPr>
    </w:p>
    <w:p>
      <w:pPr>
        <w:ind w:firstLine="1297"/>
        <w:spacing w:after="0" w:line="253"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i w:val="1"/>
          <w:iCs w:val="1"/>
          <w:color w:val="auto"/>
        </w:rPr>
        <w:t>Requirement and Characterization of Distributions; Distributions to Record Holders</w:t>
      </w:r>
      <w:r>
        <w:rPr>
          <w:rFonts w:ascii="Arial" w:cs="Arial" w:eastAsia="Arial" w:hAnsi="Arial"/>
          <w:sz w:val="18"/>
          <w:szCs w:val="18"/>
          <w:color w:val="auto"/>
        </w:rPr>
        <w:t xml:space="preserve">. (a) Within 45 days following the end of each Quarter commencing with the Quarter ending on June 30, 2014, an amount equal to 100% of Available Cash with respect to such Quarter shall, subject to Section 51 of the Marshall Islands Act, be distributed in accordance with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by the Partnership to the Partners as of the Record Date selected by the Board of Directors. All amounts of Available Cash distributed by the Partnership on any date following the Closing Date from any source shall be deemed to be Operating Surplus until the sum of all amounts of Available Cash theretofore distributed by the Partnership to the Partners following the Closing Date pursuant to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equals the Operating Surplus from the Closing Date through the close of the immediately preceding Quarter. Any remaining amounts of Available Cash distributed by the Partnership on such date shall, except as otherwise provided in </w:t>
      </w:r>
      <w:r>
        <w:rPr>
          <w:rFonts w:ascii="Arial" w:cs="Arial" w:eastAsia="Arial" w:hAnsi="Arial"/>
          <w:sz w:val="18"/>
          <w:szCs w:val="18"/>
          <w:u w:val="single" w:color="auto"/>
          <w:color w:val="auto"/>
        </w:rPr>
        <w:t>Section 6.4</w:t>
      </w:r>
      <w:r>
        <w:rPr>
          <w:rFonts w:ascii="Arial" w:cs="Arial" w:eastAsia="Arial" w:hAnsi="Arial"/>
          <w:sz w:val="18"/>
          <w:szCs w:val="18"/>
          <w:color w:val="auto"/>
        </w:rPr>
        <w:t>, be deemed to be “</w:t>
      </w:r>
      <w:r>
        <w:rPr>
          <w:rFonts w:ascii="Arial" w:cs="Arial" w:eastAsia="Arial" w:hAnsi="Arial"/>
          <w:sz w:val="18"/>
          <w:szCs w:val="18"/>
          <w:b w:val="1"/>
          <w:bCs w:val="1"/>
          <w:i w:val="1"/>
          <w:iCs w:val="1"/>
          <w:color w:val="auto"/>
        </w:rPr>
        <w:t>Capital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Surplus</w:t>
      </w:r>
      <w:r>
        <w:rPr>
          <w:rFonts w:ascii="Arial" w:cs="Arial" w:eastAsia="Arial" w:hAnsi="Arial"/>
          <w:sz w:val="18"/>
          <w:szCs w:val="18"/>
          <w:color w:val="auto"/>
        </w:rPr>
        <w:t>.” Notwithstanding any provision to the contrary contained in this Agreement, the Partnership shall not make a distribution to any Partner on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of its interest in the Partnership if such distribution would violate the Marshall Islands Act or any other applicable law. This </w:t>
      </w:r>
      <w:r>
        <w:rPr>
          <w:rFonts w:ascii="Arial" w:cs="Arial" w:eastAsia="Arial" w:hAnsi="Arial"/>
          <w:sz w:val="18"/>
          <w:szCs w:val="18"/>
          <w:u w:val="single" w:color="auto"/>
          <w:color w:val="auto"/>
        </w:rPr>
        <w:t>Section 6.2(a)</w:t>
      </w:r>
      <w:r>
        <w:rPr>
          <w:rFonts w:ascii="Arial" w:cs="Arial" w:eastAsia="Arial" w:hAnsi="Arial"/>
          <w:sz w:val="18"/>
          <w:szCs w:val="18"/>
          <w:color w:val="auto"/>
        </w:rPr>
        <w:t xml:space="preserve"> shall not apply to Preference Units.</w:t>
      </w:r>
    </w:p>
    <w:p>
      <w:pPr>
        <w:spacing w:after="0" w:line="195" w:lineRule="exact"/>
        <w:rPr>
          <w:sz w:val="20"/>
          <w:szCs w:val="20"/>
          <w:color w:val="auto"/>
        </w:rPr>
      </w:pPr>
    </w:p>
    <w:p>
      <w:pPr>
        <w:ind w:right="320" w:firstLine="1305"/>
        <w:spacing w:after="0" w:line="286" w:lineRule="auto"/>
        <w:tabs>
          <w:tab w:leader="none" w:pos="1952"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Notwithstanding the first three sentences of </w:t>
      </w:r>
      <w:r>
        <w:rPr>
          <w:rFonts w:ascii="Arial" w:cs="Arial" w:eastAsia="Arial" w:hAnsi="Arial"/>
          <w:sz w:val="17"/>
          <w:szCs w:val="17"/>
          <w:u w:val="single" w:color="auto"/>
          <w:color w:val="auto"/>
        </w:rPr>
        <w:t>Section 6.2(a)</w:t>
      </w:r>
      <w:r>
        <w:rPr>
          <w:rFonts w:ascii="Arial" w:cs="Arial" w:eastAsia="Arial" w:hAnsi="Arial"/>
          <w:sz w:val="17"/>
          <w:szCs w:val="17"/>
          <w:color w:val="auto"/>
        </w:rPr>
        <w:t xml:space="preserve">, in the event of the dissolution and liquidation of the Partnership, all receipts received during or after the Quarter in which the Liquidation Date occurs, other than from borrowings described in </w:t>
      </w:r>
      <w:r>
        <w:rPr>
          <w:rFonts w:ascii="Arial" w:cs="Arial" w:eastAsia="Arial" w:hAnsi="Arial"/>
          <w:sz w:val="17"/>
          <w:szCs w:val="17"/>
          <w:u w:val="single" w:color="auto"/>
          <w:color w:val="auto"/>
        </w:rPr>
        <w:t>(a)(ii)</w:t>
      </w:r>
      <w:r>
        <w:rPr>
          <w:rFonts w:ascii="Arial" w:cs="Arial" w:eastAsia="Arial" w:hAnsi="Arial"/>
          <w:sz w:val="17"/>
          <w:szCs w:val="17"/>
          <w:color w:val="auto"/>
        </w:rPr>
        <w:t xml:space="preserve"> of the definition of Available Cash, shall be applied and distributed solely in accordance with, and subject to the terms and conditions of, </w:t>
      </w:r>
      <w:r>
        <w:rPr>
          <w:rFonts w:ascii="Arial" w:cs="Arial" w:eastAsia="Arial" w:hAnsi="Arial"/>
          <w:sz w:val="17"/>
          <w:szCs w:val="17"/>
          <w:u w:val="single" w:color="auto"/>
          <w:color w:val="auto"/>
        </w:rPr>
        <w:t>Section 12.4</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right="80" w:firstLine="1305"/>
        <w:spacing w:after="0" w:line="259" w:lineRule="auto"/>
        <w:tabs>
          <w:tab w:leader="none" w:pos="19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distribution in respect of a Partnership Interest shall be paid by the Partnership, directly or through the Transfer Agent or through any other Person or agent, only to the Record Holder of such Partnership Interest as of the Record Date set for such distribution. Such payment shall constitute full payment and satisfaction of the Partnership’s liability in respect of such payment, regardless of any claim of any Person who may have an interest in such payment by reason of an assignment or otherwise.</w:t>
      </w:r>
    </w:p>
    <w:p>
      <w:pPr>
        <w:spacing w:after="0" w:line="187" w:lineRule="exact"/>
        <w:rPr>
          <w:sz w:val="20"/>
          <w:szCs w:val="20"/>
          <w:color w:val="auto"/>
        </w:rPr>
      </w:pPr>
    </w:p>
    <w:p>
      <w:pPr>
        <w:ind w:right="40" w:firstLine="1297"/>
        <w:spacing w:after="0" w:line="279" w:lineRule="auto"/>
        <w:rPr>
          <w:sz w:val="20"/>
          <w:szCs w:val="20"/>
          <w:color w:val="auto"/>
        </w:rPr>
      </w:pPr>
      <w:r>
        <w:rPr>
          <w:rFonts w:ascii="Arial" w:cs="Arial" w:eastAsia="Arial" w:hAnsi="Arial"/>
          <w:sz w:val="17"/>
          <w:szCs w:val="17"/>
          <w:color w:val="auto"/>
        </w:rPr>
        <w:t xml:space="preserve">Section 6.3. </w:t>
      </w:r>
      <w:r>
        <w:rPr>
          <w:rFonts w:ascii="Arial" w:cs="Arial" w:eastAsia="Arial" w:hAnsi="Arial"/>
          <w:sz w:val="17"/>
          <w:szCs w:val="17"/>
          <w:i w:val="1"/>
          <w:iCs w:val="1"/>
          <w:color w:val="auto"/>
        </w:rPr>
        <w:t>Distributions of Available Cash from Operating Surplus</w:t>
      </w:r>
      <w:r>
        <w:rPr>
          <w:rFonts w:ascii="Arial" w:cs="Arial" w:eastAsia="Arial" w:hAnsi="Arial"/>
          <w:sz w:val="17"/>
          <w:szCs w:val="17"/>
          <w:color w:val="auto"/>
        </w:rPr>
        <w:t xml:space="preserve">. Available Cash with respect to any Quarter that is deemed to be Operating Surplus pursuant to the provisions of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shall, subject to Section 51 of the Marshall Islands Act, be distributed as follows (subject to </w:t>
      </w:r>
      <w:r>
        <w:rPr>
          <w:rFonts w:ascii="Arial" w:cs="Arial" w:eastAsia="Arial" w:hAnsi="Arial"/>
          <w:sz w:val="17"/>
          <w:szCs w:val="17"/>
          <w:u w:val="single" w:color="auto"/>
          <w:color w:val="auto"/>
        </w:rPr>
        <w:t>Section 16.3</w:t>
      </w:r>
      <w:r>
        <w:rPr>
          <w:rFonts w:ascii="Arial" w:cs="Arial" w:eastAsia="Arial" w:hAnsi="Arial"/>
          <w:sz w:val="17"/>
          <w:szCs w:val="17"/>
          <w:color w:val="auto"/>
        </w:rPr>
        <w:t xml:space="preserve"> in respect of Series A Preference Units described therein and subject to </w:t>
      </w:r>
      <w:r>
        <w:rPr>
          <w:rFonts w:ascii="Arial" w:cs="Arial" w:eastAsia="Arial" w:hAnsi="Arial"/>
          <w:sz w:val="17"/>
          <w:szCs w:val="17"/>
          <w:u w:val="single" w:color="auto"/>
          <w:color w:val="auto"/>
        </w:rPr>
        <w:t>Section 17.3</w:t>
      </w:r>
      <w:r>
        <w:rPr>
          <w:rFonts w:ascii="Arial" w:cs="Arial" w:eastAsia="Arial" w:hAnsi="Arial"/>
          <w:sz w:val="17"/>
          <w:szCs w:val="17"/>
          <w:color w:val="auto"/>
        </w:rPr>
        <w:t xml:space="preserve"> in respect of Series B Preference Units described therein and except as otherwise required by </w:t>
      </w:r>
      <w:r>
        <w:rPr>
          <w:rFonts w:ascii="Arial" w:cs="Arial" w:eastAsia="Arial" w:hAnsi="Arial"/>
          <w:sz w:val="17"/>
          <w:szCs w:val="17"/>
          <w:u w:val="single" w:color="auto"/>
          <w:color w:val="auto"/>
        </w:rPr>
        <w:t>Section 5.4(b)</w:t>
      </w:r>
      <w:r>
        <w:rPr>
          <w:rFonts w:ascii="Arial" w:cs="Arial" w:eastAsia="Arial" w:hAnsi="Arial"/>
          <w:sz w:val="17"/>
          <w:szCs w:val="17"/>
          <w:color w:val="auto"/>
        </w:rPr>
        <w:t xml:space="preserve"> in respect of additional Partnership Interests issued pursuant thereto):</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00" w:firstLine="1305"/>
        <w:spacing w:after="0" w:line="277" w:lineRule="auto"/>
        <w:tabs>
          <w:tab w:leader="none" w:pos="1942"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100% to the General Partner and the Unitholders Pro Rata, until there has been distributed in respect of each Unit then</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an amount equal to the Minimum Quarterly Distribution for such Quarter;</w:t>
      </w:r>
    </w:p>
    <w:p>
      <w:pPr>
        <w:spacing w:after="0" w:line="170" w:lineRule="exact"/>
        <w:rPr>
          <w:rFonts w:ascii="Arial" w:cs="Arial" w:eastAsia="Arial" w:hAnsi="Arial"/>
          <w:sz w:val="18"/>
          <w:szCs w:val="18"/>
          <w:color w:val="auto"/>
        </w:rPr>
      </w:pPr>
    </w:p>
    <w:p>
      <w:pPr>
        <w:ind w:right="320" w:firstLine="1305"/>
        <w:spacing w:after="0" w:line="308" w:lineRule="auto"/>
        <w:tabs>
          <w:tab w:leader="none" w:pos="1952" w:val="left"/>
        </w:tabs>
        <w:numPr>
          <w:ilvl w:val="0"/>
          <w:numId w:val="29"/>
        </w:numPr>
        <w:rPr>
          <w:rFonts w:ascii="Arial" w:cs="Arial" w:eastAsia="Arial" w:hAnsi="Arial"/>
          <w:sz w:val="17"/>
          <w:szCs w:val="17"/>
          <w:color w:val="auto"/>
        </w:rPr>
      </w:pPr>
      <w:r>
        <w:rPr>
          <w:rFonts w:ascii="Arial" w:cs="Arial" w:eastAsia="Arial" w:hAnsi="Arial"/>
          <w:sz w:val="17"/>
          <w:szCs w:val="17"/>
          <w:color w:val="auto"/>
        </w:rPr>
        <w:t>Second, 100% to the General Partner and the Unitholders Pro Rata, until there has been distributed in respect of each Unit then Outstanding an amount equal to the excess of the First Target Distribution over the Minimum Quarterly Distribution for such Quarter;</w:t>
      </w:r>
    </w:p>
    <w:p>
      <w:pPr>
        <w:spacing w:after="0" w:line="146" w:lineRule="exact"/>
        <w:rPr>
          <w:rFonts w:ascii="Arial" w:cs="Arial" w:eastAsia="Arial" w:hAnsi="Arial"/>
          <w:sz w:val="17"/>
          <w:szCs w:val="17"/>
          <w:color w:val="auto"/>
        </w:rPr>
      </w:pPr>
    </w:p>
    <w:p>
      <w:pPr>
        <w:ind w:right="120" w:firstLine="1305"/>
        <w:spacing w:after="0" w:line="259" w:lineRule="auto"/>
        <w:tabs>
          <w:tab w:leader="none" w:pos="19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Third, (i) to the General Partner in accordance with its Percentage Interest; (ii) 13% to the holders of the Incentive Distribution Rights, Pro Rata; and (iii) to all Unitholders, Pro Rata, a percentage equal to 100% less the sum of the percentages applicable to </w:t>
      </w:r>
      <w:r>
        <w:rPr>
          <w:rFonts w:ascii="Arial" w:cs="Arial" w:eastAsia="Arial" w:hAnsi="Arial"/>
          <w:sz w:val="18"/>
          <w:szCs w:val="18"/>
          <w:u w:val="single" w:color="auto"/>
          <w:color w:val="auto"/>
        </w:rPr>
        <w:t>subclauses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clause (c)</w:t>
      </w:r>
      <w:r>
        <w:rPr>
          <w:rFonts w:ascii="Arial" w:cs="Arial" w:eastAsia="Arial" w:hAnsi="Arial"/>
          <w:sz w:val="18"/>
          <w:szCs w:val="18"/>
          <w:color w:val="auto"/>
        </w:rPr>
        <w:t>, until there has been distributed in respect of each Unit then Outstanding an amount equal to the excess of the Second Target Distribution over the First Target Distribution for such Quarter;</w:t>
      </w:r>
    </w:p>
    <w:p>
      <w:pPr>
        <w:spacing w:after="0" w:line="186" w:lineRule="exact"/>
        <w:rPr>
          <w:rFonts w:ascii="Arial" w:cs="Arial" w:eastAsia="Arial" w:hAnsi="Arial"/>
          <w:sz w:val="18"/>
          <w:szCs w:val="18"/>
          <w:color w:val="auto"/>
        </w:rPr>
      </w:pPr>
    </w:p>
    <w:p>
      <w:pPr>
        <w:ind w:right="120" w:firstLine="1305"/>
        <w:spacing w:after="0" w:line="259" w:lineRule="auto"/>
        <w:tabs>
          <w:tab w:leader="none" w:pos="1952"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Fourth, (i) to the General Partner in accordance with its Percentage Interest; (ii) 23% to the holders of the Incentive Distribution Rights, Pro Rata; and (iii) to all Unitholders, Pro Rata, a percentage equal to 100% less the sum of the percentages applicable to </w:t>
      </w:r>
      <w:r>
        <w:rPr>
          <w:rFonts w:ascii="Arial" w:cs="Arial" w:eastAsia="Arial" w:hAnsi="Arial"/>
          <w:sz w:val="18"/>
          <w:szCs w:val="18"/>
          <w:u w:val="single" w:color="auto"/>
          <w:color w:val="auto"/>
        </w:rPr>
        <w:t>subclauses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clause (d)</w:t>
      </w:r>
      <w:r>
        <w:rPr>
          <w:rFonts w:ascii="Arial" w:cs="Arial" w:eastAsia="Arial" w:hAnsi="Arial"/>
          <w:sz w:val="18"/>
          <w:szCs w:val="18"/>
          <w:color w:val="auto"/>
        </w:rPr>
        <w:t>, until there has been distributed in respect of each Unit then Outstanding an amount equal to the excess of the Third Target Distribution over the Second Target Distribution for such Quarter; and</w:t>
      </w:r>
    </w:p>
    <w:p>
      <w:pPr>
        <w:spacing w:after="0" w:line="186" w:lineRule="exact"/>
        <w:rPr>
          <w:rFonts w:ascii="Arial" w:cs="Arial" w:eastAsia="Arial" w:hAnsi="Arial"/>
          <w:sz w:val="18"/>
          <w:szCs w:val="18"/>
          <w:color w:val="auto"/>
        </w:rPr>
      </w:pPr>
    </w:p>
    <w:p>
      <w:pPr>
        <w:ind w:right="60" w:firstLine="1305"/>
        <w:spacing w:after="0" w:line="276" w:lineRule="auto"/>
        <w:tabs>
          <w:tab w:leader="none" w:pos="19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Thereafter, (i) to the General Partner in accordance with its Percentage Interest; (ii) 48% to the holders of the Incentive Distribution Rights, Pro Rata; and (iii) to all Unitholders, Pro Rata, a percentage equal to 100% less the sum of the percentages applicable to </w:t>
      </w:r>
      <w:r>
        <w:rPr>
          <w:rFonts w:ascii="Arial" w:cs="Arial" w:eastAsia="Arial" w:hAnsi="Arial"/>
          <w:sz w:val="17"/>
          <w:szCs w:val="17"/>
          <w:u w:val="single" w:color="auto"/>
          <w:color w:val="auto"/>
        </w:rPr>
        <w:t>subclauses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the Minimum Quarterly Distribution, the First Target Distribution, the Second Target Distribution and the Third Target Distribution have been reduced to zero pursuant to the second sentence of </w:t>
      </w:r>
      <w:r>
        <w:rPr>
          <w:rFonts w:ascii="Arial" w:cs="Arial" w:eastAsia="Arial" w:hAnsi="Arial"/>
          <w:sz w:val="17"/>
          <w:szCs w:val="17"/>
          <w:u w:val="single" w:color="auto"/>
          <w:color w:val="auto"/>
        </w:rPr>
        <w:t>Section 6.5</w:t>
      </w:r>
      <w:r>
        <w:rPr>
          <w:rFonts w:ascii="Arial" w:cs="Arial" w:eastAsia="Arial" w:hAnsi="Arial"/>
          <w:sz w:val="17"/>
          <w:szCs w:val="17"/>
          <w:color w:val="auto"/>
        </w:rPr>
        <w:t xml:space="preserve">, the distribution of Available Cash that is deemed to be Operating Surplus with respect to any Quarter will be made solely in accordance with </w:t>
      </w:r>
      <w:r>
        <w:rPr>
          <w:rFonts w:ascii="Arial" w:cs="Arial" w:eastAsia="Arial" w:hAnsi="Arial"/>
          <w:sz w:val="17"/>
          <w:szCs w:val="17"/>
          <w:u w:val="single" w:color="auto"/>
          <w:color w:val="auto"/>
        </w:rPr>
        <w:t>Section 6.3(e)</w:t>
      </w:r>
      <w:r>
        <w:rPr>
          <w:rFonts w:ascii="Arial" w:cs="Arial" w:eastAsia="Arial" w:hAnsi="Arial"/>
          <w:sz w:val="17"/>
          <w:szCs w:val="17"/>
          <w:color w:val="auto"/>
        </w:rPr>
        <w: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No distributions shall be made with respect to Preference Units pursuant to this </w:t>
      </w:r>
      <w:r>
        <w:rPr>
          <w:rFonts w:ascii="Arial" w:cs="Arial" w:eastAsia="Arial" w:hAnsi="Arial"/>
          <w:sz w:val="18"/>
          <w:szCs w:val="18"/>
          <w:u w:val="single" w:color="auto"/>
          <w:color w:val="auto"/>
        </w:rPr>
        <w:t>Section 6.3</w:t>
      </w:r>
      <w:r>
        <w:rPr>
          <w:rFonts w:ascii="Arial" w:cs="Arial" w:eastAsia="Arial" w:hAnsi="Arial"/>
          <w:sz w:val="18"/>
          <w:szCs w:val="18"/>
          <w:color w:val="auto"/>
        </w:rPr>
        <w:t>.</w:t>
      </w:r>
    </w:p>
    <w:p>
      <w:pPr>
        <w:spacing w:after="0" w:line="225" w:lineRule="exact"/>
        <w:rPr>
          <w:sz w:val="20"/>
          <w:szCs w:val="20"/>
          <w:color w:val="auto"/>
        </w:rPr>
      </w:pPr>
    </w:p>
    <w:p>
      <w:pPr>
        <w:ind w:right="80" w:firstLine="1297"/>
        <w:spacing w:after="0" w:line="297" w:lineRule="auto"/>
        <w:rPr>
          <w:sz w:val="20"/>
          <w:szCs w:val="20"/>
          <w:color w:val="auto"/>
        </w:rPr>
      </w:pPr>
      <w:r>
        <w:rPr>
          <w:rFonts w:ascii="Arial" w:cs="Arial" w:eastAsia="Arial" w:hAnsi="Arial"/>
          <w:sz w:val="16"/>
          <w:szCs w:val="16"/>
          <w:color w:val="auto"/>
        </w:rPr>
        <w:t xml:space="preserve">Section 6.4. </w:t>
      </w:r>
      <w:r>
        <w:rPr>
          <w:rFonts w:ascii="Arial" w:cs="Arial" w:eastAsia="Arial" w:hAnsi="Arial"/>
          <w:sz w:val="16"/>
          <w:szCs w:val="16"/>
          <w:i w:val="1"/>
          <w:iCs w:val="1"/>
          <w:color w:val="auto"/>
        </w:rPr>
        <w:t>Distributions of Available Cash from Capital Surplus</w:t>
      </w:r>
      <w:r>
        <w:rPr>
          <w:rFonts w:ascii="Arial" w:cs="Arial" w:eastAsia="Arial" w:hAnsi="Arial"/>
          <w:sz w:val="16"/>
          <w:szCs w:val="16"/>
          <w:color w:val="auto"/>
        </w:rPr>
        <w:t xml:space="preserve">. Available Cash that is deemed to be Capital Surplus pursuant to the provisions of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shall, subject to Section 51 of the Marshall Islands Act, </w:t>
      </w:r>
      <w:r>
        <w:rPr>
          <w:rFonts w:ascii="Arial" w:cs="Arial" w:eastAsia="Arial" w:hAnsi="Arial"/>
          <w:sz w:val="16"/>
          <w:szCs w:val="16"/>
          <w:u w:val="single" w:color="auto"/>
          <w:color w:val="auto"/>
        </w:rPr>
        <w:t>Section 16.3</w:t>
      </w:r>
      <w:r>
        <w:rPr>
          <w:rFonts w:ascii="Arial" w:cs="Arial" w:eastAsia="Arial" w:hAnsi="Arial"/>
          <w:sz w:val="16"/>
          <w:szCs w:val="16"/>
          <w:color w:val="auto"/>
        </w:rPr>
        <w:t xml:space="preserve"> in respect of Series A Preference Units and </w:t>
      </w:r>
      <w:r>
        <w:rPr>
          <w:rFonts w:ascii="Arial" w:cs="Arial" w:eastAsia="Arial" w:hAnsi="Arial"/>
          <w:sz w:val="16"/>
          <w:szCs w:val="16"/>
          <w:u w:val="single" w:color="auto"/>
          <w:color w:val="auto"/>
        </w:rPr>
        <w:t>Section 17.3</w:t>
      </w:r>
      <w:r>
        <w:rPr>
          <w:rFonts w:ascii="Arial" w:cs="Arial" w:eastAsia="Arial" w:hAnsi="Arial"/>
          <w:sz w:val="16"/>
          <w:szCs w:val="16"/>
          <w:color w:val="auto"/>
        </w:rPr>
        <w:t xml:space="preserve"> in respect of Series B Preference Units, be distributed, unless the provisions of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require otherwise, 100% to the General Partner and the Unitholders (other than the Preference Unitholders) Pro Rata, until the Minimum Quarterly Distribution is reduced to zero pursuant to the second sentence of </w:t>
      </w:r>
      <w:r>
        <w:rPr>
          <w:rFonts w:ascii="Arial" w:cs="Arial" w:eastAsia="Arial" w:hAnsi="Arial"/>
          <w:sz w:val="16"/>
          <w:szCs w:val="16"/>
          <w:u w:val="single" w:color="auto"/>
          <w:color w:val="auto"/>
        </w:rPr>
        <w:t>Section 6.5</w:t>
      </w:r>
      <w:r>
        <w:rPr>
          <w:rFonts w:ascii="Arial" w:cs="Arial" w:eastAsia="Arial" w:hAnsi="Arial"/>
          <w:sz w:val="16"/>
          <w:szCs w:val="16"/>
          <w:color w:val="auto"/>
        </w:rPr>
        <w:t xml:space="preserve">. Thereafter, all Available Cash shall be distributed as if it were Operating Surplus and shall be distributed in accordance with </w:t>
      </w:r>
      <w:r>
        <w:rPr>
          <w:rFonts w:ascii="Arial" w:cs="Arial" w:eastAsia="Arial" w:hAnsi="Arial"/>
          <w:sz w:val="16"/>
          <w:szCs w:val="16"/>
          <w:u w:val="single" w:color="auto"/>
          <w:color w:val="auto"/>
        </w:rPr>
        <w:t>Section 6.3</w:t>
      </w:r>
      <w:r>
        <w:rPr>
          <w:rFonts w:ascii="Arial" w:cs="Arial" w:eastAsia="Arial" w:hAnsi="Arial"/>
          <w:sz w:val="16"/>
          <w:szCs w:val="16"/>
          <w:color w:val="auto"/>
        </w:rPr>
        <w:t>.</w:t>
      </w:r>
    </w:p>
    <w:p>
      <w:pPr>
        <w:spacing w:after="0" w:line="158"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i w:val="1"/>
          <w:iCs w:val="1"/>
          <w:color w:val="auto"/>
        </w:rPr>
        <w:t>Adjustment of Minimum Quarterly Distribution and Target Distribution Levels</w:t>
      </w:r>
      <w:r>
        <w:rPr>
          <w:rFonts w:ascii="Arial" w:cs="Arial" w:eastAsia="Arial" w:hAnsi="Arial"/>
          <w:sz w:val="18"/>
          <w:szCs w:val="18"/>
          <w:color w:val="auto"/>
        </w:rPr>
        <w:t>. The Minimum Quarterly Distribution, First Target Distribution, Second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 xml:space="preserve">Target Distribution and Third Target Distribution shall be proportionately adjusted in the event of any distribution, combination or subdivision (whether effected by a distribution payable in Units or otherwise) of Units or other Partnership Interests in accordance with </w:t>
      </w:r>
      <w:r>
        <w:rPr>
          <w:rFonts w:ascii="Arial" w:cs="Arial" w:eastAsia="Arial" w:hAnsi="Arial"/>
          <w:sz w:val="16"/>
          <w:szCs w:val="16"/>
          <w:u w:val="single" w:color="auto"/>
          <w:color w:val="auto"/>
        </w:rPr>
        <w:t>Section 5.7</w:t>
      </w:r>
      <w:r>
        <w:rPr>
          <w:rFonts w:ascii="Arial" w:cs="Arial" w:eastAsia="Arial" w:hAnsi="Arial"/>
          <w:sz w:val="16"/>
          <w:szCs w:val="16"/>
          <w:color w:val="auto"/>
        </w:rPr>
        <w:t>. In the event of a distribution of Available Cash that is deemed to be from Capital Surplus, the then applicable Minimum Quarterly Distribution, First Target Distribution, Second Target</w:t>
      </w:r>
    </w:p>
    <w:p>
      <w:pPr>
        <w:sectPr>
          <w:pgSz w:w="11900" w:h="16838" w:orient="portrait"/>
          <w:cols w:equalWidth="0" w:num="1">
            <w:col w:w="11420"/>
          </w:cols>
          <w:pgMar w:left="240" w:top="584" w:right="239" w:bottom="0" w:gutter="0" w:footer="0" w:header="0"/>
        </w:sectPr>
      </w:pPr>
    </w:p>
    <w:bookmarkStart w:id="23" w:name="page24"/>
    <w:bookmarkEnd w:id="23"/>
    <w:p>
      <w:pPr>
        <w:ind w:right="140"/>
        <w:spacing w:after="0" w:line="259" w:lineRule="auto"/>
        <w:rPr>
          <w:sz w:val="20"/>
          <w:szCs w:val="20"/>
          <w:color w:val="auto"/>
        </w:rPr>
      </w:pPr>
      <w:r>
        <w:rPr>
          <w:rFonts w:ascii="Arial" w:cs="Arial" w:eastAsia="Arial" w:hAnsi="Arial"/>
          <w:sz w:val="18"/>
          <w:szCs w:val="18"/>
          <w:color w:val="auto"/>
        </w:rPr>
        <w:t>Distribution and Third Target Distribution, shall be reduced in the same proportion that the distribution had to the fair market value of the Common Units prior to the announcement of the distribution. If the Common Units are publicly traded on a National Securities Exchange, the fair market value will be the Current Market Price before the announcement of the distribution. If the Common Units are not publicly traded, the fair market value will be determined by the Board of Directors.</w:t>
      </w:r>
    </w:p>
    <w:p>
      <w:pPr>
        <w:spacing w:after="0" w:line="187" w:lineRule="exact"/>
        <w:rPr>
          <w:sz w:val="20"/>
          <w:szCs w:val="20"/>
          <w:color w:val="auto"/>
        </w:rPr>
      </w:pPr>
    </w:p>
    <w:p>
      <w:pPr>
        <w:ind w:right="20" w:firstLine="1297"/>
        <w:spacing w:after="0" w:line="302" w:lineRule="auto"/>
        <w:rPr>
          <w:sz w:val="20"/>
          <w:szCs w:val="20"/>
          <w:color w:val="auto"/>
        </w:rPr>
      </w:pPr>
      <w:r>
        <w:rPr>
          <w:rFonts w:ascii="Arial" w:cs="Arial" w:eastAsia="Arial" w:hAnsi="Arial"/>
          <w:sz w:val="16"/>
          <w:szCs w:val="16"/>
          <w:color w:val="auto"/>
        </w:rPr>
        <w:t xml:space="preserve">Section 6.6. </w:t>
      </w:r>
      <w:r>
        <w:rPr>
          <w:rFonts w:ascii="Arial" w:cs="Arial" w:eastAsia="Arial" w:hAnsi="Arial"/>
          <w:sz w:val="16"/>
          <w:szCs w:val="16"/>
          <w:i w:val="1"/>
          <w:iCs w:val="1"/>
          <w:color w:val="auto"/>
        </w:rPr>
        <w:t>Special Provisions Relating to the Holders of Incentive Distribution Rights</w:t>
      </w:r>
      <w:r>
        <w:rPr>
          <w:rFonts w:ascii="Arial" w:cs="Arial" w:eastAsia="Arial" w:hAnsi="Arial"/>
          <w:sz w:val="16"/>
          <w:szCs w:val="16"/>
          <w:color w:val="auto"/>
        </w:rPr>
        <w:t xml:space="preserve">. Notwithstanding anything to the contrary set forth in this Agreement, the holders of the Incentive Distribution Rights (a) shall possess the rights and obligations provided in this Agreement with respect to a Limited Partner pursuant to </w:t>
      </w:r>
      <w:r>
        <w:rPr>
          <w:rFonts w:ascii="Arial" w:cs="Arial" w:eastAsia="Arial" w:hAnsi="Arial"/>
          <w:sz w:val="16"/>
          <w:szCs w:val="16"/>
          <w:u w:val="single" w:color="auto"/>
          <w:color w:val="auto"/>
        </w:rPr>
        <w:t>Articles 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and (b) shall not (i) be entitled to vote on any matters requiring the approval or vote of the holders of Outstanding Units, except as provided by law, or (ii) be entitled to any distributions other than as provided in </w:t>
      </w:r>
      <w:r>
        <w:rPr>
          <w:rFonts w:ascii="Arial" w:cs="Arial" w:eastAsia="Arial" w:hAnsi="Arial"/>
          <w:sz w:val="16"/>
          <w:szCs w:val="16"/>
          <w:u w:val="single" w:color="auto"/>
          <w:color w:val="auto"/>
        </w:rPr>
        <w:t>Sections 6.3(c)</w:t>
      </w:r>
      <w:r>
        <w:rPr>
          <w:rFonts w:ascii="Arial" w:cs="Arial" w:eastAsia="Arial" w:hAnsi="Arial"/>
          <w:sz w:val="16"/>
          <w:szCs w:val="16"/>
          <w:color w:val="auto"/>
        </w:rPr>
        <w:t xml:space="preserve">, </w:t>
      </w:r>
      <w:r>
        <w:rPr>
          <w:rFonts w:ascii="Arial" w:cs="Arial" w:eastAsia="Arial" w:hAnsi="Arial"/>
          <w:sz w:val="16"/>
          <w:szCs w:val="16"/>
          <w:u w:val="single" w:color="auto"/>
          <w:color w:val="auto"/>
        </w:rPr>
        <w:t>6.3(d)</w:t>
      </w:r>
      <w:r>
        <w:rPr>
          <w:rFonts w:ascii="Arial" w:cs="Arial" w:eastAsia="Arial" w:hAnsi="Arial"/>
          <w:sz w:val="16"/>
          <w:szCs w:val="16"/>
          <w:color w:val="auto"/>
        </w:rPr>
        <w:t xml:space="preserve">, </w:t>
      </w:r>
      <w:r>
        <w:rPr>
          <w:rFonts w:ascii="Arial" w:cs="Arial" w:eastAsia="Arial" w:hAnsi="Arial"/>
          <w:sz w:val="16"/>
          <w:szCs w:val="16"/>
          <w:u w:val="single" w:color="auto"/>
          <w:color w:val="auto"/>
        </w:rPr>
        <w:t>6.3(e)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12.4</w:t>
      </w:r>
      <w:r>
        <w:rPr>
          <w:rFonts w:ascii="Arial" w:cs="Arial" w:eastAsia="Arial" w:hAnsi="Arial"/>
          <w:sz w:val="16"/>
          <w:szCs w:val="16"/>
          <w:color w:val="auto"/>
        </w:rPr>
        <w: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AND OPERATION OF BUSINESS</w:t>
      </w:r>
    </w:p>
    <w:p>
      <w:pPr>
        <w:spacing w:after="0" w:line="211" w:lineRule="exact"/>
        <w:rPr>
          <w:sz w:val="20"/>
          <w:szCs w:val="20"/>
          <w:color w:val="auto"/>
        </w:rPr>
      </w:pPr>
    </w:p>
    <w:p>
      <w:pPr>
        <w:ind w:right="60" w:firstLine="1297"/>
        <w:spacing w:after="0" w:line="268"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i w:val="1"/>
          <w:iCs w:val="1"/>
          <w:color w:val="auto"/>
        </w:rPr>
        <w:t>Management</w:t>
      </w:r>
      <w:r>
        <w:rPr>
          <w:rFonts w:ascii="Arial" w:cs="Arial" w:eastAsia="Arial" w:hAnsi="Arial"/>
          <w:sz w:val="17"/>
          <w:szCs w:val="17"/>
          <w:color w:val="auto"/>
        </w:rPr>
        <w:t xml:space="preserve">. (a) Except as otherwise expressly provided in this Agreement, all management powers over the business and affairs of the Partnership shall be vested exclusively in the Board of Directors and, subject to the direction of the Board of Directors and in accordance with the provisions of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the Officers. No Limited Partner shall have any management power or control over the business and affairs of the Partnership. Thus, except as expressly provided in this Agreement, the business and affairs of the Partnership shall be managed by or under the direction of the Board of Directors, and the day-to-day activities of the Partnership shall be conducted on the Partnership’s behalf by the Officers. In order to enable the Board of Directors to manage the business and affairs of the Partnership, the General Partner, except as otherwise expressly provided in this Agreement, hereby irrevocably delegates to the Board of Directors all management powers over the business and affairs of the Partnership that it may now or hereafter possess under applicable law. The General Partner further agrees to take any and all action necessary and appropriate, in the sole discretion of the Board of Directors, to effect any duly authorized actions by the Board of Directors, including executing or filing any agreements, instruments or certificates, delivering all documents, providing all information and taking or refraining from taking action as may be necessary or appropriate to achieve the effective delegation of power described in this </w:t>
      </w:r>
      <w:r>
        <w:rPr>
          <w:rFonts w:ascii="Arial" w:cs="Arial" w:eastAsia="Arial" w:hAnsi="Arial"/>
          <w:sz w:val="17"/>
          <w:szCs w:val="17"/>
          <w:u w:val="single" w:color="auto"/>
          <w:color w:val="auto"/>
        </w:rPr>
        <w:t>Section 7.1(a)</w:t>
      </w:r>
      <w:r>
        <w:rPr>
          <w:rFonts w:ascii="Arial" w:cs="Arial" w:eastAsia="Arial" w:hAnsi="Arial"/>
          <w:sz w:val="17"/>
          <w:szCs w:val="17"/>
          <w:color w:val="auto"/>
        </w:rPr>
        <w:t>. Each of the Partners and each Person who may acquire an interest in a Partnership Interest hereby approves, consents to, ratifies and confirms such delegation. The delegation by the General Partner to the Board of Directors of management powers over the business and affairs of the Partnership pursuant to the provisions of this Agreement shall not cause the General Partner to cease to be a general partner of the Partnership nor shall it cause the Board of Directors or 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member thereof to be a general partner of the Partnership or to have or be subject to the liabilities of a general partner of the Partnership.</w:t>
      </w:r>
    </w:p>
    <w:p>
      <w:pPr>
        <w:spacing w:after="0" w:line="225" w:lineRule="exact"/>
        <w:rPr>
          <w:sz w:val="20"/>
          <w:szCs w:val="20"/>
          <w:color w:val="auto"/>
        </w:rPr>
      </w:pPr>
    </w:p>
    <w:p>
      <w:pPr>
        <w:ind w:right="160" w:firstLine="1305"/>
        <w:spacing w:after="0" w:line="286" w:lineRule="auto"/>
        <w:tabs>
          <w:tab w:leader="none" w:pos="1952"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 of this Agreement, any Group Member Agreement, the Marshall Islands Act or any applicable law, rule or regulation, each of the Partners and each other Person who may acquire an interest in Partnership Interests hereby (i) approves, consents to, ratifies and confirms the General Partner’s delegation of management powers to the Board of Directors pursuant to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(ii) approves, ratifies and confirms the execution, delivery and performance by the parties thereto of this Agreement, the Underwriting Agreement, the Omnibus Agreement, the Contribution Agreement, any Group Member Agreement of any other Group Member and the other agreements described in or filed as exhibits to the Registration Statement that are related to the transactions contemplated by the Registration Statement; (iii) agrees that the General Partner (on behalf of the Partnership) is authorized to execute, deliver and perform the agreements referred to in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of this sentence and the other agreements, acts, transactions and matters described in or contemplated by the Underwriting Agreement or described in or filed as exhibits to the Registration Statement, in each case, on behalf of the Partnership without any further act, approval or vote of the Partners or the other Persons who may acquire an interest in Partnership Interests; and (iv) agrees that the execution, delivery or performance by the Board of Directors, the General Partner, any Group Member or any Affiliate of any of them of this Agreement or any agreement authorized or permitted under this Agreement (including the exercise by the General Partner or any Affiliate of the General Partner of the rights accorded pursuant to </w:t>
      </w:r>
      <w:r>
        <w:rPr>
          <w:rFonts w:ascii="Arial" w:cs="Arial" w:eastAsia="Arial" w:hAnsi="Arial"/>
          <w:sz w:val="16"/>
          <w:szCs w:val="16"/>
          <w:u w:val="single" w:color="auto"/>
          <w:color w:val="auto"/>
        </w:rPr>
        <w:t>Article XV</w:t>
      </w:r>
      <w:r>
        <w:rPr>
          <w:rFonts w:ascii="Arial" w:cs="Arial" w:eastAsia="Arial" w:hAnsi="Arial"/>
          <w:sz w:val="16"/>
          <w:szCs w:val="16"/>
          <w:color w:val="auto"/>
        </w:rPr>
        <w:t>) shall not constitute a breach by the Board of Directors or the General Partner of any duty that the Board of Directors or the General Partner may owe the Partnership or the Limited Partners or any other Persons under this Agreement (or any other agreements) or of any duty stated or implied by law or equity.</w:t>
      </w:r>
    </w:p>
    <w:p>
      <w:pPr>
        <w:spacing w:after="0" w:line="172" w:lineRule="exact"/>
        <w:rPr>
          <w:sz w:val="20"/>
          <w:szCs w:val="20"/>
          <w:color w:val="auto"/>
        </w:rPr>
      </w:pPr>
    </w:p>
    <w:p>
      <w:pPr>
        <w:ind w:right="100" w:firstLine="1297"/>
        <w:spacing w:after="0" w:line="272" w:lineRule="auto"/>
        <w:rPr>
          <w:sz w:val="20"/>
          <w:szCs w:val="20"/>
          <w:color w:val="auto"/>
        </w:rPr>
      </w:pPr>
      <w:r>
        <w:rPr>
          <w:rFonts w:ascii="Arial" w:cs="Arial" w:eastAsia="Arial" w:hAnsi="Arial"/>
          <w:sz w:val="17"/>
          <w:szCs w:val="17"/>
          <w:color w:val="auto"/>
        </w:rPr>
        <w:t xml:space="preserve">Section 7.2. </w:t>
      </w:r>
      <w:r>
        <w:rPr>
          <w:rFonts w:ascii="Arial" w:cs="Arial" w:eastAsia="Arial" w:hAnsi="Arial"/>
          <w:sz w:val="17"/>
          <w:szCs w:val="17"/>
          <w:i w:val="1"/>
          <w:iCs w:val="1"/>
          <w:color w:val="auto"/>
        </w:rPr>
        <w:t>Election and Appointment; Term; Manner of Acting</w:t>
      </w:r>
      <w:r>
        <w:rPr>
          <w:rFonts w:ascii="Arial" w:cs="Arial" w:eastAsia="Arial" w:hAnsi="Arial"/>
          <w:sz w:val="17"/>
          <w:szCs w:val="17"/>
          <w:color w:val="auto"/>
        </w:rPr>
        <w:t xml:space="preserve">. (a) Subject to </w:t>
      </w:r>
      <w:r>
        <w:rPr>
          <w:rFonts w:ascii="Arial" w:cs="Arial" w:eastAsia="Arial" w:hAnsi="Arial"/>
          <w:sz w:val="17"/>
          <w:szCs w:val="17"/>
          <w:u w:val="single" w:color="auto"/>
          <w:color w:val="auto"/>
        </w:rPr>
        <w:t>Section 7.2(d)</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16.5(b)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17.5(b),</w:t>
      </w:r>
      <w:r>
        <w:rPr>
          <w:rFonts w:ascii="Arial" w:cs="Arial" w:eastAsia="Arial" w:hAnsi="Arial"/>
          <w:sz w:val="17"/>
          <w:szCs w:val="17"/>
          <w:color w:val="auto"/>
        </w:rPr>
        <w:t xml:space="preserve"> following the 2015 Annual Meeting, the Board of Directors shall consist of seven individuals, four of whom shall be Appointed Directors and three of whom shall be Elected Directors. The Elected Directors shall be divided into three classes: Class I, comprising one Elected Director, Class II, comprising one Elected Director and Class III, comprising one Elected Director;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following the addition of one additional Elected Director resulting from a Surrender Election pursuant to </w:t>
      </w:r>
      <w:r>
        <w:rPr>
          <w:rFonts w:ascii="Arial" w:cs="Arial" w:eastAsia="Arial" w:hAnsi="Arial"/>
          <w:sz w:val="17"/>
          <w:szCs w:val="17"/>
          <w:u w:val="single" w:color="auto"/>
          <w:color w:val="auto"/>
        </w:rPr>
        <w:t>Section 7.2(d)</w:t>
      </w:r>
      <w:r>
        <w:rPr>
          <w:rFonts w:ascii="Arial" w:cs="Arial" w:eastAsia="Arial" w:hAnsi="Arial"/>
          <w:sz w:val="17"/>
          <w:szCs w:val="17"/>
          <w:color w:val="auto"/>
        </w:rPr>
        <w:t xml:space="preserve">, Class III shall comprise two Elected Directors. Subject to </w:t>
      </w:r>
      <w:r>
        <w:rPr>
          <w:rFonts w:ascii="Arial" w:cs="Arial" w:eastAsia="Arial" w:hAnsi="Arial"/>
          <w:sz w:val="17"/>
          <w:szCs w:val="17"/>
          <w:u w:val="single" w:color="auto"/>
          <w:color w:val="auto"/>
        </w:rPr>
        <w:t>Section 16.5(b)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17.5(b)</w:t>
      </w:r>
      <w:r>
        <w:rPr>
          <w:rFonts w:ascii="Arial" w:cs="Arial" w:eastAsia="Arial" w:hAnsi="Arial"/>
          <w:sz w:val="17"/>
          <w:szCs w:val="17"/>
          <w:color w:val="auto"/>
        </w:rPr>
        <w:t xml:space="preserve">, any vacancy among the Appointed Directors shall be filled as if an Appointed Director had resigned, in accordance with </w:t>
      </w:r>
      <w:r>
        <w:rPr>
          <w:rFonts w:ascii="Arial" w:cs="Arial" w:eastAsia="Arial" w:hAnsi="Arial"/>
          <w:sz w:val="17"/>
          <w:szCs w:val="17"/>
          <w:u w:val="single" w:color="auto"/>
          <w:color w:val="auto"/>
        </w:rPr>
        <w:t>Section 7.6</w:t>
      </w:r>
      <w:r>
        <w:rPr>
          <w:rFonts w:ascii="Arial" w:cs="Arial" w:eastAsia="Arial" w:hAnsi="Arial"/>
          <w:sz w:val="17"/>
          <w:szCs w:val="17"/>
          <w:color w:val="auto"/>
        </w:rPr>
        <w:t>. The successors of the initial members of the Board of Directors shall be appointed or elected, as the case may be, as follows:</w:t>
      </w:r>
    </w:p>
    <w:p>
      <w:pPr>
        <w:spacing w:after="0" w:line="178" w:lineRule="exact"/>
        <w:rPr>
          <w:sz w:val="20"/>
          <w:szCs w:val="20"/>
          <w:color w:val="auto"/>
        </w:rPr>
      </w:pPr>
    </w:p>
    <w:p>
      <w:pPr>
        <w:ind w:left="660" w:right="180" w:firstLine="645"/>
        <w:spacing w:after="0" w:line="264" w:lineRule="auto"/>
        <w:tabs>
          <w:tab w:leader="none" w:pos="1978"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The Appointed Directors shall be appointed by the General Partner, and subject to </w:t>
      </w:r>
      <w:r>
        <w:rPr>
          <w:rFonts w:ascii="Arial" w:cs="Arial" w:eastAsia="Arial" w:hAnsi="Arial"/>
          <w:sz w:val="18"/>
          <w:szCs w:val="18"/>
          <w:u w:val="single" w:color="auto"/>
          <w:color w:val="auto"/>
        </w:rPr>
        <w:t>Section 16.5(b)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17.5(b)</w:t>
      </w:r>
      <w:r>
        <w:rPr>
          <w:rFonts w:ascii="Arial" w:cs="Arial" w:eastAsia="Arial" w:hAnsi="Arial"/>
          <w:sz w:val="18"/>
          <w:szCs w:val="18"/>
          <w:color w:val="auto"/>
        </w:rPr>
        <w:t>, each Appointed Director shall hold office until his successor is duly appointed by the General Partner and qualified or until his earlier death, resignation or removal; and</w:t>
      </w:r>
    </w:p>
    <w:p>
      <w:pPr>
        <w:spacing w:after="0" w:line="181" w:lineRule="exact"/>
        <w:rPr>
          <w:rFonts w:ascii="Arial" w:cs="Arial" w:eastAsia="Arial" w:hAnsi="Arial"/>
          <w:sz w:val="18"/>
          <w:szCs w:val="18"/>
          <w:color w:val="auto"/>
        </w:rPr>
      </w:pPr>
    </w:p>
    <w:p>
      <w:pPr>
        <w:ind w:left="660" w:right="460" w:firstLine="645"/>
        <w:spacing w:after="0" w:line="277" w:lineRule="auto"/>
        <w:tabs>
          <w:tab w:leader="none" w:pos="198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Class I Elected Director shall be elected at the 2015 Annual Meeting for a one-year term expiring on the date of the first succeeding Annual Meeting, the Class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hanging="4"/>
        <w:spacing w:after="0" w:line="279" w:lineRule="auto"/>
        <w:tabs>
          <w:tab w:leader="none" w:pos="825" w:val="left"/>
        </w:tabs>
        <w:numPr>
          <w:ilvl w:val="0"/>
          <w:numId w:val="32"/>
        </w:numPr>
        <w:rPr>
          <w:rFonts w:ascii="Arial" w:cs="Arial" w:eastAsia="Arial" w:hAnsi="Arial"/>
          <w:sz w:val="17"/>
          <w:szCs w:val="17"/>
          <w:color w:val="auto"/>
        </w:rPr>
      </w:pPr>
      <w:r>
        <w:rPr>
          <w:rFonts w:ascii="Arial" w:cs="Arial" w:eastAsia="Arial" w:hAnsi="Arial"/>
          <w:sz w:val="17"/>
          <w:szCs w:val="17"/>
          <w:color w:val="auto"/>
        </w:rPr>
        <w:t>Elected Director shall be elected at the 2015 Annual Meeting for a two-year term expiring on the second succeeding Annual Meeting and the Class III Elected Director (or, if a Surrender Election has been made, the Class III Elected Directors) shall be elected at the 2015 Annual Meeting for a three-year term expiring on the third succeeding Annual Meeting, in each case by a plurality of the votes of the Outstanding Common Units present in person or represented by proxy at the Annual Meeting with each Outstanding Common Unit having one vote.</w:t>
      </w:r>
    </w:p>
    <w:p>
      <w:pPr>
        <w:spacing w:after="0" w:line="171" w:lineRule="exact"/>
        <w:rPr>
          <w:rFonts w:ascii="Arial" w:cs="Arial" w:eastAsia="Arial" w:hAnsi="Arial"/>
          <w:sz w:val="17"/>
          <w:szCs w:val="17"/>
          <w:color w:val="auto"/>
        </w:rPr>
      </w:pPr>
    </w:p>
    <w:p>
      <w:pPr>
        <w:ind w:right="280" w:firstLine="1305"/>
        <w:spacing w:after="0" w:line="342" w:lineRule="auto"/>
        <w:tabs>
          <w:tab w:leader="none" w:pos="1952" w:val="left"/>
        </w:tabs>
        <w:numPr>
          <w:ilvl w:val="1"/>
          <w:numId w:val="32"/>
        </w:numPr>
        <w:rPr>
          <w:rFonts w:ascii="Arial" w:cs="Arial" w:eastAsia="Arial" w:hAnsi="Arial"/>
          <w:sz w:val="16"/>
          <w:szCs w:val="16"/>
          <w:color w:val="auto"/>
        </w:rPr>
      </w:pPr>
      <w:r>
        <w:rPr>
          <w:rFonts w:ascii="Arial" w:cs="Arial" w:eastAsia="Arial" w:hAnsi="Arial"/>
          <w:sz w:val="16"/>
          <w:szCs w:val="16"/>
          <w:color w:val="auto"/>
        </w:rPr>
        <w:t xml:space="preserve">Except as provided in </w:t>
      </w:r>
      <w:r>
        <w:rPr>
          <w:rFonts w:ascii="Arial" w:cs="Arial" w:eastAsia="Arial" w:hAnsi="Arial"/>
          <w:sz w:val="16"/>
          <w:szCs w:val="16"/>
          <w:u w:val="single" w:color="auto"/>
          <w:color w:val="auto"/>
        </w:rPr>
        <w:t>paragraph (a)(ii)</w:t>
      </w:r>
      <w:r>
        <w:rPr>
          <w:rFonts w:ascii="Arial" w:cs="Arial" w:eastAsia="Arial" w:hAnsi="Arial"/>
          <w:sz w:val="16"/>
          <w:szCs w:val="16"/>
          <w:color w:val="auto"/>
        </w:rPr>
        <w:t xml:space="preserve"> above with respect to the Elected Directors elected at the 2015 Annual Meeting or as provided in </w:t>
      </w:r>
      <w:r>
        <w:rPr>
          <w:rFonts w:ascii="Arial" w:cs="Arial" w:eastAsia="Arial" w:hAnsi="Arial"/>
          <w:sz w:val="16"/>
          <w:szCs w:val="16"/>
          <w:u w:val="single" w:color="auto"/>
          <w:color w:val="auto"/>
        </w:rPr>
        <w:t>paragraphs (d)</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(g)</w:t>
      </w:r>
      <w:r>
        <w:rPr>
          <w:rFonts w:ascii="Arial" w:cs="Arial" w:eastAsia="Arial" w:hAnsi="Arial"/>
          <w:sz w:val="16"/>
          <w:szCs w:val="16"/>
          <w:color w:val="auto"/>
        </w:rPr>
        <w:t xml:space="preserve"> below, each member of the Board of Directors appointed or elected, as the case may be, at an Annual Meeting shall</w:t>
      </w:r>
    </w:p>
    <w:p>
      <w:pPr>
        <w:sectPr>
          <w:pgSz w:w="11900" w:h="16838" w:orient="portrait"/>
          <w:cols w:equalWidth="0" w:num="1">
            <w:col w:w="11420"/>
          </w:cols>
          <w:pgMar w:left="240" w:top="125" w:right="239" w:bottom="0" w:gutter="0" w:footer="0" w:header="0"/>
        </w:sectPr>
      </w:pPr>
    </w:p>
    <w:bookmarkStart w:id="24" w:name="page25"/>
    <w:bookmarkEnd w:id="24"/>
    <w:p>
      <w:pPr>
        <w:spacing w:after="0" w:line="13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hold office until the third succeeding Annual Meeting and until his successor is duly elected or appointed, as the case may be, and qualified, or until his earlier death, resignation or removal.</w:t>
      </w:r>
    </w:p>
    <w:p>
      <w:pPr>
        <w:spacing w:after="0" w:line="170" w:lineRule="exact"/>
        <w:rPr>
          <w:sz w:val="20"/>
          <w:szCs w:val="20"/>
          <w:color w:val="auto"/>
        </w:rPr>
      </w:pPr>
    </w:p>
    <w:p>
      <w:pPr>
        <w:ind w:right="140" w:firstLine="1305"/>
        <w:spacing w:after="0" w:line="257" w:lineRule="auto"/>
        <w:tabs>
          <w:tab w:leader="none" w:pos="1955" w:val="left"/>
        </w:tabs>
        <w:numPr>
          <w:ilvl w:val="1"/>
          <w:numId w:val="33"/>
        </w:numPr>
        <w:rPr>
          <w:rFonts w:ascii="Arial" w:cs="Arial" w:eastAsia="Arial" w:hAnsi="Arial"/>
          <w:sz w:val="18"/>
          <w:szCs w:val="18"/>
          <w:color w:val="auto"/>
        </w:rPr>
      </w:pPr>
      <w:r>
        <w:rPr>
          <w:rFonts w:ascii="Arial" w:cs="Arial" w:eastAsia="Arial" w:hAnsi="Arial"/>
          <w:sz w:val="18"/>
          <w:szCs w:val="18"/>
          <w:color w:val="auto"/>
        </w:rPr>
        <w:t>Each member of the Board of Directors shall have one vote. The vote of the majority of the members of the Board of Directors present at a meeting at which a quorum is present shall be the act of the Board of Directors. A majority of the number of members of the Board of Directors then in office shall constitute a quorum for the transaction of business at any meeting of the Board of Directors, but if less than a quorum is present at a meeting, a majority of the members of the Board of Directors present at such meeting may adjourn the meeting from time to time, without notice other than announcement at the meeting, until a quorum shall be present.</w:t>
      </w:r>
    </w:p>
    <w:p>
      <w:pPr>
        <w:spacing w:after="0" w:line="188" w:lineRule="exact"/>
        <w:rPr>
          <w:rFonts w:ascii="Arial" w:cs="Arial" w:eastAsia="Arial" w:hAnsi="Arial"/>
          <w:sz w:val="18"/>
          <w:szCs w:val="18"/>
          <w:color w:val="auto"/>
        </w:rPr>
      </w:pPr>
    </w:p>
    <w:p>
      <w:pPr>
        <w:ind w:right="20" w:firstLine="1305"/>
        <w:spacing w:after="0" w:line="288" w:lineRule="auto"/>
        <w:tabs>
          <w:tab w:leader="none" w:pos="1952"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General Partner shall have the right, exercisable in its sole discretion at any time, to elect in writing to surrender its right to appoint one Appointed Director (such election, a “</w:t>
      </w:r>
      <w:r>
        <w:rPr>
          <w:rFonts w:ascii="Arial" w:cs="Arial" w:eastAsia="Arial" w:hAnsi="Arial"/>
          <w:sz w:val="16"/>
          <w:szCs w:val="16"/>
          <w:b w:val="1"/>
          <w:bCs w:val="1"/>
          <w:i w:val="1"/>
          <w:iCs w:val="1"/>
          <w:color w:val="auto"/>
        </w:rPr>
        <w:t>Surrender Election</w:t>
      </w:r>
      <w:r>
        <w:rPr>
          <w:rFonts w:ascii="Arial" w:cs="Arial" w:eastAsia="Arial" w:hAnsi="Arial"/>
          <w:sz w:val="16"/>
          <w:szCs w:val="16"/>
          <w:color w:val="auto"/>
        </w:rPr>
        <w:t xml:space="preserve">”). If the Surrender Election is made, then in accordance with and at the times specified in </w:t>
      </w:r>
      <w:r>
        <w:rPr>
          <w:rFonts w:ascii="Arial" w:cs="Arial" w:eastAsia="Arial" w:hAnsi="Arial"/>
          <w:sz w:val="16"/>
          <w:szCs w:val="16"/>
          <w:u w:val="single" w:color="auto"/>
          <w:color w:val="auto"/>
        </w:rPr>
        <w:t>Sections 7.2(e)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(f)</w:t>
      </w:r>
      <w:r>
        <w:rPr>
          <w:rFonts w:ascii="Arial" w:cs="Arial" w:eastAsia="Arial" w:hAnsi="Arial"/>
          <w:sz w:val="16"/>
          <w:szCs w:val="16"/>
          <w:color w:val="auto"/>
        </w:rPr>
        <w:t xml:space="preserve"> below, (i) the number of Appointed Directors shall decrease from four to three (subject to </w:t>
      </w:r>
      <w:r>
        <w:rPr>
          <w:rFonts w:ascii="Arial" w:cs="Arial" w:eastAsia="Arial" w:hAnsi="Arial"/>
          <w:sz w:val="16"/>
          <w:szCs w:val="16"/>
          <w:u w:val="single" w:color="auto"/>
          <w:color w:val="auto"/>
        </w:rPr>
        <w:t>Section 16.5(b)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17.5(b)</w:t>
      </w:r>
      <w:r>
        <w:rPr>
          <w:rFonts w:ascii="Arial" w:cs="Arial" w:eastAsia="Arial" w:hAnsi="Arial"/>
          <w:sz w:val="16"/>
          <w:szCs w:val="16"/>
          <w:color w:val="auto"/>
        </w:rPr>
        <w:t>), and</w:t>
      </w:r>
    </w:p>
    <w:p>
      <w:pPr>
        <w:ind w:right="260" w:firstLine="8"/>
        <w:spacing w:after="0" w:line="261" w:lineRule="auto"/>
        <w:tabs>
          <w:tab w:leader="none" w:pos="26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of Elected Directors shall increase from three to four. The Partnership shall inform the Limited Partners of the date on which the Surrender Election is made within 30 days following the Surrender Election.</w:t>
      </w:r>
    </w:p>
    <w:p>
      <w:pPr>
        <w:spacing w:after="0" w:line="183" w:lineRule="exact"/>
        <w:rPr>
          <w:rFonts w:ascii="Arial" w:cs="Arial" w:eastAsia="Arial" w:hAnsi="Arial"/>
          <w:sz w:val="18"/>
          <w:szCs w:val="18"/>
          <w:color w:val="auto"/>
        </w:rPr>
      </w:pPr>
    </w:p>
    <w:p>
      <w:pPr>
        <w:ind w:right="200" w:firstLine="1305"/>
        <w:spacing w:after="0" w:line="264" w:lineRule="auto"/>
        <w:tabs>
          <w:tab w:leader="none" w:pos="1955"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If a Surrender Election is made, then, unless </w:t>
      </w:r>
      <w:r>
        <w:rPr>
          <w:rFonts w:ascii="Arial" w:cs="Arial" w:eastAsia="Arial" w:hAnsi="Arial"/>
          <w:sz w:val="18"/>
          <w:szCs w:val="18"/>
          <w:u w:val="single" w:color="auto"/>
          <w:color w:val="auto"/>
        </w:rPr>
        <w:t>Section 7.2(f)</w:t>
      </w:r>
      <w:r>
        <w:rPr>
          <w:rFonts w:ascii="Arial" w:cs="Arial" w:eastAsia="Arial" w:hAnsi="Arial"/>
          <w:sz w:val="18"/>
          <w:szCs w:val="18"/>
          <w:color w:val="auto"/>
        </w:rPr>
        <w:t xml:space="preserve"> applies, the additional Elected Director resulting from the Surrender Election shall be elected at the Annual Meeting next following the Surrender Election. Such Elected Director shall be a Class III Elected Director and shall hold office until the Annual Meeting at which the Class III Elected Director seat would expire.</w:t>
      </w:r>
    </w:p>
    <w:p>
      <w:pPr>
        <w:spacing w:after="0" w:line="181" w:lineRule="exact"/>
        <w:rPr>
          <w:rFonts w:ascii="Arial" w:cs="Arial" w:eastAsia="Arial" w:hAnsi="Arial"/>
          <w:sz w:val="18"/>
          <w:szCs w:val="18"/>
          <w:color w:val="auto"/>
        </w:rPr>
      </w:pPr>
    </w:p>
    <w:p>
      <w:pPr>
        <w:ind w:right="20" w:firstLine="1305"/>
        <w:spacing w:after="0" w:line="279" w:lineRule="auto"/>
        <w:tabs>
          <w:tab w:leader="none" w:pos="1949" w:val="left"/>
        </w:tabs>
        <w:numPr>
          <w:ilvl w:val="1"/>
          <w:numId w:val="34"/>
        </w:numPr>
        <w:rPr>
          <w:rFonts w:ascii="Arial" w:cs="Arial" w:eastAsia="Arial" w:hAnsi="Arial"/>
          <w:sz w:val="17"/>
          <w:szCs w:val="17"/>
          <w:color w:val="auto"/>
        </w:rPr>
      </w:pPr>
      <w:r>
        <w:rPr>
          <w:rFonts w:ascii="Arial" w:cs="Arial" w:eastAsia="Arial" w:hAnsi="Arial"/>
          <w:sz w:val="17"/>
          <w:szCs w:val="17"/>
          <w:color w:val="auto"/>
        </w:rPr>
        <w:t xml:space="preserve">If the Surrender Election is made after the 2015 Annual Meeting, within 90 days following the date of the Surrender Election, the General Partner, the Board of Directors or the Limited Partners may call a special meeting to be held prior to the next Annual Meeting, in accordance with the procedures in </w:t>
      </w:r>
      <w:r>
        <w:rPr>
          <w:rFonts w:ascii="Arial" w:cs="Arial" w:eastAsia="Arial" w:hAnsi="Arial"/>
          <w:sz w:val="17"/>
          <w:szCs w:val="17"/>
          <w:u w:val="single" w:color="auto"/>
          <w:color w:val="auto"/>
        </w:rPr>
        <w:t>Section 13.4</w:t>
      </w:r>
      <w:r>
        <w:rPr>
          <w:rFonts w:ascii="Arial" w:cs="Arial" w:eastAsia="Arial" w:hAnsi="Arial"/>
          <w:sz w:val="17"/>
          <w:szCs w:val="17"/>
          <w:color w:val="auto"/>
        </w:rPr>
        <w:t>, for the sole purpose of the Limited Partners electing an additional Elected Director. Such Elected Director shall be a Class III Elected Director and shall hold office until the Annual Meeting at which the Class III Elected Director seat would expire.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305"/>
        <w:spacing w:after="0" w:line="288" w:lineRule="auto"/>
        <w:tabs>
          <w:tab w:leader="none" w:pos="1965"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On and after the date that an additional Elected Director is elected in accordance with </w:t>
      </w:r>
      <w:r>
        <w:rPr>
          <w:rFonts w:ascii="Arial" w:cs="Arial" w:eastAsia="Arial" w:hAnsi="Arial"/>
          <w:sz w:val="16"/>
          <w:szCs w:val="16"/>
          <w:u w:val="single" w:color="auto"/>
          <w:color w:val="auto"/>
        </w:rPr>
        <w:t>Section 7.2(e)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(f)</w:t>
      </w:r>
      <w:r>
        <w:rPr>
          <w:rFonts w:ascii="Arial" w:cs="Arial" w:eastAsia="Arial" w:hAnsi="Arial"/>
          <w:sz w:val="16"/>
          <w:szCs w:val="16"/>
          <w:color w:val="auto"/>
        </w:rPr>
        <w:t xml:space="preserve">, only three (or four, if an additional Appointed Director has been appointed under </w:t>
      </w:r>
      <w:r>
        <w:rPr>
          <w:rFonts w:ascii="Arial" w:cs="Arial" w:eastAsia="Arial" w:hAnsi="Arial"/>
          <w:sz w:val="16"/>
          <w:szCs w:val="16"/>
          <w:u w:val="single" w:color="auto"/>
          <w:color w:val="auto"/>
        </w:rPr>
        <w:t>Section 16.5(b)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17.5(b)</w:t>
      </w:r>
      <w:r>
        <w:rPr>
          <w:rFonts w:ascii="Arial" w:cs="Arial" w:eastAsia="Arial" w:hAnsi="Arial"/>
          <w:sz w:val="16"/>
          <w:szCs w:val="16"/>
          <w:color w:val="auto"/>
        </w:rPr>
        <w:t xml:space="preserve">) Appointed Directors may be in office at any time. If necessary to satisfy this condition, the General Partner shall, immediately prior to the election of the additional Elected Director and in accordance with </w:t>
      </w:r>
      <w:r>
        <w:rPr>
          <w:rFonts w:ascii="Arial" w:cs="Arial" w:eastAsia="Arial" w:hAnsi="Arial"/>
          <w:sz w:val="16"/>
          <w:szCs w:val="16"/>
          <w:u w:val="single" w:color="auto"/>
          <w:color w:val="auto"/>
        </w:rPr>
        <w:t>Section 7.4(a)</w:t>
      </w:r>
    </w:p>
    <w:p>
      <w:pPr>
        <w:spacing w:after="0"/>
        <w:rPr>
          <w:rFonts w:ascii="Arial" w:cs="Arial" w:eastAsia="Arial" w:hAnsi="Arial"/>
          <w:sz w:val="16"/>
          <w:szCs w:val="16"/>
          <w:color w:val="auto"/>
        </w:rPr>
      </w:pPr>
      <w:r>
        <w:rPr>
          <w:rFonts w:ascii="Arial" w:cs="Arial" w:eastAsia="Arial" w:hAnsi="Arial"/>
          <w:sz w:val="18"/>
          <w:szCs w:val="18"/>
          <w:u w:val="single" w:color="auto"/>
          <w:color w:val="auto"/>
        </w:rPr>
        <w:t>(i)</w:t>
      </w:r>
      <w:r>
        <w:rPr>
          <w:rFonts w:ascii="Arial" w:cs="Arial" w:eastAsia="Arial" w:hAnsi="Arial"/>
          <w:sz w:val="18"/>
          <w:szCs w:val="18"/>
          <w:color w:val="auto"/>
        </w:rPr>
        <w:t>, designate the Appointed Director whose term shall terminate upon such election.</w:t>
      </w:r>
    </w:p>
    <w:p>
      <w:pPr>
        <w:spacing w:after="0" w:line="211" w:lineRule="exact"/>
        <w:rPr>
          <w:sz w:val="20"/>
          <w:szCs w:val="20"/>
          <w:color w:val="auto"/>
        </w:rPr>
      </w:pPr>
    </w:p>
    <w:p>
      <w:pPr>
        <w:ind w:right="20" w:firstLine="1297"/>
        <w:spacing w:after="0" w:line="269"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i w:val="1"/>
          <w:iCs w:val="1"/>
          <w:color w:val="auto"/>
        </w:rPr>
        <w:t>Nominations of Elected Directors</w:t>
      </w:r>
      <w:r>
        <w:rPr>
          <w:rFonts w:ascii="Arial" w:cs="Arial" w:eastAsia="Arial" w:hAnsi="Arial"/>
          <w:sz w:val="17"/>
          <w:szCs w:val="17"/>
          <w:color w:val="auto"/>
        </w:rPr>
        <w:t xml:space="preserve">. The Board of Directors shall be entitled to nominate individuals to stand for election as Elected Directors at an Annual Meeting. In addition, any Limited Partner or Group of Limited Partners that beneficially owns 10% or more of the Outstanding Common Units shall be entitled to nominate one or more individuals to stand for election as Elected Directors at an Annual Meeting by providing written notice thereof to the Board of Directors not more than 120 days and not less than 90 days prior to the date of such Annual Meeting;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in the event that the date of the Annual Meeting was not publicly announced by the Partnership by mail, press release or otherwise</w:t>
      </w:r>
      <w:r>
        <w:rPr>
          <w:rFonts w:ascii="Arial" w:cs="Arial" w:eastAsia="Arial" w:hAnsi="Arial"/>
          <w:sz w:val="17"/>
          <w:szCs w:val="17"/>
          <w:i w:val="1"/>
          <w:iCs w:val="1"/>
          <w:color w:val="auto"/>
        </w:rPr>
        <w:t xml:space="preserve"> </w:t>
      </w:r>
      <w:r>
        <w:rPr>
          <w:rFonts w:ascii="Arial" w:cs="Arial" w:eastAsia="Arial" w:hAnsi="Arial"/>
          <w:sz w:val="17"/>
          <w:szCs w:val="17"/>
          <w:color w:val="auto"/>
        </w:rPr>
        <w:t>more than 100 days prior to the date of such meeting, such notice, to be timely, must be delivered to the Board of Directors not later than the close of business on the 10th day following the date on which the date of the Annual Meeting was announced. Such notice shall set forth (a) the name and address of the Limited Partner or Limited Partners making the nomination or nominations, (b) the number of Common Units beneficially owned by such Limited Partner or Limited Partners, (c) such information regarding the nominee(s) proposed by the Limited Partner or Limited Partners as would be required to be included in a proxy statement relating to the solicitation of proxies for the election of directors filed pursuant to the proxy rules of the Commission had the nominee(s) been nominated or intended to be nominated to the Board of Directors, (d) the written consent of each nominee to serve as a member of the Board of Directors if so elected and (e) a certification that such nominee(s) qualify as Elected Directors.</w:t>
      </w:r>
    </w:p>
    <w:p>
      <w:pPr>
        <w:spacing w:after="0" w:line="18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7.4.</w:t>
      </w:r>
      <w:r>
        <w:rPr>
          <w:sz w:val="20"/>
          <w:szCs w:val="20"/>
          <w:color w:val="auto"/>
        </w:rPr>
        <w:tab/>
      </w:r>
      <w:r>
        <w:rPr>
          <w:rFonts w:ascii="Arial" w:cs="Arial" w:eastAsia="Arial" w:hAnsi="Arial"/>
          <w:sz w:val="16"/>
          <w:szCs w:val="16"/>
          <w:i w:val="1"/>
          <w:iCs w:val="1"/>
          <w:color w:val="auto"/>
        </w:rPr>
        <w:t>Removal of Members of Board of Directors</w:t>
      </w:r>
      <w:r>
        <w:rPr>
          <w:rFonts w:ascii="Arial" w:cs="Arial" w:eastAsia="Arial" w:hAnsi="Arial"/>
          <w:sz w:val="16"/>
          <w:szCs w:val="16"/>
          <w:color w:val="auto"/>
        </w:rPr>
        <w:t>. Members of the Board of Directors may only be removed as follows:</w:t>
      </w:r>
    </w:p>
    <w:p>
      <w:pPr>
        <w:spacing w:after="0" w:line="225" w:lineRule="exact"/>
        <w:rPr>
          <w:sz w:val="20"/>
          <w:szCs w:val="20"/>
          <w:color w:val="auto"/>
        </w:rPr>
      </w:pPr>
    </w:p>
    <w:p>
      <w:pPr>
        <w:ind w:left="1940" w:hanging="635"/>
        <w:spacing w:after="0"/>
        <w:tabs>
          <w:tab w:leader="none" w:pos="1940" w:val="left"/>
        </w:tabs>
        <w:numPr>
          <w:ilvl w:val="1"/>
          <w:numId w:val="36"/>
        </w:numPr>
        <w:rPr>
          <w:rFonts w:ascii="Arial" w:cs="Arial" w:eastAsia="Arial" w:hAnsi="Arial"/>
          <w:sz w:val="17"/>
          <w:szCs w:val="17"/>
          <w:color w:val="auto"/>
        </w:rPr>
      </w:pPr>
      <w:r>
        <w:rPr>
          <w:rFonts w:ascii="Arial" w:cs="Arial" w:eastAsia="Arial" w:hAnsi="Arial"/>
          <w:sz w:val="17"/>
          <w:szCs w:val="17"/>
          <w:color w:val="auto"/>
        </w:rPr>
        <w:t>Any Appointed Director may be removed at any time, (i) without Cause, only by the General Partner and, (ii) with Cause, by</w:t>
      </w:r>
    </w:p>
    <w:p>
      <w:pPr>
        <w:spacing w:after="0" w:line="34" w:lineRule="exact"/>
        <w:rPr>
          <w:rFonts w:ascii="Arial" w:cs="Arial" w:eastAsia="Arial" w:hAnsi="Arial"/>
          <w:sz w:val="17"/>
          <w:szCs w:val="17"/>
          <w:color w:val="auto"/>
        </w:rPr>
      </w:pPr>
    </w:p>
    <w:p>
      <w:pPr>
        <w:ind w:right="180" w:firstLine="8"/>
        <w:spacing w:after="0" w:line="261" w:lineRule="auto"/>
        <w:tabs>
          <w:tab w:leader="none" w:pos="2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General Partner, (y) by the affirmative vote of the holders of a majority of the Outstanding Units at a properly called meeting of the Limited Partners or (z) by the affirmative vote of a majority of the other members of the Board of Directors.</w:t>
      </w:r>
    </w:p>
    <w:p>
      <w:pPr>
        <w:spacing w:after="0" w:line="183" w:lineRule="exact"/>
        <w:rPr>
          <w:rFonts w:ascii="Arial" w:cs="Arial" w:eastAsia="Arial" w:hAnsi="Arial"/>
          <w:sz w:val="18"/>
          <w:szCs w:val="18"/>
          <w:color w:val="auto"/>
        </w:rPr>
      </w:pPr>
    </w:p>
    <w:p>
      <w:pPr>
        <w:ind w:right="100" w:firstLine="1305"/>
        <w:spacing w:after="0" w:line="264" w:lineRule="auto"/>
        <w:tabs>
          <w:tab w:leader="none" w:pos="1952"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Elected Director may be removed at any time, with Cause, only by the affirmative vote of a majority of the other members of the Board of Directors or at a properly called meeting of the Limited Partners only by the affirmative vote of the holders of a majority of the Outstanding Common Units.</w:t>
      </w:r>
    </w:p>
    <w:p>
      <w:pPr>
        <w:spacing w:after="0" w:line="181"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i w:val="1"/>
          <w:iCs w:val="1"/>
          <w:color w:val="auto"/>
        </w:rPr>
        <w:t>Resignations of Members of the Board of Directors</w:t>
      </w:r>
      <w:r>
        <w:rPr>
          <w:rFonts w:ascii="Arial" w:cs="Arial" w:eastAsia="Arial" w:hAnsi="Arial"/>
          <w:sz w:val="18"/>
          <w:szCs w:val="18"/>
          <w:color w:val="auto"/>
        </w:rPr>
        <w:t>. Any member of the Board of Directors may resign at any time by giving written notice to the Board of Directors. Such resignation shall take effect at the time specified therein.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7.6.</w:t>
      </w:r>
      <w:r>
        <w:rPr>
          <w:sz w:val="20"/>
          <w:szCs w:val="20"/>
          <w:color w:val="auto"/>
        </w:rPr>
        <w:tab/>
      </w:r>
      <w:r>
        <w:rPr>
          <w:rFonts w:ascii="Arial" w:cs="Arial" w:eastAsia="Arial" w:hAnsi="Arial"/>
          <w:sz w:val="16"/>
          <w:szCs w:val="16"/>
          <w:i w:val="1"/>
          <w:iCs w:val="1"/>
          <w:color w:val="auto"/>
        </w:rPr>
        <w:t>Vacancies on the Board of Directors</w:t>
      </w:r>
      <w:r>
        <w:rPr>
          <w:rFonts w:ascii="Arial" w:cs="Arial" w:eastAsia="Arial" w:hAnsi="Arial"/>
          <w:sz w:val="16"/>
          <w:szCs w:val="16"/>
          <w:color w:val="auto"/>
        </w:rPr>
        <w:t>. Vacancies on the Board of Directors may be filled only as follows:</w:t>
      </w:r>
    </w:p>
    <w:p>
      <w:pPr>
        <w:spacing w:after="0" w:line="225" w:lineRule="exact"/>
        <w:rPr>
          <w:sz w:val="20"/>
          <w:szCs w:val="20"/>
          <w:color w:val="auto"/>
        </w:rPr>
      </w:pPr>
    </w:p>
    <w:p>
      <w:pPr>
        <w:ind w:right="180" w:firstLine="1305"/>
        <w:spacing w:after="0" w:line="277" w:lineRule="auto"/>
        <w:tabs>
          <w:tab w:leader="none" w:pos="1942"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16.5(b)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17.5(b)</w:t>
      </w:r>
      <w:r>
        <w:rPr>
          <w:rFonts w:ascii="Arial" w:cs="Arial" w:eastAsia="Arial" w:hAnsi="Arial"/>
          <w:sz w:val="18"/>
          <w:szCs w:val="18"/>
          <w:color w:val="auto"/>
        </w:rPr>
        <w:t>, if any Appointed Director is removed, resigns or is otherwise unable to serve as a member of the Board of Directors, the General Partner shall, in its individual capacity, appoint an individual to fill the vacancy.</w:t>
      </w:r>
    </w:p>
    <w:p>
      <w:pPr>
        <w:spacing w:after="0" w:line="170" w:lineRule="exact"/>
        <w:rPr>
          <w:rFonts w:ascii="Arial" w:cs="Arial" w:eastAsia="Arial" w:hAnsi="Arial"/>
          <w:sz w:val="18"/>
          <w:szCs w:val="18"/>
          <w:color w:val="auto"/>
        </w:rPr>
      </w:pPr>
    </w:p>
    <w:p>
      <w:pPr>
        <w:ind w:right="100" w:firstLine="1305"/>
        <w:spacing w:after="0" w:line="277" w:lineRule="auto"/>
        <w:tabs>
          <w:tab w:leader="none" w:pos="19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any Elected Director is removed, resigns or is unable to serve as a member of the Board of Directors, the vacancy shall be filled by a majority of the other Elected Directors then serving.</w:t>
      </w:r>
    </w:p>
    <w:p>
      <w:pPr>
        <w:spacing w:after="0" w:line="170" w:lineRule="exact"/>
        <w:rPr>
          <w:rFonts w:ascii="Arial" w:cs="Arial" w:eastAsia="Arial" w:hAnsi="Arial"/>
          <w:sz w:val="18"/>
          <w:szCs w:val="18"/>
          <w:color w:val="auto"/>
        </w:rPr>
      </w:pPr>
    </w:p>
    <w:p>
      <w:pPr>
        <w:ind w:right="180" w:firstLine="1305"/>
        <w:spacing w:after="0" w:line="277" w:lineRule="auto"/>
        <w:tabs>
          <w:tab w:leader="none" w:pos="19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A director appointed or elected pursuant to this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to fill a vacancy shall be appointed or elected, as the case may be, for no more than the unexpired term of his predecessor in office.</w:t>
      </w:r>
    </w:p>
    <w:p>
      <w:pPr>
        <w:spacing w:after="0" w:line="170" w:lineRule="exact"/>
        <w:rPr>
          <w:sz w:val="20"/>
          <w:szCs w:val="20"/>
          <w:color w:val="auto"/>
        </w:rPr>
      </w:pPr>
    </w:p>
    <w:p>
      <w:pPr>
        <w:ind w:right="80" w:firstLine="1297"/>
        <w:spacing w:after="0" w:line="342" w:lineRule="auto"/>
        <w:rPr>
          <w:sz w:val="20"/>
          <w:szCs w:val="20"/>
          <w:color w:val="auto"/>
        </w:rPr>
      </w:pPr>
      <w:r>
        <w:rPr>
          <w:rFonts w:ascii="Arial" w:cs="Arial" w:eastAsia="Arial" w:hAnsi="Arial"/>
          <w:sz w:val="16"/>
          <w:szCs w:val="16"/>
          <w:color w:val="auto"/>
        </w:rPr>
        <w:t xml:space="preserve">Section 7.7. </w:t>
      </w:r>
      <w:r>
        <w:rPr>
          <w:rFonts w:ascii="Arial" w:cs="Arial" w:eastAsia="Arial" w:hAnsi="Arial"/>
          <w:sz w:val="16"/>
          <w:szCs w:val="16"/>
          <w:i w:val="1"/>
          <w:iCs w:val="1"/>
          <w:color w:val="auto"/>
        </w:rPr>
        <w:t>Meetings; Committees; Chairman</w:t>
      </w:r>
      <w:r>
        <w:rPr>
          <w:rFonts w:ascii="Arial" w:cs="Arial" w:eastAsia="Arial" w:hAnsi="Arial"/>
          <w:sz w:val="16"/>
          <w:szCs w:val="16"/>
          <w:color w:val="auto"/>
        </w:rPr>
        <w:t>. (a) Regular meetings of the Board of Directors shall be held at such times and places as shall be designated from time to time by resolution of the Board of Directors. Notice of such regular meetings shall not be required. Special meetings of</w:t>
      </w:r>
    </w:p>
    <w:p>
      <w:pPr>
        <w:sectPr>
          <w:pgSz w:w="11900" w:h="16975" w:orient="portrait"/>
          <w:cols w:equalWidth="0" w:num="1">
            <w:col w:w="11420"/>
          </w:cols>
          <w:pgMar w:left="240" w:top="125" w:right="239" w:bottom="0" w:gutter="0" w:footer="0" w:header="0"/>
        </w:sectPr>
      </w:pPr>
    </w:p>
    <w:bookmarkStart w:id="25" w:name="page26"/>
    <w:bookmarkEnd w:id="25"/>
    <w:p>
      <w:pPr>
        <w:spacing w:after="0" w:line="10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the Board of Directors may be called by the Chairman of the Board of Directors and shall be called by the Secretary upon the written request of two members of the Board of Directors, on at least 48 hours prior written notice to the other members. Any such notice, or waiver thereof, need not state the purpose of such meeting except as may otherwise be required by law. Attendance of a member of the Board of Directors at a meeting (including pursuant to the penultimate sentence of this </w:t>
      </w:r>
      <w:r>
        <w:rPr>
          <w:rFonts w:ascii="Arial" w:cs="Arial" w:eastAsia="Arial" w:hAnsi="Arial"/>
          <w:sz w:val="16"/>
          <w:szCs w:val="16"/>
          <w:u w:val="single" w:color="auto"/>
          <w:color w:val="auto"/>
        </w:rPr>
        <w:t>Section 7.7(a)</w:t>
      </w:r>
      <w:r>
        <w:rPr>
          <w:rFonts w:ascii="Arial" w:cs="Arial" w:eastAsia="Arial" w:hAnsi="Arial"/>
          <w:sz w:val="16"/>
          <w:szCs w:val="16"/>
          <w:color w:val="auto"/>
        </w:rPr>
        <w:t>) shall constitute a waiver of notice of such meeting, except where such member attends the meeting for the express purpose of objecting to the transaction of any business on the ground that the meeting is not lawfully called or convened. Any action required or permitted to be taken at a meeting of the Board of Directors may be taken without a meeting, without prior notice and without a vote if a consent or consents in writing, setting forth the action so taken, is signed by all the members of the Board of Directors. Members of the Board of Directors may participate in and hold meetings by means of conference telephone, videoconference or similar communications equipment by means of which all Persons participating in the meeting can hear each other, and participation in such meetings shall constitute presence in person at the meeting. The Board of Directors may establish any additional rules governing the conduct of its meetings that are not inconsistent with the provisions of this Agreement.</w:t>
      </w:r>
    </w:p>
    <w:p>
      <w:pPr>
        <w:spacing w:after="0" w:line="169" w:lineRule="exact"/>
        <w:rPr>
          <w:sz w:val="20"/>
          <w:szCs w:val="20"/>
          <w:color w:val="auto"/>
        </w:rPr>
      </w:pPr>
    </w:p>
    <w:p>
      <w:pPr>
        <w:ind w:right="80" w:firstLine="1305"/>
        <w:spacing w:after="0" w:line="284" w:lineRule="auto"/>
        <w:tabs>
          <w:tab w:leader="none" w:pos="1952"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The Board of Directors shall appoint the members of the Audit Committee and the Conflicts Committee. The Audit Committee and the Conflicts Committee shall, in each case, perform the functions delegated to it pursuant to the terms of this Agreement and such other matters as may be delegated to it from time to time by resolution of the Board of Directors. The Board of Directors, by a majority of the whole Board of Directors, may appoint one or more additional committees of the Board of Directors to consist of one or more members of the Board of Directors, which committee(s) shall have and may exercise such of the powers and authority of the Board of Directors (including in respect of </w:t>
      </w:r>
      <w:r>
        <w:rPr>
          <w:rFonts w:ascii="Arial" w:cs="Arial" w:eastAsia="Arial" w:hAnsi="Arial"/>
          <w:sz w:val="16"/>
          <w:szCs w:val="16"/>
          <w:u w:val="single" w:color="auto"/>
          <w:color w:val="auto"/>
        </w:rPr>
        <w:t>Section 7.1</w:t>
      </w:r>
      <w:r>
        <w:rPr>
          <w:rFonts w:ascii="Arial" w:cs="Arial" w:eastAsia="Arial" w:hAnsi="Arial"/>
          <w:sz w:val="16"/>
          <w:szCs w:val="16"/>
          <w:color w:val="auto"/>
        </w:rPr>
        <w:t>) with respect to the management of the business and affairs of the Partnership as may be provided in a resolution of the Board of Directors. Any committee designated pursuant to this</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7.7(b)</w:t>
      </w:r>
      <w:r>
        <w:rPr>
          <w:rFonts w:ascii="Arial" w:cs="Arial" w:eastAsia="Arial" w:hAnsi="Arial"/>
          <w:sz w:val="18"/>
          <w:szCs w:val="18"/>
          <w:color w:val="auto"/>
        </w:rPr>
        <w:t xml:space="preserve"> shall choose its own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chairman, shall keep regular minutes of its proceedings and report the same to the Board of Directors when requested, shall fix its own rules or procedures and shall meet at such times and at such place or places as may be provided by such rules or by resolution of such committee or resolution of the Board of Directors. At every meeting of any such committee, the presence of a majority of all the members thereof shall constitute a quorum and the affirmative vote of a majority of the members present shall be necessary for the taking of any action. Any action required or permitted to be taken at a meeting of a committee of the Board of Directors may be taken without a meeting, without prior notice and without a vote if a consent or consents in writing, setting forth the action so taken, is signed by all the members of the committee of the Board of Directors. Subject to the first sentence of this </w:t>
      </w:r>
      <w:r>
        <w:rPr>
          <w:rFonts w:ascii="Arial" w:cs="Arial" w:eastAsia="Arial" w:hAnsi="Arial"/>
          <w:sz w:val="16"/>
          <w:szCs w:val="16"/>
          <w:u w:val="single" w:color="auto"/>
          <w:color w:val="auto"/>
        </w:rPr>
        <w:t>Section 7.7(b)</w:t>
      </w:r>
      <w:r>
        <w:rPr>
          <w:rFonts w:ascii="Arial" w:cs="Arial" w:eastAsia="Arial" w:hAnsi="Arial"/>
          <w:sz w:val="16"/>
          <w:szCs w:val="16"/>
          <w:color w:val="auto"/>
        </w:rPr>
        <w:t xml:space="preserve">, the Board of Directors may designate one or more members of the Board of Directors as alternate members of any committee who may replace any absent or disqualified member at any meeting of such committee. Subject to the first sentence of this </w:t>
      </w:r>
      <w:r>
        <w:rPr>
          <w:rFonts w:ascii="Arial" w:cs="Arial" w:eastAsia="Arial" w:hAnsi="Arial"/>
          <w:sz w:val="16"/>
          <w:szCs w:val="16"/>
          <w:u w:val="single" w:color="auto"/>
          <w:color w:val="auto"/>
        </w:rPr>
        <w:t>Section 7.7(b)</w:t>
      </w:r>
      <w:r>
        <w:rPr>
          <w:rFonts w:ascii="Arial" w:cs="Arial" w:eastAsia="Arial" w:hAnsi="Arial"/>
          <w:sz w:val="16"/>
          <w:szCs w:val="16"/>
          <w:color w:val="auto"/>
        </w:rPr>
        <w:t>, in the absence or disqualification of a member of a committee, the member or members present at any meeting and not disqualified from voting, whether or not constituting a quorum, may unanimously appoint another member of the Board of Directors to act at the meeting in the place of the absent or disqualified member.</w:t>
      </w:r>
    </w:p>
    <w:p>
      <w:pPr>
        <w:spacing w:after="0" w:line="169" w:lineRule="exact"/>
        <w:rPr>
          <w:sz w:val="20"/>
          <w:szCs w:val="20"/>
          <w:color w:val="auto"/>
        </w:rPr>
      </w:pPr>
    </w:p>
    <w:p>
      <w:pPr>
        <w:ind w:right="20" w:firstLine="1305"/>
        <w:spacing w:after="0" w:line="273" w:lineRule="auto"/>
        <w:tabs>
          <w:tab w:leader="none" w:pos="1955"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Appointed Directors may designate one of the members of the Board of Directors as Chairman of the Board of Directors. The initial Chairman of the Board of Directors shall be Curtis Anastasio. The Chairman of the Board of Directors, if any, and if present and acting, shall preside at all meetings of the Board of Directors. In the absence of the Chairman of the Board of Directors, another member of the Board of Directors chosen by the Appointed Directors shall preside. If, at any time, the Board of Directors consists solely of Elected Directors, the Board of Directors may designate one of its members as Chairman of the Board of Directors and shall, in the absence of the Chairman of the Board of Directors at a meeting of the Board of Directors, designate another member of the Board of Directors to preside at the meeting.</w:t>
      </w:r>
    </w:p>
    <w:p>
      <w:pPr>
        <w:spacing w:after="0" w:line="178"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i w:val="1"/>
          <w:iCs w:val="1"/>
          <w:color w:val="auto"/>
        </w:rPr>
        <w:t>Officers</w:t>
      </w:r>
      <w:r>
        <w:rPr>
          <w:rFonts w:ascii="Arial" w:cs="Arial" w:eastAsia="Arial" w:hAnsi="Arial"/>
          <w:sz w:val="18"/>
          <w:szCs w:val="18"/>
          <w:color w:val="auto"/>
        </w:rPr>
        <w:t>. (a) The Board of Directors, as set forth below, shall appoint or designate agents of the Partnership, referred to as “</w:t>
      </w:r>
      <w:r>
        <w:rPr>
          <w:rFonts w:ascii="Arial" w:cs="Arial" w:eastAsia="Arial" w:hAnsi="Arial"/>
          <w:sz w:val="18"/>
          <w:szCs w:val="18"/>
          <w:i w:val="1"/>
          <w:iCs w:val="1"/>
          <w:color w:val="auto"/>
        </w:rPr>
        <w:t>Officers</w:t>
      </w:r>
      <w:r>
        <w:rPr>
          <w:rFonts w:ascii="Arial" w:cs="Arial" w:eastAsia="Arial" w:hAnsi="Arial"/>
          <w:sz w:val="18"/>
          <w:szCs w:val="18"/>
          <w:color w:val="auto"/>
        </w:rPr>
        <w:t xml:space="preserve">” of the Partnership as described in this </w:t>
      </w:r>
      <w:r>
        <w:rPr>
          <w:rFonts w:ascii="Arial" w:cs="Arial" w:eastAsia="Arial" w:hAnsi="Arial"/>
          <w:sz w:val="18"/>
          <w:szCs w:val="18"/>
          <w:u w:val="single" w:color="auto"/>
          <w:color w:val="auto"/>
        </w:rPr>
        <w:t>Section 7.8</w:t>
      </w:r>
      <w:r>
        <w:rPr>
          <w:rFonts w:ascii="Arial" w:cs="Arial" w:eastAsia="Arial" w:hAnsi="Arial"/>
          <w:sz w:val="18"/>
          <w:szCs w:val="18"/>
          <w:color w:val="auto"/>
        </w:rPr>
        <w:t>. Such Officers may be employed by any Group Member directly or may be employed by one or more third parties, including GasLog and its Affiliates, and designated by the Board of Directors to perform officer functions for the benefit of the Partnership.</w:t>
      </w:r>
    </w:p>
    <w:p>
      <w:pPr>
        <w:spacing w:after="0" w:line="187" w:lineRule="exact"/>
        <w:rPr>
          <w:sz w:val="20"/>
          <w:szCs w:val="20"/>
          <w:color w:val="auto"/>
        </w:rPr>
      </w:pPr>
    </w:p>
    <w:p>
      <w:pPr>
        <w:ind w:right="240" w:firstLine="1305"/>
        <w:spacing w:after="0" w:line="273" w:lineRule="auto"/>
        <w:tabs>
          <w:tab w:leader="none" w:pos="1952"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The Board of Directors shall appoint or designate such Officers and agents as may from time to time appear to be necessary or advisable in the conduct of the affairs of the Partnership, who shall hold such titles, exercise such powers and authority and perform such duties as shall be determined from time to time by resolution of the Board of Directors. The Officers may include a Chairman of the Board of Directors, an Executive Vice Chairman or Vice Chairman of the Board of Directors, a Chief Executive Officer, a President, a Chief Financial Officer, any and all Vice Presidents, a Secretary, any and all Assistant Secretaries, a Treasurer, any and all Assistant Treasurers and any other Officers appointed or designated by the Board of Directors pursuant to this </w:t>
      </w:r>
      <w:r>
        <w:rPr>
          <w:rFonts w:ascii="Arial" w:cs="Arial" w:eastAsia="Arial" w:hAnsi="Arial"/>
          <w:sz w:val="17"/>
          <w:szCs w:val="17"/>
          <w:u w:val="single" w:color="auto"/>
          <w:color w:val="auto"/>
        </w:rPr>
        <w:t>Section 7.8</w:t>
      </w:r>
      <w:r>
        <w:rPr>
          <w:rFonts w:ascii="Arial" w:cs="Arial" w:eastAsia="Arial" w:hAnsi="Arial"/>
          <w:sz w:val="17"/>
          <w:szCs w:val="17"/>
          <w:color w:val="auto"/>
        </w:rPr>
        <w:t>. Any person may hold two or more offices.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firstLine="1305"/>
        <w:spacing w:after="0" w:line="312" w:lineRule="auto"/>
        <w:tabs>
          <w:tab w:leader="none" w:pos="1955"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Officers, including any Officer employed by a third party and designated by the Board of Directors to perform officer services for the benefit of the Partnership, shall be appointed by the Board of Directors at such time and for such terms as the Board of Directors shall determine. Any Officer may be removed, with or without Cause, only by the Board of Directors. Vacancies in any office may be filled only by the Board of Directors.</w:t>
      </w:r>
    </w:p>
    <w:p>
      <w:pPr>
        <w:spacing w:after="0" w:line="146" w:lineRule="exact"/>
        <w:rPr>
          <w:rFonts w:ascii="Arial" w:cs="Arial" w:eastAsia="Arial" w:hAnsi="Arial"/>
          <w:sz w:val="16"/>
          <w:szCs w:val="16"/>
          <w:color w:val="auto"/>
        </w:rPr>
      </w:pPr>
    </w:p>
    <w:p>
      <w:pPr>
        <w:ind w:right="240" w:firstLine="1305"/>
        <w:spacing w:after="0" w:line="277" w:lineRule="auto"/>
        <w:tabs>
          <w:tab w:leader="none" w:pos="19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Board of Directors may grant powers of attorney or other authority as appropriate to establish and evidence the authority of the Officers and other Persons.</w:t>
      </w:r>
    </w:p>
    <w:p>
      <w:pPr>
        <w:spacing w:after="0" w:line="170" w:lineRule="exact"/>
        <w:rPr>
          <w:rFonts w:ascii="Arial" w:cs="Arial" w:eastAsia="Arial" w:hAnsi="Arial"/>
          <w:sz w:val="18"/>
          <w:szCs w:val="18"/>
          <w:color w:val="auto"/>
        </w:rPr>
      </w:pPr>
    </w:p>
    <w:p>
      <w:pPr>
        <w:ind w:right="100" w:firstLine="1305"/>
        <w:spacing w:after="0" w:line="277" w:lineRule="auto"/>
        <w:tabs>
          <w:tab w:leader="none" w:pos="19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Unless otherwise provided by resolution of the Board of Directors, no Officer shall have the power or authority to delegate to any Person such Officer’s rights and powers as an Officer to manage the business and affairs of the Partnership.</w:t>
      </w:r>
    </w:p>
    <w:p>
      <w:pPr>
        <w:spacing w:after="0" w:line="170" w:lineRule="exact"/>
        <w:rPr>
          <w:sz w:val="20"/>
          <w:szCs w:val="20"/>
          <w:color w:val="auto"/>
        </w:rPr>
      </w:pPr>
    </w:p>
    <w:p>
      <w:pPr>
        <w:jc w:val="both"/>
        <w:ind w:right="80" w:firstLine="1297"/>
        <w:spacing w:after="0" w:line="259" w:lineRule="auto"/>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i w:val="1"/>
          <w:iCs w:val="1"/>
          <w:color w:val="auto"/>
        </w:rPr>
        <w:t>Compensation of Directors</w:t>
      </w:r>
      <w:r>
        <w:rPr>
          <w:rFonts w:ascii="Arial" w:cs="Arial" w:eastAsia="Arial" w:hAnsi="Arial"/>
          <w:sz w:val="18"/>
          <w:szCs w:val="18"/>
          <w:color w:val="auto"/>
        </w:rPr>
        <w:t>. The members of the Board of Directors who are not employees of the General Partner or its Affiliates shall receive such compensation for their services as members of the Board of Directors or members of a committee of the Board of Directors shall determine. In addition, the members of the Board of Directors shall be entitled to be reimbursed for out-of-pocket costs and expenses incurred in the course of their service hereunder.</w:t>
      </w:r>
    </w:p>
    <w:p>
      <w:pPr>
        <w:spacing w:after="0" w:line="187" w:lineRule="exact"/>
        <w:rPr>
          <w:sz w:val="20"/>
          <w:szCs w:val="20"/>
          <w:color w:val="auto"/>
        </w:rPr>
      </w:pPr>
    </w:p>
    <w:p>
      <w:pPr>
        <w:ind w:right="40" w:firstLine="1297"/>
        <w:spacing w:after="0" w:line="302" w:lineRule="auto"/>
        <w:rPr>
          <w:sz w:val="20"/>
          <w:szCs w:val="20"/>
          <w:color w:val="auto"/>
        </w:rPr>
      </w:pPr>
      <w:r>
        <w:rPr>
          <w:rFonts w:ascii="Arial" w:cs="Arial" w:eastAsia="Arial" w:hAnsi="Arial"/>
          <w:sz w:val="16"/>
          <w:szCs w:val="16"/>
          <w:color w:val="auto"/>
        </w:rPr>
        <w:t xml:space="preserve">Section 7.10. </w:t>
      </w:r>
      <w:r>
        <w:rPr>
          <w:rFonts w:ascii="Arial" w:cs="Arial" w:eastAsia="Arial" w:hAnsi="Arial"/>
          <w:sz w:val="16"/>
          <w:szCs w:val="16"/>
          <w:i w:val="1"/>
          <w:iCs w:val="1"/>
          <w:color w:val="auto"/>
        </w:rPr>
        <w:t>Certificate of Limited Partnership</w:t>
      </w:r>
      <w:r>
        <w:rPr>
          <w:rFonts w:ascii="Arial" w:cs="Arial" w:eastAsia="Arial" w:hAnsi="Arial"/>
          <w:sz w:val="16"/>
          <w:szCs w:val="16"/>
          <w:color w:val="auto"/>
        </w:rPr>
        <w:t>. The General Partner has caused the Certificate of Limited Partnership to be filed with the Registrar of Corporations of The Marshall Islands as required by the Marshall Islands Act. The General Partner shall use all commercially reasonable efforts to cause to be filed such other certificates or documents that the Board of Directors determines to be necessary or appropriate for the formation, continuation, qualification and operation of a limited partnership (or a partnership or other entity in which the limited partners have limited liability) in The</w:t>
      </w:r>
    </w:p>
    <w:p>
      <w:pPr>
        <w:sectPr>
          <w:pgSz w:w="11900" w:h="16945" w:orient="portrait"/>
          <w:cols w:equalWidth="0" w:num="1">
            <w:col w:w="11400"/>
          </w:cols>
          <w:pgMar w:left="240" w:top="125" w:right="259" w:bottom="0" w:gutter="0" w:footer="0" w:header="0"/>
        </w:sectPr>
      </w:pPr>
    </w:p>
    <w:bookmarkStart w:id="26" w:name="page27"/>
    <w:bookmarkEnd w:id="26"/>
    <w:p>
      <w:pPr>
        <w:spacing w:after="0" w:line="10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Marshall Islands or any other jurisdiction in which the Partnership may elect to do business or own property. To the extent the Board of Directors determines such action to be necessary or appropriate, the General Partner shall file or cause to be filed amendments to and restatements of the Certificate of Limited Partnership and do all things to maintain the Partnership as a limited partnership (or a partnership or other entity in which the limited partners have limited liability) under the laws of The Marshall Islands or of any other jurisdiction in which the Partnership may elect to do business or own property. Subject to the terms of </w:t>
      </w:r>
      <w:r>
        <w:rPr>
          <w:rFonts w:ascii="Arial" w:cs="Arial" w:eastAsia="Arial" w:hAnsi="Arial"/>
          <w:sz w:val="17"/>
          <w:szCs w:val="17"/>
          <w:u w:val="single" w:color="auto"/>
          <w:color w:val="auto"/>
        </w:rPr>
        <w:t>Section 3.4(a)</w:t>
      </w:r>
      <w:r>
        <w:rPr>
          <w:rFonts w:ascii="Arial" w:cs="Arial" w:eastAsia="Arial" w:hAnsi="Arial"/>
          <w:sz w:val="17"/>
          <w:szCs w:val="17"/>
          <w:color w:val="auto"/>
        </w:rPr>
        <w:t>, the General Partner shall not be required, before or after filing, to deliver or mail a copy of the Certificate of Limited Partnership, any qualification document or any amendment thereto to any Limited Partner.</w:t>
      </w:r>
    </w:p>
    <w:p>
      <w:pPr>
        <w:spacing w:after="0" w:line="178"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i w:val="1"/>
          <w:iCs w:val="1"/>
          <w:color w:val="auto"/>
        </w:rPr>
        <w:t>Restrictions on the Authority of the Board of Directors and the General Partner</w:t>
      </w:r>
      <w:r>
        <w:rPr>
          <w:rFonts w:ascii="Arial" w:cs="Arial" w:eastAsia="Arial" w:hAnsi="Arial"/>
          <w:sz w:val="18"/>
          <w:szCs w:val="18"/>
          <w:color w:val="auto"/>
        </w:rPr>
        <w:t>. (a) Except as otherwise provided in this Agreement, neither the Board of Directors nor the General Partner may, without written approval of the specific act by holders of all of the Outstanding Limited Partner Interests or by other written instrument executed and delivered by holders of all of the Outstanding Limited Partner Interests subsequent to the date of this Agreement, take any action in contravention of this Agreement.</w:t>
      </w:r>
    </w:p>
    <w:p>
      <w:pPr>
        <w:spacing w:after="0" w:line="187" w:lineRule="exact"/>
        <w:rPr>
          <w:sz w:val="20"/>
          <w:szCs w:val="20"/>
          <w:color w:val="auto"/>
        </w:rPr>
      </w:pPr>
    </w:p>
    <w:p>
      <w:pPr>
        <w:ind w:right="740" w:firstLine="1305"/>
        <w:spacing w:after="0" w:line="277" w:lineRule="auto"/>
        <w:tabs>
          <w:tab w:leader="none" w:pos="1952"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Articles XII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XIV</w:t>
      </w:r>
      <w:r>
        <w:rPr>
          <w:rFonts w:ascii="Arial" w:cs="Arial" w:eastAsia="Arial" w:hAnsi="Arial"/>
          <w:sz w:val="18"/>
          <w:szCs w:val="18"/>
          <w:color w:val="auto"/>
        </w:rPr>
        <w:t>, the Board of Directors may not sell, exchange or otherwise dispose of all or substantially all of the assets of the Partnership</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Group, taken as a whole, in a single transaction or a series of related transactions (including by way of merger, consolidation, other combination or sale of ownership interests in the Partnership’s Subsidiaries) without the approval of holders of a Unit Majority and the General Partner;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this provision shall not preclude or limit the ability of the Board of Directors to mortgage, pledge, hypothecate or grant a security interest in all or substantially all of the assets of the Partnership Group and shall not apply to any forced sale of any or all of the assets of the Partnership Group pursuant to the foreclosure of, or other realization upon, any such encumbrance. The transfer of the General Partner Interest to and the election of a successor general partner of the Partnership shall be made in accordance with </w:t>
      </w:r>
      <w:r>
        <w:rPr>
          <w:rFonts w:ascii="Arial" w:cs="Arial" w:eastAsia="Arial" w:hAnsi="Arial"/>
          <w:sz w:val="17"/>
          <w:szCs w:val="17"/>
          <w:u w:val="single" w:color="auto"/>
          <w:color w:val="auto"/>
        </w:rPr>
        <w:t>Section 4.6</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11.2</w:t>
      </w:r>
      <w:r>
        <w:rPr>
          <w:rFonts w:ascii="Arial" w:cs="Arial" w:eastAsia="Arial" w:hAnsi="Arial"/>
          <w:sz w:val="17"/>
          <w:szCs w:val="17"/>
          <w:color w:val="auto"/>
        </w:rPr>
        <w:t>.</w:t>
      </w:r>
    </w:p>
    <w:p>
      <w:pPr>
        <w:spacing w:after="0" w:line="178"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i w:val="1"/>
          <w:iCs w:val="1"/>
          <w:color w:val="auto"/>
        </w:rPr>
        <w:t>Reimbursement of the General Partner</w:t>
      </w:r>
      <w:r>
        <w:rPr>
          <w:rFonts w:ascii="Arial" w:cs="Arial" w:eastAsia="Arial" w:hAnsi="Arial"/>
          <w:sz w:val="18"/>
          <w:szCs w:val="18"/>
          <w:color w:val="auto"/>
        </w:rPr>
        <w:t xml:space="preserve">. (a) Except as provided in this </w:t>
      </w:r>
      <w:r>
        <w:rPr>
          <w:rFonts w:ascii="Arial" w:cs="Arial" w:eastAsia="Arial" w:hAnsi="Arial"/>
          <w:sz w:val="18"/>
          <w:szCs w:val="18"/>
          <w:u w:val="single" w:color="auto"/>
          <w:color w:val="auto"/>
        </w:rPr>
        <w:t>Section 7.12</w:t>
      </w:r>
      <w:r>
        <w:rPr>
          <w:rFonts w:ascii="Arial" w:cs="Arial" w:eastAsia="Arial" w:hAnsi="Arial"/>
          <w:sz w:val="18"/>
          <w:szCs w:val="18"/>
          <w:color w:val="auto"/>
        </w:rPr>
        <w:t xml:space="preserve"> and elsewhere in this Agreement, the General Partner shall not be compensated for its services as a general partner or managing member of any Group Member.</w:t>
      </w:r>
    </w:p>
    <w:p>
      <w:pPr>
        <w:spacing w:after="0" w:line="170" w:lineRule="exact"/>
        <w:rPr>
          <w:sz w:val="20"/>
          <w:szCs w:val="20"/>
          <w:color w:val="auto"/>
        </w:rPr>
      </w:pPr>
    </w:p>
    <w:p>
      <w:pPr>
        <w:ind w:right="20" w:firstLine="1305"/>
        <w:spacing w:after="0" w:line="272" w:lineRule="auto"/>
        <w:tabs>
          <w:tab w:leader="none" w:pos="1952"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The General Partner shall be reimbursed on a monthly basis, or such other basis as the Board of Directors may determine, for any direct and indirect expenses it incurs that are allocable to the Partnership Group or payments it makes on behalf of the Partnership Group (including salary, bonus, incentive compensation and other amounts paid to any Person, including Affiliates of the General Partner, to perform services for the Partnership Group or for the General Partner in the discharge of its duties to the Partnership Group, which amounts shall also include reimbursement for any Common Units purchased to satisfy obligations of the Partnership under any of its equity compensation plans). The Board of Directors shall determine the expenses that are allocable to the Partnership Group. Reimbursements pursuant to this </w:t>
      </w:r>
      <w:r>
        <w:rPr>
          <w:rFonts w:ascii="Arial" w:cs="Arial" w:eastAsia="Arial" w:hAnsi="Arial"/>
          <w:sz w:val="17"/>
          <w:szCs w:val="17"/>
          <w:u w:val="single" w:color="auto"/>
          <w:color w:val="auto"/>
        </w:rPr>
        <w:t>Section 7.12</w:t>
      </w:r>
      <w:r>
        <w:rPr>
          <w:rFonts w:ascii="Arial" w:cs="Arial" w:eastAsia="Arial" w:hAnsi="Arial"/>
          <w:sz w:val="17"/>
          <w:szCs w:val="17"/>
          <w:color w:val="auto"/>
        </w:rPr>
        <w:t xml:space="preserve"> shall be in addition to any reimbursement to the General Partner as a result of indemnification pursuant to </w:t>
      </w:r>
      <w:r>
        <w:rPr>
          <w:rFonts w:ascii="Arial" w:cs="Arial" w:eastAsia="Arial" w:hAnsi="Arial"/>
          <w:sz w:val="17"/>
          <w:szCs w:val="17"/>
          <w:u w:val="single" w:color="auto"/>
          <w:color w:val="auto"/>
        </w:rPr>
        <w:t>Section 7.15</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right="140" w:firstLine="1305"/>
        <w:spacing w:after="0" w:line="287" w:lineRule="auto"/>
        <w:tabs>
          <w:tab w:leader="none" w:pos="1955"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Subject to the applicable rules and regulations of the National Securities Exchange on which the Common Units are listed, the Board of Directors, without the approval of the Partners (who shall have no right to vote in respect thereof), may propose and adopt on behalf of the Partnership employee benefit plans, employee programs and employee practices (including plans, programs and practices involving the issuance of Partnership Interests or options to purchase or rights, warrants or appreciation rights or phantom or tracking interests relating to Partnership Interests), or cause the Partnership to issue Partnership Interests in connection with, or pursuant to, any employee benefit plan, employee program or employee practice maintained or sponsored by the Partnership, the General Partner or any of its Affiliates, in each case for the benefit of employees and directors of the Partnership, the General Partner, any Group Member or any Affiliate thereof, or any of them, in respect of services performed, directly or indirectly, for the benefit of the Partnership Group. The Partnership agrees to issue and sell to the General Partner or any of its Affiliates any Partnership Interests that the General Partner or such Affiliates are obligated to provide to any employees and directors pursuant to any such employee benefit plans, employee programs or employee practices. Expenses incurred by the General Partner in connection with any such plans, programs and practices (including the net cost to the General Partner or such Affiliates of Partnership Interests purchased by the General Partner or such Affiliates from the Partnership or otherwise to fulfill options or awards under such plans, programs and practices) shall be reimbursed in accordance with </w:t>
      </w:r>
      <w:r>
        <w:rPr>
          <w:rFonts w:ascii="Arial" w:cs="Arial" w:eastAsia="Arial" w:hAnsi="Arial"/>
          <w:sz w:val="16"/>
          <w:szCs w:val="16"/>
          <w:u w:val="single" w:color="auto"/>
          <w:color w:val="auto"/>
        </w:rPr>
        <w:t>Section 7.12(b)</w:t>
      </w:r>
      <w:r>
        <w:rPr>
          <w:rFonts w:ascii="Arial" w:cs="Arial" w:eastAsia="Arial" w:hAnsi="Arial"/>
          <w:sz w:val="16"/>
          <w:szCs w:val="16"/>
          <w:color w:val="auto"/>
        </w:rPr>
        <w:t>.</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Any and all obligations of the General Partner under any employee benefit plans, employee programs or employee practices adopted by the General Partner as permitted by this </w:t>
      </w:r>
      <w:r>
        <w:rPr>
          <w:rFonts w:ascii="Arial" w:cs="Arial" w:eastAsia="Arial" w:hAnsi="Arial"/>
          <w:sz w:val="18"/>
          <w:szCs w:val="18"/>
          <w:u w:val="single" w:color="auto"/>
          <w:color w:val="auto"/>
        </w:rPr>
        <w:t>Section 7.12(c)</w:t>
      </w:r>
      <w:r>
        <w:rPr>
          <w:rFonts w:ascii="Arial" w:cs="Arial" w:eastAsia="Arial" w:hAnsi="Arial"/>
          <w:sz w:val="18"/>
          <w:szCs w:val="18"/>
          <w:color w:val="auto"/>
        </w:rPr>
        <w:t xml:space="preserve"> shall constitute obligations of the General Partner hereunder and shall be assumed by any successor General Partner approved pursuant to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or the transferee of or successor to all of the General Partner’s General Partner Interest pursuant to </w:t>
      </w:r>
      <w:r>
        <w:rPr>
          <w:rFonts w:ascii="Arial" w:cs="Arial" w:eastAsia="Arial" w:hAnsi="Arial"/>
          <w:sz w:val="18"/>
          <w:szCs w:val="18"/>
          <w:u w:val="single" w:color="auto"/>
          <w:color w:val="auto"/>
        </w:rPr>
        <w:t>Section 4.6.</w:t>
      </w:r>
    </w:p>
    <w:p>
      <w:pPr>
        <w:spacing w:after="0" w:line="187"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 xml:space="preserve">Section 7.13. </w:t>
      </w:r>
      <w:r>
        <w:rPr>
          <w:rFonts w:ascii="Arial" w:cs="Arial" w:eastAsia="Arial" w:hAnsi="Arial"/>
          <w:sz w:val="16"/>
          <w:szCs w:val="16"/>
          <w:i w:val="1"/>
          <w:iCs w:val="1"/>
          <w:color w:val="auto"/>
        </w:rPr>
        <w:t>Outside Activities</w:t>
      </w:r>
      <w:r>
        <w:rPr>
          <w:rFonts w:ascii="Arial" w:cs="Arial" w:eastAsia="Arial" w:hAnsi="Arial"/>
          <w:sz w:val="16"/>
          <w:szCs w:val="16"/>
          <w:color w:val="auto"/>
        </w:rPr>
        <w:t>. (a) After the Closing Date, the General Partner, for so long as it is the general partner of the Partnership (i) agrees that its sole business will be to act as a general partner or managing member, as the case may be, of the Partnership and any other partnership or limited liability company of which the Partnership is, directly or indirectly, a partner or member and to undertake activities that are ancillary or related thereto (including being a limited partner in the Partnership), (ii) shall not engage in any business or activity or incur any debts or liabilities except in connection with or incidental to (A) its performance as general partner or managing member, if any, of one or more Group Members or as described in or contemplated by the Registration Statement or (B) the acquiring, owning or disposing of debt or equity securities in any Group Member and (iii) except to the extent permitted in the Omnibus Agreement, shall not acquire or own any Five-Year Vessels (as such term is defined in the Omnibus Agreement).</w:t>
      </w:r>
    </w:p>
    <w:p>
      <w:pPr>
        <w:spacing w:after="0" w:line="167" w:lineRule="exact"/>
        <w:rPr>
          <w:sz w:val="20"/>
          <w:szCs w:val="20"/>
          <w:color w:val="auto"/>
        </w:rPr>
      </w:pPr>
    </w:p>
    <w:p>
      <w:pPr>
        <w:ind w:right="20" w:firstLine="1305"/>
        <w:spacing w:after="0" w:line="264" w:lineRule="auto"/>
        <w:tabs>
          <w:tab w:leader="none" w:pos="1952" w:val="left"/>
        </w:tabs>
        <w:numPr>
          <w:ilvl w:val="0"/>
          <w:numId w:val="45"/>
        </w:numPr>
        <w:rPr>
          <w:rFonts w:ascii="Arial" w:cs="Arial" w:eastAsia="Arial" w:hAnsi="Arial"/>
          <w:sz w:val="18"/>
          <w:szCs w:val="18"/>
          <w:color w:val="auto"/>
        </w:rPr>
      </w:pPr>
      <w:r>
        <w:rPr>
          <w:rFonts w:ascii="Arial" w:cs="Arial" w:eastAsia="Arial" w:hAnsi="Arial"/>
          <w:sz w:val="18"/>
          <w:szCs w:val="18"/>
          <w:color w:val="auto"/>
        </w:rPr>
        <w:t>GasLog, the Partnership, the General Partner and the Operating Company have entered into the Omnibus Agreement, which agreement sets forth certain restrictions on the ability of GasLog and certain of its Affiliates to acquire, own or operate any Five-Year Vessels (as such term is defined in the Omnibus Agreement).</w:t>
      </w:r>
    </w:p>
    <w:p>
      <w:pPr>
        <w:spacing w:after="0" w:line="181" w:lineRule="exact"/>
        <w:rPr>
          <w:rFonts w:ascii="Arial" w:cs="Arial" w:eastAsia="Arial" w:hAnsi="Arial"/>
          <w:sz w:val="18"/>
          <w:szCs w:val="18"/>
          <w:color w:val="auto"/>
        </w:rPr>
      </w:pPr>
    </w:p>
    <w:p>
      <w:pPr>
        <w:ind w:right="20" w:firstLine="1305"/>
        <w:spacing w:after="0" w:line="297" w:lineRule="auto"/>
        <w:tabs>
          <w:tab w:leader="none" w:pos="1955"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Except as specifically restricted by </w:t>
      </w:r>
      <w:r>
        <w:rPr>
          <w:rFonts w:ascii="Arial" w:cs="Arial" w:eastAsia="Arial" w:hAnsi="Arial"/>
          <w:sz w:val="16"/>
          <w:szCs w:val="16"/>
          <w:u w:val="single" w:color="auto"/>
          <w:color w:val="auto"/>
        </w:rPr>
        <w:t>Section 7.13(a)</w:t>
      </w:r>
      <w:r>
        <w:rPr>
          <w:rFonts w:ascii="Arial" w:cs="Arial" w:eastAsia="Arial" w:hAnsi="Arial"/>
          <w:sz w:val="16"/>
          <w:szCs w:val="16"/>
          <w:color w:val="auto"/>
        </w:rPr>
        <w:t xml:space="preserve"> or the Omnibus Agreement, each Indemnitee (other than the General Partner) shall have the right to engage in businesses of every type and description and other activities for profit and to engage in and possess an interest in other business ventures of any and every type or description, whether in businesses engaged in or anticipated to be engaged in by any Group Member, independently or with others, including business interests and activities in direct competition with the business and activities of any Group Member, and none of the same shall constitute a breach of this Agreement or any duty expressed or implied by law to any Group Member or any Partner. Notwithstanding</w:t>
      </w:r>
    </w:p>
    <w:p>
      <w:pPr>
        <w:sectPr>
          <w:pgSz w:w="11900" w:h="16941" w:orient="portrait"/>
          <w:cols w:equalWidth="0" w:num="1">
            <w:col w:w="11380"/>
          </w:cols>
          <w:pgMar w:left="240" w:top="125" w:right="279" w:bottom="0" w:gutter="0" w:footer="0" w:header="0"/>
        </w:sectPr>
      </w:pPr>
    </w:p>
    <w:bookmarkStart w:id="27" w:name="page28"/>
    <w:bookmarkEnd w:id="27"/>
    <w:p>
      <w:pPr>
        <w:spacing w:after="0" w:line="137"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 xml:space="preserve">anything to the contrary in this Agreement, (i) the possessing of competitive interests and engaging in competitive activities by any Indemnitees (other than the General Partner) in accordance with the provisions of this </w:t>
      </w:r>
      <w:r>
        <w:rPr>
          <w:rFonts w:ascii="Arial" w:cs="Arial" w:eastAsia="Arial" w:hAnsi="Arial"/>
          <w:sz w:val="16"/>
          <w:szCs w:val="16"/>
          <w:u w:val="single" w:color="auto"/>
          <w:color w:val="auto"/>
        </w:rPr>
        <w:t>Section 7.13</w:t>
      </w:r>
      <w:r>
        <w:rPr>
          <w:rFonts w:ascii="Arial" w:cs="Arial" w:eastAsia="Arial" w:hAnsi="Arial"/>
          <w:sz w:val="16"/>
          <w:szCs w:val="16"/>
          <w:color w:val="auto"/>
        </w:rPr>
        <w:t xml:space="preserve"> is hereby approved by the Partnership and all Partners and (ii) it shall be deemed not to be a breach of any duty (including any fiduciary duty) or any other obligation of any type whatsoever of the General Partner or of any Indemnitee for the Indemnitees (other than the General Partner) to engage in such business interests and activities in preference to or to the exclusion of the Partnership.</w:t>
      </w:r>
    </w:p>
    <w:p>
      <w:pPr>
        <w:spacing w:after="0" w:line="154" w:lineRule="exact"/>
        <w:rPr>
          <w:sz w:val="20"/>
          <w:szCs w:val="20"/>
          <w:color w:val="auto"/>
        </w:rPr>
      </w:pPr>
    </w:p>
    <w:p>
      <w:pPr>
        <w:ind w:right="40" w:firstLine="1305"/>
        <w:spacing w:after="0" w:line="279" w:lineRule="auto"/>
        <w:tabs>
          <w:tab w:leader="none" w:pos="1952"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Agreement, the doctrine of corporate opportunity, or any analogous doctrine, shall not apply to an Indemnitee (including the General Partner) and, subject to the terms of </w:t>
      </w:r>
      <w:r>
        <w:rPr>
          <w:rFonts w:ascii="Arial" w:cs="Arial" w:eastAsia="Arial" w:hAnsi="Arial"/>
          <w:sz w:val="17"/>
          <w:szCs w:val="17"/>
          <w:u w:val="single" w:color="auto"/>
          <w:color w:val="auto"/>
        </w:rPr>
        <w:t>Section 7.13(a)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7.13(b)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7.13(c)</w:t>
      </w:r>
      <w:r>
        <w:rPr>
          <w:rFonts w:ascii="Arial" w:cs="Arial" w:eastAsia="Arial" w:hAnsi="Arial"/>
          <w:sz w:val="17"/>
          <w:szCs w:val="17"/>
          <w:color w:val="auto"/>
        </w:rPr>
        <w:t xml:space="preserve"> and the Omnibus Agreement, no Indemnitee (including the General Partner) who acquires knowledge of a potential transaction, agreement, arrangement or other matter that may be an opportunity for the Partnership shall have any duty to communicate or offer such opportunity to</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the Partnership, and, subject to the terms of </w:t>
      </w:r>
      <w:r>
        <w:rPr>
          <w:rFonts w:ascii="Arial" w:cs="Arial" w:eastAsia="Arial" w:hAnsi="Arial"/>
          <w:sz w:val="18"/>
          <w:szCs w:val="18"/>
          <w:u w:val="single" w:color="auto"/>
          <w:color w:val="auto"/>
        </w:rPr>
        <w:t>Section 7.13(a)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7.13(b)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7.13(c)</w:t>
      </w:r>
      <w:r>
        <w:rPr>
          <w:rFonts w:ascii="Arial" w:cs="Arial" w:eastAsia="Arial" w:hAnsi="Arial"/>
          <w:sz w:val="18"/>
          <w:szCs w:val="18"/>
          <w:color w:val="auto"/>
        </w:rPr>
        <w:t xml:space="preserve"> and the Omnibus Agreement, such Indemnitee (including the General Partner) shall not be liable to the Partnership, to any Limited Partner or any other Person for breach of any fiduciary or other duty by reason of the fact that such Indemnitee (including the General Partner) pursues or acquires such opportunity for itself, directs such opportunity to another Person or does not communicate such opportunity or information to the Partnership; </w:t>
      </w:r>
      <w:r>
        <w:rPr>
          <w:rFonts w:ascii="Arial" w:cs="Arial" w:eastAsia="Arial" w:hAnsi="Arial"/>
          <w:sz w:val="18"/>
          <w:szCs w:val="18"/>
          <w:i w:val="1"/>
          <w:iCs w:val="1"/>
          <w:color w:val="auto"/>
        </w:rPr>
        <w:t>provided</w:t>
      </w:r>
      <w:r>
        <w:rPr>
          <w:rFonts w:ascii="Arial" w:cs="Arial" w:eastAsia="Arial" w:hAnsi="Arial"/>
          <w:sz w:val="18"/>
          <w:szCs w:val="18"/>
          <w:color w:val="auto"/>
        </w:rPr>
        <w:t>, that such Indemnitee (including the General Partner) does not engage in such business or activity as a result of using confidential or proprietary information provided by or on behalf of the Partnership to such Indemnitee (including the General Partner).</w:t>
      </w:r>
    </w:p>
    <w:p>
      <w:pPr>
        <w:spacing w:after="0" w:line="193" w:lineRule="exact"/>
        <w:rPr>
          <w:sz w:val="20"/>
          <w:szCs w:val="20"/>
          <w:color w:val="auto"/>
        </w:rPr>
      </w:pPr>
    </w:p>
    <w:p>
      <w:pPr>
        <w:ind w:right="100" w:firstLine="1305"/>
        <w:spacing w:after="0" w:line="259" w:lineRule="auto"/>
        <w:tabs>
          <w:tab w:leader="none" w:pos="19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General Partner and each of its Affiliates may own and acquire Units or other Partnership Interests in addition to those acquired on the Closing Date and, except as otherwise provided in this Agreement, shall be entitled to exercise, at their option, all rights relating to all Units or other Partnership Interests acquired by them. The term “</w:t>
      </w:r>
      <w:r>
        <w:rPr>
          <w:rFonts w:ascii="Arial" w:cs="Arial" w:eastAsia="Arial" w:hAnsi="Arial"/>
          <w:sz w:val="18"/>
          <w:szCs w:val="18"/>
          <w:i w:val="1"/>
          <w:iCs w:val="1"/>
          <w:color w:val="auto"/>
        </w:rPr>
        <w:t>Affiliates</w:t>
      </w:r>
      <w:r>
        <w:rPr>
          <w:rFonts w:ascii="Arial" w:cs="Arial" w:eastAsia="Arial" w:hAnsi="Arial"/>
          <w:sz w:val="18"/>
          <w:szCs w:val="18"/>
          <w:color w:val="auto"/>
        </w:rPr>
        <w:t xml:space="preserve">” as used in this </w:t>
      </w:r>
      <w:r>
        <w:rPr>
          <w:rFonts w:ascii="Arial" w:cs="Arial" w:eastAsia="Arial" w:hAnsi="Arial"/>
          <w:sz w:val="18"/>
          <w:szCs w:val="18"/>
          <w:u w:val="single" w:color="auto"/>
          <w:color w:val="auto"/>
        </w:rPr>
        <w:t>Section 7.13(e)</w:t>
      </w:r>
      <w:r>
        <w:rPr>
          <w:rFonts w:ascii="Arial" w:cs="Arial" w:eastAsia="Arial" w:hAnsi="Arial"/>
          <w:sz w:val="18"/>
          <w:szCs w:val="18"/>
          <w:color w:val="auto"/>
        </w:rPr>
        <w:t xml:space="preserve"> with respect to the General Partner shall not include any Group Member.</w:t>
      </w:r>
    </w:p>
    <w:p>
      <w:pPr>
        <w:spacing w:after="0" w:line="187" w:lineRule="exact"/>
        <w:rPr>
          <w:sz w:val="20"/>
          <w:szCs w:val="20"/>
          <w:color w:val="auto"/>
        </w:rPr>
      </w:pPr>
    </w:p>
    <w:p>
      <w:pPr>
        <w:ind w:right="40" w:firstLine="1297"/>
        <w:spacing w:after="0" w:line="270" w:lineRule="auto"/>
        <w:rPr>
          <w:sz w:val="20"/>
          <w:szCs w:val="20"/>
          <w:color w:val="auto"/>
        </w:rPr>
      </w:pPr>
      <w:r>
        <w:rPr>
          <w:rFonts w:ascii="Arial" w:cs="Arial" w:eastAsia="Arial" w:hAnsi="Arial"/>
          <w:sz w:val="17"/>
          <w:szCs w:val="17"/>
          <w:color w:val="auto"/>
        </w:rPr>
        <w:t xml:space="preserve">Section 7.14. </w:t>
      </w:r>
      <w:r>
        <w:rPr>
          <w:rFonts w:ascii="Arial" w:cs="Arial" w:eastAsia="Arial" w:hAnsi="Arial"/>
          <w:sz w:val="17"/>
          <w:szCs w:val="17"/>
          <w:i w:val="1"/>
          <w:iCs w:val="1"/>
          <w:color w:val="auto"/>
        </w:rPr>
        <w:t>Loans from the General Partner; Loans or Contributions from the Partnership or Group Members</w:t>
      </w:r>
      <w:r>
        <w:rPr>
          <w:rFonts w:ascii="Arial" w:cs="Arial" w:eastAsia="Arial" w:hAnsi="Arial"/>
          <w:sz w:val="17"/>
          <w:szCs w:val="17"/>
          <w:color w:val="auto"/>
        </w:rPr>
        <w:t xml:space="preserve">. (a) The General Partner or any of its Affiliates may lend to any Group Member, and any Group Member may borrow from the General Partner or any of its Affiliates, funds needed or desired by the Group Member for such periods of time and in such amounts as the General Partner and the Board of Directors may determine;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in any such case the lending party may not charge the borrowing party interest at a rate greater than the rate that would be charged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borrowing party or impose terms less favorable to the borrowing party than would be charged or imposed on the borrowing party by unrelated lenders on comparable loans made on an arms’ length basis (without reference to the lending party’s financial abilities or guarantees), all as determined by the General Partner and the Board of Directors. The borrowing party shall reimburse the lending party for any costs (other than any additional interest costs) incurred by the lending party in connection with the borrowing of such funds. For purposes of this </w:t>
      </w:r>
      <w:r>
        <w:rPr>
          <w:rFonts w:ascii="Arial" w:cs="Arial" w:eastAsia="Arial" w:hAnsi="Arial"/>
          <w:sz w:val="17"/>
          <w:szCs w:val="17"/>
          <w:u w:val="single" w:color="auto"/>
          <w:color w:val="auto"/>
        </w:rPr>
        <w:t>Section 7.14(a)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7.14(b)</w:t>
      </w:r>
      <w:r>
        <w:rPr>
          <w:rFonts w:ascii="Arial" w:cs="Arial" w:eastAsia="Arial" w:hAnsi="Arial"/>
          <w:sz w:val="17"/>
          <w:szCs w:val="17"/>
          <w:color w:val="auto"/>
        </w:rPr>
        <w:t>, the term “</w:t>
      </w:r>
      <w:r>
        <w:rPr>
          <w:rFonts w:ascii="Arial" w:cs="Arial" w:eastAsia="Arial" w:hAnsi="Arial"/>
          <w:sz w:val="17"/>
          <w:szCs w:val="17"/>
          <w:b w:val="1"/>
          <w:bCs w:val="1"/>
          <w:i w:val="1"/>
          <w:iCs w:val="1"/>
          <w:color w:val="auto"/>
        </w:rPr>
        <w:t>Group Member</w:t>
      </w:r>
      <w:r>
        <w:rPr>
          <w:rFonts w:ascii="Arial" w:cs="Arial" w:eastAsia="Arial" w:hAnsi="Arial"/>
          <w:sz w:val="17"/>
          <w:szCs w:val="17"/>
          <w:color w:val="auto"/>
        </w:rPr>
        <w:t>” shall include any Affiliate of a Group Member that is controlled by the Group Member.</w:t>
      </w:r>
    </w:p>
    <w:p>
      <w:pPr>
        <w:spacing w:after="0" w:line="182" w:lineRule="exact"/>
        <w:rPr>
          <w:sz w:val="20"/>
          <w:szCs w:val="20"/>
          <w:color w:val="auto"/>
        </w:rPr>
      </w:pPr>
    </w:p>
    <w:p>
      <w:pPr>
        <w:ind w:right="20" w:firstLine="1305"/>
        <w:spacing w:after="0" w:line="264" w:lineRule="auto"/>
        <w:tabs>
          <w:tab w:leader="none" w:pos="19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Partnership may lend or contribute to any Group Member, and any Group Member may borrow from the Partnership, funds on terms and conditions determined by the Board of Directors. No Group Member may lend funds to the General Partner or any of its Affiliates (other than another Group Member).</w:t>
      </w:r>
    </w:p>
    <w:p>
      <w:pPr>
        <w:spacing w:after="0" w:line="181" w:lineRule="exact"/>
        <w:rPr>
          <w:rFonts w:ascii="Arial" w:cs="Arial" w:eastAsia="Arial" w:hAnsi="Arial"/>
          <w:sz w:val="18"/>
          <w:szCs w:val="18"/>
          <w:color w:val="auto"/>
        </w:rPr>
      </w:pPr>
    </w:p>
    <w:p>
      <w:pPr>
        <w:ind w:right="140" w:firstLine="1305"/>
        <w:spacing w:after="0" w:line="279" w:lineRule="auto"/>
        <w:tabs>
          <w:tab w:leader="none" w:pos="1955" w:val="left"/>
        </w:tabs>
        <w:numPr>
          <w:ilvl w:val="0"/>
          <w:numId w:val="48"/>
        </w:numPr>
        <w:rPr>
          <w:rFonts w:ascii="Arial" w:cs="Arial" w:eastAsia="Arial" w:hAnsi="Arial"/>
          <w:sz w:val="17"/>
          <w:szCs w:val="17"/>
          <w:color w:val="auto"/>
        </w:rPr>
      </w:pPr>
      <w:r>
        <w:rPr>
          <w:rFonts w:ascii="Arial" w:cs="Arial" w:eastAsia="Arial" w:hAnsi="Arial"/>
          <w:sz w:val="17"/>
          <w:szCs w:val="17"/>
          <w:color w:val="auto"/>
        </w:rPr>
        <w:t>No borrowing by any Group Member or the approval thereof by the General Partner or the Board of Directors shall be deemed to constitute a breach of any duty, expressed or implied, of the General Partner or its Affiliates or the Board of Directors to the Partnership or the Limited Partners if the purpose or effect of such borrowing is directly or indirectly to enable distributions to the General Partner or its Affiliates (including in their capacities as Limited Partners) to exceed the General Partner’s Percentage Interest of the total amount distributed to all partners.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297"/>
        <w:spacing w:after="0" w:line="268" w:lineRule="auto"/>
        <w:rPr>
          <w:sz w:val="20"/>
          <w:szCs w:val="20"/>
          <w:color w:val="auto"/>
        </w:rPr>
      </w:pPr>
      <w:r>
        <w:rPr>
          <w:rFonts w:ascii="Arial" w:cs="Arial" w:eastAsia="Arial" w:hAnsi="Arial"/>
          <w:sz w:val="17"/>
          <w:szCs w:val="17"/>
          <w:color w:val="auto"/>
        </w:rPr>
        <w:t xml:space="preserve">Section 7.15. </w:t>
      </w:r>
      <w:r>
        <w:rPr>
          <w:rFonts w:ascii="Arial" w:cs="Arial" w:eastAsia="Arial" w:hAnsi="Arial"/>
          <w:sz w:val="17"/>
          <w:szCs w:val="17"/>
          <w:i w:val="1"/>
          <w:iCs w:val="1"/>
          <w:color w:val="auto"/>
        </w:rPr>
        <w:t>Indemnification</w:t>
      </w:r>
      <w:r>
        <w:rPr>
          <w:rFonts w:ascii="Arial" w:cs="Arial" w:eastAsia="Arial" w:hAnsi="Arial"/>
          <w:sz w:val="17"/>
          <w:szCs w:val="17"/>
          <w:color w:val="auto"/>
        </w:rPr>
        <w:t xml:space="preserve">. (a) To the fullest extent permitted by the Marshall Islands Act but subject to the limitations expressly provided in this Agreement, all Indemnitees shall be indemnified and held harmless by the Partnership from and against any and all losses, claims, damages, liabilities, joint or several, expenses (including legal fees and expenses), judgments, fines, penalties, interest, settlements or other amounts arising from any and all claims, demands, actions, suits or proceedings, whether civil, criminal, administrative or investigative, in which any Indemnitee may be involved, or is threatened to be involved, as a party or otherwise, by reason of its status as an Indemnitee;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Indemnitee shall not be indemnified and held harmless if there has been a final and non-appealable judgment entered by a court of competent jurisdiction determining that, in respect of the matter for which the Indemnitee is seeking indemnification pursuant to this </w:t>
      </w:r>
      <w:r>
        <w:rPr>
          <w:rFonts w:ascii="Arial" w:cs="Arial" w:eastAsia="Arial" w:hAnsi="Arial"/>
          <w:sz w:val="17"/>
          <w:szCs w:val="17"/>
          <w:u w:val="single" w:color="auto"/>
          <w:color w:val="auto"/>
        </w:rPr>
        <w:t>Section 7.15</w:t>
      </w:r>
      <w:r>
        <w:rPr>
          <w:rFonts w:ascii="Arial" w:cs="Arial" w:eastAsia="Arial" w:hAnsi="Arial"/>
          <w:sz w:val="17"/>
          <w:szCs w:val="17"/>
          <w:color w:val="auto"/>
        </w:rPr>
        <w:t xml:space="preserve">, the Indemnitee acted in bad faith or engaged in fraud or willful misconduct or, in the case of a criminal matter, acted with knowledge that the Indemnitee’s conduct was unlawful;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no indemnification pursuant to this </w:t>
      </w:r>
      <w:r>
        <w:rPr>
          <w:rFonts w:ascii="Arial" w:cs="Arial" w:eastAsia="Arial" w:hAnsi="Arial"/>
          <w:sz w:val="17"/>
          <w:szCs w:val="17"/>
          <w:u w:val="single" w:color="auto"/>
          <w:color w:val="auto"/>
        </w:rPr>
        <w:t>Section 7.15</w:t>
      </w:r>
      <w:r>
        <w:rPr>
          <w:rFonts w:ascii="Arial" w:cs="Arial" w:eastAsia="Arial" w:hAnsi="Arial"/>
          <w:sz w:val="17"/>
          <w:szCs w:val="17"/>
          <w:color w:val="auto"/>
        </w:rPr>
        <w:t xml:space="preserve"> shall be available to the General Partner or its Affiliates (other than a Group Member) with respect to its or their obligations incurred pursuant to the Underwriting Agreement, the Omnibus Agreement or the Contribution Agreement (other than obligations incurred by the General Partner on behalf of the Partnership). Any indemnification pursuant to this </w:t>
      </w:r>
      <w:r>
        <w:rPr>
          <w:rFonts w:ascii="Arial" w:cs="Arial" w:eastAsia="Arial" w:hAnsi="Arial"/>
          <w:sz w:val="17"/>
          <w:szCs w:val="17"/>
          <w:u w:val="single" w:color="auto"/>
          <w:color w:val="auto"/>
        </w:rPr>
        <w:t>Section 7.15</w:t>
      </w:r>
      <w:r>
        <w:rPr>
          <w:rFonts w:ascii="Arial" w:cs="Arial" w:eastAsia="Arial" w:hAnsi="Arial"/>
          <w:sz w:val="17"/>
          <w:szCs w:val="17"/>
          <w:color w:val="auto"/>
        </w:rPr>
        <w:t xml:space="preserve"> shall be made only out of the assets of the Partnership, it being agreed that the General Partner shall not be personally liable for such indemnification and shall have no obligation to contribute or loan any monies or property to the Partnership to enable it to effectuate such indemnification.</w:t>
      </w:r>
    </w:p>
    <w:p>
      <w:pPr>
        <w:spacing w:after="0" w:line="188" w:lineRule="exact"/>
        <w:rPr>
          <w:sz w:val="20"/>
          <w:szCs w:val="20"/>
          <w:color w:val="auto"/>
        </w:rPr>
      </w:pPr>
    </w:p>
    <w:p>
      <w:pPr>
        <w:ind w:firstLine="1305"/>
        <w:spacing w:after="0" w:line="302" w:lineRule="auto"/>
        <w:tabs>
          <w:tab w:leader="none" w:pos="1952"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To the fullest extent permitted by the Marshall Islands Act, expenses (including legal fees and expenses) incurred by an Indemnitee who is indemnified pursuant to </w:t>
      </w:r>
      <w:r>
        <w:rPr>
          <w:rFonts w:ascii="Arial" w:cs="Arial" w:eastAsia="Arial" w:hAnsi="Arial"/>
          <w:sz w:val="16"/>
          <w:szCs w:val="16"/>
          <w:u w:val="single" w:color="auto"/>
          <w:color w:val="auto"/>
        </w:rPr>
        <w:t>Section 7.15(a)</w:t>
      </w:r>
      <w:r>
        <w:rPr>
          <w:rFonts w:ascii="Arial" w:cs="Arial" w:eastAsia="Arial" w:hAnsi="Arial"/>
          <w:sz w:val="16"/>
          <w:szCs w:val="16"/>
          <w:color w:val="auto"/>
        </w:rPr>
        <w:t xml:space="preserve"> in defending any claim, demand, action, suit or proceeding shall, from time to time, be advanced by the Partnership prior to a determination that the Indemnitee is not entitled to be indemnified upon receipt by the Partnership of any undertaking by or on behalf of the Indemnitee to repay such amount if it shall be determined that the Indemnitee is not entitled to be indemnified as authorized in this </w:t>
      </w:r>
      <w:r>
        <w:rPr>
          <w:rFonts w:ascii="Arial" w:cs="Arial" w:eastAsia="Arial" w:hAnsi="Arial"/>
          <w:sz w:val="16"/>
          <w:szCs w:val="16"/>
          <w:u w:val="single" w:color="auto"/>
          <w:color w:val="auto"/>
        </w:rPr>
        <w:t>Section 7.15</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ind w:right="20" w:firstLine="1305"/>
        <w:spacing w:after="0" w:line="257" w:lineRule="auto"/>
        <w:tabs>
          <w:tab w:leader="none" w:pos="19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indemnification provided by this </w:t>
      </w:r>
      <w:r>
        <w:rPr>
          <w:rFonts w:ascii="Arial" w:cs="Arial" w:eastAsia="Arial" w:hAnsi="Arial"/>
          <w:sz w:val="18"/>
          <w:szCs w:val="18"/>
          <w:u w:val="single" w:color="auto"/>
          <w:color w:val="auto"/>
        </w:rPr>
        <w:t>Section 7.15</w:t>
      </w:r>
      <w:r>
        <w:rPr>
          <w:rFonts w:ascii="Arial" w:cs="Arial" w:eastAsia="Arial" w:hAnsi="Arial"/>
          <w:sz w:val="18"/>
          <w:szCs w:val="18"/>
          <w:color w:val="auto"/>
        </w:rPr>
        <w:t xml:space="preserve"> shall be in addition to any other rights to which an Indemnitee may be entitled under any agreement, pursuant to any vote of the holders of Outstanding Limited Partner Interests, as a matter of law or otherwise, both as to actions in the Indemnitee’s capacity as an Indemnitee and as to actions in any other capacity (including any capacity under the Underwriting Agreement), and shall continue as to an Indemnitee who has ceased to serve in such capacity and shall inure to the benefit of the heirs, successors, assigns and administrators of the Indemnitee.</w:t>
      </w:r>
    </w:p>
    <w:p>
      <w:pPr>
        <w:spacing w:after="0" w:line="188" w:lineRule="exact"/>
        <w:rPr>
          <w:rFonts w:ascii="Arial" w:cs="Arial" w:eastAsia="Arial" w:hAnsi="Arial"/>
          <w:sz w:val="18"/>
          <w:szCs w:val="18"/>
          <w:color w:val="auto"/>
        </w:rPr>
      </w:pPr>
    </w:p>
    <w:p>
      <w:pPr>
        <w:ind w:right="100" w:firstLine="1305"/>
        <w:spacing w:after="0" w:line="342" w:lineRule="auto"/>
        <w:tabs>
          <w:tab w:leader="none" w:pos="1952"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Partnership may purchase and maintain (or reimburse the General Partner or its Affiliates for the cost of) insurance, on behalf of the Board of Directors and the General Partner, its Affiliates and such other Persons as the Board of Directors shall determine, against any liability that</w:t>
      </w:r>
    </w:p>
    <w:p>
      <w:pPr>
        <w:sectPr>
          <w:pgSz w:w="11900" w:h="16975" w:orient="portrait"/>
          <w:cols w:equalWidth="0" w:num="1">
            <w:col w:w="11420"/>
          </w:cols>
          <w:pgMar w:left="240" w:top="125" w:right="239" w:bottom="0" w:gutter="0" w:footer="0" w:header="0"/>
        </w:sectPr>
      </w:pPr>
    </w:p>
    <w:bookmarkStart w:id="28" w:name="page29"/>
    <w:bookmarkEnd w:id="28"/>
    <w:p>
      <w:pPr>
        <w:spacing w:after="0" w:line="1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may be asserted against, or expense that may be incurred by, such Person in connection with the Partnership’s activities or such Person’s activities on behalf of the Partnership, regardless of whether the Partnership would have the power to indemnify such Person against such liability under the provisions of this Agreement or law.</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1305"/>
        <w:spacing w:after="0" w:line="273" w:lineRule="auto"/>
        <w:tabs>
          <w:tab w:leader="none" w:pos="1955"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Section 7.15</w:t>
      </w:r>
      <w:r>
        <w:rPr>
          <w:rFonts w:ascii="Arial" w:cs="Arial" w:eastAsia="Arial" w:hAnsi="Arial"/>
          <w:sz w:val="17"/>
          <w:szCs w:val="17"/>
          <w:color w:val="auto"/>
        </w:rPr>
        <w:t xml:space="preserve">, the Partnership shall be deemed to have requested an Indemnitee to serve as fiduciary of an employee benefit plan whenever the performance by the Indemnitee of its duties to the Partnership also imposes duties on, or otherwise involves services by, it to the plan or participants or beneficiaries of the plan; excise taxes assessed on an Indemnitee with respect to an employee benefit plan pursuant to applicable law shall constitute “fines” within the meaning of </w:t>
      </w:r>
      <w:r>
        <w:rPr>
          <w:rFonts w:ascii="Arial" w:cs="Arial" w:eastAsia="Arial" w:hAnsi="Arial"/>
          <w:sz w:val="17"/>
          <w:szCs w:val="17"/>
          <w:u w:val="single" w:color="auto"/>
          <w:color w:val="auto"/>
        </w:rPr>
        <w:t>Section 7.15(a)</w:t>
      </w:r>
      <w:r>
        <w:rPr>
          <w:rFonts w:ascii="Arial" w:cs="Arial" w:eastAsia="Arial" w:hAnsi="Arial"/>
          <w:sz w:val="17"/>
          <w:szCs w:val="17"/>
          <w:color w:val="auto"/>
        </w:rPr>
        <w:t>; and action taken or omitted by the Indemnitee with respect to any employee benefit plan in the performance of its duties for a purpose reasonably believed by it to be in the best interest of the participants and beneficiaries of the plan shall be deemed to be for a purpose that is in the best interests of the Partnership.</w:t>
      </w:r>
    </w:p>
    <w:p>
      <w:pPr>
        <w:spacing w:after="0" w:line="178" w:lineRule="exact"/>
        <w:rPr>
          <w:rFonts w:ascii="Arial" w:cs="Arial" w:eastAsia="Arial" w:hAnsi="Arial"/>
          <w:sz w:val="17"/>
          <w:szCs w:val="17"/>
          <w:color w:val="auto"/>
        </w:rPr>
      </w:pPr>
    </w:p>
    <w:p>
      <w:pPr>
        <w:ind w:left="1960" w:hanging="655"/>
        <w:spacing w:after="0"/>
        <w:tabs>
          <w:tab w:leader="none" w:pos="19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 no event may an Indemnitee subject the Limited Partners to personal liability by reason of the indemnification provisions set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forth in this Agreement.</w:t>
      </w:r>
    </w:p>
    <w:p>
      <w:pPr>
        <w:spacing w:after="0" w:line="210" w:lineRule="exact"/>
        <w:rPr>
          <w:rFonts w:ascii="Arial" w:cs="Arial" w:eastAsia="Arial" w:hAnsi="Arial"/>
          <w:sz w:val="16"/>
          <w:szCs w:val="16"/>
          <w:color w:val="auto"/>
        </w:rPr>
      </w:pPr>
    </w:p>
    <w:p>
      <w:pPr>
        <w:ind w:right="440" w:firstLine="1305"/>
        <w:spacing w:after="0" w:line="342" w:lineRule="auto"/>
        <w:tabs>
          <w:tab w:leader="none" w:pos="1965"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An Indemnitee shall not be denied indemnification in whole or in part under this </w:t>
      </w:r>
      <w:r>
        <w:rPr>
          <w:rFonts w:ascii="Arial" w:cs="Arial" w:eastAsia="Arial" w:hAnsi="Arial"/>
          <w:sz w:val="16"/>
          <w:szCs w:val="16"/>
          <w:u w:val="single" w:color="auto"/>
          <w:color w:val="auto"/>
        </w:rPr>
        <w:t>Section 7.15</w:t>
      </w:r>
      <w:r>
        <w:rPr>
          <w:rFonts w:ascii="Arial" w:cs="Arial" w:eastAsia="Arial" w:hAnsi="Arial"/>
          <w:sz w:val="16"/>
          <w:szCs w:val="16"/>
          <w:color w:val="auto"/>
        </w:rPr>
        <w:t xml:space="preserve"> because the Indemnitee had an interest in the transaction with respect to which the indemnification applies if the transaction was otherwise permitted by the terms of this Agreement.</w:t>
      </w:r>
    </w:p>
    <w:p>
      <w:pPr>
        <w:spacing w:after="0" w:line="123" w:lineRule="exact"/>
        <w:rPr>
          <w:rFonts w:ascii="Arial" w:cs="Arial" w:eastAsia="Arial" w:hAnsi="Arial"/>
          <w:sz w:val="16"/>
          <w:szCs w:val="16"/>
          <w:color w:val="auto"/>
        </w:rPr>
      </w:pPr>
    </w:p>
    <w:p>
      <w:pPr>
        <w:ind w:right="240" w:firstLine="1305"/>
        <w:spacing w:after="0" w:line="277" w:lineRule="auto"/>
        <w:tabs>
          <w:tab w:leader="none" w:pos="19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7.15</w:t>
      </w:r>
      <w:r>
        <w:rPr>
          <w:rFonts w:ascii="Arial" w:cs="Arial" w:eastAsia="Arial" w:hAnsi="Arial"/>
          <w:sz w:val="18"/>
          <w:szCs w:val="18"/>
          <w:color w:val="auto"/>
        </w:rPr>
        <w:t xml:space="preserve"> are for the benefit of the Indemnitees, their heirs, successors, assigns and administrators and shall not be deemed to create any rights for the benefit of any other Persons.</w:t>
      </w:r>
    </w:p>
    <w:p>
      <w:pPr>
        <w:spacing w:after="0" w:line="170" w:lineRule="exact"/>
        <w:rPr>
          <w:rFonts w:ascii="Arial" w:cs="Arial" w:eastAsia="Arial" w:hAnsi="Arial"/>
          <w:sz w:val="18"/>
          <w:szCs w:val="18"/>
          <w:color w:val="auto"/>
        </w:rPr>
      </w:pPr>
    </w:p>
    <w:p>
      <w:pPr>
        <w:ind w:firstLine="1305"/>
        <w:spacing w:after="0" w:line="257" w:lineRule="auto"/>
        <w:tabs>
          <w:tab w:leader="none" w:pos="1966"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No amendment, modification or repeal of this </w:t>
      </w:r>
      <w:r>
        <w:rPr>
          <w:rFonts w:ascii="Arial" w:cs="Arial" w:eastAsia="Arial" w:hAnsi="Arial"/>
          <w:sz w:val="18"/>
          <w:szCs w:val="18"/>
          <w:u w:val="single" w:color="auto"/>
          <w:color w:val="auto"/>
        </w:rPr>
        <w:t>Section 7.15</w:t>
      </w:r>
      <w:r>
        <w:rPr>
          <w:rFonts w:ascii="Arial" w:cs="Arial" w:eastAsia="Arial" w:hAnsi="Arial"/>
          <w:sz w:val="18"/>
          <w:szCs w:val="18"/>
          <w:color w:val="auto"/>
        </w:rPr>
        <w:t xml:space="preserve"> or any provision hereof shall in any manner terminate, reduce or impair the right of any past, present or future Indemnitee to be indemnified by the Partnership, nor the obligations of the Partnership to indemnify any such Indemnitee under and in accordance with the provisions of this </w:t>
      </w:r>
      <w:r>
        <w:rPr>
          <w:rFonts w:ascii="Arial" w:cs="Arial" w:eastAsia="Arial" w:hAnsi="Arial"/>
          <w:sz w:val="18"/>
          <w:szCs w:val="18"/>
          <w:u w:val="single" w:color="auto"/>
          <w:color w:val="auto"/>
        </w:rPr>
        <w:t>Section 7.15</w:t>
      </w:r>
      <w:r>
        <w:rPr>
          <w:rFonts w:ascii="Arial" w:cs="Arial" w:eastAsia="Arial" w:hAnsi="Arial"/>
          <w:sz w:val="18"/>
          <w:szCs w:val="18"/>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8" w:lineRule="exact"/>
        <w:rPr>
          <w:sz w:val="20"/>
          <w:szCs w:val="20"/>
          <w:color w:val="auto"/>
        </w:rPr>
      </w:pPr>
    </w:p>
    <w:p>
      <w:pPr>
        <w:ind w:firstLine="1297"/>
        <w:spacing w:after="0" w:line="297" w:lineRule="auto"/>
        <w:rPr>
          <w:sz w:val="20"/>
          <w:szCs w:val="20"/>
          <w:color w:val="auto"/>
        </w:rPr>
      </w:pPr>
      <w:r>
        <w:rPr>
          <w:rFonts w:ascii="Arial" w:cs="Arial" w:eastAsia="Arial" w:hAnsi="Arial"/>
          <w:sz w:val="16"/>
          <w:szCs w:val="16"/>
          <w:color w:val="auto"/>
        </w:rPr>
        <w:t xml:space="preserve">Section 7.16. </w:t>
      </w:r>
      <w:r>
        <w:rPr>
          <w:rFonts w:ascii="Arial" w:cs="Arial" w:eastAsia="Arial" w:hAnsi="Arial"/>
          <w:sz w:val="16"/>
          <w:szCs w:val="16"/>
          <w:i w:val="1"/>
          <w:iCs w:val="1"/>
          <w:color w:val="auto"/>
        </w:rPr>
        <w:t>Liability of Indemnitees</w:t>
      </w:r>
      <w:r>
        <w:rPr>
          <w:rFonts w:ascii="Arial" w:cs="Arial" w:eastAsia="Arial" w:hAnsi="Arial"/>
          <w:sz w:val="16"/>
          <w:szCs w:val="16"/>
          <w:color w:val="auto"/>
        </w:rPr>
        <w:t>. (a) Notwithstanding anything to the contrary set forth in this Agreement, no Indemnitee shall be liable for monetary damages to the Partnership, the Limited Partners or any other Persons who have acquired Partnership Interests or are otherwise bound by this Agreement, for losses sustained or liabilities incurred as a result of any act or omission of an Indemnitee unless there has been a final and non-appealable judgment entered by a court of competent jurisdiction determining that, in respect of the matter in question, the Indemnitee committed (i) acts of active and deliberate dishonesty, (ii) with actual dishonest purpose and intent, and (iii) which acts were material to the cause of action so adjudicated.</w:t>
      </w:r>
    </w:p>
    <w:p>
      <w:pPr>
        <w:spacing w:after="0" w:line="158" w:lineRule="exact"/>
        <w:rPr>
          <w:sz w:val="20"/>
          <w:szCs w:val="20"/>
          <w:color w:val="auto"/>
        </w:rPr>
      </w:pPr>
    </w:p>
    <w:p>
      <w:pPr>
        <w:jc w:val="both"/>
        <w:ind w:right="320" w:firstLine="1305"/>
        <w:spacing w:after="0" w:line="302" w:lineRule="auto"/>
        <w:tabs>
          <w:tab w:leader="none" w:pos="1952"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Subject to their obligations and duties as members of the Board of Directors or as the General Partner, respectively, set forth in </w:t>
      </w:r>
      <w:r>
        <w:rPr>
          <w:rFonts w:ascii="Arial" w:cs="Arial" w:eastAsia="Arial" w:hAnsi="Arial"/>
          <w:sz w:val="16"/>
          <w:szCs w:val="16"/>
          <w:u w:val="single" w:color="auto"/>
          <w:color w:val="auto"/>
        </w:rPr>
        <w:t>Section 7.1(a)</w:t>
      </w:r>
      <w:r>
        <w:rPr>
          <w:rFonts w:ascii="Arial" w:cs="Arial" w:eastAsia="Arial" w:hAnsi="Arial"/>
          <w:sz w:val="16"/>
          <w:szCs w:val="16"/>
          <w:color w:val="auto"/>
        </w:rPr>
        <w:t>, members of the Board of Directors and the General Partner may exercise any of the powers granted to them and perform any of the duties imposed upon them hereunder either directly or by or through its agents, and the members of the Board of Directors and the General Partner shall not be responsible for any misconduct or negligence on the part of any such agent appointed by the Board of Directors or the General Partner in good faith.</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1305"/>
        <w:spacing w:after="0" w:line="264" w:lineRule="auto"/>
        <w:tabs>
          <w:tab w:leader="none" w:pos="19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the extent that, at law or in equity, an Indemnitee has duties (including fiduciary duties) and liabilities relating thereto to the Partnership or to the Partners, the General Partner and any other Indemnitee acting in connection with the Partnership’s business or affairs shall not be liable to the Partnership or to any Partner for its good faith reliance on the provisions of this Agreement.</w:t>
      </w:r>
    </w:p>
    <w:p>
      <w:pPr>
        <w:spacing w:after="0" w:line="181" w:lineRule="exact"/>
        <w:rPr>
          <w:rFonts w:ascii="Arial" w:cs="Arial" w:eastAsia="Arial" w:hAnsi="Arial"/>
          <w:sz w:val="18"/>
          <w:szCs w:val="18"/>
          <w:color w:val="auto"/>
        </w:rPr>
      </w:pPr>
    </w:p>
    <w:p>
      <w:pPr>
        <w:jc w:val="both"/>
        <w:ind w:right="80" w:firstLine="1305"/>
        <w:spacing w:after="0" w:line="259" w:lineRule="auto"/>
        <w:tabs>
          <w:tab w:leader="none" w:pos="19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Any amendment, modification or repeal of this </w:t>
      </w:r>
      <w:r>
        <w:rPr>
          <w:rFonts w:ascii="Arial" w:cs="Arial" w:eastAsia="Arial" w:hAnsi="Arial"/>
          <w:sz w:val="18"/>
          <w:szCs w:val="18"/>
          <w:u w:val="single" w:color="auto"/>
          <w:color w:val="auto"/>
        </w:rPr>
        <w:t>Section 7.16</w:t>
      </w:r>
      <w:r>
        <w:rPr>
          <w:rFonts w:ascii="Arial" w:cs="Arial" w:eastAsia="Arial" w:hAnsi="Arial"/>
          <w:sz w:val="18"/>
          <w:szCs w:val="18"/>
          <w:color w:val="auto"/>
        </w:rPr>
        <w:t xml:space="preserve"> or any provision hereof shall be prospective only and shall not in any way affect the limitations on the liability of the Indemnitees under this </w:t>
      </w:r>
      <w:r>
        <w:rPr>
          <w:rFonts w:ascii="Arial" w:cs="Arial" w:eastAsia="Arial" w:hAnsi="Arial"/>
          <w:sz w:val="18"/>
          <w:szCs w:val="18"/>
          <w:u w:val="single" w:color="auto"/>
          <w:color w:val="auto"/>
        </w:rPr>
        <w:t>Section 7.16</w:t>
      </w:r>
      <w:r>
        <w:rPr>
          <w:rFonts w:ascii="Arial" w:cs="Arial" w:eastAsia="Arial" w:hAnsi="Arial"/>
          <w:sz w:val="18"/>
          <w:szCs w:val="18"/>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7" w:lineRule="exact"/>
        <w:rPr>
          <w:sz w:val="20"/>
          <w:szCs w:val="20"/>
          <w:color w:val="auto"/>
        </w:rPr>
      </w:pPr>
    </w:p>
    <w:p>
      <w:pPr>
        <w:ind w:firstLine="1297"/>
        <w:spacing w:after="0" w:line="283" w:lineRule="auto"/>
        <w:rPr>
          <w:sz w:val="20"/>
          <w:szCs w:val="20"/>
          <w:color w:val="auto"/>
        </w:rPr>
      </w:pPr>
      <w:r>
        <w:rPr>
          <w:rFonts w:ascii="Arial" w:cs="Arial" w:eastAsia="Arial" w:hAnsi="Arial"/>
          <w:sz w:val="16"/>
          <w:szCs w:val="16"/>
          <w:color w:val="auto"/>
        </w:rPr>
        <w:t xml:space="preserve">Section 7.17. </w:t>
      </w:r>
      <w:r>
        <w:rPr>
          <w:rFonts w:ascii="Arial" w:cs="Arial" w:eastAsia="Arial" w:hAnsi="Arial"/>
          <w:sz w:val="16"/>
          <w:szCs w:val="16"/>
          <w:i w:val="1"/>
          <w:iCs w:val="1"/>
          <w:color w:val="auto"/>
        </w:rPr>
        <w:t>Resolution of Conflicts of Interest; Standards of Conduct and Modification of Duties</w:t>
      </w:r>
      <w:r>
        <w:rPr>
          <w:rFonts w:ascii="Arial" w:cs="Arial" w:eastAsia="Arial" w:hAnsi="Arial"/>
          <w:sz w:val="16"/>
          <w:szCs w:val="16"/>
          <w:color w:val="auto"/>
        </w:rPr>
        <w:t>. (a) Unless otherwise expressly provided in this Agreement or any Group Member Agreement, whenever a potential conflict of interest exists or arises between the General Partner or any of its Affiliates, or any member of the Board of Directors, on the one hand, and the Partnership, any Group Member or any Partner, on the other, any resolution or course of action in respect of such conflict of interest shall be permitted and deemed approved by all Partners, and shall not constitute a breach of this Agreement, of any Group Member Agreement, of any agreement contemplated herein or therein, or of any duty stated or implied by law or equity, if the resolution or course of action in respect of such conflict of interest is (i) approved by Special Approval, (ii) approved by the vote of a majority of the Outstanding Common Units (excluding Common Units owned by the General Partner and its Affiliates), (iii) on terms no less favorable to the Partnership than those generally being provided to or available from unrelated third parties or (iv) fair and reasonable to the Partnership, taking into account the totality of the relationships between the parties involved (including other transactions that may be particularly favorable or advantageous to the Partnership). The General Partner and the Board of Directors may but shall not be required in connection with the resolution of such conflict of interest to seek Special Approval of such resolution, and the General Partner or the Board of Directors, as the case may be, may also adopt a resolution or course of action that has not received Special Approval. If Special Approval is sought, then, notwithstanding any other provision of this Agreement or law that would otherwise apply,</w:t>
      </w:r>
    </w:p>
    <w:p>
      <w:pPr>
        <w:spacing w:after="0" w:line="4" w:lineRule="exact"/>
        <w:rPr>
          <w:sz w:val="20"/>
          <w:szCs w:val="20"/>
          <w:color w:val="auto"/>
        </w:rPr>
      </w:pPr>
    </w:p>
    <w:p>
      <w:pPr>
        <w:ind w:right="80" w:firstLine="8"/>
        <w:spacing w:after="0" w:line="268" w:lineRule="auto"/>
        <w:tabs>
          <w:tab w:leader="none" w:pos="255"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the Conflicts Committee will be authorized in connection with its determination of whether to provide Special Approval to consider any and all factors as it determines to be relevant or appropriate under the circumstances and (y) it will be presumed that, in making its decision, the Conflicts Committee acted in good faith, and if Special Approval is not sought and the Board of Directors determines that the resolution or course of action taken with respect to a conflict of interest satisfies either of the standards set forth in </w:t>
      </w:r>
      <w:r>
        <w:rPr>
          <w:rFonts w:ascii="Arial" w:cs="Arial" w:eastAsia="Arial" w:hAnsi="Arial"/>
          <w:sz w:val="17"/>
          <w:szCs w:val="17"/>
          <w:u w:val="single" w:color="auto"/>
          <w:color w:val="auto"/>
        </w:rPr>
        <w:t>clauses (iii)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above, then it shall be presumed that, in making its decision the Board of Directors, acted in good faith, and, in either case, in any proceeding brought by any Limited Partner or by or on behalf of such Limited Partner or any other Limited Partner or the Partnership challenging such approval, the Person bringing or prosecuting such proceeding shall have the burden of overcoming such presumption. Notwithstanding anything to the contrary in this Agreement or any duty otherwise existing at law or equity, the existence of the conflicts of interest described in the Registration Statement are hereby approved by all</w:t>
      </w:r>
    </w:p>
    <w:p>
      <w:pPr>
        <w:sectPr>
          <w:pgSz w:w="11900" w:h="16851" w:orient="portrait"/>
          <w:cols w:equalWidth="0" w:num="1">
            <w:col w:w="11400"/>
          </w:cols>
          <w:pgMar w:left="240" w:top="125" w:right="259" w:bottom="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ectPr>
          <w:pgSz w:w="11900" w:h="16851" w:orient="portrait"/>
          <w:cols w:equalWidth="0" w:num="1">
            <w:col w:w="11400"/>
          </w:cols>
          <w:pgMar w:left="240" w:top="125" w:right="259" w:bottom="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Partners and shall not constitute a breach of this Agreement or of any duty hereunder or existing at law, in equity or otherwise.</w:t>
      </w:r>
    </w:p>
    <w:p>
      <w:pPr>
        <w:spacing w:after="0" w:line="225" w:lineRule="exact"/>
        <w:rPr>
          <w:sz w:val="20"/>
          <w:szCs w:val="20"/>
          <w:color w:val="auto"/>
        </w:rPr>
      </w:pPr>
    </w:p>
    <w:p>
      <w:pPr>
        <w:ind w:right="100" w:firstLine="1305"/>
        <w:spacing w:after="0" w:line="271" w:lineRule="auto"/>
        <w:tabs>
          <w:tab w:leader="none" w:pos="1952" w:val="left"/>
        </w:tabs>
        <w:numPr>
          <w:ilvl w:val="0"/>
          <w:numId w:val="54"/>
        </w:numPr>
        <w:rPr>
          <w:rFonts w:ascii="Arial" w:cs="Arial" w:eastAsia="Arial" w:hAnsi="Arial"/>
          <w:sz w:val="17"/>
          <w:szCs w:val="17"/>
          <w:color w:val="auto"/>
        </w:rPr>
      </w:pPr>
      <w:r>
        <w:rPr>
          <w:rFonts w:ascii="Arial" w:cs="Arial" w:eastAsia="Arial" w:hAnsi="Arial"/>
          <w:sz w:val="17"/>
          <w:szCs w:val="17"/>
          <w:color w:val="auto"/>
        </w:rPr>
        <w:t>Whenever the General Partner makes a determination or takes or declines to take any other action, or any of its Affiliates causes it to do so, in its capacity as the general partner of the Partnership as opposed to in its individual capacity, whether under this Agreement, any Group Member Agreement or any other agreement contemplated hereby or otherwise, then, unless another express standard is provided for in this Agreement, the General Partner, or such Affiliates causing it to do so, shall make such determination or take or decline to take such other action in good faith and shall not be subject to any other or different standards imposed by this Agreement, any Group Member Agreement, any other agreement contemplated hereby or under the Marshall Islands Act or any other law, rule or regulation or at equity. In order for a determination or other action to be in “good faith” for purposes of this Agreement, the Person or Persons making such determination or taking or declining to take such other action must reasonably believe that the determination or other action is in the best interests of the Partnership, unless the context otherwise requires.</w:t>
      </w:r>
    </w:p>
    <w:p>
      <w:pPr>
        <w:spacing w:after="0" w:line="178" w:lineRule="exact"/>
        <w:rPr>
          <w:rFonts w:ascii="Arial" w:cs="Arial" w:eastAsia="Arial" w:hAnsi="Arial"/>
          <w:sz w:val="17"/>
          <w:szCs w:val="17"/>
          <w:color w:val="auto"/>
        </w:rPr>
      </w:pPr>
    </w:p>
    <w:p>
      <w:pPr>
        <w:ind w:firstLine="1305"/>
        <w:spacing w:after="0" w:line="286" w:lineRule="auto"/>
        <w:tabs>
          <w:tab w:leader="none" w:pos="1955" w:val="left"/>
        </w:tabs>
        <w:numPr>
          <w:ilvl w:val="0"/>
          <w:numId w:val="54"/>
        </w:numPr>
        <w:rPr>
          <w:rFonts w:ascii="Arial" w:cs="Arial" w:eastAsia="Arial" w:hAnsi="Arial"/>
          <w:sz w:val="16"/>
          <w:szCs w:val="16"/>
          <w:color w:val="auto"/>
        </w:rPr>
      </w:pPr>
      <w:r>
        <w:rPr>
          <w:rFonts w:ascii="Arial" w:cs="Arial" w:eastAsia="Arial" w:hAnsi="Arial"/>
          <w:sz w:val="16"/>
          <w:szCs w:val="16"/>
          <w:color w:val="auto"/>
        </w:rPr>
        <w:t>Whenever the General Partner makes a determination or takes or declines to take any other action, or any of its Affiliates causes it to do so, in its individual capacity as opposed to in its capacity as the general partner of the Partnership, whether under this Agreement, any Group Member Agreement or any other agreement contemplated hereby or otherwise, then the General Partner, or such Affiliates causing it to do so, are entitled to make such determination or to take or decline to take such other action free of any duty (including any fiduciary duty) or obligation whatsoever to the Partnership or any Limited Partner, any Record Holder or any other Person bound by this Agreement, and, to the fullest extent permitted by law, the General Partner, or such Affiliates causing it to do so, shall not be required to act in good faith or pursuant to any other standard imposed by this Agreement, any Group Member Agreement, any other agreement contemplated hereby or under the Marshall Islands Act or any other law, rule or regulation or at equity. By way of illustration and not of limitation, whenever the phrase, “at the option of the General Partner,” or some variation of that phrase, is used in this Agreement, it indicates that the General Partner is acting in its individual capacity. For the avoidance of doubt, whenever the General Partner votes or transfers its Units, General Partner Interest or Incentive Distribution Rights, if any, to the extent permitted under this Agreement, or refrains from voting or transferring its Units, General Partner Units or Incentive Distribution Rights, as appropriate, it shall be acting in its individual capacity. The General Partner’s organizational documents may provide that determinations to take or decline to take any action in its individual, rather than representative, capacity may or shall be determined by its members, if the General Partner is a limited liability company, stockholders, if the General Partner is a corporation, or the members or stockholders of the General Partner’s general partner, if the General Partner is a limited partnership.</w:t>
      </w:r>
    </w:p>
    <w:p>
      <w:pPr>
        <w:spacing w:after="0" w:line="171" w:lineRule="exact"/>
        <w:rPr>
          <w:rFonts w:ascii="Arial" w:cs="Arial" w:eastAsia="Arial" w:hAnsi="Arial"/>
          <w:sz w:val="16"/>
          <w:szCs w:val="16"/>
          <w:color w:val="auto"/>
        </w:rPr>
      </w:pPr>
    </w:p>
    <w:p>
      <w:pPr>
        <w:ind w:firstLine="1305"/>
        <w:spacing w:after="0" w:line="259" w:lineRule="auto"/>
        <w:tabs>
          <w:tab w:leader="none" w:pos="19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Whenever the Board of Directors makes a determination or takes or declines to take any other action, whether under this Agreement, any Group Member Agreement or any other agreement contemplated hereby or otherwise, then, unless another express standard is provided for in this Agreement, the Board of Directors, shall make such determination or take or decline to take such other action in good faith and shall not be subject to any other or different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standards imposed by this Agreement, any Group Member Agreement, any other agreement contemplated hereby or under the Marshall Islands Act or any other law, rule or regulation or at equity. In order for a determination or other action to be in “good faith” for purposes of this Agreement, the Person or Persons making such determination or taking or declining to take such other action must reasonably believe that the determination or other action is in the best interests of the Partnership, unless the context otherwise requires.</w:t>
      </w:r>
    </w:p>
    <w:p>
      <w:pPr>
        <w:spacing w:after="0" w:line="187" w:lineRule="exact"/>
        <w:rPr>
          <w:sz w:val="20"/>
          <w:szCs w:val="20"/>
          <w:color w:val="auto"/>
        </w:rPr>
      </w:pPr>
    </w:p>
    <w:p>
      <w:pPr>
        <w:ind w:right="40" w:firstLine="1305"/>
        <w:spacing w:after="0" w:line="257" w:lineRule="auto"/>
        <w:tabs>
          <w:tab w:leader="none" w:pos="19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the General Partner and its Affiliates shall have no duty or obligation, express or implied, to (i) approve the sale or other disposition of any asset of the Partnership Group (if such approval is required pursuant to </w:t>
      </w:r>
      <w:r>
        <w:rPr>
          <w:rFonts w:ascii="Arial" w:cs="Arial" w:eastAsia="Arial" w:hAnsi="Arial"/>
          <w:sz w:val="18"/>
          <w:szCs w:val="18"/>
          <w:u w:val="single" w:color="auto"/>
          <w:color w:val="auto"/>
        </w:rPr>
        <w:t>Section 7.11(b)</w:t>
      </w:r>
      <w:r>
        <w:rPr>
          <w:rFonts w:ascii="Arial" w:cs="Arial" w:eastAsia="Arial" w:hAnsi="Arial"/>
          <w:sz w:val="18"/>
          <w:szCs w:val="18"/>
          <w:color w:val="auto"/>
        </w:rPr>
        <w:t>) or (ii) permit any Group Member to use any facilities or assets of the General Partner and its Affiliates, except as may be provided in contracts entered into from time to time specifically dealing with such use. Any determination by the General Partner or any of its Affiliates to enter into such contracts shall, in each case, be at their option.</w:t>
      </w:r>
    </w:p>
    <w:p>
      <w:pPr>
        <w:spacing w:after="0" w:line="188" w:lineRule="exact"/>
        <w:rPr>
          <w:rFonts w:ascii="Arial" w:cs="Arial" w:eastAsia="Arial" w:hAnsi="Arial"/>
          <w:sz w:val="18"/>
          <w:szCs w:val="18"/>
          <w:color w:val="auto"/>
        </w:rPr>
      </w:pPr>
    </w:p>
    <w:p>
      <w:pPr>
        <w:ind w:right="20" w:firstLine="1305"/>
        <w:spacing w:after="0" w:line="272" w:lineRule="auto"/>
        <w:tabs>
          <w:tab w:leader="none" w:pos="1949"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Except as expressly set forth in this Agreement, neither the General Partner nor the Board of Directors or any other Indemnitee shall have any duties or liabilities, including fiduciary duties, to the Partnership or any Limited Partner and the provisions of this Agreement, to the extent that they restrict, eliminate or otherwise modify the duties and liabilities, including fiduciary duties, of the Board of Directors or the General Partner or any other Indemnitee otherwise existing at law or in equity, are agreed by the Partners to replace such other duties and liabilities of the Board of Directors or the General Partner or such other Indemnitee. Notwithstanding anything to the contrary, but subject to </w:t>
      </w:r>
      <w:r>
        <w:rPr>
          <w:rFonts w:ascii="Arial" w:cs="Arial" w:eastAsia="Arial" w:hAnsi="Arial"/>
          <w:sz w:val="17"/>
          <w:szCs w:val="17"/>
          <w:u w:val="single" w:color="auto"/>
          <w:color w:val="auto"/>
        </w:rPr>
        <w:t>Section 7.17(c)</w:t>
      </w:r>
      <w:r>
        <w:rPr>
          <w:rFonts w:ascii="Arial" w:cs="Arial" w:eastAsia="Arial" w:hAnsi="Arial"/>
          <w:sz w:val="17"/>
          <w:szCs w:val="17"/>
          <w:color w:val="auto"/>
        </w:rPr>
        <w:t xml:space="preserve"> and without reference to the definition of “good faith” in </w:t>
      </w:r>
      <w:r>
        <w:rPr>
          <w:rFonts w:ascii="Arial" w:cs="Arial" w:eastAsia="Arial" w:hAnsi="Arial"/>
          <w:sz w:val="17"/>
          <w:szCs w:val="17"/>
          <w:u w:val="single" w:color="auto"/>
          <w:color w:val="auto"/>
        </w:rPr>
        <w:t>Section 7.17(b)</w:t>
      </w:r>
      <w:r>
        <w:rPr>
          <w:rFonts w:ascii="Arial" w:cs="Arial" w:eastAsia="Arial" w:hAnsi="Arial"/>
          <w:sz w:val="17"/>
          <w:szCs w:val="17"/>
          <w:color w:val="auto"/>
        </w:rPr>
        <w:t>, neither the General Partner nor the Board of Directors nor any other Indemnitee shall owe any fiduciary duties to Preference Unit Holders other than the implied duty of good faith and fair dealing.</w:t>
      </w:r>
    </w:p>
    <w:p>
      <w:pPr>
        <w:spacing w:after="0" w:line="177" w:lineRule="exact"/>
        <w:rPr>
          <w:rFonts w:ascii="Arial" w:cs="Arial" w:eastAsia="Arial" w:hAnsi="Arial"/>
          <w:sz w:val="17"/>
          <w:szCs w:val="17"/>
          <w:color w:val="auto"/>
        </w:rPr>
      </w:pPr>
    </w:p>
    <w:p>
      <w:pPr>
        <w:ind w:right="60" w:firstLine="1305"/>
        <w:spacing w:after="0" w:line="264" w:lineRule="auto"/>
        <w:tabs>
          <w:tab w:leader="none" w:pos="1965"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The Unitholders hereby authorize the Board of Directors, on behalf of the Partnership as a partner or member of a Group Member, to approve of actions by the general partner or managing member of such Group Member similar to those actions permitted to be taken by the Board of Directors pursuant to this </w:t>
      </w:r>
      <w:r>
        <w:rPr>
          <w:rFonts w:ascii="Arial" w:cs="Arial" w:eastAsia="Arial" w:hAnsi="Arial"/>
          <w:sz w:val="18"/>
          <w:szCs w:val="18"/>
          <w:u w:val="single" w:color="auto"/>
          <w:color w:val="auto"/>
        </w:rPr>
        <w:t>Section 7.17</w:t>
      </w:r>
      <w:r>
        <w:rPr>
          <w:rFonts w:ascii="Arial" w:cs="Arial" w:eastAsia="Arial" w:hAnsi="Arial"/>
          <w:sz w:val="18"/>
          <w:szCs w:val="18"/>
          <w:color w:val="auto"/>
        </w:rPr>
        <w:t>.</w:t>
      </w:r>
    </w:p>
    <w:p>
      <w:pPr>
        <w:spacing w:after="0" w:line="181" w:lineRule="exact"/>
        <w:rPr>
          <w:sz w:val="20"/>
          <w:szCs w:val="20"/>
          <w:color w:val="auto"/>
        </w:rPr>
      </w:pPr>
    </w:p>
    <w:p>
      <w:pPr>
        <w:ind w:right="180" w:firstLine="1297"/>
        <w:spacing w:after="0" w:line="259" w:lineRule="auto"/>
        <w:rPr>
          <w:sz w:val="20"/>
          <w:szCs w:val="20"/>
          <w:color w:val="auto"/>
        </w:rPr>
      </w:pPr>
      <w:r>
        <w:rPr>
          <w:rFonts w:ascii="Arial" w:cs="Arial" w:eastAsia="Arial" w:hAnsi="Arial"/>
          <w:sz w:val="18"/>
          <w:szCs w:val="18"/>
          <w:color w:val="auto"/>
        </w:rPr>
        <w:t xml:space="preserve">Section 7.18. </w:t>
      </w:r>
      <w:r>
        <w:rPr>
          <w:rFonts w:ascii="Arial" w:cs="Arial" w:eastAsia="Arial" w:hAnsi="Arial"/>
          <w:sz w:val="18"/>
          <w:szCs w:val="18"/>
          <w:i w:val="1"/>
          <w:iCs w:val="1"/>
          <w:color w:val="auto"/>
        </w:rPr>
        <w:t>Other Matters Concerning the General Partner and the Board of Directors</w:t>
      </w:r>
      <w:r>
        <w:rPr>
          <w:rFonts w:ascii="Arial" w:cs="Arial" w:eastAsia="Arial" w:hAnsi="Arial"/>
          <w:sz w:val="18"/>
          <w:szCs w:val="18"/>
          <w:color w:val="auto"/>
        </w:rPr>
        <w:t>. (a) The General Partner and the Board of Directors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87" w:lineRule="exact"/>
        <w:rPr>
          <w:sz w:val="20"/>
          <w:szCs w:val="20"/>
          <w:color w:val="auto"/>
        </w:rPr>
      </w:pPr>
    </w:p>
    <w:p>
      <w:pPr>
        <w:ind w:right="100" w:firstLine="1305"/>
        <w:spacing w:after="0" w:line="257" w:lineRule="auto"/>
        <w:tabs>
          <w:tab w:leader="none" w:pos="1952"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General Partner and the Board of Directors may consult with legal counsel, accountants, appraisers, management consultants, investment bankers and other consultants and advisers selected by either of them, and any act taken or omitted to be taken in reliance upon the advice or opinion (including an Opinion of Counsel) of such Persons as to matters that the General Partner or the Board of Directors reasonably believes to be within such Person’s professional or expert competence shall be conclusively presumed to have been done or omitted in good faith and in accordance with such advice or opinion.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733" w:right="239" w:bottom="356" w:gutter="0" w:footer="0" w:header="0"/>
        </w:sectPr>
      </w:pPr>
    </w:p>
    <w:bookmarkStart w:id="30" w:name="page31"/>
    <w:bookmarkEnd w:id="30"/>
    <w:p>
      <w:pPr>
        <w:spacing w:after="0" w:line="94" w:lineRule="exact"/>
        <w:rPr>
          <w:sz w:val="20"/>
          <w:szCs w:val="20"/>
          <w:color w:val="auto"/>
        </w:rPr>
      </w:pPr>
    </w:p>
    <w:p>
      <w:pPr>
        <w:ind w:right="360" w:firstLine="1305"/>
        <w:spacing w:after="0" w:line="277" w:lineRule="auto"/>
        <w:tabs>
          <w:tab w:leader="none" w:pos="19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General Partner shall have the right, in respect of any of its powers or obligations hereunder, to act through any of its duly authorized officers, a duly appointed attorney or attorneys-in-fact or the duly authorized officers of the Partnership.</w:t>
      </w:r>
    </w:p>
    <w:p>
      <w:pPr>
        <w:spacing w:after="0" w:line="170" w:lineRule="exact"/>
        <w:rPr>
          <w:sz w:val="20"/>
          <w:szCs w:val="20"/>
          <w:color w:val="auto"/>
        </w:rPr>
      </w:pPr>
    </w:p>
    <w:p>
      <w:pPr>
        <w:ind w:right="60" w:firstLine="1297"/>
        <w:spacing w:after="0" w:line="279" w:lineRule="auto"/>
        <w:rPr>
          <w:sz w:val="20"/>
          <w:szCs w:val="20"/>
          <w:color w:val="auto"/>
        </w:rPr>
      </w:pPr>
      <w:r>
        <w:rPr>
          <w:rFonts w:ascii="Arial" w:cs="Arial" w:eastAsia="Arial" w:hAnsi="Arial"/>
          <w:sz w:val="17"/>
          <w:szCs w:val="17"/>
          <w:color w:val="auto"/>
        </w:rPr>
        <w:t xml:space="preserve">Section 7.19. </w:t>
      </w:r>
      <w:r>
        <w:rPr>
          <w:rFonts w:ascii="Arial" w:cs="Arial" w:eastAsia="Arial" w:hAnsi="Arial"/>
          <w:sz w:val="17"/>
          <w:szCs w:val="17"/>
          <w:i w:val="1"/>
          <w:iCs w:val="1"/>
          <w:color w:val="auto"/>
        </w:rPr>
        <w:t>Purchase or Sale of Partnership Interests</w:t>
      </w:r>
      <w:r>
        <w:rPr>
          <w:rFonts w:ascii="Arial" w:cs="Arial" w:eastAsia="Arial" w:hAnsi="Arial"/>
          <w:sz w:val="17"/>
          <w:szCs w:val="17"/>
          <w:color w:val="auto"/>
        </w:rPr>
        <w:t xml:space="preserve">. The Board of Directors may cause the Partnership to purchase or otherwise acquire Partnership Interests. As long as Partnership Interests are held by any Group Member, such Partnership Interests shall not be considered Outstanding for any purpose, except as otherwise provided herein. The General Partner or any Affiliate of the General Partner may purchase or otherwise acquire and sell or otherwise dispose of Partnership Interests for its own account, subject to the provisions of </w:t>
      </w:r>
      <w:r>
        <w:rPr>
          <w:rFonts w:ascii="Arial" w:cs="Arial" w:eastAsia="Arial" w:hAnsi="Arial"/>
          <w:sz w:val="17"/>
          <w:szCs w:val="17"/>
          <w:u w:val="single" w:color="auto"/>
          <w:color w:val="auto"/>
        </w:rPr>
        <w:t>Articles IV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X</w:t>
      </w:r>
      <w:r>
        <w:rPr>
          <w:rFonts w:ascii="Arial" w:cs="Arial" w:eastAsia="Arial" w:hAnsi="Arial"/>
          <w:sz w:val="17"/>
          <w:szCs w:val="17"/>
          <w:color w:val="auto"/>
        </w:rPr>
        <w:t>.</w:t>
      </w:r>
    </w:p>
    <w:p>
      <w:pPr>
        <w:spacing w:after="0" w:line="171" w:lineRule="exact"/>
        <w:rPr>
          <w:sz w:val="20"/>
          <w:szCs w:val="20"/>
          <w:color w:val="auto"/>
        </w:rPr>
      </w:pPr>
    </w:p>
    <w:p>
      <w:pPr>
        <w:ind w:firstLine="1297"/>
        <w:spacing w:after="0" w:line="283" w:lineRule="auto"/>
        <w:rPr>
          <w:sz w:val="20"/>
          <w:szCs w:val="20"/>
          <w:color w:val="auto"/>
        </w:rPr>
      </w:pPr>
      <w:r>
        <w:rPr>
          <w:rFonts w:ascii="Arial" w:cs="Arial" w:eastAsia="Arial" w:hAnsi="Arial"/>
          <w:sz w:val="16"/>
          <w:szCs w:val="16"/>
          <w:color w:val="auto"/>
        </w:rPr>
        <w:t xml:space="preserve">Section 7.20. </w:t>
      </w:r>
      <w:r>
        <w:rPr>
          <w:rFonts w:ascii="Arial" w:cs="Arial" w:eastAsia="Arial" w:hAnsi="Arial"/>
          <w:sz w:val="16"/>
          <w:szCs w:val="16"/>
          <w:i w:val="1"/>
          <w:iCs w:val="1"/>
          <w:color w:val="auto"/>
        </w:rPr>
        <w:t>Registration Rights of the General Partner and its Affiliates</w:t>
      </w:r>
      <w:r>
        <w:rPr>
          <w:rFonts w:ascii="Arial" w:cs="Arial" w:eastAsia="Arial" w:hAnsi="Arial"/>
          <w:sz w:val="16"/>
          <w:szCs w:val="16"/>
          <w:color w:val="auto"/>
        </w:rPr>
        <w:t xml:space="preserve">. (a) If (i) the General Partner or any Affiliate of the General Partner (including for purposes of this </w:t>
      </w:r>
      <w:r>
        <w:rPr>
          <w:rFonts w:ascii="Arial" w:cs="Arial" w:eastAsia="Arial" w:hAnsi="Arial"/>
          <w:sz w:val="16"/>
          <w:szCs w:val="16"/>
          <w:u w:val="single" w:color="auto"/>
          <w:color w:val="auto"/>
        </w:rPr>
        <w:t>Section 7.20</w:t>
      </w:r>
      <w:r>
        <w:rPr>
          <w:rFonts w:ascii="Arial" w:cs="Arial" w:eastAsia="Arial" w:hAnsi="Arial"/>
          <w:sz w:val="16"/>
          <w:szCs w:val="16"/>
          <w:color w:val="auto"/>
        </w:rPr>
        <w:t>, any Person that is an Affiliate of the General Partner at the date hereof notwithstanding that it may later cease to be an Affiliate of the General Partner) holds Partnership Interests that it desires to sell and (ii) Rule 144 of the Securities Act (or any successor rule or regulation to Rule 144) or another exemption from registration is not available to enable such holder of Partnership Interests (the “</w:t>
      </w:r>
      <w:r>
        <w:rPr>
          <w:rFonts w:ascii="Arial" w:cs="Arial" w:eastAsia="Arial" w:hAnsi="Arial"/>
          <w:sz w:val="16"/>
          <w:szCs w:val="16"/>
          <w:b w:val="1"/>
          <w:bCs w:val="1"/>
          <w:i w:val="1"/>
          <w:iCs w:val="1"/>
          <w:color w:val="auto"/>
        </w:rPr>
        <w:t>Holder</w:t>
      </w:r>
      <w:r>
        <w:rPr>
          <w:rFonts w:ascii="Arial" w:cs="Arial" w:eastAsia="Arial" w:hAnsi="Arial"/>
          <w:sz w:val="16"/>
          <w:szCs w:val="16"/>
          <w:color w:val="auto"/>
        </w:rPr>
        <w:t xml:space="preserve">”) to dispose of the number of Partnership Interests it desires to sell at the time it desires to do so without registration under the Securities Act, then at the option and upon the request of the Holder, the Partnership shall file with the Commission as promptly as practicable after receiving such request, and use its commercially reasonable efforts to cause to become effective and remain effective for a period of not less than six months following its effective date or such shorter period as shall terminate when all Partnership Interests covered by such registration statement have been sold, a registration statement under the Securities Act registering the offering and sale of the number of Partnership Interests specified by the Holder;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Partnership shall not be required to effect more than three registrations in total pursuant to this </w:t>
      </w:r>
      <w:r>
        <w:rPr>
          <w:rFonts w:ascii="Arial" w:cs="Arial" w:eastAsia="Arial" w:hAnsi="Arial"/>
          <w:sz w:val="16"/>
          <w:szCs w:val="16"/>
          <w:u w:val="single" w:color="auto"/>
          <w:color w:val="auto"/>
        </w:rPr>
        <w:t>Section 7.20(a)</w:t>
      </w:r>
      <w:r>
        <w:rPr>
          <w:rFonts w:ascii="Arial" w:cs="Arial" w:eastAsia="Arial" w:hAnsi="Arial"/>
          <w:sz w:val="16"/>
          <w:szCs w:val="16"/>
          <w:color w:val="auto"/>
        </w:rPr>
        <w:t xml:space="preserve">, no more than one of which shall be required to be made at any time that the Partnership is not eligible to use Form F-3 (or a comparable form) for the registration under the Securities Act of its securities;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if the Conflicts Committee determines in good faith that the requested registration would be materially detrimental to the Partnership and its Partners because such registration would (x) materially interfere with a significant acquisition, merger, disposition, corporate reorganization or other similar transaction involving the Partnership, (y) require premature disclosure of material information that the Partnership has a bona fide business purpose for preserving as confidential or (z) render the Partnership unable to comply with requirements under applicable securities laws, then the Partnership shall have the right to postpone such requested registration for a period of not more than six months after receipt of the Holder’s request, such right pursuant to this</w:t>
      </w:r>
    </w:p>
    <w:p>
      <w:pPr>
        <w:spacing w:after="0" w:line="271" w:lineRule="auto"/>
        <w:rPr>
          <w:sz w:val="20"/>
          <w:szCs w:val="20"/>
          <w:color w:val="auto"/>
        </w:rPr>
      </w:pPr>
      <w:r>
        <w:rPr>
          <w:rFonts w:ascii="Arial" w:cs="Arial" w:eastAsia="Arial" w:hAnsi="Arial"/>
          <w:sz w:val="17"/>
          <w:szCs w:val="17"/>
          <w:u w:val="single" w:color="auto"/>
          <w:color w:val="auto"/>
        </w:rPr>
        <w:t>Section 7.20(a)</w:t>
      </w:r>
      <w:r>
        <w:rPr>
          <w:rFonts w:ascii="Arial" w:cs="Arial" w:eastAsia="Arial" w:hAnsi="Arial"/>
          <w:sz w:val="17"/>
          <w:szCs w:val="17"/>
          <w:color w:val="auto"/>
        </w:rPr>
        <w:t xml:space="preserve"> not to be utilized more than once in any 12-month period. The Partnership shall use its commercially reasonable efforts to resolve any deferral with respect to any such registration and/or filing. Except as provided in the first sentence of this </w:t>
      </w:r>
      <w:r>
        <w:rPr>
          <w:rFonts w:ascii="Arial" w:cs="Arial" w:eastAsia="Arial" w:hAnsi="Arial"/>
          <w:sz w:val="17"/>
          <w:szCs w:val="17"/>
          <w:u w:val="single" w:color="auto"/>
          <w:color w:val="auto"/>
        </w:rPr>
        <w:t>Section 7.20(a)</w:t>
      </w:r>
      <w:r>
        <w:rPr>
          <w:rFonts w:ascii="Arial" w:cs="Arial" w:eastAsia="Arial" w:hAnsi="Arial"/>
          <w:sz w:val="17"/>
          <w:szCs w:val="17"/>
          <w:color w:val="auto"/>
        </w:rPr>
        <w:t>, the Partnership shall be deemed not to have used all its commercially reasonable efforts to keep the registration statement effective during the applicable period if it voluntarily takes any action that would result in Holders of Partnership Interests covered thereby not being able to offer and sell such Partnership Interests at any time during such period, unless such action is required by applicable law or regulations. In connection with</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 xml:space="preserve">any registration pursuant to this </w:t>
      </w:r>
      <w:r>
        <w:rPr>
          <w:rFonts w:ascii="Arial" w:cs="Arial" w:eastAsia="Arial" w:hAnsi="Arial"/>
          <w:sz w:val="16"/>
          <w:szCs w:val="16"/>
          <w:u w:val="single" w:color="auto"/>
          <w:color w:val="auto"/>
        </w:rPr>
        <w:t>Section 7.20(a)</w:t>
      </w:r>
      <w:r>
        <w:rPr>
          <w:rFonts w:ascii="Arial" w:cs="Arial" w:eastAsia="Arial" w:hAnsi="Arial"/>
          <w:sz w:val="16"/>
          <w:szCs w:val="16"/>
          <w:color w:val="auto"/>
        </w:rPr>
        <w:t>, the Partnership shall (i) promptly prepare and file (A) such documents as may be necessary to register or qualify the securities subject to such registration under the securities laws of such states as the Holder shall reasonably request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qualification shall be required in any jurisdiction where, as a result thereof, the Partnership would become subject to general service of process or to taxation or qualification to do business as a foreign corporation or partnership doing business in such jurisdiction solely as a result of such registration), and</w:t>
      </w:r>
    </w:p>
    <w:p>
      <w:pPr>
        <w:spacing w:after="0" w:line="2" w:lineRule="exact"/>
        <w:rPr>
          <w:sz w:val="20"/>
          <w:szCs w:val="20"/>
          <w:color w:val="auto"/>
        </w:rPr>
      </w:pPr>
    </w:p>
    <w:p>
      <w:pPr>
        <w:ind w:right="240" w:firstLine="8"/>
        <w:spacing w:after="0" w:line="295" w:lineRule="auto"/>
        <w:tabs>
          <w:tab w:leader="none" w:pos="285"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such documents as may be necessary to apply for listing or to list the Partnership Interests subject to such registration on such National Securities Exchange as the Holder shall reasonably request, and (ii) do any and all other acts and things that may be necessary or appropriate to enable the Holder to consummate a public sale of such Partnership Interests in such states. Except as set forth in </w:t>
      </w:r>
      <w:r>
        <w:rPr>
          <w:rFonts w:ascii="Arial" w:cs="Arial" w:eastAsia="Arial" w:hAnsi="Arial"/>
          <w:sz w:val="16"/>
          <w:szCs w:val="16"/>
          <w:u w:val="single" w:color="auto"/>
          <w:color w:val="auto"/>
        </w:rPr>
        <w:t>Section 7.20(c)</w:t>
      </w:r>
      <w:r>
        <w:rPr>
          <w:rFonts w:ascii="Arial" w:cs="Arial" w:eastAsia="Arial" w:hAnsi="Arial"/>
          <w:sz w:val="16"/>
          <w:szCs w:val="16"/>
          <w:color w:val="auto"/>
        </w:rPr>
        <w:t>, all costs and expenses of any such registration and offering (other than the underwriting discounts and commissions) shall be paid by the Partnership, without reimbursement by the Holder.</w:t>
      </w:r>
    </w:p>
    <w:p>
      <w:pPr>
        <w:spacing w:after="0" w:line="161" w:lineRule="exact"/>
        <w:rPr>
          <w:rFonts w:ascii="Arial" w:cs="Arial" w:eastAsia="Arial" w:hAnsi="Arial"/>
          <w:sz w:val="16"/>
          <w:szCs w:val="16"/>
          <w:color w:val="auto"/>
        </w:rPr>
      </w:pPr>
    </w:p>
    <w:p>
      <w:pPr>
        <w:ind w:right="120" w:firstLine="1305"/>
        <w:spacing w:after="0" w:line="287" w:lineRule="auto"/>
        <w:tabs>
          <w:tab w:leader="none" w:pos="1952" w:val="left"/>
        </w:tabs>
        <w:numPr>
          <w:ilvl w:val="1"/>
          <w:numId w:val="58"/>
        </w:numPr>
        <w:rPr>
          <w:rFonts w:ascii="Arial" w:cs="Arial" w:eastAsia="Arial" w:hAnsi="Arial"/>
          <w:sz w:val="16"/>
          <w:szCs w:val="16"/>
          <w:color w:val="auto"/>
        </w:rPr>
      </w:pPr>
      <w:r>
        <w:rPr>
          <w:rFonts w:ascii="Arial" w:cs="Arial" w:eastAsia="Arial" w:hAnsi="Arial"/>
          <w:sz w:val="16"/>
          <w:szCs w:val="16"/>
          <w:color w:val="auto"/>
        </w:rPr>
        <w:t xml:space="preserve">If the Partnership shall at any time propose to file a registration statement under the Securities Act for an offering of equity interests of the Partnership for cash (other than an offering relating solely to an employee benefit plan), the Partnership shall use its commercially reasonable efforts to include such number or amount of Partnership Interests held by any Holder in such registration statement as the Holder shall request;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Partnership is not required to make any effort or take any action to so include the Partnership Interests of the Holder once the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statement becomes or is declared effective by the Commission, including any registration statement providing for the offering from time to time of Partnership Interests pursuant to Rule 415 of the Securities Act. If the proposed offering pursuant to this </w:t>
      </w:r>
      <w:r>
        <w:rPr>
          <w:rFonts w:ascii="Arial" w:cs="Arial" w:eastAsia="Arial" w:hAnsi="Arial"/>
          <w:sz w:val="16"/>
          <w:szCs w:val="16"/>
          <w:u w:val="single" w:color="auto"/>
          <w:color w:val="auto"/>
        </w:rPr>
        <w:t>Section 7.20(b)</w:t>
      </w:r>
      <w:r>
        <w:rPr>
          <w:rFonts w:ascii="Arial" w:cs="Arial" w:eastAsia="Arial" w:hAnsi="Arial"/>
          <w:sz w:val="16"/>
          <w:szCs w:val="16"/>
          <w:color w:val="auto"/>
        </w:rPr>
        <w:t xml:space="preserve"> shall be an underwritten offering, then, in the event that the managing underwriter or managing underwriters of such offering advise the Partnership and the Holder in writing that in their opinion the inclusion of all or some of the Holder’s Partnership Interests would adversely and materially affect the success of the offering, the Partnership shall include in such offering only that number or amount, if any, of Partnership Interests held by the Holder that, in the opinion of the managing underwriter or managing underwriters, will not so adversely and materially affect the offering. Except as set forth in </w:t>
      </w:r>
      <w:r>
        <w:rPr>
          <w:rFonts w:ascii="Arial" w:cs="Arial" w:eastAsia="Arial" w:hAnsi="Arial"/>
          <w:sz w:val="16"/>
          <w:szCs w:val="16"/>
          <w:u w:val="single" w:color="auto"/>
          <w:color w:val="auto"/>
        </w:rPr>
        <w:t>Section 7.20(c)</w:t>
      </w:r>
      <w:r>
        <w:rPr>
          <w:rFonts w:ascii="Arial" w:cs="Arial" w:eastAsia="Arial" w:hAnsi="Arial"/>
          <w:sz w:val="16"/>
          <w:szCs w:val="16"/>
          <w:color w:val="auto"/>
        </w:rPr>
        <w:t>, all costs and expenses of any such registration and offering (other than the underwriting discounts and commissions) shall be paid by the Partnership, without reimbursement by the Holder.</w:t>
      </w:r>
    </w:p>
    <w:p>
      <w:pPr>
        <w:spacing w:after="0" w:line="172" w:lineRule="exact"/>
        <w:rPr>
          <w:rFonts w:ascii="Arial" w:cs="Arial" w:eastAsia="Arial" w:hAnsi="Arial"/>
          <w:sz w:val="16"/>
          <w:szCs w:val="16"/>
          <w:color w:val="auto"/>
        </w:rPr>
      </w:pPr>
    </w:p>
    <w:p>
      <w:pPr>
        <w:ind w:firstLine="1305"/>
        <w:spacing w:after="0" w:line="253" w:lineRule="auto"/>
        <w:tabs>
          <w:tab w:leader="none" w:pos="1955" w:val="left"/>
        </w:tabs>
        <w:numPr>
          <w:ilvl w:val="1"/>
          <w:numId w:val="58"/>
        </w:numPr>
        <w:rPr>
          <w:rFonts w:ascii="Arial" w:cs="Arial" w:eastAsia="Arial" w:hAnsi="Arial"/>
          <w:sz w:val="18"/>
          <w:szCs w:val="18"/>
          <w:color w:val="auto"/>
        </w:rPr>
      </w:pPr>
      <w:r>
        <w:rPr>
          <w:rFonts w:ascii="Arial" w:cs="Arial" w:eastAsia="Arial" w:hAnsi="Arial"/>
          <w:sz w:val="18"/>
          <w:szCs w:val="18"/>
          <w:color w:val="auto"/>
        </w:rPr>
        <w:t xml:space="preserve">If underwriters are engaged in connection with any registration referred to in this </w:t>
      </w:r>
      <w:r>
        <w:rPr>
          <w:rFonts w:ascii="Arial" w:cs="Arial" w:eastAsia="Arial" w:hAnsi="Arial"/>
          <w:sz w:val="18"/>
          <w:szCs w:val="18"/>
          <w:u w:val="single" w:color="auto"/>
          <w:color w:val="auto"/>
        </w:rPr>
        <w:t>Section 7.20</w:t>
      </w:r>
      <w:r>
        <w:rPr>
          <w:rFonts w:ascii="Arial" w:cs="Arial" w:eastAsia="Arial" w:hAnsi="Arial"/>
          <w:sz w:val="18"/>
          <w:szCs w:val="18"/>
          <w:color w:val="auto"/>
        </w:rPr>
        <w:t xml:space="preserve">, the Partnership shall provide indemnification, representations, covenants, opinions and other assurance to the underwriters in form and substance reasonably satisfactory to such underwriters. Further, in addition to and not in limitation of the Partnership’s obligation under </w:t>
      </w:r>
      <w:r>
        <w:rPr>
          <w:rFonts w:ascii="Arial" w:cs="Arial" w:eastAsia="Arial" w:hAnsi="Arial"/>
          <w:sz w:val="18"/>
          <w:szCs w:val="18"/>
          <w:u w:val="single" w:color="auto"/>
          <w:color w:val="auto"/>
        </w:rPr>
        <w:t>Section 7.15</w:t>
      </w:r>
      <w:r>
        <w:rPr>
          <w:rFonts w:ascii="Arial" w:cs="Arial" w:eastAsia="Arial" w:hAnsi="Arial"/>
          <w:sz w:val="18"/>
          <w:szCs w:val="18"/>
          <w:color w:val="auto"/>
        </w:rPr>
        <w:t>, the Partnership shall, to the fullest extent permitted by law, indemnify and hold harmless the Holder, its officers, directors and each Person who controls the Holder (within the meaning of the Securities Act) and any agent thereof (collectively, “</w:t>
      </w:r>
      <w:r>
        <w:rPr>
          <w:rFonts w:ascii="Arial" w:cs="Arial" w:eastAsia="Arial" w:hAnsi="Arial"/>
          <w:sz w:val="18"/>
          <w:szCs w:val="18"/>
          <w:b w:val="1"/>
          <w:bCs w:val="1"/>
          <w:i w:val="1"/>
          <w:iCs w:val="1"/>
          <w:color w:val="auto"/>
        </w:rPr>
        <w:t>Indemnified Persons</w:t>
      </w:r>
      <w:r>
        <w:rPr>
          <w:rFonts w:ascii="Arial" w:cs="Arial" w:eastAsia="Arial" w:hAnsi="Arial"/>
          <w:sz w:val="18"/>
          <w:szCs w:val="18"/>
          <w:color w:val="auto"/>
        </w:rPr>
        <w:t xml:space="preserve">”) from and against any and all losses, claims, demands, actions, causes of action, assessments, damages, liabilities (joint or several), costs and expenses (including interest, penalties and reasonable attorneys’ fees and disbursements), resulting to, imposed upon, or incurred by the Indemnified Persons, directly or indirectly, under the Securities Act or otherwise (hereinafter referred to in this </w:t>
      </w:r>
      <w:r>
        <w:rPr>
          <w:rFonts w:ascii="Arial" w:cs="Arial" w:eastAsia="Arial" w:hAnsi="Arial"/>
          <w:sz w:val="18"/>
          <w:szCs w:val="18"/>
          <w:u w:val="single" w:color="auto"/>
          <w:color w:val="auto"/>
        </w:rPr>
        <w:t>Section 7.20(c)</w:t>
      </w:r>
      <w:r>
        <w:rPr>
          <w:rFonts w:ascii="Arial" w:cs="Arial" w:eastAsia="Arial" w:hAnsi="Arial"/>
          <w:sz w:val="18"/>
          <w:szCs w:val="18"/>
          <w:color w:val="auto"/>
        </w:rPr>
        <w:t xml:space="preserve"> as a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and in the plural as “</w:t>
      </w:r>
      <w:r>
        <w:rPr>
          <w:rFonts w:ascii="Arial" w:cs="Arial" w:eastAsia="Arial" w:hAnsi="Arial"/>
          <w:sz w:val="18"/>
          <w:szCs w:val="18"/>
          <w:b w:val="1"/>
          <w:bCs w:val="1"/>
          <w:i w:val="1"/>
          <w:iCs w:val="1"/>
          <w:color w:val="auto"/>
        </w:rPr>
        <w:t>claims</w:t>
      </w:r>
      <w:r>
        <w:rPr>
          <w:rFonts w:ascii="Arial" w:cs="Arial" w:eastAsia="Arial" w:hAnsi="Arial"/>
          <w:sz w:val="18"/>
          <w:szCs w:val="18"/>
          <w:color w:val="auto"/>
        </w:rPr>
        <w:t>”) based upon, arising out of or resulting from any untrue statement or alleged untrue statement of any material fact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contained in any registration statement under which any Partnership Interests were registered under the Securities Act or any state securities or Blue Sky laws, in any preliminary prospectus or issuer free writing prospectus as defined in Rule 433 of the Securities Act (if used prior to the effective date of such registration statement), or in any summary, free writing or final prospectus or in any amendment or supplement thereto (if used during the period the Partnership is required to keep the registration statement current), or arising out of, based upon or resulting from the omission or alleged omission to state therein a material fact required to be stated therein or necessary to make the statements made therein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Partnership shall not be liable to any Indemnified Person to the extent that any such claim arises out of, is based upon or results from an untrue statement or alleged untrue statement or omission or alleged omission made in such registration statement, such preliminary, summary, free writing or final prospectus or such</w:t>
      </w:r>
    </w:p>
    <w:p>
      <w:pPr>
        <w:sectPr>
          <w:pgSz w:w="11900" w:h="16932" w:orient="portrait"/>
          <w:cols w:equalWidth="0" w:num="1">
            <w:col w:w="11420"/>
          </w:cols>
          <w:pgMar w:left="240" w:top="125" w:right="239" w:bottom="0" w:gutter="0" w:footer="0" w:header="0"/>
        </w:sectPr>
      </w:pPr>
    </w:p>
    <w:bookmarkStart w:id="31" w:name="page32"/>
    <w:bookmarkEnd w:id="31"/>
    <w:p>
      <w:pPr>
        <w:ind w:right="400"/>
        <w:spacing w:after="0" w:line="277" w:lineRule="auto"/>
        <w:rPr>
          <w:sz w:val="20"/>
          <w:szCs w:val="20"/>
          <w:color w:val="auto"/>
        </w:rPr>
      </w:pPr>
      <w:r>
        <w:rPr>
          <w:rFonts w:ascii="Arial" w:cs="Arial" w:eastAsia="Arial" w:hAnsi="Arial"/>
          <w:sz w:val="18"/>
          <w:szCs w:val="18"/>
          <w:color w:val="auto"/>
        </w:rPr>
        <w:t>amendment or supplement, in reliance upon and in conformity with written information furnished to the Partnership by or on behalf of such Indemnified Person specifically for use in the preparation thereof.</w:t>
      </w:r>
    </w:p>
    <w:p>
      <w:pPr>
        <w:spacing w:after="0" w:line="170" w:lineRule="exact"/>
        <w:rPr>
          <w:sz w:val="20"/>
          <w:szCs w:val="20"/>
          <w:color w:val="auto"/>
        </w:rPr>
      </w:pPr>
    </w:p>
    <w:p>
      <w:pPr>
        <w:ind w:right="100" w:firstLine="1305"/>
        <w:spacing w:after="0" w:line="273" w:lineRule="auto"/>
        <w:tabs>
          <w:tab w:leader="none" w:pos="1952"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The provisions of </w:t>
      </w:r>
      <w:r>
        <w:rPr>
          <w:rFonts w:ascii="Arial" w:cs="Arial" w:eastAsia="Arial" w:hAnsi="Arial"/>
          <w:sz w:val="17"/>
          <w:szCs w:val="17"/>
          <w:u w:val="single" w:color="auto"/>
          <w:color w:val="auto"/>
        </w:rPr>
        <w:t>Section 7.20(a)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7.20(b)</w:t>
      </w:r>
      <w:r>
        <w:rPr>
          <w:rFonts w:ascii="Arial" w:cs="Arial" w:eastAsia="Arial" w:hAnsi="Arial"/>
          <w:sz w:val="17"/>
          <w:szCs w:val="17"/>
          <w:color w:val="auto"/>
        </w:rPr>
        <w:t xml:space="preserve"> shall continue to be applicable with respect to the General Partner (and any of the General Partner’s Affiliates) after it ceases to be a general partner of the Partnership, during a period of two years subsequent to the effective date of such cessation and for so long thereafter as is required for the Holder to sell all of the Partnership Interests with respect to which it has requested during such two-year period inclusion in a registration statement otherwise filed or that a registration statement be filed;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Partnership shall not be required to file successive registration statements covering the same Partnership Interests for which registration was demanded during such two-year period. The provisions of </w:t>
      </w:r>
      <w:r>
        <w:rPr>
          <w:rFonts w:ascii="Arial" w:cs="Arial" w:eastAsia="Arial" w:hAnsi="Arial"/>
          <w:sz w:val="17"/>
          <w:szCs w:val="17"/>
          <w:u w:val="single" w:color="auto"/>
          <w:color w:val="auto"/>
        </w:rPr>
        <w:t>Section 7.20(c)</w:t>
      </w:r>
      <w:r>
        <w:rPr>
          <w:rFonts w:ascii="Arial" w:cs="Arial" w:eastAsia="Arial" w:hAnsi="Arial"/>
          <w:sz w:val="17"/>
          <w:szCs w:val="17"/>
          <w:color w:val="auto"/>
        </w:rPr>
        <w:t xml:space="preserve"> shall continue in effect thereafter.</w:t>
      </w:r>
    </w:p>
    <w:p>
      <w:pPr>
        <w:spacing w:after="0" w:line="178" w:lineRule="exact"/>
        <w:rPr>
          <w:rFonts w:ascii="Arial" w:cs="Arial" w:eastAsia="Arial" w:hAnsi="Arial"/>
          <w:sz w:val="17"/>
          <w:szCs w:val="17"/>
          <w:color w:val="auto"/>
        </w:rPr>
      </w:pPr>
    </w:p>
    <w:p>
      <w:pPr>
        <w:ind w:right="20" w:firstLine="1305"/>
        <w:spacing w:after="0" w:line="286" w:lineRule="auto"/>
        <w:tabs>
          <w:tab w:leader="none" w:pos="1955"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The rights to cause the Partnership to register Partnership Interests pursuant to this </w:t>
      </w:r>
      <w:r>
        <w:rPr>
          <w:rFonts w:ascii="Arial" w:cs="Arial" w:eastAsia="Arial" w:hAnsi="Arial"/>
          <w:sz w:val="16"/>
          <w:szCs w:val="16"/>
          <w:u w:val="single" w:color="auto"/>
          <w:color w:val="auto"/>
        </w:rPr>
        <w:t>Section 7.20</w:t>
      </w:r>
      <w:r>
        <w:rPr>
          <w:rFonts w:ascii="Arial" w:cs="Arial" w:eastAsia="Arial" w:hAnsi="Arial"/>
          <w:sz w:val="16"/>
          <w:szCs w:val="16"/>
          <w:color w:val="auto"/>
        </w:rPr>
        <w:t xml:space="preserve"> may be assigned (but only with all related obligations) by a Holder to a transferee or assignee of such Partnership Interests,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(i) the Partnership is, within a reasonable time after such transfer, furnished with written notice of the name and address of such transferee or assignee and the Partnership Interests with respect to which such registration rights are being assigned, and (ii) such transferee or assignee agrees in writing to be bound by and subject to the terms set forth in this</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7.20</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right="160" w:firstLine="1305"/>
        <w:spacing w:after="0" w:line="257" w:lineRule="auto"/>
        <w:tabs>
          <w:tab w:leader="none" w:pos="1949"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Any request to register Partnership Interests pursuant to this </w:t>
      </w:r>
      <w:r>
        <w:rPr>
          <w:rFonts w:ascii="Arial" w:cs="Arial" w:eastAsia="Arial" w:hAnsi="Arial"/>
          <w:sz w:val="18"/>
          <w:szCs w:val="18"/>
          <w:u w:val="single" w:color="auto"/>
          <w:color w:val="auto"/>
        </w:rPr>
        <w:t>Section 7.20</w:t>
      </w:r>
      <w:r>
        <w:rPr>
          <w:rFonts w:ascii="Arial" w:cs="Arial" w:eastAsia="Arial" w:hAnsi="Arial"/>
          <w:sz w:val="18"/>
          <w:szCs w:val="18"/>
          <w:color w:val="auto"/>
        </w:rPr>
        <w:t xml:space="preserve"> shall (i) specify the Partnership Interests intended to be offered and sold by the Person making the request, (ii) express such Person’s present intent to offer such Partnership Interests for distribution, (iii) describe the nature or method of the proposed offer and sale of Partnership Interests, and (iv) contain the undertaking of such Person to provide all such information and materials and take all action as may be required in order to permit the Partnership to comply with all applicable requirements in connection with the registration of such Partnership Interests.</w:t>
      </w:r>
    </w:p>
    <w:p>
      <w:pPr>
        <w:spacing w:after="0" w:line="188" w:lineRule="exact"/>
        <w:rPr>
          <w:sz w:val="20"/>
          <w:szCs w:val="20"/>
          <w:color w:val="auto"/>
        </w:rPr>
      </w:pPr>
    </w:p>
    <w:p>
      <w:pPr>
        <w:ind w:right="140" w:firstLine="1297"/>
        <w:spacing w:after="0" w:line="259" w:lineRule="auto"/>
        <w:rPr>
          <w:sz w:val="20"/>
          <w:szCs w:val="20"/>
          <w:color w:val="auto"/>
        </w:rPr>
      </w:pPr>
      <w:r>
        <w:rPr>
          <w:rFonts w:ascii="Arial" w:cs="Arial" w:eastAsia="Arial" w:hAnsi="Arial"/>
          <w:sz w:val="18"/>
          <w:szCs w:val="18"/>
          <w:color w:val="auto"/>
        </w:rPr>
        <w:t xml:space="preserve">Section 7.21. </w:t>
      </w:r>
      <w:r>
        <w:rPr>
          <w:rFonts w:ascii="Arial" w:cs="Arial" w:eastAsia="Arial" w:hAnsi="Arial"/>
          <w:sz w:val="18"/>
          <w:szCs w:val="18"/>
          <w:i w:val="1"/>
          <w:iCs w:val="1"/>
          <w:color w:val="auto"/>
        </w:rPr>
        <w:t>Reliance by Third Parties</w:t>
      </w:r>
      <w:r>
        <w:rPr>
          <w:rFonts w:ascii="Arial" w:cs="Arial" w:eastAsia="Arial" w:hAnsi="Arial"/>
          <w:sz w:val="18"/>
          <w:szCs w:val="18"/>
          <w:color w:val="auto"/>
        </w:rPr>
        <w:t>. Notwithstanding anything to the contrary in this Agreement, any Person dealing with the Partnership shall be entitled to assume that the Board of Directors, the General Partner and any Officer authorized by the Board of Directors to act on behalf of and in the name of the Partnership has full power and authority to encumber, sell or otherwise use in any manner any and all assets of the Partnership and to enter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into any authorized contracts on behalf of the Partnership, and such Person shall be entitled to deal with the Board of Directors, the General Partner or any such Officer as if it were the Partnership’s sole party in interest, both legally and beneficially. Each Limited Partner hereby waives any and all defenses or other remedies that may be available against such Person to contest, negate or disaffirm any action of the Board of Directors, the General Partner or any such Officer in connection with any such dealing. In no event shall any Person dealing with the Board of Directors, the General Partner or any such Officer or its representatives be obligated to ascertain that the terms of this Agreement have been complied with or to inquire into the necessity or expedience of any act or action of the Board of Directors, the General Partner or any such Officer or its representatives. Each and every certificate, document or other instrument executed on behalf of the Partnership by the Board of Directors, the General Partner, the Officers or representatives of the General Partner authorized by the General Partner or the Board of Directors shall be conclusive evidence in favor of any and every Person relying thereon or claiming thereunder that (a) at the time of the execution and delivery of such certificate, document or instrument, this Agreement was in full force and effect, (b) the Person executing and delivering such certificate, document or instrument was duly authorized and empowered to do so for and on behalf of the Partnership and (c) such certificate, document or instrument was duly executed and delivered in accordance with the terms and provisions of this Agreement and is binding upon the Partnership.</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BOOKS, RECORDS, ACCOUNTING AND REPORTS</w:t>
      </w:r>
    </w:p>
    <w:p>
      <w:pPr>
        <w:spacing w:after="0" w:line="211" w:lineRule="exact"/>
        <w:rPr>
          <w:sz w:val="20"/>
          <w:szCs w:val="20"/>
          <w:color w:val="auto"/>
        </w:rPr>
      </w:pPr>
    </w:p>
    <w:p>
      <w:pPr>
        <w:ind w:right="60" w:firstLine="1297"/>
        <w:spacing w:after="0" w:line="254"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i w:val="1"/>
          <w:iCs w:val="1"/>
          <w:color w:val="auto"/>
        </w:rPr>
        <w:t>Records and Accounting</w:t>
      </w:r>
      <w:r>
        <w:rPr>
          <w:rFonts w:ascii="Arial" w:cs="Arial" w:eastAsia="Arial" w:hAnsi="Arial"/>
          <w:sz w:val="18"/>
          <w:szCs w:val="18"/>
          <w:color w:val="auto"/>
        </w:rPr>
        <w:t xml:space="preserve">. The Partnership shall keep or cause to be kept at the principal office of the Partnership appropriate books and records with respect to the Partnership’s business, including all books and records necessary to provide to the Limited Partners any information required to be provided pursuant to </w:t>
      </w:r>
      <w:r>
        <w:rPr>
          <w:rFonts w:ascii="Arial" w:cs="Arial" w:eastAsia="Arial" w:hAnsi="Arial"/>
          <w:sz w:val="18"/>
          <w:szCs w:val="18"/>
          <w:u w:val="single" w:color="auto"/>
          <w:color w:val="auto"/>
        </w:rPr>
        <w:t>Section 3.4(a)</w:t>
      </w:r>
      <w:r>
        <w:rPr>
          <w:rFonts w:ascii="Arial" w:cs="Arial" w:eastAsia="Arial" w:hAnsi="Arial"/>
          <w:sz w:val="18"/>
          <w:szCs w:val="18"/>
          <w:color w:val="auto"/>
        </w:rPr>
        <w:t xml:space="preserve"> and as otherwise required by the Marshall Islands Act. Any books and records maintained by or on behalf of the Partnership in the regular course of its business, including the record of the Record Holders of Units or other Partnership Interests, books of account and records of Partnership proceedings, may be kept on, or be in the form of, computer disks, hard drives, punch cards, magnetic tape, photographs, micrographics or any other information storage device;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books and records so maintained are convertible into clearly legible written form within a reasonable period of time. The books of the Partnership shall be maintained, for financial reporting purposes, on an accrual basis in accordance with IFRS.</w:t>
      </w:r>
    </w:p>
    <w:p>
      <w:pPr>
        <w:spacing w:after="0" w:line="19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6"/>
          <w:szCs w:val="16"/>
          <w:i w:val="1"/>
          <w:iCs w:val="1"/>
          <w:color w:val="auto"/>
        </w:rPr>
        <w:t>Fiscal Year</w:t>
      </w:r>
      <w:r>
        <w:rPr>
          <w:rFonts w:ascii="Arial" w:cs="Arial" w:eastAsia="Arial" w:hAnsi="Arial"/>
          <w:sz w:val="16"/>
          <w:szCs w:val="16"/>
          <w:color w:val="auto"/>
        </w:rPr>
        <w:t>. The fiscal year of the Partnership shall be a fiscal year ending December 31.</w:t>
      </w:r>
    </w:p>
    <w:p>
      <w:pPr>
        <w:spacing w:after="0" w:line="225"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i w:val="1"/>
          <w:iCs w:val="1"/>
          <w:color w:val="auto"/>
        </w:rPr>
        <w:t>Reports</w:t>
      </w:r>
      <w:r>
        <w:rPr>
          <w:rFonts w:ascii="Arial" w:cs="Arial" w:eastAsia="Arial" w:hAnsi="Arial"/>
          <w:sz w:val="18"/>
          <w:szCs w:val="18"/>
          <w:color w:val="auto"/>
        </w:rPr>
        <w:t>. (a) As soon as practicable, but in no event later than 120 days after the close of each fiscal year of the Partnership, the Partnership shall cause to be mailed or made available, by any reasonable means (including posting on or accessible through the Partnership’s or the Commission’s website), to each Record Holder of a Unit as of a date selected by the Board of Directors, an annual report containing financial statements of the Partnership for such fiscal year of the Partnership, presented in accordance with IFRS, including</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 balance sheet and statements of operations, Partnership equity and cash flows, such statements to be audited by a firm of independent public accountants selected by the Board of Directors.</w:t>
      </w:r>
    </w:p>
    <w:p>
      <w:pPr>
        <w:spacing w:after="0" w:line="170" w:lineRule="exact"/>
        <w:rPr>
          <w:sz w:val="20"/>
          <w:szCs w:val="20"/>
          <w:color w:val="auto"/>
        </w:rPr>
      </w:pPr>
    </w:p>
    <w:p>
      <w:pPr>
        <w:ind w:right="20" w:firstLine="1305"/>
        <w:spacing w:after="0" w:line="276" w:lineRule="auto"/>
        <w:tabs>
          <w:tab w:leader="none" w:pos="1952" w:val="left"/>
        </w:tabs>
        <w:numPr>
          <w:ilvl w:val="0"/>
          <w:numId w:val="60"/>
        </w:numPr>
        <w:rPr>
          <w:rFonts w:ascii="Arial" w:cs="Arial" w:eastAsia="Arial" w:hAnsi="Arial"/>
          <w:sz w:val="17"/>
          <w:szCs w:val="17"/>
          <w:color w:val="auto"/>
        </w:rPr>
      </w:pPr>
      <w:r>
        <w:rPr>
          <w:rFonts w:ascii="Arial" w:cs="Arial" w:eastAsia="Arial" w:hAnsi="Arial"/>
          <w:sz w:val="17"/>
          <w:szCs w:val="17"/>
          <w:color w:val="auto"/>
        </w:rPr>
        <w:t>As soon as practicable, but in no event later than 90 days after the close of each Quarter except the last Quarter of each fiscal year, the Partnership shall cause to be mailed or made available, by any reasonable means (including posting on or accessible through the Partnership’s or the Commission’s website), to each Record Holder of a Unit, as of a date selected by the Board of Directors, a report containing unaudited financial statements of the Partnership and such other information as may be required by applicable law, regulation or rule of any National Securities Exchange on which the Units are listed or admitted to trading, or as the Board of Directors determines to be necessary or appropriate.</w:t>
      </w:r>
    </w:p>
    <w:p>
      <w:pPr>
        <w:sectPr>
          <w:pgSz w:w="11900" w:h="16838" w:orient="portrait"/>
          <w:cols w:equalWidth="0" w:num="1">
            <w:col w:w="11400"/>
          </w:cols>
          <w:pgMar w:left="240" w:top="125" w:right="259" w:bottom="0" w:gutter="0" w:footer="0" w:header="0"/>
        </w:sectPr>
      </w:pPr>
    </w:p>
    <w:bookmarkStart w:id="32" w:name="page33"/>
    <w:bookmarkEnd w:id="32"/>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 MATTERS</w:t>
      </w:r>
    </w:p>
    <w:p>
      <w:pPr>
        <w:spacing w:after="0" w:line="211"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i w:val="1"/>
          <w:iCs w:val="1"/>
          <w:color w:val="auto"/>
        </w:rPr>
        <w:t>Tax Elections and Information</w:t>
      </w:r>
      <w:r>
        <w:rPr>
          <w:rFonts w:ascii="Arial" w:cs="Arial" w:eastAsia="Arial" w:hAnsi="Arial"/>
          <w:sz w:val="18"/>
          <w:szCs w:val="18"/>
          <w:color w:val="auto"/>
        </w:rPr>
        <w:t>. (a) The Partnership is authorized and has elected, effective as of January 23, 2014, to be treated as an association taxable as a corporation for U.S. federal income tax purposes. Except as otherwise provided herein, the Board of Directors shall determine whether the Partnership should make any other elections permitted by any applicable tax law.</w:t>
      </w:r>
    </w:p>
    <w:p>
      <w:pPr>
        <w:spacing w:after="0" w:line="181" w:lineRule="exact"/>
        <w:rPr>
          <w:sz w:val="20"/>
          <w:szCs w:val="20"/>
          <w:color w:val="auto"/>
        </w:rPr>
      </w:pPr>
    </w:p>
    <w:p>
      <w:pPr>
        <w:ind w:right="520" w:firstLine="1305"/>
        <w:spacing w:after="0" w:line="277" w:lineRule="auto"/>
        <w:tabs>
          <w:tab w:leader="none" w:pos="195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tax information reasonably required by Record Holders for U.S. federal income tax reporting purposes with respect to a calendar taxable year shall be furnished to them within 90 days of the close of each calendar year.</w:t>
      </w:r>
    </w:p>
    <w:p>
      <w:pPr>
        <w:spacing w:after="0" w:line="170" w:lineRule="exact"/>
        <w:rPr>
          <w:sz w:val="20"/>
          <w:szCs w:val="20"/>
          <w:color w:val="auto"/>
        </w:rPr>
      </w:pPr>
    </w:p>
    <w:p>
      <w:pPr>
        <w:ind w:firstLine="1297"/>
        <w:spacing w:after="0" w:line="276" w:lineRule="auto"/>
        <w:rPr>
          <w:sz w:val="20"/>
          <w:szCs w:val="20"/>
          <w:color w:val="auto"/>
        </w:rPr>
      </w:pPr>
      <w:r>
        <w:rPr>
          <w:rFonts w:ascii="Arial" w:cs="Arial" w:eastAsia="Arial" w:hAnsi="Arial"/>
          <w:sz w:val="17"/>
          <w:szCs w:val="17"/>
          <w:color w:val="auto"/>
        </w:rPr>
        <w:t xml:space="preserve">Section 9.2. </w:t>
      </w:r>
      <w:r>
        <w:rPr>
          <w:rFonts w:ascii="Arial" w:cs="Arial" w:eastAsia="Arial" w:hAnsi="Arial"/>
          <w:sz w:val="17"/>
          <w:szCs w:val="17"/>
          <w:i w:val="1"/>
          <w:iCs w:val="1"/>
          <w:color w:val="auto"/>
        </w:rPr>
        <w:t>Tax Withholding</w:t>
      </w:r>
      <w:r>
        <w:rPr>
          <w:rFonts w:ascii="Arial" w:cs="Arial" w:eastAsia="Arial" w:hAnsi="Arial"/>
          <w:sz w:val="17"/>
          <w:szCs w:val="17"/>
          <w:color w:val="auto"/>
        </w:rPr>
        <w:t>. Notwithstanding any other provision of this Agreement, the Board of Directors is authorized to take any action that may be required or advisable to cause the Partnership and other Group Members to comply with any withholding requirements with respect to any tax established under any U.S. federal, state or local or any non-U.S. law. To the extent that the Partnership is required or elects to withhold and pay over to any taxing authority any amount with respect to a distribution or payment to or for the benefit of any Partner, the Board of Directors may treat the amount withheld as a distribution of cash to such Partner in the amount of such withholding from such Partner.</w:t>
      </w:r>
    </w:p>
    <w:p>
      <w:pPr>
        <w:spacing w:after="0" w:line="173"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i w:val="1"/>
          <w:iCs w:val="1"/>
          <w:color w:val="auto"/>
        </w:rPr>
        <w:t>Conduct of Operations</w:t>
      </w:r>
      <w:r>
        <w:rPr>
          <w:rFonts w:ascii="Arial" w:cs="Arial" w:eastAsia="Arial" w:hAnsi="Arial"/>
          <w:sz w:val="18"/>
          <w:szCs w:val="18"/>
          <w:color w:val="auto"/>
        </w:rPr>
        <w:t>. The Board of Directors shall use commercially reasonable efforts to conduct the business of the Partnership and its Affiliates in a manner that does not require a holder of Common Units or Preference Units to file a tax return in any jurisdiction with which the holder has no contact other than through ownership of Common Units or Preference Units.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ADMISSION OF PARTNERS</w:t>
      </w:r>
    </w:p>
    <w:p>
      <w:pPr>
        <w:spacing w:after="0" w:line="211"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Admission of Initial Limited Partners</w:t>
      </w:r>
      <w:r>
        <w:rPr>
          <w:rFonts w:ascii="Arial" w:cs="Arial" w:eastAsia="Arial" w:hAnsi="Arial"/>
          <w:sz w:val="18"/>
          <w:szCs w:val="18"/>
          <w:color w:val="auto"/>
        </w:rPr>
        <w:t xml:space="preserve">. Upon the issuance by the Partnership of Common Units, Subordinated Units and Incentive Distribution Rights to the General Partner, GasLog and the Underwriters as described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5.2</w:t>
      </w:r>
      <w:r>
        <w:rPr>
          <w:rFonts w:ascii="Arial" w:cs="Arial" w:eastAsia="Arial" w:hAnsi="Arial"/>
          <w:sz w:val="18"/>
          <w:szCs w:val="18"/>
          <w:color w:val="auto"/>
        </w:rPr>
        <w:t>,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Board of Directors admitted such parties to the Partnership as Initial Limited Partners in respect of the Common Units, Subordinated Units or Incentive Distribution Rights issued to them.</w:t>
      </w:r>
    </w:p>
    <w:p>
      <w:pPr>
        <w:spacing w:after="0" w:line="170" w:lineRule="exact"/>
        <w:rPr>
          <w:sz w:val="20"/>
          <w:szCs w:val="20"/>
          <w:color w:val="auto"/>
        </w:rPr>
      </w:pPr>
    </w:p>
    <w:p>
      <w:pPr>
        <w:ind w:right="120" w:firstLine="1297"/>
        <w:spacing w:after="0" w:line="287"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i w:val="1"/>
          <w:iCs w:val="1"/>
          <w:color w:val="auto"/>
        </w:rPr>
        <w:t>Admission of Additional Limited Partners</w:t>
      </w:r>
      <w:r>
        <w:rPr>
          <w:rFonts w:ascii="Arial" w:cs="Arial" w:eastAsia="Arial" w:hAnsi="Arial"/>
          <w:sz w:val="16"/>
          <w:szCs w:val="16"/>
          <w:color w:val="auto"/>
        </w:rPr>
        <w:t xml:space="preserve">. (a) From and after the Closing Date, by acceptance of the transfer of any Limited Partner Interests in accordance with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the acceptance of any Limited Partner Interests issued pursuant to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or pursuant to a merger, consolidation or conversion pursuant to </w:t>
      </w:r>
      <w:r>
        <w:rPr>
          <w:rFonts w:ascii="Arial" w:cs="Arial" w:eastAsia="Arial" w:hAnsi="Arial"/>
          <w:sz w:val="16"/>
          <w:szCs w:val="16"/>
          <w:u w:val="single" w:color="auto"/>
          <w:color w:val="auto"/>
        </w:rPr>
        <w:t>Article XIV</w:t>
      </w:r>
      <w:r>
        <w:rPr>
          <w:rFonts w:ascii="Arial" w:cs="Arial" w:eastAsia="Arial" w:hAnsi="Arial"/>
          <w:sz w:val="16"/>
          <w:szCs w:val="16"/>
          <w:color w:val="auto"/>
        </w:rPr>
        <w:t>, each transferee of, or other such Person acquiring, a Limited Partner Interest (including any nominee holder or an agent or representative acquiring such Limited Partner Interests for the account of another Person) (i) shall be admitted to the Partnership as a Limited Partner with respect to the Limited Partner Interests so transferred or issued to such Person when any such transfer, issuance or admission is reflected in the books and records of the Partnership and such Limited Partner becomes the Record Holder of the Limited Partner Interests so transferred, (ii) shall become bound, and shall be deemed to have agreed to be bound, by the terms of this Agreement, (iii) represents that the transferee or other recipient has the capacity, power and authority to enter into this Agreement and (iv) makes the consents, acknowledgements and waivers contained in this Agreement, all with or without execution of this Agreement by such Person. The transfer of any Limited Partner Interests and the admission of any new Limited Partner shall not constitute an amendment to this Agreement. A Person may become a Limited Partner or Record Holder of a Limited Partner Interest without the consent or approval of any of the Partners. A Person may not become a Limited Partner until such Person acquires a Limited Partner Interest and until such Person is reflected in the books and records of the Partnership as the Record Holder of such Limited Partner Interest.</w:t>
      </w:r>
    </w:p>
    <w:p>
      <w:pPr>
        <w:spacing w:after="0" w:line="169" w:lineRule="exact"/>
        <w:rPr>
          <w:sz w:val="20"/>
          <w:szCs w:val="20"/>
          <w:color w:val="auto"/>
        </w:rPr>
      </w:pPr>
    </w:p>
    <w:p>
      <w:pPr>
        <w:ind w:right="200" w:firstLine="1305"/>
        <w:spacing w:after="0" w:line="259" w:lineRule="auto"/>
        <w:tabs>
          <w:tab w:leader="none" w:pos="1952"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The name and mailing address of each Limited Partner shall be listed on the books and records of the Partnership maintained for such purpose by the Partnership or the Transfer Agent. The General Partner shall update the books and records of the Partnership from time to time as necessary to reflect accurately the information therein (or shall cause the Transfer Agent to do so, as applicable). A Limited Partner Interest may be represented by a Certificate, as provided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100" w:firstLine="1305"/>
        <w:spacing w:after="0" w:line="277" w:lineRule="auto"/>
        <w:tabs>
          <w:tab w:leader="none" w:pos="19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Any transfer of a Limited Partner Interest shall not entitle the transferee to receive distributions or to any other rights to which the transferor was entitled until the transferee becomes a Limited Partner pursuant to </w:t>
      </w:r>
      <w:r>
        <w:rPr>
          <w:rFonts w:ascii="Arial" w:cs="Arial" w:eastAsia="Arial" w:hAnsi="Arial"/>
          <w:sz w:val="18"/>
          <w:szCs w:val="18"/>
          <w:u w:val="single" w:color="auto"/>
          <w:color w:val="auto"/>
        </w:rPr>
        <w:t>Section 10.2(a)</w:t>
      </w:r>
      <w:r>
        <w:rPr>
          <w:rFonts w:ascii="Arial" w:cs="Arial" w:eastAsia="Arial" w:hAnsi="Arial"/>
          <w:sz w:val="18"/>
          <w:szCs w:val="18"/>
          <w:color w:val="auto"/>
        </w:rPr>
        <w:t>.</w:t>
      </w:r>
    </w:p>
    <w:p>
      <w:pPr>
        <w:spacing w:after="0" w:line="170"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i w:val="1"/>
          <w:iCs w:val="1"/>
          <w:color w:val="auto"/>
        </w:rPr>
        <w:t>Admission of Successor General Partner</w:t>
      </w:r>
      <w:r>
        <w:rPr>
          <w:rFonts w:ascii="Arial" w:cs="Arial" w:eastAsia="Arial" w:hAnsi="Arial"/>
          <w:sz w:val="18"/>
          <w:szCs w:val="18"/>
          <w:color w:val="auto"/>
        </w:rPr>
        <w:t xml:space="preserve">. A successor General Partner approved pursuant to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or the transferee of or successor to all or part of the General Partner Interest (represented by General Partner Units) pursuant to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who is proposed to be admitted as a successor General Partner shall be admitted to the Partnership as the General Partner, effective immediately prior to the withdrawal or removal of the predecessor or transferring General Partner, pursuant to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or the transfer of the General Partner Interest (represented by General Partner Units) pursuant to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no such Person shall be admitted to the Partnership as a successor or additional General Partner until compliance with the terms of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has occurred and such Person has executed and delivered such other documents or instruments as may be required to effect such admission.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Any such successor or additional General Partner is hereby authorized to and shall, subject to the terms hereof, carry on the business of the members of the Partnership Group without dissolution.</w:t>
      </w:r>
    </w:p>
    <w:p>
      <w:pPr>
        <w:spacing w:after="0" w:line="170" w:lineRule="exact"/>
        <w:rPr>
          <w:sz w:val="20"/>
          <w:szCs w:val="20"/>
          <w:color w:val="auto"/>
        </w:rPr>
      </w:pPr>
    </w:p>
    <w:p>
      <w:pPr>
        <w:ind w:right="200" w:firstLine="1297"/>
        <w:spacing w:after="0" w:line="259"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i w:val="1"/>
          <w:iCs w:val="1"/>
          <w:color w:val="auto"/>
        </w:rPr>
        <w:t>Amendment of Agreement and Certificate of Limited Partnership</w:t>
      </w:r>
      <w:r>
        <w:rPr>
          <w:rFonts w:ascii="Arial" w:cs="Arial" w:eastAsia="Arial" w:hAnsi="Arial"/>
          <w:sz w:val="18"/>
          <w:szCs w:val="18"/>
          <w:color w:val="auto"/>
        </w:rPr>
        <w:t>. To effect the admission to the Partnership of any Partner, the Board of Directors shall take all steps necessary or appropriate under the Marshall Islands Act to amend the records of the Partnership to reflect such admission and, if necessary, to prepare as soon as practicable an amendment to this Agreement and, if required by law, the Board of Directors shall prepare and file an amendment to the Certificate of Limited Partnership.</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WITHDRAWAL OR REMOVAL OF PARTNERS</w:t>
      </w:r>
    </w:p>
    <w:p>
      <w:pPr>
        <w:sectPr>
          <w:pgSz w:w="11900" w:h="16888" w:orient="portrait"/>
          <w:cols w:equalWidth="0" w:num="1">
            <w:col w:w="11420"/>
          </w:cols>
          <w:pgMar w:left="240" w:top="121" w:right="239" w:bottom="0" w:gutter="0" w:footer="0" w:header="0"/>
        </w:sectPr>
      </w:pPr>
    </w:p>
    <w:bookmarkStart w:id="33" w:name="page34"/>
    <w:bookmarkEnd w:id="33"/>
    <w:p>
      <w:pPr>
        <w:spacing w:after="0" w:line="74"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i w:val="1"/>
          <w:iCs w:val="1"/>
          <w:color w:val="auto"/>
        </w:rPr>
        <w:t>Withdrawal of the General Partner</w:t>
      </w:r>
      <w:r>
        <w:rPr>
          <w:rFonts w:ascii="Arial" w:cs="Arial" w:eastAsia="Arial" w:hAnsi="Arial"/>
          <w:sz w:val="18"/>
          <w:szCs w:val="18"/>
          <w:color w:val="auto"/>
        </w:rPr>
        <w:t>. (a) The General Partner shall be deemed to have withdrawn from the Partnership upon the occurrence of any one of the following events (each such event herein referred to as an “</w:t>
      </w:r>
      <w:r>
        <w:rPr>
          <w:rFonts w:ascii="Arial" w:cs="Arial" w:eastAsia="Arial" w:hAnsi="Arial"/>
          <w:sz w:val="18"/>
          <w:szCs w:val="18"/>
          <w:b w:val="1"/>
          <w:bCs w:val="1"/>
          <w:i w:val="1"/>
          <w:iCs w:val="1"/>
          <w:color w:val="auto"/>
        </w:rPr>
        <w:t>Event of Withdrawal</w:t>
      </w:r>
      <w:r>
        <w:rPr>
          <w:rFonts w:ascii="Arial" w:cs="Arial" w:eastAsia="Arial" w:hAnsi="Arial"/>
          <w:sz w:val="18"/>
          <w:szCs w:val="18"/>
          <w:color w:val="auto"/>
        </w:rPr>
        <w:t>”):</w:t>
      </w:r>
    </w:p>
    <w:p>
      <w:pPr>
        <w:spacing w:after="0" w:line="170" w:lineRule="exact"/>
        <w:rPr>
          <w:sz w:val="20"/>
          <w:szCs w:val="20"/>
          <w:color w:val="auto"/>
        </w:rPr>
      </w:pPr>
    </w:p>
    <w:p>
      <w:pPr>
        <w:ind w:left="1980" w:hanging="675"/>
        <w:spacing w:after="0"/>
        <w:tabs>
          <w:tab w:leader="none" w:pos="19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General Partner voluntarily withdraws from the Partnership by giving written notice to the other Partners;</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 xml:space="preserve">The General Partner transfers all of its rights as General Partner pursuant to </w:t>
      </w:r>
      <w:r>
        <w:rPr>
          <w:rFonts w:ascii="Arial" w:cs="Arial" w:eastAsia="Arial" w:hAnsi="Arial"/>
          <w:sz w:val="18"/>
          <w:szCs w:val="18"/>
          <w:u w:val="single" w:color="auto"/>
          <w:color w:val="auto"/>
        </w:rPr>
        <w:t>Section 4.6</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 xml:space="preserve">The General Partner is removed pursuant to </w:t>
      </w:r>
      <w:r>
        <w:rPr>
          <w:rFonts w:ascii="Arial" w:cs="Arial" w:eastAsia="Arial" w:hAnsi="Arial"/>
          <w:sz w:val="18"/>
          <w:szCs w:val="18"/>
          <w:u w:val="single" w:color="auto"/>
          <w:color w:val="auto"/>
        </w:rPr>
        <w:t>Section 11.2</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63"/>
        </w:numPr>
        <w:rPr>
          <w:rFonts w:ascii="Arial" w:cs="Arial" w:eastAsia="Arial" w:hAnsi="Arial"/>
          <w:sz w:val="17"/>
          <w:szCs w:val="17"/>
          <w:color w:val="auto"/>
        </w:rPr>
      </w:pPr>
      <w:r>
        <w:rPr>
          <w:rFonts w:ascii="Arial" w:cs="Arial" w:eastAsia="Arial" w:hAnsi="Arial"/>
          <w:sz w:val="17"/>
          <w:szCs w:val="17"/>
          <w:color w:val="auto"/>
        </w:rPr>
        <w:t>The General Partner (A) makes a general assignment for the benefit of creditors; (B) files a voluntary petition in bankruptcy;</w:t>
      </w:r>
    </w:p>
    <w:p>
      <w:pPr>
        <w:spacing w:after="0" w:line="34" w:lineRule="exact"/>
        <w:rPr>
          <w:rFonts w:ascii="Arial" w:cs="Arial" w:eastAsia="Arial" w:hAnsi="Arial"/>
          <w:sz w:val="17"/>
          <w:szCs w:val="17"/>
          <w:color w:val="auto"/>
        </w:rPr>
      </w:pPr>
    </w:p>
    <w:p>
      <w:pPr>
        <w:ind w:left="660" w:right="80" w:hanging="4"/>
        <w:spacing w:after="0" w:line="295" w:lineRule="auto"/>
        <w:tabs>
          <w:tab w:leader="none" w:pos="945"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files a voluntary petition or answer seeking for itself a liquidation, dissolution or similar relief (but not a reorganization) under any law; (D) files an answer or other pleading admitting or failing to contest the material allegations of a petition filed against the General Partner in a proceeding of the type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11.1(a)(iv)</w:t>
      </w:r>
      <w:r>
        <w:rPr>
          <w:rFonts w:ascii="Arial" w:cs="Arial" w:eastAsia="Arial" w:hAnsi="Arial"/>
          <w:sz w:val="16"/>
          <w:szCs w:val="16"/>
          <w:color w:val="auto"/>
        </w:rPr>
        <w:t>; or (E) seeks, consents to or acquiesces in the appointment of a trustee (but not a debtor in possession), receiver or liquidating trustee of the General Partner or of all or any substantial part of its properties;</w:t>
      </w:r>
    </w:p>
    <w:p>
      <w:pPr>
        <w:spacing w:after="0" w:line="161" w:lineRule="exact"/>
        <w:rPr>
          <w:rFonts w:ascii="Arial" w:cs="Arial" w:eastAsia="Arial" w:hAnsi="Arial"/>
          <w:sz w:val="16"/>
          <w:szCs w:val="16"/>
          <w:color w:val="auto"/>
        </w:rPr>
      </w:pPr>
    </w:p>
    <w:p>
      <w:pPr>
        <w:ind w:left="1960" w:hanging="655"/>
        <w:spacing w:after="0"/>
        <w:tabs>
          <w:tab w:leader="none" w:pos="19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The General Partner is adjudged bankrupt or insolvent, or has entered against it an order for relief in any bankruptcy or insolvency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proceeding;</w:t>
      </w:r>
    </w:p>
    <w:p>
      <w:pPr>
        <w:spacing w:after="0" w:line="210" w:lineRule="exact"/>
        <w:rPr>
          <w:rFonts w:ascii="Arial" w:cs="Arial" w:eastAsia="Arial" w:hAnsi="Arial"/>
          <w:sz w:val="16"/>
          <w:szCs w:val="16"/>
          <w:color w:val="auto"/>
        </w:rPr>
      </w:pPr>
    </w:p>
    <w:p>
      <w:pPr>
        <w:ind w:left="660" w:right="20" w:firstLine="645"/>
        <w:spacing w:after="0" w:line="286" w:lineRule="auto"/>
        <w:tabs>
          <w:tab w:leader="none" w:pos="1973" w:val="left"/>
        </w:tabs>
        <w:numPr>
          <w:ilvl w:val="1"/>
          <w:numId w:val="64"/>
        </w:numPr>
        <w:rPr>
          <w:rFonts w:ascii="Arial" w:cs="Arial" w:eastAsia="Arial" w:hAnsi="Arial"/>
          <w:sz w:val="16"/>
          <w:szCs w:val="16"/>
          <w:color w:val="auto"/>
        </w:rPr>
      </w:pPr>
      <w:r>
        <w:rPr>
          <w:rFonts w:ascii="Arial" w:cs="Arial" w:eastAsia="Arial" w:hAnsi="Arial"/>
          <w:sz w:val="16"/>
          <w:szCs w:val="16"/>
          <w:color w:val="auto"/>
        </w:rPr>
        <w:t>(A) in the event the General Partner is a corporation, the filing of a certificate of dissolution, or its equivalent, for the corporation or the revocation of its charter and the expiration of 90 days after the date of notice to the General Partner of revocation without a reinstatement of its charter; (B) in the event the General Partner is a partnership or a limited liability company, the dissolution and commencement of winding up of the General Partner; (C) in the event the General Partner is acting in such capacity by virtue of being a trustee of a trust, the termination of the trust;</w:t>
      </w:r>
    </w:p>
    <w:p>
      <w:pPr>
        <w:spacing w:after="0" w:line="1" w:lineRule="exact"/>
        <w:rPr>
          <w:rFonts w:ascii="Arial" w:cs="Arial" w:eastAsia="Arial" w:hAnsi="Arial"/>
          <w:sz w:val="16"/>
          <w:szCs w:val="16"/>
          <w:color w:val="auto"/>
        </w:rPr>
      </w:pPr>
    </w:p>
    <w:p>
      <w:pPr>
        <w:ind w:left="960" w:hanging="304"/>
        <w:spacing w:after="0"/>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the event the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80"/>
        <w:spacing w:after="0" w:line="277" w:lineRule="auto"/>
        <w:rPr>
          <w:sz w:val="20"/>
          <w:szCs w:val="20"/>
          <w:color w:val="auto"/>
        </w:rPr>
      </w:pPr>
      <w:r>
        <w:rPr>
          <w:rFonts w:ascii="Arial" w:cs="Arial" w:eastAsia="Arial" w:hAnsi="Arial"/>
          <w:sz w:val="18"/>
          <w:szCs w:val="18"/>
          <w:color w:val="auto"/>
        </w:rPr>
        <w:t>General Partner is a natural person, his death or adjudication of incompetency; and (E) otherwise in the event of the termination of the General Partner.</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If an Event of Withdrawal specified in </w:t>
      </w:r>
      <w:r>
        <w:rPr>
          <w:rFonts w:ascii="Arial" w:cs="Arial" w:eastAsia="Arial" w:hAnsi="Arial"/>
          <w:sz w:val="18"/>
          <w:szCs w:val="18"/>
          <w:u w:val="single" w:color="auto"/>
          <w:color w:val="auto"/>
        </w:rPr>
        <w:t>Section 11.1(a)(iv)</w:t>
      </w:r>
      <w:r>
        <w:rPr>
          <w:rFonts w:ascii="Arial" w:cs="Arial" w:eastAsia="Arial" w:hAnsi="Arial"/>
          <w:sz w:val="18"/>
          <w:szCs w:val="18"/>
          <w:color w:val="auto"/>
        </w:rPr>
        <w:t xml:space="preserve">, </w:t>
      </w:r>
      <w:r>
        <w:rPr>
          <w:rFonts w:ascii="Arial" w:cs="Arial" w:eastAsia="Arial" w:hAnsi="Arial"/>
          <w:sz w:val="18"/>
          <w:szCs w:val="18"/>
          <w:u w:val="single" w:color="auto"/>
          <w:color w:val="auto"/>
        </w:rPr>
        <w:t>11.1(a)(v)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11.1(a)(vi)(A)</w:t>
      </w:r>
      <w:r>
        <w:rPr>
          <w:rFonts w:ascii="Arial" w:cs="Arial" w:eastAsia="Arial" w:hAnsi="Arial"/>
          <w:sz w:val="18"/>
          <w:szCs w:val="18"/>
          <w:color w:val="auto"/>
        </w:rPr>
        <w:t xml:space="preserve">, </w:t>
      </w:r>
      <w:r>
        <w:rPr>
          <w:rFonts w:ascii="Arial" w:cs="Arial" w:eastAsia="Arial" w:hAnsi="Arial"/>
          <w:sz w:val="18"/>
          <w:szCs w:val="18"/>
          <w:u w:val="single" w:color="auto"/>
          <w:color w:val="auto"/>
        </w:rPr>
        <w:t>11.1(a)(vi)(B)</w:t>
      </w:r>
      <w:r>
        <w:rPr>
          <w:rFonts w:ascii="Arial" w:cs="Arial" w:eastAsia="Arial" w:hAnsi="Arial"/>
          <w:sz w:val="18"/>
          <w:szCs w:val="18"/>
          <w:color w:val="auto"/>
        </w:rPr>
        <w:t xml:space="preserve">, </w:t>
      </w:r>
      <w:r>
        <w:rPr>
          <w:rFonts w:ascii="Arial" w:cs="Arial" w:eastAsia="Arial" w:hAnsi="Arial"/>
          <w:sz w:val="18"/>
          <w:szCs w:val="18"/>
          <w:u w:val="single" w:color="auto"/>
          <w:color w:val="auto"/>
        </w:rPr>
        <w:t>11.1(a)(vi)(C)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11.1(a)(vi)(E)</w:t>
      </w:r>
      <w:r>
        <w:rPr>
          <w:rFonts w:ascii="Arial" w:cs="Arial" w:eastAsia="Arial" w:hAnsi="Arial"/>
          <w:sz w:val="18"/>
          <w:szCs w:val="18"/>
          <w:color w:val="auto"/>
        </w:rPr>
        <w:t xml:space="preserve"> occurs, the withdrawing General Partner shall give notice to the Limited Partners within 30 days after such occurrence. The Partners hereby agree that only the Events of Withdrawal described in this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shall result in the withdrawal of the General Partner from the Partnership.</w:t>
      </w:r>
    </w:p>
    <w:p>
      <w:pPr>
        <w:spacing w:after="0" w:line="181" w:lineRule="exact"/>
        <w:rPr>
          <w:sz w:val="20"/>
          <w:szCs w:val="20"/>
          <w:color w:val="auto"/>
        </w:rPr>
      </w:pPr>
    </w:p>
    <w:p>
      <w:pPr>
        <w:ind w:right="460" w:firstLine="1305"/>
        <w:spacing w:after="0" w:line="277" w:lineRule="auto"/>
        <w:tabs>
          <w:tab w:leader="none" w:pos="1952" w:val="left"/>
        </w:tabs>
        <w:numPr>
          <w:ilvl w:val="0"/>
          <w:numId w:val="65"/>
        </w:numPr>
        <w:rPr>
          <w:rFonts w:ascii="Arial" w:cs="Arial" w:eastAsia="Arial" w:hAnsi="Arial"/>
          <w:sz w:val="18"/>
          <w:szCs w:val="18"/>
          <w:color w:val="auto"/>
        </w:rPr>
      </w:pPr>
      <w:r>
        <w:rPr>
          <w:rFonts w:ascii="Arial" w:cs="Arial" w:eastAsia="Arial" w:hAnsi="Arial"/>
          <w:sz w:val="18"/>
          <w:szCs w:val="18"/>
          <w:color w:val="auto"/>
        </w:rPr>
        <w:t>Withdrawal of the General Partner from the Partnership upon the occurrence of an Event of Withdrawal shall not constitute a breach of this Agreement under the following circumstances:</w:t>
      </w:r>
    </w:p>
    <w:p>
      <w:pPr>
        <w:spacing w:after="0" w:line="170" w:lineRule="exact"/>
        <w:rPr>
          <w:sz w:val="20"/>
          <w:szCs w:val="20"/>
          <w:color w:val="auto"/>
        </w:rPr>
      </w:pPr>
    </w:p>
    <w:p>
      <w:pPr>
        <w:ind w:left="660" w:firstLine="645"/>
        <w:spacing w:after="0" w:line="255" w:lineRule="auto"/>
        <w:tabs>
          <w:tab w:leader="none" w:pos="1978"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at any time during the period beginning on the Closing Date and ending at 12:00 midnight, prevailing Eastern Time, on March 31, 2024, the General Partner voluntarily withdraws by giving at least 90 days’ advance notice of its intention to withdraw to the Limited Partners, such withdrawal to take effect on the date specified in the notice;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prior to the effective date of such withdrawal, the withdrawal is approved by Unitholders holding at least a majority of the Outstanding Common Units (excluding Common Units held by the General Partner and its Affiliates) and the General Partner delivers to the Partnership an Opinion of Counsel (“</w:t>
      </w:r>
      <w:r>
        <w:rPr>
          <w:rFonts w:ascii="Arial" w:cs="Arial" w:eastAsia="Arial" w:hAnsi="Arial"/>
          <w:sz w:val="18"/>
          <w:szCs w:val="18"/>
          <w:b w:val="1"/>
          <w:bCs w:val="1"/>
          <w:i w:val="1"/>
          <w:iCs w:val="1"/>
          <w:color w:val="auto"/>
        </w:rPr>
        <w:t>Withdrawal Opinion of Counsel</w:t>
      </w:r>
      <w:r>
        <w:rPr>
          <w:rFonts w:ascii="Arial" w:cs="Arial" w:eastAsia="Arial" w:hAnsi="Arial"/>
          <w:sz w:val="18"/>
          <w:szCs w:val="18"/>
          <w:color w:val="auto"/>
        </w:rPr>
        <w:t>”) that such withdrawal (following the selection of the successor General Partner) would not result in the loss of the limited liability of any Limited Partner or any Group Member;</w:t>
      </w:r>
    </w:p>
    <w:p>
      <w:pPr>
        <w:spacing w:after="0" w:line="189" w:lineRule="exact"/>
        <w:rPr>
          <w:rFonts w:ascii="Arial" w:cs="Arial" w:eastAsia="Arial" w:hAnsi="Arial"/>
          <w:sz w:val="18"/>
          <w:szCs w:val="18"/>
          <w:color w:val="auto"/>
        </w:rPr>
      </w:pPr>
    </w:p>
    <w:p>
      <w:pPr>
        <w:ind w:left="660" w:right="80" w:firstLine="645"/>
        <w:spacing w:after="0" w:line="286" w:lineRule="auto"/>
        <w:tabs>
          <w:tab w:leader="none" w:pos="1987" w:val="left"/>
        </w:tabs>
        <w:numPr>
          <w:ilvl w:val="0"/>
          <w:numId w:val="66"/>
        </w:numPr>
        <w:rPr>
          <w:rFonts w:ascii="Arial" w:cs="Arial" w:eastAsia="Arial" w:hAnsi="Arial"/>
          <w:sz w:val="17"/>
          <w:szCs w:val="17"/>
          <w:color w:val="auto"/>
        </w:rPr>
      </w:pPr>
      <w:r>
        <w:rPr>
          <w:rFonts w:ascii="Arial" w:cs="Arial" w:eastAsia="Arial" w:hAnsi="Arial"/>
          <w:sz w:val="17"/>
          <w:szCs w:val="17"/>
          <w:color w:val="auto"/>
        </w:rPr>
        <w:t>at any time after 12:00 midnight, prevailing Eastern Time, on March 31, 2024, the General Partner voluntarily withdraws by giving at least 90 days’ advance notice to the Unitholders, such withdrawal to take effect on the date specified in such notice (</w:t>
      </w:r>
      <w:r>
        <w:rPr>
          <w:rFonts w:ascii="Arial" w:cs="Arial" w:eastAsia="Arial" w:hAnsi="Arial"/>
          <w:sz w:val="17"/>
          <w:szCs w:val="17"/>
          <w:i w:val="1"/>
          <w:iCs w:val="1"/>
          <w:color w:val="auto"/>
        </w:rPr>
        <w:t>provided</w:t>
      </w:r>
      <w:r>
        <w:rPr>
          <w:rFonts w:ascii="Arial" w:cs="Arial" w:eastAsia="Arial" w:hAnsi="Arial"/>
          <w:sz w:val="17"/>
          <w:szCs w:val="17"/>
          <w:color w:val="auto"/>
        </w:rPr>
        <w:t>, that, prior to the effective date of such withdrawal, the General Partner delivers to the Partnership a Withdrawal Opinion of Counsel);</w:t>
      </w:r>
    </w:p>
    <w:p>
      <w:pPr>
        <w:spacing w:after="0" w:line="165" w:lineRule="exact"/>
        <w:rPr>
          <w:rFonts w:ascii="Arial" w:cs="Arial" w:eastAsia="Arial" w:hAnsi="Arial"/>
          <w:sz w:val="17"/>
          <w:szCs w:val="17"/>
          <w:color w:val="auto"/>
        </w:rPr>
      </w:pPr>
    </w:p>
    <w:p>
      <w:pPr>
        <w:ind w:left="2000" w:hanging="695"/>
        <w:spacing w:after="0"/>
        <w:tabs>
          <w:tab w:leader="none" w:pos="20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at any time that the General Partner ceases to be the General Partner pursuant to </w:t>
      </w:r>
      <w:r>
        <w:rPr>
          <w:rFonts w:ascii="Arial" w:cs="Arial" w:eastAsia="Arial" w:hAnsi="Arial"/>
          <w:sz w:val="16"/>
          <w:szCs w:val="16"/>
          <w:u w:val="single" w:color="auto"/>
          <w:color w:val="auto"/>
        </w:rPr>
        <w:t>Section 11.1(a)(ii)</w:t>
      </w:r>
      <w:r>
        <w:rPr>
          <w:rFonts w:ascii="Arial" w:cs="Arial" w:eastAsia="Arial" w:hAnsi="Arial"/>
          <w:sz w:val="16"/>
          <w:szCs w:val="16"/>
          <w:color w:val="auto"/>
        </w:rPr>
        <w:t xml:space="preserve"> or is removed pursuant to</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u w:val="single" w:color="auto"/>
          <w:color w:val="auto"/>
        </w:rPr>
        <w:t>Section 11.2</w:t>
      </w:r>
      <w:r>
        <w:rPr>
          <w:rFonts w:ascii="Arial" w:cs="Arial" w:eastAsia="Arial" w:hAnsi="Arial"/>
          <w:sz w:val="18"/>
          <w:szCs w:val="18"/>
          <w:color w:val="auto"/>
        </w:rPr>
        <w:t>; or</w:t>
      </w:r>
    </w:p>
    <w:p>
      <w:pPr>
        <w:spacing w:after="0" w:line="210" w:lineRule="exact"/>
        <w:rPr>
          <w:rFonts w:ascii="Arial" w:cs="Arial" w:eastAsia="Arial" w:hAnsi="Arial"/>
          <w:sz w:val="16"/>
          <w:szCs w:val="16"/>
          <w:color w:val="auto"/>
        </w:rPr>
      </w:pPr>
    </w:p>
    <w:p>
      <w:pPr>
        <w:ind w:left="660" w:firstLine="645"/>
        <w:spacing w:after="0" w:line="254" w:lineRule="auto"/>
        <w:tabs>
          <w:tab w:leader="none" w:pos="1973"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11.1(b)</w:t>
      </w:r>
      <w:r>
        <w:rPr>
          <w:rFonts w:ascii="Arial" w:cs="Arial" w:eastAsia="Arial" w:hAnsi="Arial"/>
          <w:sz w:val="18"/>
          <w:szCs w:val="18"/>
          <w:color w:val="auto"/>
        </w:rPr>
        <w:t xml:space="preserve">, at any time that the General Partner voluntarily withdraws by giving at least 90 days’ advance notice of its intention to withdraw to the Limited Partners, such withdrawal to take effect on the date specified in the notice, if at the time such notice is given one Person and its Affiliates (other than the General Partner and its Affiliates) own beneficially or of record or control at least 50% of the Outstanding Units. The withdrawal of the General Partner from the Partnership upon the occurrence of an Event of Withdrawal shall also constitute the withdrawal of the General Partner as general partner or managing member, if any, to the extent applicable, of the other Group Members. If the General Partner gives a notice of withdrawal pursuant to </w:t>
      </w:r>
      <w:r>
        <w:rPr>
          <w:rFonts w:ascii="Arial" w:cs="Arial" w:eastAsia="Arial" w:hAnsi="Arial"/>
          <w:sz w:val="18"/>
          <w:szCs w:val="18"/>
          <w:u w:val="single" w:color="auto"/>
          <w:color w:val="auto"/>
        </w:rPr>
        <w:t>Section 11.1(a)(i)</w:t>
      </w:r>
      <w:r>
        <w:rPr>
          <w:rFonts w:ascii="Arial" w:cs="Arial" w:eastAsia="Arial" w:hAnsi="Arial"/>
          <w:sz w:val="18"/>
          <w:szCs w:val="18"/>
          <w:color w:val="auto"/>
        </w:rPr>
        <w:t>, the holders of a Unit Majority, may, prior to the effective date of such withdrawal, elect a successor General Partner. The Person so elected as successor General Partner shall automatically become the successor general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40"/>
        <w:spacing w:after="0" w:line="302" w:lineRule="auto"/>
        <w:rPr>
          <w:sz w:val="20"/>
          <w:szCs w:val="20"/>
          <w:color w:val="auto"/>
        </w:rPr>
      </w:pPr>
      <w:r>
        <w:rPr>
          <w:rFonts w:ascii="Arial" w:cs="Arial" w:eastAsia="Arial" w:hAnsi="Arial"/>
          <w:sz w:val="16"/>
          <w:szCs w:val="16"/>
          <w:color w:val="auto"/>
        </w:rPr>
        <w:t xml:space="preserve">partner or managing member, to the extent applicable, of the other Group Members of which the General Partner is a general partner or a managing member. If, prior to the effective date of the General Partner’s withdrawal, a successor is not selected by the Unitholders as provided herein or, if applicable, the Partnership does not receive a Withdrawal Opinion of Counsel, the Partnership shall be dissolved in accordance with </w:t>
      </w:r>
      <w:r>
        <w:rPr>
          <w:rFonts w:ascii="Arial" w:cs="Arial" w:eastAsia="Arial" w:hAnsi="Arial"/>
          <w:sz w:val="16"/>
          <w:szCs w:val="16"/>
          <w:u w:val="single" w:color="auto"/>
          <w:color w:val="auto"/>
        </w:rPr>
        <w:t>Section 12.1.</w:t>
      </w:r>
      <w:r>
        <w:rPr>
          <w:rFonts w:ascii="Arial" w:cs="Arial" w:eastAsia="Arial" w:hAnsi="Arial"/>
          <w:sz w:val="16"/>
          <w:szCs w:val="16"/>
          <w:color w:val="auto"/>
        </w:rPr>
        <w:t xml:space="preserve"> Any successor General Partner elected in accordance with the terms of this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shall be subject to the provisions of </w:t>
      </w:r>
      <w:r>
        <w:rPr>
          <w:rFonts w:ascii="Arial" w:cs="Arial" w:eastAsia="Arial" w:hAnsi="Arial"/>
          <w:sz w:val="16"/>
          <w:szCs w:val="16"/>
          <w:u w:val="single" w:color="auto"/>
          <w:color w:val="auto"/>
        </w:rPr>
        <w:t>Section 10.3.</w:t>
      </w:r>
    </w:p>
    <w:p>
      <w:pPr>
        <w:spacing w:after="0" w:line="154" w:lineRule="exact"/>
        <w:rPr>
          <w:sz w:val="20"/>
          <w:szCs w:val="20"/>
          <w:color w:val="auto"/>
        </w:rPr>
      </w:pPr>
    </w:p>
    <w:p>
      <w:pPr>
        <w:jc w:val="both"/>
        <w:ind w:right="240" w:firstLine="1297"/>
        <w:spacing w:after="0" w:line="259"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i w:val="1"/>
          <w:iCs w:val="1"/>
          <w:color w:val="auto"/>
        </w:rPr>
        <w:t>Removal of the General Partner</w:t>
      </w:r>
      <w:r>
        <w:rPr>
          <w:rFonts w:ascii="Arial" w:cs="Arial" w:eastAsia="Arial" w:hAnsi="Arial"/>
          <w:sz w:val="18"/>
          <w:szCs w:val="18"/>
          <w:color w:val="auto"/>
        </w:rPr>
        <w:t>. The General Partner may be removed if such removal is approved by the Unitholders holding at least 66 2 /3 % of the Outstanding Common Units (including Common Units held by the General Partner and its Affiliates). Any such action by such holders or the Board of Directors for removal of the General Partner must also provide for the election of a successor General Partner by the majority vote of the Outstanding Common Units, voting together as a single class.</w:t>
      </w:r>
    </w:p>
    <w:p>
      <w:pPr>
        <w:sectPr>
          <w:pgSz w:w="11900" w:h="16912" w:orient="portrait"/>
          <w:cols w:equalWidth="0" w:num="1">
            <w:col w:w="11420"/>
          </w:cols>
          <w:pgMar w:left="240" w:top="341" w:right="239" w:bottom="0" w:gutter="0" w:footer="0" w:header="0"/>
        </w:sectPr>
      </w:pPr>
    </w:p>
    <w:bookmarkStart w:id="34" w:name="page35"/>
    <w:bookmarkEnd w:id="34"/>
    <w:p>
      <w:pPr>
        <w:spacing w:after="0" w:line="137" w:lineRule="exact"/>
        <w:rPr>
          <w:sz w:val="20"/>
          <w:szCs w:val="20"/>
          <w:color w:val="auto"/>
        </w:rPr>
      </w:pPr>
    </w:p>
    <w:p>
      <w:pPr>
        <w:ind w:firstLine="1297"/>
        <w:spacing w:after="0" w:line="271" w:lineRule="auto"/>
        <w:rPr>
          <w:sz w:val="20"/>
          <w:szCs w:val="20"/>
          <w:color w:val="auto"/>
        </w:rPr>
      </w:pPr>
      <w:r>
        <w:rPr>
          <w:rFonts w:ascii="Arial" w:cs="Arial" w:eastAsia="Arial" w:hAnsi="Arial"/>
          <w:sz w:val="17"/>
          <w:szCs w:val="17"/>
          <w:color w:val="auto"/>
        </w:rPr>
        <w:t xml:space="preserve">Such removal shall be effective immediately following the admission of a successor General Partner pursuant to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The removal of the General Partner shall also automatically constitute the removal of the General Partner as general partner or managing member, to the extent applicable, of the other Group Members of which the General Partner is a general partner or a managing member. If a Person is elected as a successor General Partner in accordance with the terms of this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such Person shall, upon admission pursuant to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automatically become a successor general partner or managing member, to the extent applicable, of the other Group Members of which the General Partner is a general partner or a managing member. The right of the holders of Outstanding Common Units to remove the General Partner shall not exist or be exercised unless the Partnership has received an Opinion of Counsel opining as to the matters covered by a Withdrawal Opinion of Counsel. Any successor General Partner elected in accordance with the terms of this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shall be subject to the provisions of </w:t>
      </w:r>
      <w:r>
        <w:rPr>
          <w:rFonts w:ascii="Arial" w:cs="Arial" w:eastAsia="Arial" w:hAnsi="Arial"/>
          <w:sz w:val="17"/>
          <w:szCs w:val="17"/>
          <w:u w:val="single" w:color="auto"/>
          <w:color w:val="auto"/>
        </w:rPr>
        <w:t>Section 10.3</w:t>
      </w:r>
      <w:r>
        <w:rPr>
          <w:rFonts w:ascii="Arial" w:cs="Arial" w:eastAsia="Arial" w:hAnsi="Arial"/>
          <w:sz w:val="17"/>
          <w:szCs w:val="17"/>
          <w:color w:val="auto"/>
        </w:rPr>
        <w:t>.</w:t>
      </w:r>
    </w:p>
    <w:p>
      <w:pPr>
        <w:spacing w:after="0" w:line="179" w:lineRule="exact"/>
        <w:rPr>
          <w:sz w:val="20"/>
          <w:szCs w:val="20"/>
          <w:color w:val="auto"/>
        </w:rPr>
      </w:pPr>
    </w:p>
    <w:p>
      <w:pPr>
        <w:ind w:right="80" w:firstLine="1297"/>
        <w:spacing w:after="0" w:line="284" w:lineRule="auto"/>
        <w:rPr>
          <w:sz w:val="20"/>
          <w:szCs w:val="20"/>
          <w:color w:val="auto"/>
        </w:rPr>
      </w:pPr>
      <w:r>
        <w:rPr>
          <w:rFonts w:ascii="Arial" w:cs="Arial" w:eastAsia="Arial" w:hAnsi="Arial"/>
          <w:sz w:val="16"/>
          <w:szCs w:val="16"/>
          <w:color w:val="auto"/>
        </w:rPr>
        <w:t xml:space="preserve">Section 11.3. </w:t>
      </w:r>
      <w:r>
        <w:rPr>
          <w:rFonts w:ascii="Arial" w:cs="Arial" w:eastAsia="Arial" w:hAnsi="Arial"/>
          <w:sz w:val="16"/>
          <w:szCs w:val="16"/>
          <w:i w:val="1"/>
          <w:iCs w:val="1"/>
          <w:color w:val="auto"/>
        </w:rPr>
        <w:t>Interest of Departing General Partner and Successor General Partner</w:t>
      </w:r>
      <w:r>
        <w:rPr>
          <w:rFonts w:ascii="Arial" w:cs="Arial" w:eastAsia="Arial" w:hAnsi="Arial"/>
          <w:sz w:val="16"/>
          <w:szCs w:val="16"/>
          <w:color w:val="auto"/>
        </w:rPr>
        <w:t xml:space="preserve">. (a) In the event of (i) withdrawal of the General Partner under circumstances where such withdrawal does not violate this Agreement or (ii) removal of the General Partner by the holders of Outstanding Common Units under circumstances where Cause does not exist, if the successor General Partner is elected in accordance with the terms of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11.2</w:t>
      </w:r>
      <w:r>
        <w:rPr>
          <w:rFonts w:ascii="Arial" w:cs="Arial" w:eastAsia="Arial" w:hAnsi="Arial"/>
          <w:sz w:val="16"/>
          <w:szCs w:val="16"/>
          <w:color w:val="auto"/>
        </w:rPr>
        <w:t>, (A) the Departing General Partner shall have the option, exercisable prior to the effective date of the departure of such Departing General Partner, to require its successor to purchase its General Partner Interest (represented by General Partner Units) and its general partner interest (or equivalent interest), if any, in the other Group Members and its Incentive Distribution Rights, if any (collectively, the “</w:t>
      </w:r>
      <w:r>
        <w:rPr>
          <w:rFonts w:ascii="Arial" w:cs="Arial" w:eastAsia="Arial" w:hAnsi="Arial"/>
          <w:sz w:val="16"/>
          <w:szCs w:val="16"/>
          <w:b w:val="1"/>
          <w:bCs w:val="1"/>
          <w:i w:val="1"/>
          <w:iCs w:val="1"/>
          <w:color w:val="auto"/>
        </w:rPr>
        <w:t>Combined Interest</w:t>
      </w:r>
      <w:r>
        <w:rPr>
          <w:rFonts w:ascii="Arial" w:cs="Arial" w:eastAsia="Arial" w:hAnsi="Arial"/>
          <w:sz w:val="16"/>
          <w:szCs w:val="16"/>
          <w:color w:val="auto"/>
        </w:rPr>
        <w:t>”), in exchange for an amount in cash equal to the fair market value of such Combined Interest, such amount to be determined and payable as of the effective date of its departure and</w:t>
      </w:r>
    </w:p>
    <w:p>
      <w:pPr>
        <w:spacing w:after="0" w:line="3" w:lineRule="exact"/>
        <w:rPr>
          <w:sz w:val="20"/>
          <w:szCs w:val="20"/>
          <w:color w:val="auto"/>
        </w:rPr>
      </w:pPr>
    </w:p>
    <w:p>
      <w:pPr>
        <w:ind w:right="80" w:firstLine="8"/>
        <w:spacing w:after="0" w:line="254" w:lineRule="auto"/>
        <w:tabs>
          <w:tab w:leader="none" w:pos="28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other holders of the Incentive Distribution Rights shall have the option, exercisable prior to the effective date of the departure of such Departing General Partner, to require such successor to purchase such holders’ Incentive Distribution Rights in exchange for an amount in cash equal to the fair market value of such Incentive Distribution Rights, such amount to be determined and payable as of the effective date of the Departing General Partner’s departure. If the General Partner is removed by the holders of Outstanding</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Common Units under circumstances where Cause exists or if the General Partner withdraws under circumstances where such withdrawal violates this Agreement, and if a successor General Partner is elected in accordance with the terms of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(or if the business of the Partnership is continued pursuant to </w:t>
      </w:r>
      <w:r>
        <w:rPr>
          <w:rFonts w:ascii="Arial" w:cs="Arial" w:eastAsia="Arial" w:hAnsi="Arial"/>
          <w:sz w:val="17"/>
          <w:szCs w:val="17"/>
          <w:u w:val="single" w:color="auto"/>
          <w:color w:val="auto"/>
        </w:rPr>
        <w:t>Section 12.2</w:t>
      </w:r>
      <w:r>
        <w:rPr>
          <w:rFonts w:ascii="Arial" w:cs="Arial" w:eastAsia="Arial" w:hAnsi="Arial"/>
          <w:sz w:val="17"/>
          <w:szCs w:val="17"/>
          <w:color w:val="auto"/>
        </w:rPr>
        <w:t xml:space="preserve"> and the successor General Partner is not the former General Partner), such successor shall have the option, exercisable prior to the effective date of the departure of such Departing General Partner (or, in the event the business of the Partnership is continued, prior to the date the business of the Partnership is continued), to purchase the Combined Interest in exchange for an amount in cash equal to such fair market value of such Combined Interest of the Departing General Partner. In either event, the Departing General Partner shall be entitled to receive all reimbursements due such Departing General Partner pursuant to </w:t>
      </w:r>
      <w:r>
        <w:rPr>
          <w:rFonts w:ascii="Arial" w:cs="Arial" w:eastAsia="Arial" w:hAnsi="Arial"/>
          <w:sz w:val="17"/>
          <w:szCs w:val="17"/>
          <w:u w:val="single" w:color="auto"/>
          <w:color w:val="auto"/>
        </w:rPr>
        <w:t>Section 7.12</w:t>
      </w:r>
      <w:r>
        <w:rPr>
          <w:rFonts w:ascii="Arial" w:cs="Arial" w:eastAsia="Arial" w:hAnsi="Arial"/>
          <w:sz w:val="17"/>
          <w:szCs w:val="17"/>
          <w:color w:val="auto"/>
        </w:rPr>
        <w:t>, including any employee related liabilities (including severance liabilities), incurred in connection with the termination of any employees employed by the Departing General Partner or its Affiliates (other than any Group Member) for the benefit of the Partnership or the other Group Members.</w:t>
      </w:r>
    </w:p>
    <w:p>
      <w:pPr>
        <w:spacing w:after="0" w:line="182" w:lineRule="exact"/>
        <w:rPr>
          <w:sz w:val="20"/>
          <w:szCs w:val="20"/>
          <w:color w:val="auto"/>
        </w:rPr>
      </w:pPr>
    </w:p>
    <w:p>
      <w:pPr>
        <w:ind w:right="180" w:firstLine="1297"/>
        <w:spacing w:after="0" w:line="268" w:lineRule="auto"/>
        <w:rPr>
          <w:sz w:val="20"/>
          <w:szCs w:val="20"/>
          <w:color w:val="auto"/>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Section 11.3(a)</w:t>
      </w:r>
      <w:r>
        <w:rPr>
          <w:rFonts w:ascii="Arial" w:cs="Arial" w:eastAsia="Arial" w:hAnsi="Arial"/>
          <w:sz w:val="17"/>
          <w:szCs w:val="17"/>
          <w:color w:val="auto"/>
        </w:rPr>
        <w:t>, the fair market value of the Departing General Partner’s Combined Interest and the value of the Incentive Distribution Rights held by holders other than the Departing General Partner shall be determined by agreement between the Departing General Partner and its successor or, failing agreement within 30 days after the effective date of such Departing General Partner’s departure, by an independent investment banking firm or other independent expert selected by the Departing General Partner and its successor, which, in turn, may rely on other experts, and the determination of which shall be conclusive as to such matter. If such parties cannot agree upon one independent investment banking firm or other independent expert within 45 days after the effective date of such departure, then the Departing General Partner shall designate an independent investment banking firm or other independent expert, the Departing General Partner’s successor shall designate an independent investment banking firm or other independent expert, and such firms or experts shall mutually select a third independent investment banking firm or independent expert, which third independent investment banking firm or other independent expert shall determine the fair market value of the Combined Interest of the Departing General Partner and the value of the Incentive Distribution Rights held by holders other than the Departing General Partner. In making its determination, such third independent investment banking firm or other independent expert may consider the then current trading price of Common Units on any National Securities Exchange on which Common Units are then listed or admitted to trading, the value of the Partnership’s assets, the rights and obligations of the Departing General Partner and other factors it may deem relevant.</w:t>
      </w:r>
    </w:p>
    <w:p>
      <w:pPr>
        <w:spacing w:after="0" w:line="188" w:lineRule="exact"/>
        <w:rPr>
          <w:sz w:val="20"/>
          <w:szCs w:val="20"/>
          <w:color w:val="auto"/>
        </w:rPr>
      </w:pPr>
    </w:p>
    <w:p>
      <w:pPr>
        <w:ind w:firstLine="1305"/>
        <w:spacing w:after="0" w:line="273" w:lineRule="auto"/>
        <w:tabs>
          <w:tab w:leader="none" w:pos="1952"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If the Combined Interest is not purchased in the manner set forth in </w:t>
      </w:r>
      <w:r>
        <w:rPr>
          <w:rFonts w:ascii="Arial" w:cs="Arial" w:eastAsia="Arial" w:hAnsi="Arial"/>
          <w:sz w:val="17"/>
          <w:szCs w:val="17"/>
          <w:u w:val="single" w:color="auto"/>
          <w:color w:val="auto"/>
        </w:rPr>
        <w:t>Section 11.3(a)</w:t>
      </w:r>
      <w:r>
        <w:rPr>
          <w:rFonts w:ascii="Arial" w:cs="Arial" w:eastAsia="Arial" w:hAnsi="Arial"/>
          <w:sz w:val="17"/>
          <w:szCs w:val="17"/>
          <w:color w:val="auto"/>
        </w:rPr>
        <w:t xml:space="preserve">, the Departing General Partner (or its transferee) shall become a Limited Partner and its Combined Interest shall be converted into Common Units pursuant to a valuation made by an investment banking firm or other independent expert selected pursuant to </w:t>
      </w:r>
      <w:r>
        <w:rPr>
          <w:rFonts w:ascii="Arial" w:cs="Arial" w:eastAsia="Arial" w:hAnsi="Arial"/>
          <w:sz w:val="17"/>
          <w:szCs w:val="17"/>
          <w:u w:val="single" w:color="auto"/>
          <w:color w:val="auto"/>
        </w:rPr>
        <w:t>Section 11.3(a)</w:t>
      </w:r>
      <w:r>
        <w:rPr>
          <w:rFonts w:ascii="Arial" w:cs="Arial" w:eastAsia="Arial" w:hAnsi="Arial"/>
          <w:sz w:val="17"/>
          <w:szCs w:val="17"/>
          <w:color w:val="auto"/>
        </w:rPr>
        <w:t>, without reduction in such Partnership Interest (but subject to proportionate dilution by reason of the admission of its successor). Any successor General Partner shall indemnify the Departing General Partner (or its transferee) as to all debts and liabilities of the Partnership arising on or after the date on which the Departing General Partner (or its transferee) becomes a Limited Partner. For purposes of this Agreement, conversion of the Combined Interest of the Departing</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General Partner to Common Units will be characterized as if the Departing General Partner (or its transferee) contributed its Combined Interest to the Partnership in exchange for the newly issued Common Units.</w:t>
      </w:r>
    </w:p>
    <w:p>
      <w:pPr>
        <w:spacing w:after="0" w:line="170" w:lineRule="exact"/>
        <w:rPr>
          <w:sz w:val="20"/>
          <w:szCs w:val="20"/>
          <w:color w:val="auto"/>
        </w:rPr>
      </w:pPr>
    </w:p>
    <w:p>
      <w:pPr>
        <w:ind w:firstLine="1305"/>
        <w:spacing w:after="0" w:line="285" w:lineRule="auto"/>
        <w:tabs>
          <w:tab w:leader="none" w:pos="1955" w:val="left"/>
        </w:tabs>
        <w:numPr>
          <w:ilvl w:val="1"/>
          <w:numId w:val="69"/>
        </w:numPr>
        <w:rPr>
          <w:rFonts w:ascii="Arial" w:cs="Arial" w:eastAsia="Arial" w:hAnsi="Arial"/>
          <w:sz w:val="16"/>
          <w:szCs w:val="16"/>
          <w:color w:val="auto"/>
        </w:rPr>
      </w:pPr>
      <w:r>
        <w:rPr>
          <w:rFonts w:ascii="Arial" w:cs="Arial" w:eastAsia="Arial" w:hAnsi="Arial"/>
          <w:sz w:val="16"/>
          <w:szCs w:val="16"/>
          <w:color w:val="auto"/>
        </w:rPr>
        <w:t xml:space="preserve">If a successor General Partner is elected in accordance with the terms of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(or if the Partnership is continued pursuant to </w:t>
      </w:r>
      <w:r>
        <w:rPr>
          <w:rFonts w:ascii="Arial" w:cs="Arial" w:eastAsia="Arial" w:hAnsi="Arial"/>
          <w:sz w:val="16"/>
          <w:szCs w:val="16"/>
          <w:u w:val="single" w:color="auto"/>
          <w:color w:val="auto"/>
        </w:rPr>
        <w:t>Section 12.2</w:t>
      </w:r>
      <w:r>
        <w:rPr>
          <w:rFonts w:ascii="Arial" w:cs="Arial" w:eastAsia="Arial" w:hAnsi="Arial"/>
          <w:sz w:val="16"/>
          <w:szCs w:val="16"/>
          <w:color w:val="auto"/>
        </w:rPr>
        <w:t xml:space="preserve"> and the successor General Partner is not the former General Partner) and the option described in </w:t>
      </w:r>
      <w:r>
        <w:rPr>
          <w:rFonts w:ascii="Arial" w:cs="Arial" w:eastAsia="Arial" w:hAnsi="Arial"/>
          <w:sz w:val="16"/>
          <w:szCs w:val="16"/>
          <w:u w:val="single" w:color="auto"/>
          <w:color w:val="auto"/>
        </w:rPr>
        <w:t>Section 11.3(a)</w:t>
      </w:r>
      <w:r>
        <w:rPr>
          <w:rFonts w:ascii="Arial" w:cs="Arial" w:eastAsia="Arial" w:hAnsi="Arial"/>
          <w:sz w:val="16"/>
          <w:szCs w:val="16"/>
          <w:color w:val="auto"/>
        </w:rPr>
        <w:t xml:space="preserve"> is not exercised by the party entitled to do so, the successor General Partner shall, at the effective date of its admission to the Partnership, contribute to the Partnership cash in the amount equal to the product of (i) the quotient obtained by dividing (A) the Percentage Interest of the General Partner Interest of the Departing General Partner by (B) a percentage equal to 100% less the Percentage Interest of the General Partner Interest of the Departing General Partner and</w:t>
      </w:r>
    </w:p>
    <w:p>
      <w:pPr>
        <w:spacing w:after="0" w:line="2" w:lineRule="exact"/>
        <w:rPr>
          <w:rFonts w:ascii="Arial" w:cs="Arial" w:eastAsia="Arial" w:hAnsi="Arial"/>
          <w:sz w:val="16"/>
          <w:szCs w:val="16"/>
          <w:color w:val="auto"/>
        </w:rPr>
      </w:pPr>
    </w:p>
    <w:p>
      <w:pPr>
        <w:ind w:firstLine="8"/>
        <w:spacing w:after="0" w:line="273" w:lineRule="auto"/>
        <w:tabs>
          <w:tab w:leader="none" w:pos="265"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Net Agreed Value of the Partnership’s assets on such date. In such event, such successor General Partner shall, subject to the following sentence, be entitled to its Percentage Interest of all Partnership allocations and distributions to which the Departing General Partner was entitled. In addition, the successor General Partner shall cause this Agreement to be amended to reflect that, from and after the date of such successor General Partner’s admission, the successor General Partner’s interest in all Partnership distributions and allocations shall be its Percentage Interest.</w:t>
      </w:r>
    </w:p>
    <w:p>
      <w:pPr>
        <w:spacing w:after="0" w:line="177" w:lineRule="exact"/>
        <w:rPr>
          <w:sz w:val="20"/>
          <w:szCs w:val="20"/>
          <w:color w:val="auto"/>
        </w:rPr>
      </w:pPr>
    </w:p>
    <w:p>
      <w:pPr>
        <w:ind w:right="120" w:firstLine="1297"/>
        <w:spacing w:after="0" w:line="342" w:lineRule="auto"/>
        <w:rPr>
          <w:sz w:val="20"/>
          <w:szCs w:val="20"/>
          <w:color w:val="auto"/>
        </w:rPr>
      </w:pPr>
      <w:r>
        <w:rPr>
          <w:rFonts w:ascii="Arial" w:cs="Arial" w:eastAsia="Arial" w:hAnsi="Arial"/>
          <w:sz w:val="16"/>
          <w:szCs w:val="16"/>
          <w:color w:val="auto"/>
        </w:rPr>
        <w:t xml:space="preserve">Section 11.4. </w:t>
      </w:r>
      <w:r>
        <w:rPr>
          <w:rFonts w:ascii="Arial" w:cs="Arial" w:eastAsia="Arial" w:hAnsi="Arial"/>
          <w:sz w:val="16"/>
          <w:szCs w:val="16"/>
          <w:i w:val="1"/>
          <w:iCs w:val="1"/>
          <w:color w:val="auto"/>
        </w:rPr>
        <w:t>Withdrawal of Limited Partners</w:t>
      </w:r>
      <w:r>
        <w:rPr>
          <w:rFonts w:ascii="Arial" w:cs="Arial" w:eastAsia="Arial" w:hAnsi="Arial"/>
          <w:sz w:val="16"/>
          <w:szCs w:val="16"/>
          <w:color w:val="auto"/>
        </w:rPr>
        <w:t xml:space="preserve">. No Limited Partner shall have any right to withdraw from the Partnership;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when a transferee of a Limited Partner’s Limited Partner Interest becomes a Record Holder of the Limited Partner Interest so transferred, such</w:t>
      </w:r>
    </w:p>
    <w:p>
      <w:pPr>
        <w:sectPr>
          <w:pgSz w:w="11900" w:h="16975" w:orient="portrait"/>
          <w:cols w:equalWidth="0" w:num="1">
            <w:col w:w="11380"/>
          </w:cols>
          <w:pgMar w:left="240" w:top="341" w:right="279" w:bottom="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transferring Limited Partner shall cease to be a Limited Partner with respect to the Limited Partner Interest so transferred.</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DISSOLUTION AND LIQUIDATION</w:t>
      </w:r>
    </w:p>
    <w:p>
      <w:pPr>
        <w:spacing w:after="0" w:line="211" w:lineRule="exact"/>
        <w:rPr>
          <w:sz w:val="20"/>
          <w:szCs w:val="20"/>
          <w:color w:val="auto"/>
        </w:rPr>
      </w:pPr>
    </w:p>
    <w:p>
      <w:pPr>
        <w:ind w:right="120" w:firstLine="1297"/>
        <w:spacing w:after="0" w:line="279" w:lineRule="auto"/>
        <w:rPr>
          <w:sz w:val="20"/>
          <w:szCs w:val="20"/>
          <w:color w:val="auto"/>
        </w:rPr>
      </w:pPr>
      <w:r>
        <w:rPr>
          <w:rFonts w:ascii="Arial" w:cs="Arial" w:eastAsia="Arial" w:hAnsi="Arial"/>
          <w:sz w:val="17"/>
          <w:szCs w:val="17"/>
          <w:color w:val="auto"/>
        </w:rPr>
        <w:t xml:space="preserve">Section 12.1. </w:t>
      </w:r>
      <w:r>
        <w:rPr>
          <w:rFonts w:ascii="Arial" w:cs="Arial" w:eastAsia="Arial" w:hAnsi="Arial"/>
          <w:sz w:val="17"/>
          <w:szCs w:val="17"/>
          <w:i w:val="1"/>
          <w:iCs w:val="1"/>
          <w:color w:val="auto"/>
        </w:rPr>
        <w:t>Dissolution</w:t>
      </w:r>
      <w:r>
        <w:rPr>
          <w:rFonts w:ascii="Arial" w:cs="Arial" w:eastAsia="Arial" w:hAnsi="Arial"/>
          <w:sz w:val="17"/>
          <w:szCs w:val="17"/>
          <w:color w:val="auto"/>
        </w:rPr>
        <w:t xml:space="preserve">. The Partnership shall not be dissolved by the admission of additional Limited Partners or by the admission of a successor or additional General Partner in accordance with the terms of this Agreement. Upon the removal or withdrawal of the General Partner, if a successor General Partner is elected pursuant to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the Partnership shall not be dissolved and the Board of Directors shall continue the business of the Partnership. The Partnership shall dissolve, and (subject to </w:t>
      </w:r>
      <w:r>
        <w:rPr>
          <w:rFonts w:ascii="Arial" w:cs="Arial" w:eastAsia="Arial" w:hAnsi="Arial"/>
          <w:sz w:val="17"/>
          <w:szCs w:val="17"/>
          <w:u w:val="single" w:color="auto"/>
          <w:color w:val="auto"/>
        </w:rPr>
        <w:t>Section 12.2</w:t>
      </w:r>
      <w:r>
        <w:rPr>
          <w:rFonts w:ascii="Arial" w:cs="Arial" w:eastAsia="Arial" w:hAnsi="Arial"/>
          <w:sz w:val="17"/>
          <w:szCs w:val="17"/>
          <w:color w:val="auto"/>
        </w:rPr>
        <w:t>) its affairs shall be wound up, upon:</w:t>
      </w:r>
    </w:p>
    <w:p>
      <w:pPr>
        <w:spacing w:after="0" w:line="171" w:lineRule="exact"/>
        <w:rPr>
          <w:sz w:val="20"/>
          <w:szCs w:val="20"/>
          <w:color w:val="auto"/>
        </w:rPr>
      </w:pPr>
    </w:p>
    <w:p>
      <w:pPr>
        <w:ind w:left="1940" w:hanging="635"/>
        <w:spacing w:after="0"/>
        <w:tabs>
          <w:tab w:leader="none" w:pos="19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 election to dissolve the Partnership by the General Partner and our Board of Directors that is approved by the holders of a Unit</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Majority;</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at any time there are no Limited Partners, unless the Partnership is continued without dissolution in accordance with the Marshall</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Islands Act;</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entry of a decree of judicial dissolution of the Partnership pursuant to the provisions of the Marshall Islands Act;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an Event of Withdrawal of the General Partner as provided in </w:t>
      </w:r>
      <w:r>
        <w:rPr>
          <w:rFonts w:ascii="Arial" w:cs="Arial" w:eastAsia="Arial" w:hAnsi="Arial"/>
          <w:sz w:val="18"/>
          <w:szCs w:val="18"/>
          <w:u w:val="single" w:color="auto"/>
          <w:color w:val="auto"/>
        </w:rPr>
        <w:t>Section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80"/>
        <w:spacing w:after="0" w:line="277" w:lineRule="auto"/>
        <w:rPr>
          <w:sz w:val="20"/>
          <w:szCs w:val="20"/>
          <w:color w:val="auto"/>
        </w:rPr>
      </w:pPr>
      <w:r>
        <w:rPr>
          <w:rFonts w:ascii="Arial" w:cs="Arial" w:eastAsia="Arial" w:hAnsi="Arial"/>
          <w:sz w:val="18"/>
          <w:szCs w:val="18"/>
          <w:u w:val="single" w:color="auto"/>
          <w:color w:val="auto"/>
        </w:rPr>
        <w:t>11.1(a)</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11.1(a)(ii))</w:t>
      </w:r>
      <w:r>
        <w:rPr>
          <w:rFonts w:ascii="Arial" w:cs="Arial" w:eastAsia="Arial" w:hAnsi="Arial"/>
          <w:sz w:val="18"/>
          <w:szCs w:val="18"/>
          <w:color w:val="auto"/>
        </w:rPr>
        <w:t xml:space="preserve">, unless a successor is elected and an Opinion of Counsel is received as provided in </w:t>
      </w:r>
      <w:r>
        <w:rPr>
          <w:rFonts w:ascii="Arial" w:cs="Arial" w:eastAsia="Arial" w:hAnsi="Arial"/>
          <w:sz w:val="18"/>
          <w:szCs w:val="18"/>
          <w:u w:val="single" w:color="auto"/>
          <w:color w:val="auto"/>
        </w:rPr>
        <w:t>Section 11.1(b)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and such successor is admitted to the Partnership pursuant to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170" w:lineRule="exact"/>
        <w:rPr>
          <w:sz w:val="20"/>
          <w:szCs w:val="20"/>
          <w:color w:val="auto"/>
        </w:rPr>
      </w:pPr>
    </w:p>
    <w:p>
      <w:pPr>
        <w:ind w:right="20" w:firstLine="1297"/>
        <w:spacing w:after="0" w:line="290" w:lineRule="auto"/>
        <w:rPr>
          <w:sz w:val="20"/>
          <w:szCs w:val="20"/>
          <w:color w:val="auto"/>
        </w:rPr>
      </w:pPr>
      <w:r>
        <w:rPr>
          <w:rFonts w:ascii="Arial" w:cs="Arial" w:eastAsia="Arial" w:hAnsi="Arial"/>
          <w:sz w:val="16"/>
          <w:szCs w:val="16"/>
          <w:color w:val="auto"/>
        </w:rPr>
        <w:t xml:space="preserve">Section 12.2. </w:t>
      </w:r>
      <w:r>
        <w:rPr>
          <w:rFonts w:ascii="Arial" w:cs="Arial" w:eastAsia="Arial" w:hAnsi="Arial"/>
          <w:sz w:val="16"/>
          <w:szCs w:val="16"/>
          <w:i w:val="1"/>
          <w:iCs w:val="1"/>
          <w:color w:val="auto"/>
        </w:rPr>
        <w:t>Continuation of the Business of the Partnership After Dissolution</w:t>
      </w:r>
      <w:r>
        <w:rPr>
          <w:rFonts w:ascii="Arial" w:cs="Arial" w:eastAsia="Arial" w:hAnsi="Arial"/>
          <w:sz w:val="16"/>
          <w:szCs w:val="16"/>
          <w:color w:val="auto"/>
        </w:rPr>
        <w:t xml:space="preserve">. Upon (a) dissolution of the Partnership following an Event of Withdrawal caused by the withdrawal or removal of the General Partner as provided in </w:t>
      </w:r>
      <w:r>
        <w:rPr>
          <w:rFonts w:ascii="Arial" w:cs="Arial" w:eastAsia="Arial" w:hAnsi="Arial"/>
          <w:sz w:val="16"/>
          <w:szCs w:val="16"/>
          <w:u w:val="single" w:color="auto"/>
          <w:color w:val="auto"/>
        </w:rPr>
        <w:t>Section 11.1(a)(i)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11.1(a)(iii)</w:t>
      </w:r>
      <w:r>
        <w:rPr>
          <w:rFonts w:ascii="Arial" w:cs="Arial" w:eastAsia="Arial" w:hAnsi="Arial"/>
          <w:sz w:val="16"/>
          <w:szCs w:val="16"/>
          <w:color w:val="auto"/>
        </w:rPr>
        <w:t xml:space="preserve"> and the failure of the Partners to select a successor to such Departing General Partner pursuant to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then within 90 days thereafter, or (b) dissolution of the Partnership upon an event constituting an Event of Withdrawal as defined in </w:t>
      </w:r>
      <w:r>
        <w:rPr>
          <w:rFonts w:ascii="Arial" w:cs="Arial" w:eastAsia="Arial" w:hAnsi="Arial"/>
          <w:sz w:val="16"/>
          <w:szCs w:val="16"/>
          <w:u w:val="single" w:color="auto"/>
          <w:color w:val="auto"/>
        </w:rPr>
        <w:t>Section 11.1(a)(iv)</w:t>
      </w:r>
      <w:r>
        <w:rPr>
          <w:rFonts w:ascii="Arial" w:cs="Arial" w:eastAsia="Arial" w:hAnsi="Arial"/>
          <w:sz w:val="16"/>
          <w:szCs w:val="16"/>
          <w:color w:val="auto"/>
        </w:rPr>
        <w:t xml:space="preserve">, </w:t>
      </w:r>
      <w:r>
        <w:rPr>
          <w:rFonts w:ascii="Arial" w:cs="Arial" w:eastAsia="Arial" w:hAnsi="Arial"/>
          <w:sz w:val="16"/>
          <w:szCs w:val="16"/>
          <w:u w:val="single" w:color="auto"/>
          <w:color w:val="auto"/>
        </w:rPr>
        <w:t>11.1(a)(v)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11.1(a)(vi)</w:t>
      </w:r>
      <w:r>
        <w:rPr>
          <w:rFonts w:ascii="Arial" w:cs="Arial" w:eastAsia="Arial" w:hAnsi="Arial"/>
          <w:sz w:val="16"/>
          <w:szCs w:val="16"/>
          <w:color w:val="auto"/>
        </w:rPr>
        <w:t>, then, to the maximum extent permitted by the Marshall Islands Act, within 180 days thereafter, the holders of a Unit Majority may elect in writing to continue the business of the Partnership on the same terms and conditions set forth in this Agreement by appointing, effective as of the date of the Event of Withdrawal, as a successor General Partner a Person approved by the holders of a Unit Majority. Unless such an election is made within the applicable time period as set forth above, the Partnership shall dissolve and conduct only activities necessary to wind up its affairs. If such an election is so made, then:</w:t>
      </w:r>
    </w:p>
    <w:p>
      <w:pPr>
        <w:spacing w:after="0" w:line="166" w:lineRule="exact"/>
        <w:rPr>
          <w:sz w:val="20"/>
          <w:szCs w:val="20"/>
          <w:color w:val="auto"/>
        </w:rPr>
      </w:pPr>
    </w:p>
    <w:p>
      <w:pPr>
        <w:ind w:left="1980" w:hanging="675"/>
        <w:spacing w:after="0"/>
        <w:tabs>
          <w:tab w:leader="none" w:pos="1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the Partnership shall continue without dissolution unless earlier dissolved in accordance with this </w:t>
      </w:r>
      <w:r>
        <w:rPr>
          <w:rFonts w:ascii="Arial" w:cs="Arial" w:eastAsia="Arial" w:hAnsi="Arial"/>
          <w:sz w:val="18"/>
          <w:szCs w:val="18"/>
          <w:u w:val="single" w:color="auto"/>
          <w:color w:val="auto"/>
        </w:rPr>
        <w:t>Article XII</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firstLine="645"/>
        <w:spacing w:after="0" w:line="277" w:lineRule="auto"/>
        <w:tabs>
          <w:tab w:leader="none" w:pos="1987"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if the successor General Partner is not the former General Partner, then the interest of the former General Partner shall be treated in the manner provided in </w:t>
      </w:r>
      <w:r>
        <w:rPr>
          <w:rFonts w:ascii="Arial" w:cs="Arial" w:eastAsia="Arial" w:hAnsi="Arial"/>
          <w:sz w:val="18"/>
          <w:szCs w:val="18"/>
          <w:u w:val="single" w:color="auto"/>
          <w:color w:val="auto"/>
        </w:rPr>
        <w:t>Section 11.3</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660" w:firstLine="645"/>
        <w:spacing w:after="0" w:line="302" w:lineRule="auto"/>
        <w:tabs>
          <w:tab w:leader="none" w:pos="1997"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the successor General Partner shall be admitted to the Partnership as General Partner, effective as of the Event of Withdrawal, by agreeing in writing to be bound by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right of the holders of a Unit Majority to approve a successor General Partner and to reconstitute and to continue the business of the Partnership shall not exist and may not be exercised unless the Partnership has received an Opinion of Counsel that the exercise of the right would not result in the loss of limited liability of any Limited Partner.</w:t>
      </w:r>
    </w:p>
    <w:p>
      <w:pPr>
        <w:spacing w:after="0" w:line="154" w:lineRule="exact"/>
        <w:rPr>
          <w:sz w:val="20"/>
          <w:szCs w:val="20"/>
          <w:color w:val="auto"/>
        </w:rPr>
      </w:pPr>
    </w:p>
    <w:p>
      <w:pPr>
        <w:ind w:right="100" w:firstLine="1297"/>
        <w:spacing w:after="0" w:line="290" w:lineRule="auto"/>
        <w:rPr>
          <w:sz w:val="20"/>
          <w:szCs w:val="20"/>
          <w:color w:val="auto"/>
        </w:rPr>
      </w:pPr>
      <w:r>
        <w:rPr>
          <w:rFonts w:ascii="Arial" w:cs="Arial" w:eastAsia="Arial" w:hAnsi="Arial"/>
          <w:sz w:val="16"/>
          <w:szCs w:val="16"/>
          <w:color w:val="auto"/>
        </w:rPr>
        <w:t xml:space="preserve">Section 12.3. </w:t>
      </w:r>
      <w:r>
        <w:rPr>
          <w:rFonts w:ascii="Arial" w:cs="Arial" w:eastAsia="Arial" w:hAnsi="Arial"/>
          <w:sz w:val="16"/>
          <w:szCs w:val="16"/>
          <w:i w:val="1"/>
          <w:iCs w:val="1"/>
          <w:color w:val="auto"/>
        </w:rPr>
        <w:t>Liquidating Trustee</w:t>
      </w:r>
      <w:r>
        <w:rPr>
          <w:rFonts w:ascii="Arial" w:cs="Arial" w:eastAsia="Arial" w:hAnsi="Arial"/>
          <w:sz w:val="16"/>
          <w:szCs w:val="16"/>
          <w:color w:val="auto"/>
        </w:rPr>
        <w:t xml:space="preserve">. Upon dissolution of the Partnership, unless the business of the Partnership is continued pursuant to </w:t>
      </w:r>
      <w:r>
        <w:rPr>
          <w:rFonts w:ascii="Arial" w:cs="Arial" w:eastAsia="Arial" w:hAnsi="Arial"/>
          <w:sz w:val="16"/>
          <w:szCs w:val="16"/>
          <w:u w:val="single" w:color="auto"/>
          <w:color w:val="auto"/>
        </w:rPr>
        <w:t>Section 12.2</w:t>
      </w:r>
      <w:r>
        <w:rPr>
          <w:rFonts w:ascii="Arial" w:cs="Arial" w:eastAsia="Arial" w:hAnsi="Arial"/>
          <w:sz w:val="16"/>
          <w:szCs w:val="16"/>
          <w:color w:val="auto"/>
        </w:rPr>
        <w:t>, the Board of Directors shall select one or more Persons to act as Liquidating Trustee. The Liquidating Trustee (if other than the General Partner) shall be entitled to receive such compensation for its services as may be approved by holders of at least a majority of the Outstanding Common Units. The Liquidating Trustee (if other than the General Partner) shall agree not to resign at any time without 15 days’ prior notice and may be removed at any time, with or without cause, by notice of removal approved by holders of at least a majority of the Outstanding Common Units. Upon dissolution, removal or resignation of the Liquidating Trustee, a successor and substitute Liquidating Trustee (who shall have and succeed to all rights, powers and duties of the original Liquidating Trustee) shall within 30 days thereafter be approved by the holders of at least a majority of the Outstanding Common Units. The right to approve a successor or substitute Liquidating Trustee in the manner provided herein shall be deemed to refer also to any such successor or substitute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Liquidating Trustee approved in the manner herein provided. Except as expressly provided in this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the Liquidating Trustee approved in the manner provided herein shall have and may exercise, without further authorization or consent of any of the parties hereto, all of the powers conferred upon the Board of Directors and the General Partner under the terms of this Agreement (but subject to all of the applicable limitations, contractual and otherwise, upon the exercise of such powers, other than the limitation on sale set forth in </w:t>
      </w:r>
      <w:r>
        <w:rPr>
          <w:rFonts w:ascii="Arial" w:cs="Arial" w:eastAsia="Arial" w:hAnsi="Arial"/>
          <w:sz w:val="18"/>
          <w:szCs w:val="18"/>
          <w:u w:val="single" w:color="auto"/>
          <w:color w:val="auto"/>
        </w:rPr>
        <w:t>Section 7.11(b)</w:t>
      </w:r>
      <w:r>
        <w:rPr>
          <w:rFonts w:ascii="Arial" w:cs="Arial" w:eastAsia="Arial" w:hAnsi="Arial"/>
          <w:sz w:val="18"/>
          <w:szCs w:val="18"/>
          <w:color w:val="auto"/>
        </w:rPr>
        <w:t>) necessary or appropriate to carry out the duties and functions of the Liquidating Trustee hereunder for and during the period of time required to complete the winding up and liquidation of the Partnership as provided for herein.</w:t>
      </w:r>
    </w:p>
    <w:p>
      <w:pPr>
        <w:spacing w:after="0" w:line="193"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 xml:space="preserve">Section 12.4. </w:t>
      </w:r>
      <w:r>
        <w:rPr>
          <w:rFonts w:ascii="Arial" w:cs="Arial" w:eastAsia="Arial" w:hAnsi="Arial"/>
          <w:sz w:val="18"/>
          <w:szCs w:val="18"/>
          <w:i w:val="1"/>
          <w:iCs w:val="1"/>
          <w:color w:val="auto"/>
        </w:rPr>
        <w:t>Liquidation</w:t>
      </w:r>
      <w:r>
        <w:rPr>
          <w:rFonts w:ascii="Arial" w:cs="Arial" w:eastAsia="Arial" w:hAnsi="Arial"/>
          <w:sz w:val="18"/>
          <w:szCs w:val="18"/>
          <w:color w:val="auto"/>
        </w:rPr>
        <w:t>. The Liquidating Trustee shall proceed to dispose of the assets of the Partnership, discharge its liabilities, and otherwise wind up its affairs in such manner and over such period as determined by the Liquidating Trustee, subject to the Marshall Islands Act and the following:</w:t>
      </w:r>
    </w:p>
    <w:p>
      <w:pPr>
        <w:spacing w:after="0" w:line="181" w:lineRule="exact"/>
        <w:rPr>
          <w:sz w:val="20"/>
          <w:szCs w:val="20"/>
          <w:color w:val="auto"/>
        </w:rPr>
      </w:pPr>
    </w:p>
    <w:p>
      <w:pPr>
        <w:ind w:right="60" w:firstLine="1305"/>
        <w:spacing w:after="0" w:line="297" w:lineRule="auto"/>
        <w:tabs>
          <w:tab w:leader="none" w:pos="1942"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The assets may be disposed of by public or private sale or by distribution in kind to one or more Partners on such terms as the Liquidating Trustee and such Partner or Partners may agree. If any property is distributed in kind, the Partner receiving the property shall be deemed for purposes of </w:t>
      </w:r>
      <w:r>
        <w:rPr>
          <w:rFonts w:ascii="Arial" w:cs="Arial" w:eastAsia="Arial" w:hAnsi="Arial"/>
          <w:sz w:val="16"/>
          <w:szCs w:val="16"/>
          <w:u w:val="single" w:color="auto"/>
          <w:color w:val="auto"/>
        </w:rPr>
        <w:t>Section 12.4(c)</w:t>
      </w:r>
      <w:r>
        <w:rPr>
          <w:rFonts w:ascii="Arial" w:cs="Arial" w:eastAsia="Arial" w:hAnsi="Arial"/>
          <w:sz w:val="16"/>
          <w:szCs w:val="16"/>
          <w:color w:val="auto"/>
        </w:rPr>
        <w:t xml:space="preserve"> to have received cash equal to its fair market value, and contemporaneously therewith, appropriate cash distributions must be made to the other Partners. The Liquidating Trustee may defer liquidation or distribution of the Partnership’s assets for a reasonable time if it determines that an immediate sale or distribution of all or some of the Partnership’s assets would be impractical or would cause undue loss to the Partners. The Liquidating</w:t>
      </w:r>
    </w:p>
    <w:p>
      <w:pPr>
        <w:sectPr>
          <w:pgSz w:w="11900" w:h="16838" w:orient="portrait"/>
          <w:cols w:equalWidth="0" w:num="1">
            <w:col w:w="11420"/>
          </w:cols>
          <w:pgMar w:left="240" w:top="125" w:right="239" w:bottom="0" w:gutter="0" w:footer="0" w:header="0"/>
        </w:sectPr>
      </w:pPr>
    </w:p>
    <w:bookmarkStart w:id="36" w:name="page37"/>
    <w:bookmarkEnd w:id="36"/>
    <w:p>
      <w:pPr>
        <w:ind w:right="220"/>
        <w:spacing w:after="0" w:line="277" w:lineRule="auto"/>
        <w:rPr>
          <w:sz w:val="20"/>
          <w:szCs w:val="20"/>
          <w:color w:val="auto"/>
        </w:rPr>
      </w:pPr>
      <w:r>
        <w:rPr>
          <w:rFonts w:ascii="Arial" w:cs="Arial" w:eastAsia="Arial" w:hAnsi="Arial"/>
          <w:sz w:val="18"/>
          <w:szCs w:val="18"/>
          <w:color w:val="auto"/>
        </w:rPr>
        <w:t>Trustee may distribute the Partnership’s assets, in whole or in part, in kind if it determines that a sale would be impractical or would cause undue loss to the Partners.</w:t>
      </w:r>
    </w:p>
    <w:p>
      <w:pPr>
        <w:spacing w:after="0" w:line="170" w:lineRule="exact"/>
        <w:rPr>
          <w:sz w:val="20"/>
          <w:szCs w:val="20"/>
          <w:color w:val="auto"/>
        </w:rPr>
      </w:pPr>
    </w:p>
    <w:p>
      <w:pPr>
        <w:ind w:right="100" w:firstLine="1305"/>
        <w:spacing w:after="0" w:line="276" w:lineRule="auto"/>
        <w:tabs>
          <w:tab w:leader="none" w:pos="1952"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The Liquidating Trustee shall first satisfy the liabilities of the Partnership. Liabilities of the Partnership include amounts owed to the Liquidating Trustee as compensation for serving in such capacity (subject to the terms of </w:t>
      </w:r>
      <w:r>
        <w:rPr>
          <w:rFonts w:ascii="Arial" w:cs="Arial" w:eastAsia="Arial" w:hAnsi="Arial"/>
          <w:sz w:val="17"/>
          <w:szCs w:val="17"/>
          <w:u w:val="single" w:color="auto"/>
          <w:color w:val="auto"/>
        </w:rPr>
        <w:t>Section 12.3</w:t>
      </w:r>
      <w:r>
        <w:rPr>
          <w:rFonts w:ascii="Arial" w:cs="Arial" w:eastAsia="Arial" w:hAnsi="Arial"/>
          <w:sz w:val="17"/>
          <w:szCs w:val="17"/>
          <w:color w:val="auto"/>
        </w:rPr>
        <w:t xml:space="preserve">) and amounts to Partners otherwise than in respect of their distribution rights under </w:t>
      </w:r>
      <w:r>
        <w:rPr>
          <w:rFonts w:ascii="Arial" w:cs="Arial" w:eastAsia="Arial" w:hAnsi="Arial"/>
          <w:sz w:val="17"/>
          <w:szCs w:val="17"/>
          <w:u w:val="single" w:color="auto"/>
          <w:color w:val="auto"/>
        </w:rPr>
        <w:t>Article VI</w:t>
      </w:r>
      <w:r>
        <w:rPr>
          <w:rFonts w:ascii="Arial" w:cs="Arial" w:eastAsia="Arial" w:hAnsi="Arial"/>
          <w:sz w:val="17"/>
          <w:szCs w:val="17"/>
          <w:color w:val="auto"/>
        </w:rPr>
        <w:t>. With respect to any liability that is contingent, conditional or unmatured or is otherwise not yet due and payable, the Liquidating Trustee shall either settle such claim for such amount as it deems appropriate or establish a reserve of cash or other assets to provide for its payment. When paid, any unused portion of the reserve shall be distributed as additional liquidation proceeds.</w:t>
      </w:r>
    </w:p>
    <w:p>
      <w:pPr>
        <w:spacing w:after="0" w:line="172" w:lineRule="exact"/>
        <w:rPr>
          <w:rFonts w:ascii="Arial" w:cs="Arial" w:eastAsia="Arial" w:hAnsi="Arial"/>
          <w:sz w:val="17"/>
          <w:szCs w:val="17"/>
          <w:color w:val="auto"/>
        </w:rPr>
      </w:pPr>
    </w:p>
    <w:p>
      <w:pPr>
        <w:ind w:right="420" w:firstLine="1305"/>
        <w:spacing w:after="0" w:line="308" w:lineRule="auto"/>
        <w:tabs>
          <w:tab w:leader="none" w:pos="1955"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All property and all cash in excess of that required to discharge liabilities as provided in this </w:t>
      </w:r>
      <w:r>
        <w:rPr>
          <w:rFonts w:ascii="Arial" w:cs="Arial" w:eastAsia="Arial" w:hAnsi="Arial"/>
          <w:sz w:val="17"/>
          <w:szCs w:val="17"/>
          <w:u w:val="single" w:color="auto"/>
          <w:color w:val="auto"/>
        </w:rPr>
        <w:t>Section 12.4</w:t>
      </w:r>
      <w:r>
        <w:rPr>
          <w:rFonts w:ascii="Arial" w:cs="Arial" w:eastAsia="Arial" w:hAnsi="Arial"/>
          <w:sz w:val="17"/>
          <w:szCs w:val="17"/>
          <w:color w:val="auto"/>
        </w:rPr>
        <w:t xml:space="preserve"> shall be distributed, subject to </w:t>
      </w:r>
      <w:r>
        <w:rPr>
          <w:rFonts w:ascii="Arial" w:cs="Arial" w:eastAsia="Arial" w:hAnsi="Arial"/>
          <w:sz w:val="17"/>
          <w:szCs w:val="17"/>
          <w:u w:val="single" w:color="auto"/>
          <w:color w:val="auto"/>
        </w:rPr>
        <w:t>Section 16.4</w:t>
      </w:r>
      <w:r>
        <w:rPr>
          <w:rFonts w:ascii="Arial" w:cs="Arial" w:eastAsia="Arial" w:hAnsi="Arial"/>
          <w:sz w:val="17"/>
          <w:szCs w:val="17"/>
          <w:color w:val="auto"/>
        </w:rPr>
        <w:t xml:space="preserve"> in respect of Series A Preference Units and </w:t>
      </w:r>
      <w:r>
        <w:rPr>
          <w:rFonts w:ascii="Arial" w:cs="Arial" w:eastAsia="Arial" w:hAnsi="Arial"/>
          <w:sz w:val="17"/>
          <w:szCs w:val="17"/>
          <w:u w:val="single" w:color="auto"/>
          <w:color w:val="auto"/>
        </w:rPr>
        <w:t>Section 17.4</w:t>
      </w:r>
      <w:r>
        <w:rPr>
          <w:rFonts w:ascii="Arial" w:cs="Arial" w:eastAsia="Arial" w:hAnsi="Arial"/>
          <w:sz w:val="17"/>
          <w:szCs w:val="17"/>
          <w:color w:val="auto"/>
        </w:rPr>
        <w:t xml:space="preserve"> in respect of Series B Preference Units, as follows:</w:t>
      </w:r>
    </w:p>
    <w:p>
      <w:pPr>
        <w:spacing w:after="0" w:line="147" w:lineRule="exact"/>
        <w:rPr>
          <w:sz w:val="20"/>
          <w:szCs w:val="20"/>
          <w:color w:val="auto"/>
        </w:rPr>
      </w:pPr>
    </w:p>
    <w:p>
      <w:pPr>
        <w:ind w:left="660" w:right="440" w:firstLine="645"/>
        <w:spacing w:after="0" w:line="277" w:lineRule="auto"/>
        <w:tabs>
          <w:tab w:leader="none" w:pos="1978"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the Current Market Price of the Common Units as of the date three trading days prior to the announcement of the proposed liquidation exceeds the Unrecovered Capital for a Common Unit:</w:t>
      </w:r>
    </w:p>
    <w:p>
      <w:pPr>
        <w:spacing w:after="0" w:line="170" w:lineRule="exact"/>
        <w:rPr>
          <w:rFonts w:ascii="Arial" w:cs="Arial" w:eastAsia="Arial" w:hAnsi="Arial"/>
          <w:sz w:val="18"/>
          <w:szCs w:val="18"/>
          <w:color w:val="auto"/>
        </w:rPr>
      </w:pPr>
    </w:p>
    <w:p>
      <w:pPr>
        <w:ind w:left="1300" w:right="60" w:firstLine="653"/>
        <w:spacing w:after="0" w:line="277" w:lineRule="auto"/>
        <w:tabs>
          <w:tab w:leader="none" w:pos="2617" w:val="left"/>
        </w:tabs>
        <w:numPr>
          <w:ilvl w:val="1"/>
          <w:numId w:val="75"/>
        </w:numPr>
        <w:rPr>
          <w:rFonts w:ascii="Arial" w:cs="Arial" w:eastAsia="Arial" w:hAnsi="Arial"/>
          <w:sz w:val="18"/>
          <w:szCs w:val="18"/>
          <w:color w:val="auto"/>
        </w:rPr>
      </w:pPr>
      <w:r>
        <w:rPr>
          <w:rFonts w:ascii="Arial" w:cs="Arial" w:eastAsia="Arial" w:hAnsi="Arial"/>
          <w:sz w:val="18"/>
          <w:szCs w:val="18"/>
          <w:color w:val="auto"/>
        </w:rPr>
        <w:t>First, (x) to the General Partner in accordance with its Percentage Interest and (y) to all the Unitholders holding Common Units, Pro Rata, a percentage equal to 100% less the General Partner’s Percentage Interest, until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00"/>
        <w:spacing w:after="0" w:line="277" w:lineRule="auto"/>
        <w:rPr>
          <w:sz w:val="20"/>
          <w:szCs w:val="20"/>
          <w:color w:val="auto"/>
        </w:rPr>
      </w:pPr>
      <w:r>
        <w:rPr>
          <w:rFonts w:ascii="Arial" w:cs="Arial" w:eastAsia="Arial" w:hAnsi="Arial"/>
          <w:sz w:val="18"/>
          <w:szCs w:val="18"/>
          <w:color w:val="auto"/>
        </w:rPr>
        <w:t>there has been distributed in respect of each Common Unit then Outstanding an amount equal to such Current Market Price of a Common Unit;</w:t>
      </w:r>
    </w:p>
    <w:p>
      <w:pPr>
        <w:spacing w:after="0" w:line="170" w:lineRule="exact"/>
        <w:rPr>
          <w:sz w:val="20"/>
          <w:szCs w:val="20"/>
          <w:color w:val="auto"/>
        </w:rPr>
      </w:pPr>
    </w:p>
    <w:p>
      <w:pPr>
        <w:ind w:left="1300" w:right="60" w:firstLine="653"/>
        <w:spacing w:after="0" w:line="264" w:lineRule="auto"/>
        <w:tabs>
          <w:tab w:leader="none" w:pos="2607" w:val="left"/>
        </w:tabs>
        <w:numPr>
          <w:ilvl w:val="1"/>
          <w:numId w:val="76"/>
        </w:numPr>
        <w:rPr>
          <w:rFonts w:ascii="Arial" w:cs="Arial" w:eastAsia="Arial" w:hAnsi="Arial"/>
          <w:sz w:val="18"/>
          <w:szCs w:val="18"/>
          <w:color w:val="auto"/>
        </w:rPr>
      </w:pPr>
      <w:r>
        <w:rPr>
          <w:rFonts w:ascii="Arial" w:cs="Arial" w:eastAsia="Arial" w:hAnsi="Arial"/>
          <w:sz w:val="18"/>
          <w:szCs w:val="18"/>
          <w:color w:val="auto"/>
        </w:rPr>
        <w:t xml:space="preserve">Thereafter (x) to the General Partner in accordance with its Percentage Interest; (y) 48% to the holders of the Incentive Distribution Rights, Pro Rata; and (z) to all Unitholders, Pro Rata, a percentage equal to 100% less the sum of the percentages applicable to </w:t>
      </w:r>
      <w:r>
        <w:rPr>
          <w:rFonts w:ascii="Arial" w:cs="Arial" w:eastAsia="Arial" w:hAnsi="Arial"/>
          <w:sz w:val="18"/>
          <w:szCs w:val="18"/>
          <w:u w:val="single" w:color="auto"/>
          <w:color w:val="auto"/>
        </w:rPr>
        <w:t>subclauses (x)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clause (i)(B)</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660" w:right="420" w:firstLine="645"/>
        <w:spacing w:after="0" w:line="277" w:lineRule="auto"/>
        <w:tabs>
          <w:tab w:leader="none" w:pos="1987"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the Current Market Price of the Common Units as of the date three trading days prior to the announcement of the proposed liquidation is equal to or less than the Unrecovered Capital for a Common Unit:</w:t>
      </w:r>
    </w:p>
    <w:p>
      <w:pPr>
        <w:spacing w:after="0" w:line="170" w:lineRule="exact"/>
        <w:rPr>
          <w:rFonts w:ascii="Arial" w:cs="Arial" w:eastAsia="Arial" w:hAnsi="Arial"/>
          <w:sz w:val="18"/>
          <w:szCs w:val="18"/>
          <w:color w:val="auto"/>
        </w:rPr>
      </w:pPr>
    </w:p>
    <w:p>
      <w:pPr>
        <w:jc w:val="both"/>
        <w:ind w:left="1300" w:firstLine="653"/>
        <w:spacing w:after="0" w:line="286" w:lineRule="auto"/>
        <w:tabs>
          <w:tab w:leader="none" w:pos="2617" w:val="left"/>
        </w:tabs>
        <w:numPr>
          <w:ilvl w:val="1"/>
          <w:numId w:val="77"/>
        </w:numPr>
        <w:rPr>
          <w:rFonts w:ascii="Arial" w:cs="Arial" w:eastAsia="Arial" w:hAnsi="Arial"/>
          <w:sz w:val="17"/>
          <w:szCs w:val="17"/>
          <w:color w:val="auto"/>
        </w:rPr>
      </w:pPr>
      <w:r>
        <w:rPr>
          <w:rFonts w:ascii="Arial" w:cs="Arial" w:eastAsia="Arial" w:hAnsi="Arial"/>
          <w:sz w:val="17"/>
          <w:szCs w:val="17"/>
          <w:color w:val="auto"/>
        </w:rPr>
        <w:t>First, (x) to the General Partner in accordance with its Percentage Interest and (y) to all the Unitholders holding Common Units, Pro Rata, a percentage equal to 100% less the General Partner’s Percentage Interest, until there has been distributed in respect of each Common Unit then Outstanding an amount equal to the Unrecovered Capital for a Common Unit;</w:t>
      </w:r>
    </w:p>
    <w:p>
      <w:pPr>
        <w:spacing w:after="0" w:line="165" w:lineRule="exact"/>
        <w:rPr>
          <w:rFonts w:ascii="Arial" w:cs="Arial" w:eastAsia="Arial" w:hAnsi="Arial"/>
          <w:sz w:val="17"/>
          <w:szCs w:val="17"/>
          <w:color w:val="auto"/>
        </w:rPr>
      </w:pPr>
    </w:p>
    <w:p>
      <w:pPr>
        <w:ind w:left="1300" w:right="60" w:firstLine="653"/>
        <w:spacing w:after="0" w:line="264" w:lineRule="auto"/>
        <w:tabs>
          <w:tab w:leader="none" w:pos="2607"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Thereafter, (x) to the General Partner in accordance with its Percentage Interest; (y) 48% to the holders of the Incentive Distribution Rights, Pro Rata; and (z) to all Unitholders, Pro Rata, a percentage equal to 100% less the sum of the percentages applicable to </w:t>
      </w:r>
      <w:r>
        <w:rPr>
          <w:rFonts w:ascii="Arial" w:cs="Arial" w:eastAsia="Arial" w:hAnsi="Arial"/>
          <w:sz w:val="18"/>
          <w:szCs w:val="18"/>
          <w:u w:val="single" w:color="auto"/>
          <w:color w:val="auto"/>
        </w:rPr>
        <w:t>subclauses (x)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clause (ii)(B)</w:t>
      </w:r>
      <w:r>
        <w:rPr>
          <w:rFonts w:ascii="Arial" w:cs="Arial" w:eastAsia="Arial" w:hAnsi="Arial"/>
          <w:sz w:val="18"/>
          <w:szCs w:val="18"/>
          <w:color w:val="auto"/>
        </w:rPr>
        <w:t>;</w:t>
      </w:r>
    </w:p>
    <w:p>
      <w:pPr>
        <w:spacing w:after="0" w:line="181"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 xml:space="preserve">Distributions with respect to Series A Preference Units described in </w:t>
      </w:r>
      <w:r>
        <w:rPr>
          <w:rFonts w:ascii="Arial" w:cs="Arial" w:eastAsia="Arial" w:hAnsi="Arial"/>
          <w:sz w:val="18"/>
          <w:szCs w:val="18"/>
          <w:u w:val="single" w:color="auto"/>
          <w:color w:val="auto"/>
        </w:rPr>
        <w:t>Article XVI</w:t>
      </w:r>
      <w:r>
        <w:rPr>
          <w:rFonts w:ascii="Arial" w:cs="Arial" w:eastAsia="Arial" w:hAnsi="Arial"/>
          <w:sz w:val="18"/>
          <w:szCs w:val="18"/>
          <w:color w:val="auto"/>
        </w:rPr>
        <w:t xml:space="preserve"> and Series B Preference Units described in </w:t>
      </w:r>
      <w:r>
        <w:rPr>
          <w:rFonts w:ascii="Arial" w:cs="Arial" w:eastAsia="Arial" w:hAnsi="Arial"/>
          <w:sz w:val="18"/>
          <w:szCs w:val="18"/>
          <w:u w:val="single" w:color="auto"/>
          <w:color w:val="auto"/>
        </w:rPr>
        <w:t>Article XVII</w:t>
      </w:r>
      <w:r>
        <w:rPr>
          <w:rFonts w:ascii="Arial" w:cs="Arial" w:eastAsia="Arial" w:hAnsi="Arial"/>
          <w:sz w:val="18"/>
          <w:szCs w:val="18"/>
          <w:color w:val="auto"/>
        </w:rPr>
        <w:t xml:space="preserve"> in connection with a liquidation or dissolution of the Partnership shall be made pursuant to </w:t>
      </w:r>
      <w:r>
        <w:rPr>
          <w:rFonts w:ascii="Arial" w:cs="Arial" w:eastAsia="Arial" w:hAnsi="Arial"/>
          <w:sz w:val="18"/>
          <w:szCs w:val="18"/>
          <w:u w:val="single" w:color="auto"/>
          <w:color w:val="auto"/>
        </w:rPr>
        <w:t>Section 16.4</w:t>
      </w:r>
      <w:r>
        <w:rPr>
          <w:rFonts w:ascii="Arial" w:cs="Arial" w:eastAsia="Arial" w:hAnsi="Arial"/>
          <w:sz w:val="18"/>
          <w:szCs w:val="18"/>
          <w:color w:val="auto"/>
        </w:rPr>
        <w:t xml:space="preserve"> with respect to Series A Preference Units and </w:t>
      </w:r>
      <w:r>
        <w:rPr>
          <w:rFonts w:ascii="Arial" w:cs="Arial" w:eastAsia="Arial" w:hAnsi="Arial"/>
          <w:sz w:val="18"/>
          <w:szCs w:val="18"/>
          <w:u w:val="single" w:color="auto"/>
          <w:color w:val="auto"/>
        </w:rPr>
        <w:t>Section 17.4</w:t>
      </w:r>
      <w:r>
        <w:rPr>
          <w:rFonts w:ascii="Arial" w:cs="Arial" w:eastAsia="Arial" w:hAnsi="Arial"/>
          <w:sz w:val="18"/>
          <w:szCs w:val="18"/>
          <w:color w:val="auto"/>
        </w:rPr>
        <w:t xml:space="preserve"> with respect to Series B Preference Units, rather than pursuant to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12.4(c)</w:t>
      </w:r>
      <w:r>
        <w:rPr>
          <w:rFonts w:ascii="Arial" w:cs="Arial" w:eastAsia="Arial" w:hAnsi="Arial"/>
          <w:sz w:val="18"/>
          <w:szCs w:val="18"/>
          <w:color w:val="auto"/>
        </w:rPr>
        <w:t>.</w:t>
      </w:r>
    </w:p>
    <w:p>
      <w:pPr>
        <w:spacing w:after="0" w:line="181" w:lineRule="exact"/>
        <w:rPr>
          <w:sz w:val="20"/>
          <w:szCs w:val="20"/>
          <w:color w:val="auto"/>
        </w:rPr>
      </w:pPr>
    </w:p>
    <w:p>
      <w:pPr>
        <w:ind w:right="180" w:firstLine="1297"/>
        <w:spacing w:after="0" w:line="259" w:lineRule="auto"/>
        <w:rPr>
          <w:sz w:val="20"/>
          <w:szCs w:val="20"/>
          <w:color w:val="auto"/>
        </w:rPr>
      </w:pPr>
      <w:r>
        <w:rPr>
          <w:rFonts w:ascii="Arial" w:cs="Arial" w:eastAsia="Arial" w:hAnsi="Arial"/>
          <w:sz w:val="18"/>
          <w:szCs w:val="18"/>
          <w:color w:val="auto"/>
        </w:rPr>
        <w:t xml:space="preserve">Section 12.5. </w:t>
      </w:r>
      <w:r>
        <w:rPr>
          <w:rFonts w:ascii="Arial" w:cs="Arial" w:eastAsia="Arial" w:hAnsi="Arial"/>
          <w:sz w:val="18"/>
          <w:szCs w:val="18"/>
          <w:i w:val="1"/>
          <w:iCs w:val="1"/>
          <w:color w:val="auto"/>
        </w:rPr>
        <w:t>Cancellation of Certificate of Limited Partnership</w:t>
      </w:r>
      <w:r>
        <w:rPr>
          <w:rFonts w:ascii="Arial" w:cs="Arial" w:eastAsia="Arial" w:hAnsi="Arial"/>
          <w:sz w:val="18"/>
          <w:szCs w:val="18"/>
          <w:color w:val="auto"/>
        </w:rPr>
        <w:t xml:space="preserve">. Upon the completion of the distribution of Partnership cash and property as provided in </w:t>
      </w:r>
      <w:r>
        <w:rPr>
          <w:rFonts w:ascii="Arial" w:cs="Arial" w:eastAsia="Arial" w:hAnsi="Arial"/>
          <w:sz w:val="18"/>
          <w:szCs w:val="18"/>
          <w:u w:val="single" w:color="auto"/>
          <w:color w:val="auto"/>
        </w:rPr>
        <w:t>Section 12.4</w:t>
      </w:r>
      <w:r>
        <w:rPr>
          <w:rFonts w:ascii="Arial" w:cs="Arial" w:eastAsia="Arial" w:hAnsi="Arial"/>
          <w:sz w:val="18"/>
          <w:szCs w:val="18"/>
          <w:color w:val="auto"/>
        </w:rPr>
        <w:t xml:space="preserve"> in connection with the liquidation of the Partnership, the Certificate of Limited Partnership and all qualifications of the Partnership as a foreign limited partnership in jurisdictions other than the Marshall Islands shall be canceled and such other actions as may be necessary to terminate the Partnership shall be taken.</w:t>
      </w:r>
    </w:p>
    <w:p>
      <w:pPr>
        <w:spacing w:after="0" w:line="187" w:lineRule="exact"/>
        <w:rPr>
          <w:sz w:val="20"/>
          <w:szCs w:val="20"/>
          <w:color w:val="auto"/>
        </w:rPr>
      </w:pPr>
    </w:p>
    <w:p>
      <w:pPr>
        <w:ind w:right="60" w:firstLine="1297"/>
        <w:spacing w:after="0" w:line="286" w:lineRule="auto"/>
        <w:rPr>
          <w:sz w:val="20"/>
          <w:szCs w:val="20"/>
          <w:color w:val="auto"/>
        </w:rPr>
      </w:pPr>
      <w:r>
        <w:rPr>
          <w:rFonts w:ascii="Arial" w:cs="Arial" w:eastAsia="Arial" w:hAnsi="Arial"/>
          <w:sz w:val="17"/>
          <w:szCs w:val="17"/>
          <w:color w:val="auto"/>
        </w:rPr>
        <w:t xml:space="preserve">Section 12.6. </w:t>
      </w:r>
      <w:r>
        <w:rPr>
          <w:rFonts w:ascii="Arial" w:cs="Arial" w:eastAsia="Arial" w:hAnsi="Arial"/>
          <w:sz w:val="17"/>
          <w:szCs w:val="17"/>
          <w:i w:val="1"/>
          <w:iCs w:val="1"/>
          <w:color w:val="auto"/>
        </w:rPr>
        <w:t>Return of Contributions</w:t>
      </w:r>
      <w:r>
        <w:rPr>
          <w:rFonts w:ascii="Arial" w:cs="Arial" w:eastAsia="Arial" w:hAnsi="Arial"/>
          <w:sz w:val="17"/>
          <w:szCs w:val="17"/>
          <w:color w:val="auto"/>
        </w:rPr>
        <w:t>. The General Partner shall not be personally liable for, and shall have no obligation to contribute or loan any monies or property to the Partnership to enable it to effectuate, the return of the Capital Contributions of the Limited Partners or Unitholders, or any portion thereof, it being expressly understood that any such return shall be made solely from Partnership assets.</w:t>
      </w:r>
    </w:p>
    <w:p>
      <w:pPr>
        <w:spacing w:after="0" w:line="166"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 xml:space="preserve">Section 12.7. </w:t>
      </w:r>
      <w:r>
        <w:rPr>
          <w:rFonts w:ascii="Arial" w:cs="Arial" w:eastAsia="Arial" w:hAnsi="Arial"/>
          <w:sz w:val="18"/>
          <w:szCs w:val="18"/>
          <w:i w:val="1"/>
          <w:iCs w:val="1"/>
          <w:color w:val="auto"/>
        </w:rPr>
        <w:t>Waiver of Partition</w:t>
      </w:r>
      <w:r>
        <w:rPr>
          <w:rFonts w:ascii="Arial" w:cs="Arial" w:eastAsia="Arial" w:hAnsi="Arial"/>
          <w:sz w:val="18"/>
          <w:szCs w:val="18"/>
          <w:color w:val="auto"/>
        </w:rPr>
        <w:t>. To the maximum extent permitted by law, each Partner hereby waives any right to partition of the Partnership property.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OF PARTNERSHIP AGREEMENT; MEETINGS; RECORD DATE</w:t>
      </w:r>
    </w:p>
    <w:p>
      <w:pPr>
        <w:spacing w:after="0" w:line="211"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Section 13.1. </w:t>
      </w:r>
      <w:r>
        <w:rPr>
          <w:rFonts w:ascii="Arial" w:cs="Arial" w:eastAsia="Arial" w:hAnsi="Arial"/>
          <w:sz w:val="18"/>
          <w:szCs w:val="18"/>
          <w:i w:val="1"/>
          <w:iCs w:val="1"/>
          <w:color w:val="auto"/>
        </w:rPr>
        <w:t>Amendments to be Adopted Without Approval of the Limited Partners or the General Partner</w:t>
      </w:r>
      <w:r>
        <w:rPr>
          <w:rFonts w:ascii="Arial" w:cs="Arial" w:eastAsia="Arial" w:hAnsi="Arial"/>
          <w:sz w:val="18"/>
          <w:szCs w:val="18"/>
          <w:color w:val="auto"/>
        </w:rPr>
        <w:t xml:space="preserve">. The General Partner and each Limited Partner agree that the Board of Directors, without the approval of any Limited Partner or, subject to </w:t>
      </w:r>
      <w:r>
        <w:rPr>
          <w:rFonts w:ascii="Arial" w:cs="Arial" w:eastAsia="Arial" w:hAnsi="Arial"/>
          <w:sz w:val="18"/>
          <w:szCs w:val="18"/>
          <w:u w:val="single" w:color="auto"/>
          <w:color w:val="auto"/>
        </w:rPr>
        <w:t>Section 5.5</w:t>
      </w:r>
      <w:r>
        <w:rPr>
          <w:rFonts w:ascii="Arial" w:cs="Arial" w:eastAsia="Arial" w:hAnsi="Arial"/>
          <w:sz w:val="18"/>
          <w:szCs w:val="18"/>
          <w:color w:val="auto"/>
        </w:rPr>
        <w:t>, the General Partner, may amend any provision of this Agreement and execute, swear to, acknowledge, deliver, file and record whatever documents may be required in connection therewith, to reflect:</w:t>
      </w:r>
    </w:p>
    <w:p>
      <w:pPr>
        <w:spacing w:after="0" w:line="187" w:lineRule="exact"/>
        <w:rPr>
          <w:sz w:val="20"/>
          <w:szCs w:val="20"/>
          <w:color w:val="auto"/>
        </w:rPr>
      </w:pPr>
    </w:p>
    <w:p>
      <w:pPr>
        <w:ind w:left="660" w:right="260" w:firstLine="645"/>
        <w:spacing w:after="0" w:line="277" w:lineRule="auto"/>
        <w:tabs>
          <w:tab w:leader="none" w:pos="1954"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change in the name of the Partnership, the location of the principal place of business of the Partnership, the registered agent of the Partnership or the registered office of the Partnership;</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admission, substitution, withdrawal or removal of Partners in accordance with this Agreement;</w:t>
      </w:r>
    </w:p>
    <w:p>
      <w:pPr>
        <w:spacing w:after="0" w:line="225" w:lineRule="exact"/>
        <w:rPr>
          <w:rFonts w:ascii="Arial" w:cs="Arial" w:eastAsia="Arial" w:hAnsi="Arial"/>
          <w:sz w:val="18"/>
          <w:szCs w:val="18"/>
          <w:color w:val="auto"/>
        </w:rPr>
      </w:pPr>
    </w:p>
    <w:p>
      <w:pPr>
        <w:ind w:left="660" w:right="520" w:firstLine="645"/>
        <w:spacing w:after="0" w:line="342" w:lineRule="auto"/>
        <w:tabs>
          <w:tab w:leader="none" w:pos="1967" w:val="left"/>
        </w:tabs>
        <w:numPr>
          <w:ilvl w:val="0"/>
          <w:numId w:val="78"/>
        </w:numPr>
        <w:rPr>
          <w:rFonts w:ascii="Arial" w:cs="Arial" w:eastAsia="Arial" w:hAnsi="Arial"/>
          <w:sz w:val="16"/>
          <w:szCs w:val="16"/>
          <w:color w:val="auto"/>
        </w:rPr>
      </w:pPr>
      <w:r>
        <w:rPr>
          <w:rFonts w:ascii="Arial" w:cs="Arial" w:eastAsia="Arial" w:hAnsi="Arial"/>
          <w:sz w:val="16"/>
          <w:szCs w:val="16"/>
          <w:color w:val="auto"/>
        </w:rPr>
        <w:t>a change that the Board of Directors determines to be necessary or appropriate to qualify or continue the qualification of the Partnership as a limited partnership or a partnership in which the Limited Partners have limited liability under the Marshall Islands Act;</w:t>
      </w:r>
    </w:p>
    <w:p>
      <w:pPr>
        <w:sectPr>
          <w:pgSz w:w="11900" w:h="16838" w:orient="portrait"/>
          <w:cols w:equalWidth="0" w:num="1">
            <w:col w:w="11420"/>
          </w:cols>
          <w:pgMar w:left="240" w:top="125" w:right="239" w:bottom="0" w:gutter="0" w:footer="0" w:header="0"/>
        </w:sectPr>
      </w:pPr>
    </w:p>
    <w:bookmarkStart w:id="37" w:name="page38"/>
    <w:bookmarkEnd w:id="37"/>
    <w:p>
      <w:pPr>
        <w:spacing w:after="0" w:line="137" w:lineRule="exact"/>
        <w:rPr>
          <w:sz w:val="20"/>
          <w:szCs w:val="20"/>
          <w:color w:val="auto"/>
        </w:rPr>
      </w:pPr>
    </w:p>
    <w:p>
      <w:pPr>
        <w:ind w:left="660" w:right="60" w:firstLine="645"/>
        <w:spacing w:after="0" w:line="271" w:lineRule="auto"/>
        <w:tabs>
          <w:tab w:leader="none" w:pos="1964"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16.5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17.5</w:t>
      </w:r>
      <w:r>
        <w:rPr>
          <w:rFonts w:ascii="Arial" w:cs="Arial" w:eastAsia="Arial" w:hAnsi="Arial"/>
          <w:sz w:val="17"/>
          <w:szCs w:val="17"/>
          <w:color w:val="auto"/>
        </w:rPr>
        <w:t xml:space="preserve">, to the extent applicable, a change that the Board of Directors determines (i) does not adversely affect the rights of the Limited Partners (including any particular class or series of Partnership Interests as compared to other classes or series of Partnership Interests) in any material respect, (ii) to be necessary or appropriate to (A) satisfy any requirements, conditions or guidelines contained in any opinion, directive, order, ruling or regulation of any Marshall Islands authority (including the Marshall Islands Act) or (B) facilitate the trading of the Units or comply with any rule, regulation, guideline or requirement of any National Securities Exchange on which the Units are or will be listed, or admitted to trading, (iii) to be necessary or appropriate in connection with action taken by the Board of Directors pursuant to </w:t>
      </w:r>
      <w:r>
        <w:rPr>
          <w:rFonts w:ascii="Arial" w:cs="Arial" w:eastAsia="Arial" w:hAnsi="Arial"/>
          <w:sz w:val="17"/>
          <w:szCs w:val="17"/>
          <w:u w:val="single" w:color="auto"/>
          <w:color w:val="auto"/>
        </w:rPr>
        <w:t>Section 5.7</w:t>
      </w:r>
      <w:r>
        <w:rPr>
          <w:rFonts w:ascii="Arial" w:cs="Arial" w:eastAsia="Arial" w:hAnsi="Arial"/>
          <w:sz w:val="17"/>
          <w:szCs w:val="17"/>
          <w:color w:val="auto"/>
        </w:rPr>
        <w:t xml:space="preserve"> or (iv) is required to effect the intent expressed in the Registration Statement or the intent of the provisions of this Agreement or is otherwise contemplated by this Agreement;</w:t>
      </w:r>
    </w:p>
    <w:p>
      <w:pPr>
        <w:spacing w:after="0" w:line="178" w:lineRule="exact"/>
        <w:rPr>
          <w:rFonts w:ascii="Arial" w:cs="Arial" w:eastAsia="Arial" w:hAnsi="Arial"/>
          <w:sz w:val="17"/>
          <w:szCs w:val="17"/>
          <w:color w:val="auto"/>
        </w:rPr>
      </w:pPr>
    </w:p>
    <w:p>
      <w:pPr>
        <w:ind w:left="660" w:right="80" w:firstLine="645"/>
        <w:spacing w:after="0" w:line="259" w:lineRule="auto"/>
        <w:tabs>
          <w:tab w:leader="none" w:pos="1967"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change in the fiscal year or taxable year of the Partnership and any other changes that the Board of Directors determines to be necessary or appropriate as a result of a change in the fiscal year or taxable year of the Partnership including, if the Board of Directors shall so determine, a change in the definition of “Quarter” and the dates on which distributions (other than Series A Distributions and Series B Distributions) are to be made by the Partnership;</w:t>
      </w:r>
    </w:p>
    <w:p>
      <w:pPr>
        <w:spacing w:after="0" w:line="186" w:lineRule="exact"/>
        <w:rPr>
          <w:rFonts w:ascii="Arial" w:cs="Arial" w:eastAsia="Arial" w:hAnsi="Arial"/>
          <w:sz w:val="18"/>
          <w:szCs w:val="18"/>
          <w:color w:val="auto"/>
        </w:rPr>
      </w:pPr>
    </w:p>
    <w:p>
      <w:pPr>
        <w:ind w:left="660" w:right="180" w:firstLine="645"/>
        <w:spacing w:after="0" w:line="277" w:lineRule="auto"/>
        <w:tabs>
          <w:tab w:leader="none" w:pos="1961"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amendment that is necessary, in the Opinion of Counsel, to prevent the Partnership, the members of the Board of Directors, or the General Partner or its or their directors, officers, trustees or agents from in any manner being subjected to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60"/>
        <w:spacing w:after="0" w:line="286" w:lineRule="auto"/>
        <w:rPr>
          <w:sz w:val="20"/>
          <w:szCs w:val="20"/>
          <w:color w:val="auto"/>
        </w:rPr>
      </w:pPr>
      <w:r>
        <w:rPr>
          <w:rFonts w:ascii="Arial" w:cs="Arial" w:eastAsia="Arial" w:hAnsi="Arial"/>
          <w:sz w:val="17"/>
          <w:szCs w:val="17"/>
          <w:color w:val="auto"/>
        </w:rPr>
        <w:t>provisions of the U.S. Investment Company Act of 1940, as amended, the U.S. Investment Advisers Act of 1940, as amended, or “plan asset” regulations adopted under the U.S. Employee Retirement Income Security Act of 1974, as amended, regardless of whether such regulations are substantially similar to plan asset regulations currently applied or proposed by the United States Department of Labor;</w:t>
      </w:r>
    </w:p>
    <w:p>
      <w:pPr>
        <w:spacing w:after="0" w:line="166" w:lineRule="exact"/>
        <w:rPr>
          <w:sz w:val="20"/>
          <w:szCs w:val="20"/>
          <w:color w:val="auto"/>
        </w:rPr>
      </w:pPr>
    </w:p>
    <w:p>
      <w:pPr>
        <w:ind w:left="660" w:right="280" w:firstLine="645"/>
        <w:spacing w:after="0" w:line="264" w:lineRule="auto"/>
        <w:tabs>
          <w:tab w:leader="none" w:pos="1977"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16.5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17.5</w:t>
      </w:r>
      <w:r>
        <w:rPr>
          <w:rFonts w:ascii="Arial" w:cs="Arial" w:eastAsia="Arial" w:hAnsi="Arial"/>
          <w:sz w:val="18"/>
          <w:szCs w:val="18"/>
          <w:color w:val="auto"/>
        </w:rPr>
        <w:t xml:space="preserve">, an amendment that the Board of Directors, and if required by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the General Partner, determines to be necessary or appropriate in connection with the authorization of issuance of any class or series of Partnership Interests pursuant to </w:t>
      </w:r>
      <w:r>
        <w:rPr>
          <w:rFonts w:ascii="Arial" w:cs="Arial" w:eastAsia="Arial" w:hAnsi="Arial"/>
          <w:sz w:val="18"/>
          <w:szCs w:val="18"/>
          <w:u w:val="single" w:color="auto"/>
          <w:color w:val="auto"/>
        </w:rPr>
        <w:t>Section 5.4</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660" w:right="60" w:firstLine="645"/>
        <w:spacing w:after="0" w:line="264" w:lineRule="auto"/>
        <w:tabs>
          <w:tab w:leader="none" w:pos="1964"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amendment that the Board of Directors determines to be necessary or appropriate for the authorization of additional Partnership Interests or rights to acquire Partnership Interests, including any amendment that the Board of Directors determines is necessary or appropriate in connection with:</w:t>
      </w:r>
    </w:p>
    <w:p>
      <w:pPr>
        <w:spacing w:after="0" w:line="181" w:lineRule="exact"/>
        <w:rPr>
          <w:rFonts w:ascii="Arial" w:cs="Arial" w:eastAsia="Arial" w:hAnsi="Arial"/>
          <w:sz w:val="18"/>
          <w:szCs w:val="18"/>
          <w:color w:val="auto"/>
        </w:rPr>
      </w:pPr>
    </w:p>
    <w:p>
      <w:pPr>
        <w:ind w:left="1300" w:right="180" w:firstLine="653"/>
        <w:spacing w:after="0" w:line="277" w:lineRule="auto"/>
        <w:tabs>
          <w:tab w:leader="none" w:pos="2618" w:val="left"/>
        </w:tabs>
        <w:numPr>
          <w:ilvl w:val="1"/>
          <w:numId w:val="80"/>
        </w:numPr>
        <w:rPr>
          <w:rFonts w:ascii="Arial" w:cs="Arial" w:eastAsia="Arial" w:hAnsi="Arial"/>
          <w:sz w:val="18"/>
          <w:szCs w:val="18"/>
          <w:color w:val="auto"/>
        </w:rPr>
      </w:pPr>
      <w:r>
        <w:rPr>
          <w:rFonts w:ascii="Arial" w:cs="Arial" w:eastAsia="Arial" w:hAnsi="Arial"/>
          <w:sz w:val="18"/>
          <w:szCs w:val="18"/>
          <w:color w:val="auto"/>
        </w:rPr>
        <w:t xml:space="preserve">the adjustments of the Minimum Quarterly Distribution, First Target Distribution, Second Target Distribution and Third Target Distribution in connection with the IDR Reset Election in accordance with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the implementation of the provisions relating to GasLog’s right to reset its Incentive Distribution Rights in exchange for</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Common Units;</w:t>
      </w:r>
    </w:p>
    <w:p>
      <w:pPr>
        <w:spacing w:after="0" w:line="210" w:lineRule="exact"/>
        <w:rPr>
          <w:rFonts w:ascii="Arial" w:cs="Arial" w:eastAsia="Arial" w:hAnsi="Arial"/>
          <w:sz w:val="16"/>
          <w:szCs w:val="16"/>
          <w:color w:val="auto"/>
        </w:rPr>
      </w:pPr>
    </w:p>
    <w:p>
      <w:pPr>
        <w:ind w:left="1300" w:right="300" w:firstLine="653"/>
        <w:spacing w:after="0" w:line="312" w:lineRule="auto"/>
        <w:tabs>
          <w:tab w:leader="none" w:pos="2637" w:val="left"/>
        </w:tabs>
        <w:numPr>
          <w:ilvl w:val="1"/>
          <w:numId w:val="80"/>
        </w:numPr>
        <w:rPr>
          <w:rFonts w:ascii="Arial" w:cs="Arial" w:eastAsia="Arial" w:hAnsi="Arial"/>
          <w:sz w:val="16"/>
          <w:szCs w:val="16"/>
          <w:color w:val="auto"/>
        </w:rPr>
      </w:pPr>
      <w:r>
        <w:rPr>
          <w:rFonts w:ascii="Arial" w:cs="Arial" w:eastAsia="Arial" w:hAnsi="Arial"/>
          <w:sz w:val="16"/>
          <w:szCs w:val="16"/>
          <w:color w:val="auto"/>
        </w:rPr>
        <w:t xml:space="preserve">any modification of the Incentive Distribution Rights made in connection with the issuance of additional Partnership Interests or rights to acquire Partnership Interests,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this </w:t>
      </w:r>
      <w:r>
        <w:rPr>
          <w:rFonts w:ascii="Arial" w:cs="Arial" w:eastAsia="Arial" w:hAnsi="Arial"/>
          <w:sz w:val="16"/>
          <w:szCs w:val="16"/>
          <w:u w:val="single" w:color="auto"/>
          <w:color w:val="auto"/>
        </w:rPr>
        <w:t>clause (iii)</w:t>
      </w:r>
      <w:r>
        <w:rPr>
          <w:rFonts w:ascii="Arial" w:cs="Arial" w:eastAsia="Arial" w:hAnsi="Arial"/>
          <w:sz w:val="16"/>
          <w:szCs w:val="16"/>
          <w:color w:val="auto"/>
        </w:rPr>
        <w:t>, any such modifications to the Incentive Distribution Rights and the related issuance of Partnership Interests have received Special Approval; or</w:t>
      </w:r>
    </w:p>
    <w:p>
      <w:pPr>
        <w:spacing w:after="0" w:line="146" w:lineRule="exact"/>
        <w:rPr>
          <w:rFonts w:ascii="Arial" w:cs="Arial" w:eastAsia="Arial" w:hAnsi="Arial"/>
          <w:sz w:val="16"/>
          <w:szCs w:val="16"/>
          <w:color w:val="auto"/>
        </w:rPr>
      </w:pPr>
    </w:p>
    <w:p>
      <w:pPr>
        <w:ind w:left="2620" w:hanging="667"/>
        <w:spacing w:after="0"/>
        <w:tabs>
          <w:tab w:leader="none" w:pos="26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amendment expressly permitted in this Agreement to be made by the Board of Directors acting alone;</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 xml:space="preserve">an amendment effected, necessitated or contemplated by a Merger Agreement approved in accordance with </w:t>
      </w:r>
      <w:r>
        <w:rPr>
          <w:rFonts w:ascii="Arial" w:cs="Arial" w:eastAsia="Arial" w:hAnsi="Arial"/>
          <w:sz w:val="17"/>
          <w:szCs w:val="17"/>
          <w:u w:val="single" w:color="auto"/>
          <w:color w:val="auto"/>
        </w:rPr>
        <w:t>Section 14.3</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660" w:right="20" w:firstLine="645"/>
        <w:spacing w:after="0" w:line="264" w:lineRule="auto"/>
        <w:tabs>
          <w:tab w:leader="none" w:pos="1964"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an amendment that the Board of Directors determines to be necessary or appropriate to reflect and account for the formation by the Partnership of, or investment by the Partnership in, any corporation, partnership, joint venture, limited liability company or other Person, in connection with the conduct by the Partnership of activities permitted by the terms of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a conversion, merger or conveyance pursuant to </w:t>
      </w:r>
      <w:r>
        <w:rPr>
          <w:rFonts w:ascii="Arial" w:cs="Arial" w:eastAsia="Arial" w:hAnsi="Arial"/>
          <w:sz w:val="18"/>
          <w:szCs w:val="18"/>
          <w:u w:val="single" w:color="auto"/>
          <w:color w:val="auto"/>
        </w:rPr>
        <w:t>Section 14.3(d)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amendment to cure any ambiguity, defect or inconsistency;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other amendments substantially similar to the foregoing.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297"/>
        <w:spacing w:after="0" w:line="269" w:lineRule="auto"/>
        <w:rPr>
          <w:sz w:val="20"/>
          <w:szCs w:val="20"/>
          <w:color w:val="auto"/>
        </w:rPr>
      </w:pPr>
      <w:r>
        <w:rPr>
          <w:rFonts w:ascii="Arial" w:cs="Arial" w:eastAsia="Arial" w:hAnsi="Arial"/>
          <w:sz w:val="17"/>
          <w:szCs w:val="17"/>
          <w:color w:val="auto"/>
        </w:rPr>
        <w:t xml:space="preserve">Section 13.2. </w:t>
      </w:r>
      <w:r>
        <w:rPr>
          <w:rFonts w:ascii="Arial" w:cs="Arial" w:eastAsia="Arial" w:hAnsi="Arial"/>
          <w:sz w:val="17"/>
          <w:szCs w:val="17"/>
          <w:i w:val="1"/>
          <w:iCs w:val="1"/>
          <w:color w:val="auto"/>
        </w:rPr>
        <w:t>Amendment Procedures</w:t>
      </w:r>
      <w:r>
        <w:rPr>
          <w:rFonts w:ascii="Arial" w:cs="Arial" w:eastAsia="Arial" w:hAnsi="Arial"/>
          <w:sz w:val="17"/>
          <w:szCs w:val="17"/>
          <w:color w:val="auto"/>
        </w:rPr>
        <w:t xml:space="preserve">. Except as provided in </w:t>
      </w:r>
      <w:r>
        <w:rPr>
          <w:rFonts w:ascii="Arial" w:cs="Arial" w:eastAsia="Arial" w:hAnsi="Arial"/>
          <w:sz w:val="17"/>
          <w:szCs w:val="17"/>
          <w:u w:val="single" w:color="auto"/>
          <w:color w:val="auto"/>
        </w:rPr>
        <w:t>Section 13.1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13.3</w:t>
      </w:r>
      <w:r>
        <w:rPr>
          <w:rFonts w:ascii="Arial" w:cs="Arial" w:eastAsia="Arial" w:hAnsi="Arial"/>
          <w:sz w:val="17"/>
          <w:szCs w:val="17"/>
          <w:color w:val="auto"/>
        </w:rPr>
        <w:t xml:space="preserve">, all amendments to this Agreement shall be made in accordance with the following requirements. Amendments to this Agreement may be proposed only by, or with the written consent of, the Board of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Board of Directors shall have no duty or obligation to propose any amendment to this Agreement and may decline to do so free of any fiduciary duty or obligation whatsoever to the Partnership or any Limited Partner, any Record Holder or any other Person and, in declining to propose an amendment, to the fullest extent permitted by applicable law shall not be required to act in good faith or pursuant to any other standard imposed by this Agreement, any Group Member Agreement, any other agreement contemplated hereby or under the Marshall Islands Act or any other law, rule or regulation. Subject to </w:t>
      </w:r>
      <w:r>
        <w:rPr>
          <w:rFonts w:ascii="Arial" w:cs="Arial" w:eastAsia="Arial" w:hAnsi="Arial"/>
          <w:sz w:val="17"/>
          <w:szCs w:val="17"/>
          <w:u w:val="single" w:color="auto"/>
          <w:color w:val="auto"/>
        </w:rPr>
        <w:t>Section 16.5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17.5</w:t>
      </w:r>
      <w:r>
        <w:rPr>
          <w:rFonts w:ascii="Arial" w:cs="Arial" w:eastAsia="Arial" w:hAnsi="Arial"/>
          <w:sz w:val="17"/>
          <w:szCs w:val="17"/>
          <w:color w:val="auto"/>
        </w:rPr>
        <w:t>, to the extent applicable, a proposed amendment shall be effective upon its approval by the Board of Directors and, if applicable, the holders of a Unit Majority, unless a greater or different percentage is required under this Agreement or by the Marshall Islands Act. Each proposed amendment that requires the approval of the holders of a specified percentage of Outstanding Units shall be set forth in a writing that contains the text of the proposed amendment. If such an amendment is proposed, the Board of Directors shall seek the written approval of the requisite percentage of Outstanding Units or call a meeting of the Unitholders to consider and vote on such proposed amendment. The Board of Directors shall notify all Record Holders upon final adoption of any such proposed amendments.</w:t>
      </w:r>
    </w:p>
    <w:p>
      <w:pPr>
        <w:spacing w:after="0" w:line="180" w:lineRule="exact"/>
        <w:rPr>
          <w:sz w:val="20"/>
          <w:szCs w:val="20"/>
          <w:color w:val="auto"/>
        </w:rPr>
      </w:pPr>
    </w:p>
    <w:p>
      <w:pPr>
        <w:ind w:right="160" w:firstLine="1297"/>
        <w:spacing w:after="0" w:line="342" w:lineRule="auto"/>
        <w:rPr>
          <w:sz w:val="20"/>
          <w:szCs w:val="20"/>
          <w:color w:val="auto"/>
        </w:rPr>
      </w:pPr>
      <w:r>
        <w:rPr>
          <w:rFonts w:ascii="Arial" w:cs="Arial" w:eastAsia="Arial" w:hAnsi="Arial"/>
          <w:sz w:val="16"/>
          <w:szCs w:val="16"/>
          <w:color w:val="auto"/>
        </w:rPr>
        <w:t xml:space="preserve">Section 13.3. </w:t>
      </w:r>
      <w:r>
        <w:rPr>
          <w:rFonts w:ascii="Arial" w:cs="Arial" w:eastAsia="Arial" w:hAnsi="Arial"/>
          <w:sz w:val="16"/>
          <w:szCs w:val="16"/>
          <w:i w:val="1"/>
          <w:iCs w:val="1"/>
          <w:color w:val="auto"/>
        </w:rPr>
        <w:t>Amendment Requirements</w:t>
      </w:r>
      <w:r>
        <w:rPr>
          <w:rFonts w:ascii="Arial" w:cs="Arial" w:eastAsia="Arial" w:hAnsi="Arial"/>
          <w:sz w:val="16"/>
          <w:szCs w:val="16"/>
          <w:color w:val="auto"/>
        </w:rPr>
        <w:t xml:space="preserve">. (a) Notwithstanding the provisions of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13.2</w:t>
      </w:r>
      <w:r>
        <w:rPr>
          <w:rFonts w:ascii="Arial" w:cs="Arial" w:eastAsia="Arial" w:hAnsi="Arial"/>
          <w:sz w:val="16"/>
          <w:szCs w:val="16"/>
          <w:color w:val="auto"/>
        </w:rPr>
        <w:t>, no provision of this Agreement that establishes a percentage of Outstanding Units (including Units deemed owned by the General Partner and its Affiliates) required to take any</w:t>
      </w:r>
    </w:p>
    <w:p>
      <w:pPr>
        <w:sectPr>
          <w:pgSz w:w="11900" w:h="16975" w:orient="portrait"/>
          <w:cols w:equalWidth="0" w:num="1">
            <w:col w:w="11420"/>
          </w:cols>
          <w:pgMar w:left="240" w:top="125" w:right="239" w:bottom="0" w:gutter="0" w:footer="0" w:header="0"/>
        </w:sectPr>
      </w:pPr>
    </w:p>
    <w:bookmarkStart w:id="38" w:name="page39"/>
    <w:bookmarkEnd w:id="38"/>
    <w:p>
      <w:pPr>
        <w:spacing w:after="0" w:line="10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action shall be amended, altered, changed, repealed or rescinded in any respect that would have the effect of (i) in the case of any provision of this Agreement other than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13.4</w:t>
      </w:r>
      <w:r>
        <w:rPr>
          <w:rFonts w:ascii="Arial" w:cs="Arial" w:eastAsia="Arial" w:hAnsi="Arial"/>
          <w:sz w:val="18"/>
          <w:szCs w:val="18"/>
          <w:color w:val="auto"/>
        </w:rPr>
        <w:t xml:space="preserve">, reducing such percentage or (ii) in the case of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13.4</w:t>
      </w:r>
      <w:r>
        <w:rPr>
          <w:rFonts w:ascii="Arial" w:cs="Arial" w:eastAsia="Arial" w:hAnsi="Arial"/>
          <w:sz w:val="18"/>
          <w:szCs w:val="18"/>
          <w:color w:val="auto"/>
        </w:rPr>
        <w:t>, increasing such percentage, unless such amendment is approved by the written consent or the affirmative vote of holders of Outstanding Units whose aggregate Outstanding Units constitute not less than the voting requirement sought to be reduced.</w:t>
      </w:r>
    </w:p>
    <w:p>
      <w:pPr>
        <w:spacing w:after="0" w:line="187" w:lineRule="exact"/>
        <w:rPr>
          <w:sz w:val="20"/>
          <w:szCs w:val="20"/>
          <w:color w:val="auto"/>
        </w:rPr>
      </w:pPr>
    </w:p>
    <w:p>
      <w:pPr>
        <w:ind w:firstLine="1305"/>
        <w:spacing w:after="0" w:line="302" w:lineRule="auto"/>
        <w:tabs>
          <w:tab w:leader="none" w:pos="1952" w:val="left"/>
        </w:tabs>
        <w:numPr>
          <w:ilvl w:val="1"/>
          <w:numId w:val="81"/>
        </w:numPr>
        <w:rPr>
          <w:rFonts w:ascii="Arial" w:cs="Arial" w:eastAsia="Arial" w:hAnsi="Arial"/>
          <w:sz w:val="16"/>
          <w:szCs w:val="16"/>
          <w:color w:val="auto"/>
        </w:rPr>
      </w:pPr>
      <w:r>
        <w:rPr>
          <w:rFonts w:ascii="Arial" w:cs="Arial" w:eastAsia="Arial" w:hAnsi="Arial"/>
          <w:sz w:val="16"/>
          <w:szCs w:val="16"/>
          <w:color w:val="auto"/>
        </w:rPr>
        <w:t xml:space="preserve">Notwithstanding the provisions of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13.2</w:t>
      </w:r>
      <w:r>
        <w:rPr>
          <w:rFonts w:ascii="Arial" w:cs="Arial" w:eastAsia="Arial" w:hAnsi="Arial"/>
          <w:sz w:val="16"/>
          <w:szCs w:val="16"/>
          <w:color w:val="auto"/>
        </w:rPr>
        <w:t xml:space="preserve">, no amendment to this Agreement may (i) enlarge the obligations of any Limited Partner without its consent, unless such enlargement shall be deemed to have occurred as a result of an amendment approved pursuant to </w:t>
      </w:r>
      <w:r>
        <w:rPr>
          <w:rFonts w:ascii="Arial" w:cs="Arial" w:eastAsia="Arial" w:hAnsi="Arial"/>
          <w:sz w:val="16"/>
          <w:szCs w:val="16"/>
          <w:u w:val="single" w:color="auto"/>
          <w:color w:val="auto"/>
        </w:rPr>
        <w:t>Section 13.3(c)</w:t>
      </w:r>
      <w:r>
        <w:rPr>
          <w:rFonts w:ascii="Arial" w:cs="Arial" w:eastAsia="Arial" w:hAnsi="Arial"/>
          <w:sz w:val="16"/>
          <w:szCs w:val="16"/>
          <w:color w:val="auto"/>
        </w:rPr>
        <w:t xml:space="preserve"> or (ii) enlarge the obligations of, restrict in any way any action by or rights of, or reduce in any way the amounts distributable, reimbursable or otherwise payable to, the General Partner or any of its Affiliates without its consent, which consent may be given or withheld at the General Partner’s option.</w:t>
      </w:r>
    </w:p>
    <w:p>
      <w:pPr>
        <w:spacing w:after="0" w:line="154" w:lineRule="exact"/>
        <w:rPr>
          <w:rFonts w:ascii="Arial" w:cs="Arial" w:eastAsia="Arial" w:hAnsi="Arial"/>
          <w:sz w:val="16"/>
          <w:szCs w:val="16"/>
          <w:color w:val="auto"/>
        </w:rPr>
      </w:pPr>
    </w:p>
    <w:p>
      <w:pPr>
        <w:ind w:left="1960" w:hanging="655"/>
        <w:spacing w:after="0"/>
        <w:tabs>
          <w:tab w:leader="none" w:pos="1960" w:val="left"/>
        </w:tabs>
        <w:numPr>
          <w:ilvl w:val="1"/>
          <w:numId w:val="81"/>
        </w:numPr>
        <w:rPr>
          <w:rFonts w:ascii="Arial" w:cs="Arial" w:eastAsia="Arial" w:hAnsi="Arial"/>
          <w:sz w:val="16"/>
          <w:szCs w:val="16"/>
          <w:color w:val="auto"/>
        </w:rPr>
      </w:pPr>
      <w:r>
        <w:rPr>
          <w:rFonts w:ascii="Arial" w:cs="Arial" w:eastAsia="Arial" w:hAnsi="Arial"/>
          <w:sz w:val="16"/>
          <w:szCs w:val="16"/>
          <w:color w:val="auto"/>
        </w:rPr>
        <w:t xml:space="preserve">Except as provided in </w:t>
      </w:r>
      <w:r>
        <w:rPr>
          <w:rFonts w:ascii="Arial" w:cs="Arial" w:eastAsia="Arial" w:hAnsi="Arial"/>
          <w:sz w:val="16"/>
          <w:szCs w:val="16"/>
          <w:u w:val="single" w:color="auto"/>
          <w:color w:val="auto"/>
        </w:rPr>
        <w:t>Section 14.3</w:t>
      </w:r>
      <w:r>
        <w:rPr>
          <w:rFonts w:ascii="Arial" w:cs="Arial" w:eastAsia="Arial" w:hAnsi="Arial"/>
          <w:sz w:val="16"/>
          <w:szCs w:val="16"/>
          <w:color w:val="auto"/>
        </w:rPr>
        <w:t xml:space="preserve"> and subject to </w:t>
      </w:r>
      <w:r>
        <w:rPr>
          <w:rFonts w:ascii="Arial" w:cs="Arial" w:eastAsia="Arial" w:hAnsi="Arial"/>
          <w:sz w:val="16"/>
          <w:szCs w:val="16"/>
          <w:u w:val="single" w:color="auto"/>
          <w:color w:val="auto"/>
        </w:rPr>
        <w:t>Section 16.5(c)(i)</w:t>
      </w:r>
      <w:r>
        <w:rPr>
          <w:rFonts w:ascii="Arial" w:cs="Arial" w:eastAsia="Arial" w:hAnsi="Arial"/>
          <w:sz w:val="16"/>
          <w:szCs w:val="16"/>
          <w:color w:val="auto"/>
        </w:rPr>
        <w:t xml:space="preserve"> with respect to Series A Preference Units and </w:t>
      </w:r>
      <w:r>
        <w:rPr>
          <w:rFonts w:ascii="Arial" w:cs="Arial" w:eastAsia="Arial" w:hAnsi="Arial"/>
          <w:sz w:val="16"/>
          <w:szCs w:val="16"/>
          <w:u w:val="single" w:color="auto"/>
          <w:color w:val="auto"/>
        </w:rPr>
        <w:t>Section 17.5(c)</w:t>
      </w:r>
    </w:p>
    <w:p>
      <w:pPr>
        <w:spacing w:after="0" w:line="46" w:lineRule="exact"/>
        <w:rPr>
          <w:rFonts w:ascii="Arial" w:cs="Arial" w:eastAsia="Arial" w:hAnsi="Arial"/>
          <w:sz w:val="16"/>
          <w:szCs w:val="16"/>
          <w:color w:val="auto"/>
        </w:rPr>
      </w:pPr>
    </w:p>
    <w:p>
      <w:pPr>
        <w:jc w:val="both"/>
        <w:ind w:right="40" w:firstLine="8"/>
        <w:spacing w:after="0" w:line="295" w:lineRule="auto"/>
        <w:tabs>
          <w:tab w:leader="none" w:pos="215" w:val="left"/>
        </w:tabs>
        <w:numPr>
          <w:ilvl w:val="0"/>
          <w:numId w:val="82"/>
        </w:numPr>
        <w:rPr>
          <w:rFonts w:ascii="Arial" w:cs="Arial" w:eastAsia="Arial" w:hAnsi="Arial"/>
          <w:sz w:val="16"/>
          <w:szCs w:val="16"/>
          <w:u w:val="single" w:color="auto"/>
          <w:color w:val="auto"/>
        </w:rPr>
      </w:pPr>
      <w:r>
        <w:rPr>
          <w:rFonts w:ascii="Arial" w:cs="Arial" w:eastAsia="Arial" w:hAnsi="Arial"/>
          <w:sz w:val="16"/>
          <w:szCs w:val="16"/>
          <w:color w:val="auto"/>
        </w:rPr>
        <w:t xml:space="preserve">with respect to Series B Preference Units, and without limitation of the Board of Directors’ authority to adopt amendments to this Agreement without the approval of any Partners as contemplated in </w:t>
      </w:r>
      <w:r>
        <w:rPr>
          <w:rFonts w:ascii="Arial" w:cs="Arial" w:eastAsia="Arial" w:hAnsi="Arial"/>
          <w:sz w:val="16"/>
          <w:szCs w:val="16"/>
          <w:u w:val="single" w:color="auto"/>
          <w:color w:val="auto"/>
        </w:rPr>
        <w:t>Section 13.1</w:t>
      </w:r>
      <w:r>
        <w:rPr>
          <w:rFonts w:ascii="Arial" w:cs="Arial" w:eastAsia="Arial" w:hAnsi="Arial"/>
          <w:sz w:val="16"/>
          <w:szCs w:val="16"/>
          <w:color w:val="auto"/>
        </w:rPr>
        <w:t>, any amendment that would have a material adverse effect on the rights or preferences of any class or series of Partnership Interests in relation to other classes or series of Partnership Interests must be approved by the holders of not less than a majority of the Outstanding Partnership Interests of the class or series affected. If the General Partner determines an amendment does not satisfy the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 xml:space="preserve">requirements of </w:t>
      </w:r>
      <w:r>
        <w:rPr>
          <w:rFonts w:ascii="Arial" w:cs="Arial" w:eastAsia="Arial" w:hAnsi="Arial"/>
          <w:sz w:val="17"/>
          <w:szCs w:val="17"/>
          <w:u w:val="single" w:color="auto"/>
          <w:color w:val="auto"/>
        </w:rPr>
        <w:t>Section 13.1(d)(i)</w:t>
      </w:r>
      <w:r>
        <w:rPr>
          <w:rFonts w:ascii="Arial" w:cs="Arial" w:eastAsia="Arial" w:hAnsi="Arial"/>
          <w:sz w:val="17"/>
          <w:szCs w:val="17"/>
          <w:color w:val="auto"/>
        </w:rPr>
        <w:t xml:space="preserve"> because it adversely affects one or more classes of Partnership Interests, as compared to other classes of Partnership Interests, in any material respect, such amendment shall only be required to be approved by the adversely affected class or classes.</w:t>
      </w:r>
    </w:p>
    <w:p>
      <w:pPr>
        <w:spacing w:after="0" w:line="147" w:lineRule="exact"/>
        <w:rPr>
          <w:sz w:val="20"/>
          <w:szCs w:val="20"/>
          <w:color w:val="auto"/>
        </w:rPr>
      </w:pPr>
    </w:p>
    <w:p>
      <w:pPr>
        <w:jc w:val="both"/>
        <w:ind w:right="80" w:firstLine="1305"/>
        <w:spacing w:after="0" w:line="259" w:lineRule="auto"/>
        <w:tabs>
          <w:tab w:leader="none" w:pos="19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of this Agreement, except for amendments pursuant to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and except as otherwise provided by </w:t>
      </w:r>
      <w:r>
        <w:rPr>
          <w:rFonts w:ascii="Arial" w:cs="Arial" w:eastAsia="Arial" w:hAnsi="Arial"/>
          <w:sz w:val="18"/>
          <w:szCs w:val="18"/>
          <w:u w:val="single" w:color="auto"/>
          <w:color w:val="auto"/>
        </w:rPr>
        <w:t>Section 14.3(b)</w:t>
      </w:r>
      <w:r>
        <w:rPr>
          <w:rFonts w:ascii="Arial" w:cs="Arial" w:eastAsia="Arial" w:hAnsi="Arial"/>
          <w:sz w:val="18"/>
          <w:szCs w:val="18"/>
          <w:color w:val="auto"/>
        </w:rPr>
        <w:t>, no amendments shall become effective without the approval of the holders of at least 90% of the Outstanding Units voting as a single class unless the Partnership obtains an Opinion of Counsel to the effect that such amendment will not affect the limited liability of any Limited Partner under applicable law.</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Except as provided in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13.3</w:t>
      </w:r>
      <w:r>
        <w:rPr>
          <w:rFonts w:ascii="Arial" w:cs="Arial" w:eastAsia="Arial" w:hAnsi="Arial"/>
          <w:sz w:val="16"/>
          <w:szCs w:val="16"/>
          <w:color w:val="auto"/>
        </w:rPr>
        <w:t xml:space="preserve"> shall only be amended with the approval of the holders of at least 90%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Outstanding Units.</w:t>
      </w:r>
    </w:p>
    <w:p>
      <w:pPr>
        <w:spacing w:after="0" w:line="211" w:lineRule="exact"/>
        <w:rPr>
          <w:sz w:val="20"/>
          <w:szCs w:val="20"/>
          <w:color w:val="auto"/>
        </w:rPr>
      </w:pPr>
    </w:p>
    <w:p>
      <w:pPr>
        <w:ind w:right="60" w:firstLine="1297"/>
        <w:spacing w:after="0" w:line="268" w:lineRule="auto"/>
        <w:rPr>
          <w:sz w:val="20"/>
          <w:szCs w:val="20"/>
          <w:color w:val="auto"/>
        </w:rPr>
      </w:pPr>
      <w:r>
        <w:rPr>
          <w:rFonts w:ascii="Arial" w:cs="Arial" w:eastAsia="Arial" w:hAnsi="Arial"/>
          <w:sz w:val="17"/>
          <w:szCs w:val="17"/>
          <w:color w:val="auto"/>
        </w:rPr>
        <w:t xml:space="preserve">Section 13.4. </w:t>
      </w:r>
      <w:r>
        <w:rPr>
          <w:rFonts w:ascii="Arial" w:cs="Arial" w:eastAsia="Arial" w:hAnsi="Arial"/>
          <w:sz w:val="17"/>
          <w:szCs w:val="17"/>
          <w:i w:val="1"/>
          <w:iCs w:val="1"/>
          <w:color w:val="auto"/>
        </w:rPr>
        <w:t>Special Meetings</w:t>
      </w:r>
      <w:r>
        <w:rPr>
          <w:rFonts w:ascii="Arial" w:cs="Arial" w:eastAsia="Arial" w:hAnsi="Arial"/>
          <w:sz w:val="17"/>
          <w:szCs w:val="17"/>
          <w:color w:val="auto"/>
        </w:rPr>
        <w:t xml:space="preserve">. All acts of Limited Partners to be taken pursuant to this Agreement shall be taken in the manner provided in this </w:t>
      </w:r>
      <w:r>
        <w:rPr>
          <w:rFonts w:ascii="Arial" w:cs="Arial" w:eastAsia="Arial" w:hAnsi="Arial"/>
          <w:sz w:val="17"/>
          <w:szCs w:val="17"/>
          <w:u w:val="single" w:color="auto"/>
          <w:color w:val="auto"/>
        </w:rPr>
        <w:t>Article XIII</w:t>
      </w:r>
      <w:r>
        <w:rPr>
          <w:rFonts w:ascii="Arial" w:cs="Arial" w:eastAsia="Arial" w:hAnsi="Arial"/>
          <w:sz w:val="17"/>
          <w:szCs w:val="17"/>
          <w:color w:val="auto"/>
        </w:rPr>
        <w:t>. Special meetings of the Limited Partners may be called by the General Partner, the Board of Directors or by Limited Partners owning 20% or more of the Outstanding Units of the class or classes or series for which a meeting is proposed. Limited Partners shall call a special meeting by delivering to the Board of Directors one or more requests in writing stating that the signing Limited Partners wish to call a special meeting and indicating the general or specific purposes for which the special meeting is to be called, it being understood that the purposes of such special meeting may only be to vote on matters that require the vote of the Unitholders pursuant to this Agreement. Within 60 days after receipt of such a call from Limited Partners or within such greater time as may be reasonably necessary for the Partnership to comply with any statutes, rules, regulations, listing agreements or similar requirements governing the holding of a meeting or the solicitation of proxies for use at such a meeting, the Board of Directors shall send a notice of the meeting to the Limited Partners either directly or indirectly through the Transfer Agent. A meeting shall be held at a time and place determined by the Board of Directors on a date not less than 10 days nor more than 60 days after the mailing of notice of the meeting. Limited Partners shall not vote on matters that would cause the Limited Partners to be deemed to be taking part in the management and control of the business and affairs of the Partnership so as to jeopardize the Limited Partners’ limited liability under the Marshall Islands Act or the law of any other jurisdiction in which the Partnership is qualified to do business.</w:t>
      </w:r>
    </w:p>
    <w:p>
      <w:pPr>
        <w:spacing w:after="0" w:line="188"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 xml:space="preserve">Section 13.5. </w:t>
      </w:r>
      <w:r>
        <w:rPr>
          <w:rFonts w:ascii="Arial" w:cs="Arial" w:eastAsia="Arial" w:hAnsi="Arial"/>
          <w:sz w:val="18"/>
          <w:szCs w:val="18"/>
          <w:i w:val="1"/>
          <w:iCs w:val="1"/>
          <w:color w:val="auto"/>
        </w:rPr>
        <w:t>Notice of a Meeting</w:t>
      </w:r>
      <w:r>
        <w:rPr>
          <w:rFonts w:ascii="Arial" w:cs="Arial" w:eastAsia="Arial" w:hAnsi="Arial"/>
          <w:sz w:val="18"/>
          <w:szCs w:val="18"/>
          <w:color w:val="auto"/>
        </w:rPr>
        <w:t xml:space="preserve">. Notice of a meeting called pursuant to </w:t>
      </w:r>
      <w:r>
        <w:rPr>
          <w:rFonts w:ascii="Arial" w:cs="Arial" w:eastAsia="Arial" w:hAnsi="Arial"/>
          <w:sz w:val="18"/>
          <w:szCs w:val="18"/>
          <w:u w:val="single" w:color="auto"/>
          <w:color w:val="auto"/>
        </w:rPr>
        <w:t>Section 13.4</w:t>
      </w:r>
      <w:r>
        <w:rPr>
          <w:rFonts w:ascii="Arial" w:cs="Arial" w:eastAsia="Arial" w:hAnsi="Arial"/>
          <w:sz w:val="18"/>
          <w:szCs w:val="18"/>
          <w:color w:val="auto"/>
        </w:rPr>
        <w:t xml:space="preserve"> shall be given to the Record Holders of the class, classes or series of Units for which a meeting is proposed in writing by mail or other means of written communication in accordance with </w:t>
      </w:r>
      <w:r>
        <w:rPr>
          <w:rFonts w:ascii="Arial" w:cs="Arial" w:eastAsia="Arial" w:hAnsi="Arial"/>
          <w:sz w:val="18"/>
          <w:szCs w:val="18"/>
          <w:u w:val="single" w:color="auto"/>
          <w:color w:val="auto"/>
        </w:rPr>
        <w:t>Section 18.1</w:t>
      </w:r>
      <w:r>
        <w:rPr>
          <w:rFonts w:ascii="Arial" w:cs="Arial" w:eastAsia="Arial" w:hAnsi="Arial"/>
          <w:sz w:val="18"/>
          <w:szCs w:val="18"/>
          <w:color w:val="auto"/>
        </w:rPr>
        <w:t xml:space="preserve"> at least 10 days in advance of such meeting. The notice shall be deemed to have been given at the time when deposited in the mail or sent by other means of written communication.</w:t>
      </w:r>
    </w:p>
    <w:p>
      <w:pPr>
        <w:spacing w:after="0" w:line="187"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 xml:space="preserve">Section 13.6. </w:t>
      </w:r>
      <w:r>
        <w:rPr>
          <w:rFonts w:ascii="Arial" w:cs="Arial" w:eastAsia="Arial" w:hAnsi="Arial"/>
          <w:sz w:val="18"/>
          <w:szCs w:val="18"/>
          <w:i w:val="1"/>
          <w:iCs w:val="1"/>
          <w:color w:val="auto"/>
        </w:rPr>
        <w:t>Record Date</w:t>
      </w:r>
      <w:r>
        <w:rPr>
          <w:rFonts w:ascii="Arial" w:cs="Arial" w:eastAsia="Arial" w:hAnsi="Arial"/>
          <w:sz w:val="18"/>
          <w:szCs w:val="18"/>
          <w:color w:val="auto"/>
        </w:rPr>
        <w:t xml:space="preserve">. For purposes of determining the Limited Partners entitled to notice of or to vote at a meeting of the Limited Partners or to give approvals without a meeting as provided in </w:t>
      </w:r>
      <w:r>
        <w:rPr>
          <w:rFonts w:ascii="Arial" w:cs="Arial" w:eastAsia="Arial" w:hAnsi="Arial"/>
          <w:sz w:val="18"/>
          <w:szCs w:val="18"/>
          <w:u w:val="single" w:color="auto"/>
          <w:color w:val="auto"/>
        </w:rPr>
        <w:t>Section 13.11</w:t>
      </w:r>
      <w:r>
        <w:rPr>
          <w:rFonts w:ascii="Arial" w:cs="Arial" w:eastAsia="Arial" w:hAnsi="Arial"/>
          <w:sz w:val="18"/>
          <w:szCs w:val="18"/>
          <w:color w:val="auto"/>
        </w:rPr>
        <w:t>, the Board of Directors may set a Record Date, which shall not be less than 10 nor more than 60 days before (a) the date of the meeting (unless such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requirement conflicts with any rule, regulation, guideline or requirement of any National Securities Exchange on which the Units are listed or admitted to trading, in which case the rule, regulation, guideline or requirement of such National Securities Exchange shall govern) or (b) in the event that approvals are sought without a meeting, the date by which Limited Partners are requested in writing by the Board of Directors to give such approvals. If the Board of Directors does not set a Record Date, then (a) the Record Date for determining the Limited Partners entitled to notice of or to vote at a meeting of the Limited Partners shall be the close of business on the day next preceding the day on which notice is given, and (b) the Record Date for determining the Limited Partners entitled to give approvals without a meeting shall be the date the first written approval is deposited with the Partnership in care of the Board of Directors in accordance with </w:t>
      </w:r>
      <w:r>
        <w:rPr>
          <w:rFonts w:ascii="Arial" w:cs="Arial" w:eastAsia="Arial" w:hAnsi="Arial"/>
          <w:sz w:val="18"/>
          <w:szCs w:val="18"/>
          <w:u w:val="single" w:color="auto"/>
          <w:color w:val="auto"/>
        </w:rPr>
        <w:t>Section 13.11</w:t>
      </w:r>
      <w:r>
        <w:rPr>
          <w:rFonts w:ascii="Arial" w:cs="Arial" w:eastAsia="Arial" w:hAnsi="Arial"/>
          <w:sz w:val="18"/>
          <w:szCs w:val="18"/>
          <w:color w:val="auto"/>
        </w:rPr>
        <w:t>.</w:t>
      </w:r>
    </w:p>
    <w:p>
      <w:pPr>
        <w:spacing w:after="0" w:line="189" w:lineRule="exact"/>
        <w:rPr>
          <w:sz w:val="20"/>
          <w:szCs w:val="20"/>
          <w:color w:val="auto"/>
        </w:rPr>
      </w:pPr>
    </w:p>
    <w:p>
      <w:pPr>
        <w:ind w:right="180" w:firstLine="1297"/>
        <w:spacing w:after="0" w:line="257" w:lineRule="auto"/>
        <w:rPr>
          <w:sz w:val="20"/>
          <w:szCs w:val="20"/>
          <w:color w:val="auto"/>
        </w:rPr>
      </w:pPr>
      <w:r>
        <w:rPr>
          <w:rFonts w:ascii="Arial" w:cs="Arial" w:eastAsia="Arial" w:hAnsi="Arial"/>
          <w:sz w:val="18"/>
          <w:szCs w:val="18"/>
          <w:color w:val="auto"/>
        </w:rPr>
        <w:t xml:space="preserve">Section 13.7. </w:t>
      </w:r>
      <w:r>
        <w:rPr>
          <w:rFonts w:ascii="Arial" w:cs="Arial" w:eastAsia="Arial" w:hAnsi="Arial"/>
          <w:sz w:val="18"/>
          <w:szCs w:val="18"/>
          <w:i w:val="1"/>
          <w:iCs w:val="1"/>
          <w:color w:val="auto"/>
        </w:rPr>
        <w:t>Adjournment</w:t>
      </w:r>
      <w:r>
        <w:rPr>
          <w:rFonts w:ascii="Arial" w:cs="Arial" w:eastAsia="Arial" w:hAnsi="Arial"/>
          <w:sz w:val="18"/>
          <w:szCs w:val="18"/>
          <w:color w:val="auto"/>
        </w:rPr>
        <w:t xml:space="preserve">. When a meeting is adjourned to another time or place, notice need not be given of the adjourned meeting and a new Record Date need not be fixed, if the time and place thereof are announced at the meeting at which the adjournment is taken, unless such adjournment shall be for more than 45 days. At the adjourned meeting, the Partnership may transact any business which might have been transacted at the original meeting. If the adjournment is for more than 45 days or if a new Record Date is fixed for the adjourned meeting, a notice of the adjourned meeting shall be given in accordance with this </w:t>
      </w:r>
      <w:r>
        <w:rPr>
          <w:rFonts w:ascii="Arial" w:cs="Arial" w:eastAsia="Arial" w:hAnsi="Arial"/>
          <w:sz w:val="18"/>
          <w:szCs w:val="18"/>
          <w:u w:val="single" w:color="auto"/>
          <w:color w:val="auto"/>
        </w:rPr>
        <w:t>Article XIII</w:t>
      </w:r>
      <w:r>
        <w:rPr>
          <w:rFonts w:ascii="Arial" w:cs="Arial" w:eastAsia="Arial" w:hAnsi="Arial"/>
          <w:sz w:val="18"/>
          <w:szCs w:val="18"/>
          <w:color w:val="auto"/>
        </w:rPr>
        <w:t>.</w:t>
      </w:r>
    </w:p>
    <w:p>
      <w:pPr>
        <w:spacing w:after="0" w:line="188" w:lineRule="exact"/>
        <w:rPr>
          <w:sz w:val="20"/>
          <w:szCs w:val="20"/>
          <w:color w:val="auto"/>
        </w:rPr>
      </w:pPr>
    </w:p>
    <w:p>
      <w:pPr>
        <w:ind w:right="40" w:firstLine="1297"/>
        <w:spacing w:after="0" w:line="302" w:lineRule="auto"/>
        <w:rPr>
          <w:sz w:val="20"/>
          <w:szCs w:val="20"/>
          <w:color w:val="auto"/>
        </w:rPr>
      </w:pPr>
      <w:r>
        <w:rPr>
          <w:rFonts w:ascii="Arial" w:cs="Arial" w:eastAsia="Arial" w:hAnsi="Arial"/>
          <w:sz w:val="16"/>
          <w:szCs w:val="16"/>
          <w:color w:val="auto"/>
        </w:rPr>
        <w:t xml:space="preserve">Section 13.8. </w:t>
      </w:r>
      <w:r>
        <w:rPr>
          <w:rFonts w:ascii="Arial" w:cs="Arial" w:eastAsia="Arial" w:hAnsi="Arial"/>
          <w:sz w:val="16"/>
          <w:szCs w:val="16"/>
          <w:i w:val="1"/>
          <w:iCs w:val="1"/>
          <w:color w:val="auto"/>
        </w:rPr>
        <w:t>Waiver of Notice; Approval of Meeting; Approval of Minutes</w:t>
      </w:r>
      <w:r>
        <w:rPr>
          <w:rFonts w:ascii="Arial" w:cs="Arial" w:eastAsia="Arial" w:hAnsi="Arial"/>
          <w:sz w:val="16"/>
          <w:szCs w:val="16"/>
          <w:color w:val="auto"/>
        </w:rPr>
        <w:t>. The transactions of any meeting of Limited Partners, however called and noticed, and whenever held, shall be as valid as if it had occurred at a meeting duly held after regular call and notice, if a quorum is present either in person or by proxy. Attendance of a Limited Partner at a meeting shall constitute a waiver of notice of the meeting, except when the Limited Partner attends the meeting for the express purpose of objecting, at the beginning of the meeting, to the transaction of any business because the meeting is not</w:t>
      </w:r>
    </w:p>
    <w:p>
      <w:pPr>
        <w:sectPr>
          <w:pgSz w:w="11900" w:h="16945" w:orient="portrait"/>
          <w:cols w:equalWidth="0" w:num="1">
            <w:col w:w="11420"/>
          </w:cols>
          <w:pgMar w:left="240" w:top="125" w:right="239" w:bottom="0" w:gutter="0" w:footer="0" w:header="0"/>
        </w:sectPr>
      </w:pPr>
    </w:p>
    <w:bookmarkStart w:id="39" w:name="page40"/>
    <w:bookmarkEnd w:id="39"/>
    <w:p>
      <w:pPr>
        <w:spacing w:after="0" w:line="8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lawfully called or convened; and except that attendance at a meeting is not a waiver of any right to disapprove the consideration of matters required to be included in the notice of the meeting, but not so included, if the disapproval is expressly made at the meeting.</w:t>
      </w:r>
    </w:p>
    <w:p>
      <w:pPr>
        <w:spacing w:after="0" w:line="170" w:lineRule="exact"/>
        <w:rPr>
          <w:sz w:val="20"/>
          <w:szCs w:val="20"/>
          <w:color w:val="auto"/>
        </w:rPr>
      </w:pPr>
    </w:p>
    <w:p>
      <w:pPr>
        <w:ind w:right="20" w:firstLine="1297"/>
        <w:spacing w:after="0" w:line="261" w:lineRule="auto"/>
        <w:rPr>
          <w:sz w:val="20"/>
          <w:szCs w:val="20"/>
          <w:color w:val="auto"/>
        </w:rPr>
      </w:pPr>
      <w:r>
        <w:rPr>
          <w:rFonts w:ascii="Arial" w:cs="Arial" w:eastAsia="Arial" w:hAnsi="Arial"/>
          <w:sz w:val="17"/>
          <w:szCs w:val="17"/>
          <w:color w:val="auto"/>
        </w:rPr>
        <w:t xml:space="preserve">Section 13.9. </w:t>
      </w:r>
      <w:r>
        <w:rPr>
          <w:rFonts w:ascii="Arial" w:cs="Arial" w:eastAsia="Arial" w:hAnsi="Arial"/>
          <w:sz w:val="17"/>
          <w:szCs w:val="17"/>
          <w:i w:val="1"/>
          <w:iCs w:val="1"/>
          <w:color w:val="auto"/>
        </w:rPr>
        <w:t>Quorum and Voting</w:t>
      </w:r>
      <w:r>
        <w:rPr>
          <w:rFonts w:ascii="Arial" w:cs="Arial" w:eastAsia="Arial" w:hAnsi="Arial"/>
          <w:sz w:val="17"/>
          <w:szCs w:val="17"/>
          <w:color w:val="auto"/>
        </w:rPr>
        <w:t>. The holders of 33</w:t>
      </w:r>
      <w:r>
        <w:rPr>
          <w:rFonts w:ascii="Arial" w:cs="Arial" w:eastAsia="Arial" w:hAnsi="Arial"/>
          <w:sz w:val="22"/>
          <w:szCs w:val="22"/>
          <w:color w:val="auto"/>
          <w:vertAlign w:val="superscript"/>
        </w:rPr>
        <w:t>1</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of the Outstanding Units of the class, classes or series for which a meeting has been called (including Outstanding Units deemed owned by the General Partner and its Affiliates) represented in person or by proxy shall constitute a quorum at a meeting of Limited Partners of such class, classes or series unless any such action by the Limited Partners requires approval by holders of a greater percentage of such Units, in which case the quorum shall be such greater percentage. At any meeting of the Limited Partners duly called and held in accordance with this Agreement at which a quorum is present, the act of Limited Partners holding Outstanding Units that in the aggregate represent a majority of the Outstanding Units entitled to vote and be present in person or by proxy at such meeting shall be deemed to constitute the act of all Limited Partners, unless a greater or different percentage is required with respect to such action under the provisions of this Agreement, in which case the act of the Limited Partners holding Outstanding Units that in the aggregate represent at least such greater or different percentage shall be required. The Limited Partners present at a duly called or held meeting at which a quorum is present may continue to transact business until adjournment, notwithstanding the withdrawal of enough Limited Partners to leave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less than a quorum, if any action taken (other than adjournment) is approved by the required percentage of Outstanding Units specified in this Agreement (including Outstanding Units deemed owned by the General Partner and its Affiliates). In the absence of a quorum, any meeting of Limited Partners may be adjourned from time to time by the affirmative vote of holders of at least a majority of the Outstanding Units entitled to vote at such meeting (including Outstanding Units deemed owned by the General Partner and its Affiliates) and represented either in person or by proxy, but no other business may be transacted, except as provided in </w:t>
      </w:r>
      <w:r>
        <w:rPr>
          <w:rFonts w:ascii="Arial" w:cs="Arial" w:eastAsia="Arial" w:hAnsi="Arial"/>
          <w:sz w:val="18"/>
          <w:szCs w:val="18"/>
          <w:u w:val="single" w:color="auto"/>
          <w:color w:val="auto"/>
        </w:rPr>
        <w:t>Section 13.7</w:t>
      </w:r>
      <w:r>
        <w:rPr>
          <w:rFonts w:ascii="Arial" w:cs="Arial" w:eastAsia="Arial" w:hAnsi="Arial"/>
          <w:sz w:val="18"/>
          <w:szCs w:val="18"/>
          <w:color w:val="auto"/>
        </w:rPr>
        <w:t>.</w:t>
      </w:r>
    </w:p>
    <w:p>
      <w:pPr>
        <w:spacing w:after="0" w:line="188" w:lineRule="exact"/>
        <w:rPr>
          <w:sz w:val="20"/>
          <w:szCs w:val="20"/>
          <w:color w:val="auto"/>
        </w:rPr>
      </w:pPr>
    </w:p>
    <w:p>
      <w:pPr>
        <w:ind w:right="40" w:firstLine="1297"/>
        <w:spacing w:after="0" w:line="270" w:lineRule="auto"/>
        <w:rPr>
          <w:sz w:val="20"/>
          <w:szCs w:val="20"/>
          <w:color w:val="auto"/>
        </w:rPr>
      </w:pPr>
      <w:r>
        <w:rPr>
          <w:rFonts w:ascii="Arial" w:cs="Arial" w:eastAsia="Arial" w:hAnsi="Arial"/>
          <w:sz w:val="17"/>
          <w:szCs w:val="17"/>
          <w:color w:val="auto"/>
        </w:rPr>
        <w:t xml:space="preserve">Section 13.10. </w:t>
      </w:r>
      <w:r>
        <w:rPr>
          <w:rFonts w:ascii="Arial" w:cs="Arial" w:eastAsia="Arial" w:hAnsi="Arial"/>
          <w:sz w:val="17"/>
          <w:szCs w:val="17"/>
          <w:i w:val="1"/>
          <w:iCs w:val="1"/>
          <w:color w:val="auto"/>
        </w:rPr>
        <w:t>Conduct of a Meeting</w:t>
      </w:r>
      <w:r>
        <w:rPr>
          <w:rFonts w:ascii="Arial" w:cs="Arial" w:eastAsia="Arial" w:hAnsi="Arial"/>
          <w:sz w:val="17"/>
          <w:szCs w:val="17"/>
          <w:color w:val="auto"/>
        </w:rPr>
        <w:t xml:space="preserve">. The Board of Directors shall have full power and authority concerning the manner of conducting any meeting of the Limited Partners or solicitation of approvals in writing, including the determination of Persons entitled to vote, the existence of a quorum, the satisfaction of the requirements of </w:t>
      </w:r>
      <w:r>
        <w:rPr>
          <w:rFonts w:ascii="Arial" w:cs="Arial" w:eastAsia="Arial" w:hAnsi="Arial"/>
          <w:sz w:val="17"/>
          <w:szCs w:val="17"/>
          <w:u w:val="single" w:color="auto"/>
          <w:color w:val="auto"/>
        </w:rPr>
        <w:t>Section 13.4</w:t>
      </w:r>
      <w:r>
        <w:rPr>
          <w:rFonts w:ascii="Arial" w:cs="Arial" w:eastAsia="Arial" w:hAnsi="Arial"/>
          <w:sz w:val="17"/>
          <w:szCs w:val="17"/>
          <w:color w:val="auto"/>
        </w:rPr>
        <w:t>, the conduct of voting, the validity and effect of any proxies and the determination of any controversies, votes or challenges arising in connection with or during the meeting or voting. The Chairman of the Board of Directors shall serve as chairman of any meeting and shall further designate a Person to take the minutes of any meeting. All minutes shall be kept with the records of the Partnership maintained by the Board of Directors. The Board of Directors may make such other regulations consistent with applicable law and this Agreement as it may deem advisable concerning the conduct of any meeting of the Limited Partners or solicitation of approvals in writing, including regulations in regard to the appointment of proxies, the appointment and duties of inspectors of votes and approvals, the submission and examination of proxies and other evidence of the right to vote, and the revocation of approvals in writing.</w:t>
      </w:r>
    </w:p>
    <w:p>
      <w:pPr>
        <w:spacing w:after="0" w:line="182" w:lineRule="exact"/>
        <w:rPr>
          <w:sz w:val="20"/>
          <w:szCs w:val="20"/>
          <w:color w:val="auto"/>
        </w:rPr>
      </w:pPr>
    </w:p>
    <w:p>
      <w:pPr>
        <w:ind w:firstLine="1297"/>
        <w:spacing w:after="0" w:line="268" w:lineRule="auto"/>
        <w:rPr>
          <w:sz w:val="20"/>
          <w:szCs w:val="20"/>
          <w:color w:val="auto"/>
        </w:rPr>
      </w:pPr>
      <w:r>
        <w:rPr>
          <w:rFonts w:ascii="Arial" w:cs="Arial" w:eastAsia="Arial" w:hAnsi="Arial"/>
          <w:sz w:val="17"/>
          <w:szCs w:val="17"/>
          <w:color w:val="auto"/>
        </w:rPr>
        <w:t xml:space="preserve">Section 13.11. </w:t>
      </w:r>
      <w:r>
        <w:rPr>
          <w:rFonts w:ascii="Arial" w:cs="Arial" w:eastAsia="Arial" w:hAnsi="Arial"/>
          <w:sz w:val="17"/>
          <w:szCs w:val="17"/>
          <w:i w:val="1"/>
          <w:iCs w:val="1"/>
          <w:color w:val="auto"/>
        </w:rPr>
        <w:t>Action Without a Meeting</w:t>
      </w:r>
      <w:r>
        <w:rPr>
          <w:rFonts w:ascii="Arial" w:cs="Arial" w:eastAsia="Arial" w:hAnsi="Arial"/>
          <w:sz w:val="17"/>
          <w:szCs w:val="17"/>
          <w:color w:val="auto"/>
        </w:rPr>
        <w:t>. If authorized by the Board of Directors, any action that may be taken at a meeting of the Limited Partners may be taken without a meeting if an approval in writing setting forth the action so taken is signed by Limited Partners owning not less than the minimum percentage of the Outstanding Units (including Units deemed owned by the General Partner and its Affiliates) that would be necessary to authorize or take such action at a meeting at which all the Limited Partners were present and voted (unless such provision conflicts with any rule, regulation, guideline or requirement of any National Securities Exchange on which the Units are listed or admitted to trading, in which case the rule, regulation, guideline or requirement of such National Securities Exchange shall govern). Prompt notice of the taking of action without a meeting shall be given to the Limited Partners who have not approved the action in writing. The Board of Directors may specify that any written ballot submitted to Limited Partners for the purpose of taking any action without a meeting shall be returned to the Partnership within the time period, which shall be not less than 20 days, specified by the Board of Directors. If a ballot returned to the Partnership does not vote all of the Units held by the Limited Partners, the Partnership shall be deemed to have failed to receive a ballot for the Units that were not voted. If approval of the taking of any action by the Limited Partners is solicited by any Person other than by or on behalf of the Board of Directors, the written approvals shall have no force and effect unless and until (a) they are deposited with the Partnership in care of the Board of Directors, (b) approvals sufficient to take the action proposed are dated as of a date not more than 90 days prior to the date sufficient approvals are deposited with the Partnership and (c) an Opinion of Counsel is delivered to the Board of Directors to the effect that the exercise of such right and the action proposed to be taken with respect to 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particular matter (i) will not cause the Limited Partners to be deemed to be taking part in the management and control of the business and affairs of the Partnership so as to jeopardize the Limited Partners’ limited liability, and (ii) is otherwise permissible under the applicable statutes then governing the rights, duties and liabilities of the Partnership and the Partners.</w:t>
      </w:r>
    </w:p>
    <w:p>
      <w:pPr>
        <w:spacing w:after="0" w:line="181"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Section 13.12. </w:t>
      </w:r>
      <w:r>
        <w:rPr>
          <w:rFonts w:ascii="Arial" w:cs="Arial" w:eastAsia="Arial" w:hAnsi="Arial"/>
          <w:sz w:val="18"/>
          <w:szCs w:val="18"/>
          <w:i w:val="1"/>
          <w:iCs w:val="1"/>
          <w:color w:val="auto"/>
        </w:rPr>
        <w:t>Right to Vote and Related Matters</w:t>
      </w:r>
      <w:r>
        <w:rPr>
          <w:rFonts w:ascii="Arial" w:cs="Arial" w:eastAsia="Arial" w:hAnsi="Arial"/>
          <w:sz w:val="18"/>
          <w:szCs w:val="18"/>
          <w:color w:val="auto"/>
        </w:rPr>
        <w:t xml:space="preserve">. (a) Only those Record Holders of the Units on the Record Date set pursuant to </w:t>
      </w:r>
      <w:r>
        <w:rPr>
          <w:rFonts w:ascii="Arial" w:cs="Arial" w:eastAsia="Arial" w:hAnsi="Arial"/>
          <w:sz w:val="18"/>
          <w:szCs w:val="18"/>
          <w:u w:val="single" w:color="auto"/>
          <w:color w:val="auto"/>
        </w:rPr>
        <w:t>Section 13.6</w:t>
      </w:r>
      <w:r>
        <w:rPr>
          <w:rFonts w:ascii="Arial" w:cs="Arial" w:eastAsia="Arial" w:hAnsi="Arial"/>
          <w:sz w:val="18"/>
          <w:szCs w:val="18"/>
          <w:color w:val="auto"/>
        </w:rPr>
        <w:t xml:space="preserve"> (and also subject to the limitations contained in the definition of “Outstanding”) shall be entitled to notice of, and to vote at, a meeting of Limited Partners or to act with respect to matters as to which the holders of the Outstanding Units have the right to vote or to act. All references in this Agreement to votes of, or other acts that may be taken by, the Outstanding Units shall be deemed to be references to the votes or acts of the Record Holders of such Outstanding Units.</w:t>
      </w:r>
    </w:p>
    <w:p>
      <w:pPr>
        <w:spacing w:after="0" w:line="188" w:lineRule="exact"/>
        <w:rPr>
          <w:sz w:val="20"/>
          <w:szCs w:val="20"/>
          <w:color w:val="auto"/>
        </w:rPr>
      </w:pPr>
    </w:p>
    <w:p>
      <w:pPr>
        <w:ind w:right="60" w:firstLine="1305"/>
        <w:spacing w:after="0" w:line="276" w:lineRule="auto"/>
        <w:tabs>
          <w:tab w:leader="none" w:pos="1952" w:val="left"/>
        </w:tabs>
        <w:numPr>
          <w:ilvl w:val="0"/>
          <w:numId w:val="84"/>
        </w:numPr>
        <w:rPr>
          <w:rFonts w:ascii="Arial" w:cs="Arial" w:eastAsia="Arial" w:hAnsi="Arial"/>
          <w:sz w:val="17"/>
          <w:szCs w:val="17"/>
          <w:color w:val="auto"/>
        </w:rPr>
      </w:pPr>
      <w:r>
        <w:rPr>
          <w:rFonts w:ascii="Arial" w:cs="Arial" w:eastAsia="Arial" w:hAnsi="Arial"/>
          <w:sz w:val="17"/>
          <w:szCs w:val="17"/>
          <w:color w:val="auto"/>
        </w:rPr>
        <w:t xml:space="preserve">With respect to Units that are held for a Person’s account by another Person (such as a broker, dealer, bank, trust company or clearing corporation, or an agent of any of the foregoing), in whose name such Units are registered, such other Person shall, in exercising the voting rights in respect of such Units on any matter, and unless the arrangement between such Persons provides otherwise, vote such Units in favor of, and at the direction of, the Person who is the beneficial owner, and the Partnership shall be entitled to assume it is so acting without further inquiry. The provisions of this </w:t>
      </w:r>
      <w:r>
        <w:rPr>
          <w:rFonts w:ascii="Arial" w:cs="Arial" w:eastAsia="Arial" w:hAnsi="Arial"/>
          <w:sz w:val="17"/>
          <w:szCs w:val="17"/>
          <w:u w:val="single" w:color="auto"/>
          <w:color w:val="auto"/>
        </w:rPr>
        <w:t>Section 13.12(b)</w:t>
      </w:r>
      <w:r>
        <w:rPr>
          <w:rFonts w:ascii="Arial" w:cs="Arial" w:eastAsia="Arial" w:hAnsi="Arial"/>
          <w:sz w:val="17"/>
          <w:szCs w:val="17"/>
          <w:color w:val="auto"/>
        </w:rPr>
        <w:t xml:space="preserve"> (as well as all other provisions of this Agreement) are subject to the provisions of </w:t>
      </w:r>
      <w:r>
        <w:rPr>
          <w:rFonts w:ascii="Arial" w:cs="Arial" w:eastAsia="Arial" w:hAnsi="Arial"/>
          <w:sz w:val="17"/>
          <w:szCs w:val="17"/>
          <w:u w:val="single" w:color="auto"/>
          <w:color w:val="auto"/>
        </w:rPr>
        <w:t>Section 4.3</w:t>
      </w:r>
      <w:r>
        <w:rPr>
          <w:rFonts w:ascii="Arial" w:cs="Arial" w:eastAsia="Arial" w:hAnsi="Arial"/>
          <w:sz w:val="17"/>
          <w:szCs w:val="17"/>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MERGER, CONSOLIDATION OR CONVERSION</w:t>
      </w:r>
    </w:p>
    <w:p>
      <w:pPr>
        <w:spacing w:after="0" w:line="211" w:lineRule="exact"/>
        <w:rPr>
          <w:sz w:val="20"/>
          <w:szCs w:val="20"/>
          <w:color w:val="auto"/>
        </w:rPr>
      </w:pPr>
    </w:p>
    <w:p>
      <w:pPr>
        <w:ind w:right="140" w:firstLine="1297"/>
        <w:spacing w:after="0" w:line="279" w:lineRule="auto"/>
        <w:rPr>
          <w:sz w:val="20"/>
          <w:szCs w:val="20"/>
          <w:color w:val="auto"/>
        </w:rPr>
      </w:pPr>
      <w:r>
        <w:rPr>
          <w:rFonts w:ascii="Arial" w:cs="Arial" w:eastAsia="Arial" w:hAnsi="Arial"/>
          <w:sz w:val="17"/>
          <w:szCs w:val="17"/>
          <w:color w:val="auto"/>
        </w:rPr>
        <w:t xml:space="preserve">Section 14.1. </w:t>
      </w:r>
      <w:r>
        <w:rPr>
          <w:rFonts w:ascii="Arial" w:cs="Arial" w:eastAsia="Arial" w:hAnsi="Arial"/>
          <w:sz w:val="17"/>
          <w:szCs w:val="17"/>
          <w:i w:val="1"/>
          <w:iCs w:val="1"/>
          <w:color w:val="auto"/>
        </w:rPr>
        <w:t>Authority</w:t>
      </w:r>
      <w:r>
        <w:rPr>
          <w:rFonts w:ascii="Arial" w:cs="Arial" w:eastAsia="Arial" w:hAnsi="Arial"/>
          <w:sz w:val="17"/>
          <w:szCs w:val="17"/>
          <w:color w:val="auto"/>
        </w:rPr>
        <w:t>. The Partnership may merge or consolidate with or into one or more corporations, limited liability companies, statutory trusts or associations, real estate investment trusts, common law trusts or unincorporated businesses, including a partnership (whether general or limited (including a limited liability partnership)) or convert into any such entity, pursuant to a written agreement of merger or consolidation (“</w:t>
      </w:r>
      <w:r>
        <w:rPr>
          <w:rFonts w:ascii="Arial" w:cs="Arial" w:eastAsia="Arial" w:hAnsi="Arial"/>
          <w:sz w:val="17"/>
          <w:szCs w:val="17"/>
          <w:b w:val="1"/>
          <w:bCs w:val="1"/>
          <w:i w:val="1"/>
          <w:iCs w:val="1"/>
          <w:color w:val="auto"/>
        </w:rPr>
        <w:t>Merger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or a written plan of conversion (“</w:t>
      </w:r>
      <w:r>
        <w:rPr>
          <w:rFonts w:ascii="Arial" w:cs="Arial" w:eastAsia="Arial" w:hAnsi="Arial"/>
          <w:sz w:val="17"/>
          <w:szCs w:val="17"/>
          <w:b w:val="1"/>
          <w:bCs w:val="1"/>
          <w:i w:val="1"/>
          <w:iCs w:val="1"/>
          <w:color w:val="auto"/>
        </w:rPr>
        <w:t>Plan of Conversion</w:t>
      </w:r>
      <w:r>
        <w:rPr>
          <w:rFonts w:ascii="Arial" w:cs="Arial" w:eastAsia="Arial" w:hAnsi="Arial"/>
          <w:sz w:val="17"/>
          <w:szCs w:val="17"/>
          <w:color w:val="auto"/>
        </w:rPr>
        <w:t>”), as the case may be, in accordance with this</w:t>
      </w:r>
      <w:r>
        <w:rPr>
          <w:rFonts w:ascii="Arial" w:cs="Arial" w:eastAsia="Arial" w:hAnsi="Arial"/>
          <w:sz w:val="17"/>
          <w:szCs w:val="17"/>
          <w:b w:val="1"/>
          <w:bCs w:val="1"/>
          <w:i w:val="1"/>
          <w:iCs w:val="1"/>
          <w:color w:val="auto"/>
        </w:rPr>
        <w:t xml:space="preserve"> </w:t>
      </w:r>
      <w:r>
        <w:rPr>
          <w:rFonts w:ascii="Arial" w:cs="Arial" w:eastAsia="Arial" w:hAnsi="Arial"/>
          <w:sz w:val="17"/>
          <w:szCs w:val="17"/>
          <w:u w:val="single" w:color="auto"/>
          <w:color w:val="auto"/>
        </w:rPr>
        <w:t>Article XIV</w:t>
      </w:r>
      <w:r>
        <w:rPr>
          <w:rFonts w:ascii="Arial" w:cs="Arial" w:eastAsia="Arial" w:hAnsi="Arial"/>
          <w:sz w:val="17"/>
          <w:szCs w:val="17"/>
          <w:color w:val="auto"/>
        </w:rPr>
        <w:t>.</w:t>
      </w:r>
    </w:p>
    <w:p>
      <w:pPr>
        <w:sectPr>
          <w:pgSz w:w="11900" w:h="16928" w:orient="portrait"/>
          <w:cols w:equalWidth="0" w:num="1">
            <w:col w:w="11420"/>
          </w:cols>
          <w:pgMar w:left="240" w:top="125" w:right="239" w:bottom="0" w:gutter="0" w:footer="0" w:header="0"/>
        </w:sectPr>
      </w:pPr>
    </w:p>
    <w:bookmarkStart w:id="40" w:name="page41"/>
    <w:bookmarkEnd w:id="40"/>
    <w:p>
      <w:pPr>
        <w:spacing w:after="0" w:line="114" w:lineRule="exact"/>
        <w:rPr>
          <w:sz w:val="20"/>
          <w:szCs w:val="20"/>
          <w:color w:val="auto"/>
        </w:rPr>
      </w:pPr>
    </w:p>
    <w:p>
      <w:pPr>
        <w:ind w:right="40" w:firstLine="1297"/>
        <w:spacing w:after="0" w:line="293" w:lineRule="auto"/>
        <w:rPr>
          <w:sz w:val="20"/>
          <w:szCs w:val="20"/>
          <w:color w:val="auto"/>
        </w:rPr>
      </w:pPr>
      <w:r>
        <w:rPr>
          <w:rFonts w:ascii="Arial" w:cs="Arial" w:eastAsia="Arial" w:hAnsi="Arial"/>
          <w:sz w:val="16"/>
          <w:szCs w:val="16"/>
          <w:color w:val="auto"/>
        </w:rPr>
        <w:t xml:space="preserve">Section 14.2. </w:t>
      </w:r>
      <w:r>
        <w:rPr>
          <w:rFonts w:ascii="Arial" w:cs="Arial" w:eastAsia="Arial" w:hAnsi="Arial"/>
          <w:sz w:val="16"/>
          <w:szCs w:val="16"/>
          <w:i w:val="1"/>
          <w:iCs w:val="1"/>
          <w:color w:val="auto"/>
        </w:rPr>
        <w:t>Procedure for Merger, Consolidation or Conversion</w:t>
      </w:r>
      <w:r>
        <w:rPr>
          <w:rFonts w:ascii="Arial" w:cs="Arial" w:eastAsia="Arial" w:hAnsi="Arial"/>
          <w:sz w:val="16"/>
          <w:szCs w:val="16"/>
          <w:color w:val="auto"/>
        </w:rPr>
        <w:t xml:space="preserve">. (a) Merger, consolidation or conversion of the Partnership pursuant to this </w:t>
      </w:r>
      <w:r>
        <w:rPr>
          <w:rFonts w:ascii="Arial" w:cs="Arial" w:eastAsia="Arial" w:hAnsi="Arial"/>
          <w:sz w:val="16"/>
          <w:szCs w:val="16"/>
          <w:u w:val="single" w:color="auto"/>
          <w:color w:val="auto"/>
        </w:rPr>
        <w:t>Article XIV</w:t>
      </w:r>
      <w:r>
        <w:rPr>
          <w:rFonts w:ascii="Arial" w:cs="Arial" w:eastAsia="Arial" w:hAnsi="Arial"/>
          <w:sz w:val="16"/>
          <w:szCs w:val="16"/>
          <w:color w:val="auto"/>
        </w:rPr>
        <w:t xml:space="preserve"> requires the approval of the Board of Directors and the prior consent of the General Partner;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to the fullest extent permitted by law, neither the Board of Directors nor the General Partner shall have a duty or obligation to consent to any merger, consolidation or conversion of the Partnership and may decline to do so free of any fiduciary duty or obligation whatsoever to the Partnership or any Limited Partner and, in declining to consent to a merger, consolidation or conversion, shall not be required to act in good faith or pursuant to any other standard imposed by this Agreement, any Group Member Agreement, any other agreement contemplated hereby or under the Marshall Islands Act or any other law, rule or regulation or at equity.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1305"/>
        <w:spacing w:after="0" w:line="277" w:lineRule="auto"/>
        <w:tabs>
          <w:tab w:leader="none" w:pos="1952"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the Board of Directors and the General Partner shall determine to consent to the merger, consolidation or conversion, the Board of Directors and the General Partner shall approve the Merger Agreement, which shall set forth:</w:t>
      </w:r>
    </w:p>
    <w:p>
      <w:pPr>
        <w:spacing w:after="0" w:line="170" w:lineRule="exact"/>
        <w:rPr>
          <w:sz w:val="20"/>
          <w:szCs w:val="20"/>
          <w:color w:val="auto"/>
        </w:rPr>
      </w:pPr>
    </w:p>
    <w:p>
      <w:pPr>
        <w:ind w:left="1980" w:hanging="675"/>
        <w:spacing w:after="0"/>
        <w:tabs>
          <w:tab w:leader="none" w:pos="19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names and jurisdictions of formation or organization of each of the business entities proposing to merge or consolidate;</w:t>
      </w:r>
    </w:p>
    <w:p>
      <w:pPr>
        <w:spacing w:after="0" w:line="236" w:lineRule="exact"/>
        <w:rPr>
          <w:rFonts w:ascii="Arial" w:cs="Arial" w:eastAsia="Arial" w:hAnsi="Arial"/>
          <w:sz w:val="17"/>
          <w:szCs w:val="17"/>
          <w:color w:val="auto"/>
        </w:rPr>
      </w:pPr>
    </w:p>
    <w:p>
      <w:pPr>
        <w:ind w:left="660" w:right="1000" w:firstLine="645"/>
        <w:spacing w:after="0" w:line="277" w:lineRule="auto"/>
        <w:tabs>
          <w:tab w:leader="none" w:pos="1987"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name and jurisdiction of formation or organization of the business entity that is to survive the proposed merger or consolidation (the “</w:t>
      </w:r>
      <w:r>
        <w:rPr>
          <w:rFonts w:ascii="Arial" w:cs="Arial" w:eastAsia="Arial" w:hAnsi="Arial"/>
          <w:sz w:val="18"/>
          <w:szCs w:val="18"/>
          <w:i w:val="1"/>
          <w:iCs w:val="1"/>
          <w:color w:val="auto"/>
        </w:rPr>
        <w:t>Surviving Business Entity</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terms and conditions of the proposed merger or consolidation;</w:t>
      </w:r>
    </w:p>
    <w:p>
      <w:pPr>
        <w:spacing w:after="0" w:line="225" w:lineRule="exact"/>
        <w:rPr>
          <w:rFonts w:ascii="Arial" w:cs="Arial" w:eastAsia="Arial" w:hAnsi="Arial"/>
          <w:sz w:val="18"/>
          <w:szCs w:val="18"/>
          <w:color w:val="auto"/>
        </w:rPr>
      </w:pPr>
    </w:p>
    <w:p>
      <w:pPr>
        <w:ind w:left="660" w:firstLine="645"/>
        <w:spacing w:after="0" w:line="270" w:lineRule="auto"/>
        <w:tabs>
          <w:tab w:leader="none" w:pos="1973"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manner and basis of exchanging or converting the equity securities of each constituent business entity for, or into, cash, property or interests, rights, securities or obligations of the Surviving Business Entity; and (A) if any interests, securities or rights of any constituent business entity are not to be exchanged or converted solely for, or into, cash, property or interests, rights, securities or obligations of the Surviving Business Entity, the cash, property or interests, rights, securities or obligations of any general or limited partnership, corporation, trust, limited liability company, unincorporated business or other Person (other than the Surviving Business Entity) which the holders of such interests, securities or rights are to receive in exchange for, or upon conversion of their interests, securities or rights, and (B) in the case of securities represented by certificates, upon the surrender of such certificates, which cash, property or interests, rights, securities or obligations of the Surviving Business Entity or any general or limited partnership, corporation, trust, limited liability company, unincorporated business or other Person (other than the Surviving Business Entity), or evidences thereof, are to be delivered;</w:t>
      </w:r>
    </w:p>
    <w:p>
      <w:pPr>
        <w:spacing w:after="0" w:line="181" w:lineRule="exact"/>
        <w:rPr>
          <w:rFonts w:ascii="Arial" w:cs="Arial" w:eastAsia="Arial" w:hAnsi="Arial"/>
          <w:sz w:val="17"/>
          <w:szCs w:val="17"/>
          <w:color w:val="auto"/>
        </w:rPr>
      </w:pPr>
    </w:p>
    <w:p>
      <w:pPr>
        <w:jc w:val="both"/>
        <w:ind w:left="660" w:right="40" w:firstLine="645"/>
        <w:spacing w:after="0" w:line="264" w:lineRule="auto"/>
        <w:tabs>
          <w:tab w:leader="none" w:pos="1964"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statement of any changes in the constituent documents or the adoption of new constituent documents (the articles or certificate of incorporation, articles of trust, declaration of trust, certificate or agreement of limited partnership or other similar charter or governing document) of the Surviving Business Entity to be effected by such merger or consolidation;</w:t>
      </w:r>
    </w:p>
    <w:p>
      <w:pPr>
        <w:spacing w:after="0" w:line="181" w:lineRule="exact"/>
        <w:rPr>
          <w:rFonts w:ascii="Arial" w:cs="Arial" w:eastAsia="Arial" w:hAnsi="Arial"/>
          <w:sz w:val="18"/>
          <w:szCs w:val="18"/>
          <w:color w:val="auto"/>
        </w:rPr>
      </w:pPr>
    </w:p>
    <w:p>
      <w:pPr>
        <w:ind w:left="660" w:right="140" w:firstLine="645"/>
        <w:spacing w:after="0" w:line="259" w:lineRule="auto"/>
        <w:tabs>
          <w:tab w:leader="none" w:pos="1973"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the effective time of the merger, which may be the date of the filing of the certificate of merger pursuant to </w:t>
      </w:r>
      <w:r>
        <w:rPr>
          <w:rFonts w:ascii="Arial" w:cs="Arial" w:eastAsia="Arial" w:hAnsi="Arial"/>
          <w:sz w:val="18"/>
          <w:szCs w:val="18"/>
          <w:u w:val="single" w:color="auto"/>
          <w:color w:val="auto"/>
        </w:rPr>
        <w:t>Section 14.4</w:t>
      </w:r>
      <w:r>
        <w:rPr>
          <w:rFonts w:ascii="Arial" w:cs="Arial" w:eastAsia="Arial" w:hAnsi="Arial"/>
          <w:sz w:val="18"/>
          <w:szCs w:val="18"/>
          <w:color w:val="auto"/>
        </w:rPr>
        <w:t xml:space="preserve"> or a later date specified in or determinable in accordance with the Merger Agreement (</w:t>
      </w:r>
      <w:r>
        <w:rPr>
          <w:rFonts w:ascii="Arial" w:cs="Arial" w:eastAsia="Arial" w:hAnsi="Arial"/>
          <w:sz w:val="18"/>
          <w:szCs w:val="18"/>
          <w:i w:val="1"/>
          <w:iCs w:val="1"/>
          <w:color w:val="auto"/>
        </w:rPr>
        <w:t>provided</w:t>
      </w:r>
      <w:r>
        <w:rPr>
          <w:rFonts w:ascii="Arial" w:cs="Arial" w:eastAsia="Arial" w:hAnsi="Arial"/>
          <w:sz w:val="18"/>
          <w:szCs w:val="18"/>
          <w:color w:val="auto"/>
        </w:rPr>
        <w:t>, that if the effective time of the merger is to be later than the date of the filing of such certificate of merger, the effective time shall be fixed at a date or time certain at or prior to the time of the filing of such certificate of merger and stated therein); and</w:t>
      </w:r>
    </w:p>
    <w:p>
      <w:pPr>
        <w:spacing w:after="0" w:line="186" w:lineRule="exact"/>
        <w:rPr>
          <w:rFonts w:ascii="Arial" w:cs="Arial" w:eastAsia="Arial" w:hAnsi="Arial"/>
          <w:sz w:val="18"/>
          <w:szCs w:val="18"/>
          <w:color w:val="auto"/>
        </w:rPr>
      </w:pPr>
    </w:p>
    <w:p>
      <w:pPr>
        <w:ind w:left="660" w:right="340" w:firstLine="645"/>
        <w:spacing w:after="0" w:line="277" w:lineRule="auto"/>
        <w:tabs>
          <w:tab w:leader="none" w:pos="1983" w:val="left"/>
        </w:tabs>
        <w:numPr>
          <w:ilvl w:val="0"/>
          <w:numId w:val="86"/>
        </w:numPr>
        <w:rPr>
          <w:rFonts w:ascii="Arial" w:cs="Arial" w:eastAsia="Arial" w:hAnsi="Arial"/>
          <w:sz w:val="18"/>
          <w:szCs w:val="18"/>
          <w:color w:val="auto"/>
        </w:rPr>
      </w:pPr>
      <w:r>
        <w:rPr>
          <w:rFonts w:ascii="Arial" w:cs="Arial" w:eastAsia="Arial" w:hAnsi="Arial"/>
          <w:sz w:val="18"/>
          <w:szCs w:val="18"/>
          <w:color w:val="auto"/>
        </w:rPr>
        <w:t>such other provisions with respect to the proposed merger or consolidation that the Board of Directors and the General Partner determine to be necessary or appropriate.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firstLine="1305"/>
        <w:spacing w:after="0" w:line="277" w:lineRule="auto"/>
        <w:tabs>
          <w:tab w:leader="none" w:pos="19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the Board of Directors and the General Partner shall determine to consent to the conversion the Board of Directors and the General Partner shall approve the Plan of Conversion, which shall set forth:</w:t>
      </w:r>
    </w:p>
    <w:p>
      <w:pPr>
        <w:spacing w:after="0" w:line="170" w:lineRule="exact"/>
        <w:rPr>
          <w:sz w:val="20"/>
          <w:szCs w:val="20"/>
          <w:color w:val="auto"/>
        </w:rPr>
      </w:pPr>
    </w:p>
    <w:p>
      <w:pPr>
        <w:ind w:left="1980" w:hanging="675"/>
        <w:spacing w:after="0"/>
        <w:tabs>
          <w:tab w:leader="none" w:pos="1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name of the converting entity and the converted entity;</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statement that the Partnership is continuing its existence in the organizational form of the converted entity;</w:t>
      </w:r>
    </w:p>
    <w:p>
      <w:pPr>
        <w:spacing w:after="0" w:line="225" w:lineRule="exact"/>
        <w:rPr>
          <w:rFonts w:ascii="Arial" w:cs="Arial" w:eastAsia="Arial" w:hAnsi="Arial"/>
          <w:sz w:val="18"/>
          <w:szCs w:val="18"/>
          <w:color w:val="auto"/>
        </w:rPr>
      </w:pPr>
    </w:p>
    <w:p>
      <w:pPr>
        <w:ind w:left="660" w:right="80" w:firstLine="645"/>
        <w:spacing w:after="0" w:line="277" w:lineRule="auto"/>
        <w:tabs>
          <w:tab w:leader="none" w:pos="1997"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statement as to the type of entity that the converted entity is to be and the state or country under the laws of which the converted entity is to be incorporated, formed or organized;</w:t>
      </w:r>
    </w:p>
    <w:p>
      <w:pPr>
        <w:spacing w:after="0" w:line="170" w:lineRule="exact"/>
        <w:rPr>
          <w:rFonts w:ascii="Arial" w:cs="Arial" w:eastAsia="Arial" w:hAnsi="Arial"/>
          <w:sz w:val="18"/>
          <w:szCs w:val="18"/>
          <w:color w:val="auto"/>
        </w:rPr>
      </w:pPr>
    </w:p>
    <w:p>
      <w:pPr>
        <w:jc w:val="both"/>
        <w:ind w:left="660" w:right="600" w:firstLine="645"/>
        <w:spacing w:after="0" w:line="342" w:lineRule="auto"/>
        <w:tabs>
          <w:tab w:leader="none" w:pos="1973"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manner and basis of exchanging or converting the equity securities of each constituent business entity for, or into, cash, property or interests, rights, securities or obligations of the converted entity or another entity, or for the cancellation of such equity securities;</w:t>
      </w:r>
    </w:p>
    <w:p>
      <w:pPr>
        <w:spacing w:after="0" w:line="123" w:lineRule="exact"/>
        <w:rPr>
          <w:rFonts w:ascii="Arial" w:cs="Arial" w:eastAsia="Arial" w:hAnsi="Arial"/>
          <w:sz w:val="16"/>
          <w:szCs w:val="16"/>
          <w:color w:val="auto"/>
        </w:rPr>
      </w:pPr>
    </w:p>
    <w:p>
      <w:pPr>
        <w:ind w:left="1960" w:hanging="655"/>
        <w:spacing w:after="0"/>
        <w:tabs>
          <w:tab w:leader="none" w:pos="1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an attachment or exhibit, the certificate of limited partnership of the Partnership;</w:t>
      </w:r>
    </w:p>
    <w:p>
      <w:pPr>
        <w:spacing w:after="0" w:line="225" w:lineRule="exact"/>
        <w:rPr>
          <w:rFonts w:ascii="Arial" w:cs="Arial" w:eastAsia="Arial" w:hAnsi="Arial"/>
          <w:sz w:val="18"/>
          <w:szCs w:val="18"/>
          <w:color w:val="auto"/>
        </w:rPr>
      </w:pPr>
    </w:p>
    <w:p>
      <w:pPr>
        <w:ind w:left="660" w:right="600" w:firstLine="645"/>
        <w:spacing w:after="0" w:line="277" w:lineRule="auto"/>
        <w:tabs>
          <w:tab w:leader="none" w:pos="1973"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an attachment or exhibit, the certificate of limited partnership, certificate of formation, articles of incorporation, or other organizational documents of the converted entity;</w:t>
      </w:r>
    </w:p>
    <w:p>
      <w:pPr>
        <w:spacing w:after="0" w:line="170" w:lineRule="exact"/>
        <w:rPr>
          <w:rFonts w:ascii="Arial" w:cs="Arial" w:eastAsia="Arial" w:hAnsi="Arial"/>
          <w:sz w:val="18"/>
          <w:szCs w:val="18"/>
          <w:color w:val="auto"/>
        </w:rPr>
      </w:pPr>
    </w:p>
    <w:p>
      <w:pPr>
        <w:jc w:val="both"/>
        <w:ind w:left="660" w:right="80" w:firstLine="645"/>
        <w:spacing w:after="0" w:line="312" w:lineRule="auto"/>
        <w:tabs>
          <w:tab w:leader="none" w:pos="1983"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effective time of the conversion, which may be the date of the filing of the articles of conversion or a later date specified in or determinable in accordance with the Plan of Conversion (</w:t>
      </w:r>
      <w:r>
        <w:rPr>
          <w:rFonts w:ascii="Arial" w:cs="Arial" w:eastAsia="Arial" w:hAnsi="Arial"/>
          <w:sz w:val="16"/>
          <w:szCs w:val="16"/>
          <w:i w:val="1"/>
          <w:iCs w:val="1"/>
          <w:color w:val="auto"/>
        </w:rPr>
        <w:t>provided</w:t>
      </w:r>
      <w:r>
        <w:rPr>
          <w:rFonts w:ascii="Arial" w:cs="Arial" w:eastAsia="Arial" w:hAnsi="Arial"/>
          <w:sz w:val="16"/>
          <w:szCs w:val="16"/>
          <w:color w:val="auto"/>
        </w:rPr>
        <w:t>, that if the effective time of the conversion is to be later than the date of the filing of such articles of conversion, the effective time shall be fixed at a date or time certain and stated in such articles of conversion); and</w:t>
      </w:r>
    </w:p>
    <w:p>
      <w:pPr>
        <w:spacing w:after="0" w:line="146" w:lineRule="exact"/>
        <w:rPr>
          <w:rFonts w:ascii="Arial" w:cs="Arial" w:eastAsia="Arial" w:hAnsi="Arial"/>
          <w:sz w:val="16"/>
          <w:szCs w:val="16"/>
          <w:color w:val="auto"/>
        </w:rPr>
      </w:pPr>
    </w:p>
    <w:p>
      <w:pPr>
        <w:ind w:left="660" w:right="340" w:firstLine="645"/>
        <w:spacing w:after="0" w:line="277" w:lineRule="auto"/>
        <w:tabs>
          <w:tab w:leader="none" w:pos="1992" w:val="left"/>
        </w:tabs>
        <w:numPr>
          <w:ilvl w:val="0"/>
          <w:numId w:val="88"/>
        </w:numPr>
        <w:rPr>
          <w:rFonts w:ascii="Arial" w:cs="Arial" w:eastAsia="Arial" w:hAnsi="Arial"/>
          <w:sz w:val="18"/>
          <w:szCs w:val="18"/>
          <w:color w:val="auto"/>
        </w:rPr>
      </w:pPr>
      <w:r>
        <w:rPr>
          <w:rFonts w:ascii="Arial" w:cs="Arial" w:eastAsia="Arial" w:hAnsi="Arial"/>
          <w:sz w:val="18"/>
          <w:szCs w:val="18"/>
          <w:color w:val="auto"/>
        </w:rPr>
        <w:t>such other provisions with respect to the proposed conversion the Board of Directors and the General Partner determines to be necessary or appropriate.</w:t>
      </w:r>
    </w:p>
    <w:p>
      <w:pPr>
        <w:spacing w:after="0" w:line="170" w:lineRule="exact"/>
        <w:rPr>
          <w:sz w:val="20"/>
          <w:szCs w:val="20"/>
          <w:color w:val="auto"/>
        </w:rPr>
      </w:pPr>
    </w:p>
    <w:p>
      <w:pPr>
        <w:ind w:right="100" w:firstLine="1297"/>
        <w:spacing w:after="0" w:line="312" w:lineRule="auto"/>
        <w:rPr>
          <w:sz w:val="20"/>
          <w:szCs w:val="20"/>
          <w:color w:val="auto"/>
        </w:rPr>
      </w:pPr>
      <w:r>
        <w:rPr>
          <w:rFonts w:ascii="Arial" w:cs="Arial" w:eastAsia="Arial" w:hAnsi="Arial"/>
          <w:sz w:val="16"/>
          <w:szCs w:val="16"/>
          <w:color w:val="auto"/>
        </w:rPr>
        <w:t xml:space="preserve">Section 14.3. </w:t>
      </w:r>
      <w:r>
        <w:rPr>
          <w:rFonts w:ascii="Arial" w:cs="Arial" w:eastAsia="Arial" w:hAnsi="Arial"/>
          <w:sz w:val="16"/>
          <w:szCs w:val="16"/>
          <w:i w:val="1"/>
          <w:iCs w:val="1"/>
          <w:color w:val="auto"/>
        </w:rPr>
        <w:t>Approval by Limited Partners of Merger, Consolidation or Conversion</w:t>
      </w:r>
      <w:r>
        <w:rPr>
          <w:rFonts w:ascii="Arial" w:cs="Arial" w:eastAsia="Arial" w:hAnsi="Arial"/>
          <w:sz w:val="16"/>
          <w:szCs w:val="16"/>
          <w:color w:val="auto"/>
        </w:rPr>
        <w:t xml:space="preserve">. (a) Except as provided in </w:t>
      </w:r>
      <w:r>
        <w:rPr>
          <w:rFonts w:ascii="Arial" w:cs="Arial" w:eastAsia="Arial" w:hAnsi="Arial"/>
          <w:sz w:val="16"/>
          <w:szCs w:val="16"/>
          <w:u w:val="single" w:color="auto"/>
          <w:color w:val="auto"/>
        </w:rPr>
        <w:t>Section 14.3(d)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14.3(e)</w:t>
      </w:r>
      <w:r>
        <w:rPr>
          <w:rFonts w:ascii="Arial" w:cs="Arial" w:eastAsia="Arial" w:hAnsi="Arial"/>
          <w:sz w:val="16"/>
          <w:szCs w:val="16"/>
          <w:color w:val="auto"/>
        </w:rPr>
        <w:t>, the Board of Directors, upon its and the General Partner’s approval of the Merger Agreement or the Plan of Conversion, as the case may be, shall direct that the Merger Agreement or the Plan of Conversion and the merger, consolidation or conversion contemplated thereby, as applicable, be submitted to</w:t>
      </w:r>
    </w:p>
    <w:p>
      <w:pPr>
        <w:sectPr>
          <w:pgSz w:w="11900" w:h="16952" w:orient="portrait"/>
          <w:cols w:equalWidth="0" w:num="1">
            <w:col w:w="11420"/>
          </w:cols>
          <w:pgMar w:left="240" w:top="341" w:right="239" w:bottom="0" w:gutter="0" w:footer="0" w:header="0"/>
        </w:sectPr>
      </w:pPr>
    </w:p>
    <w:bookmarkStart w:id="41" w:name="page42"/>
    <w:bookmarkEnd w:id="41"/>
    <w:p>
      <w:pPr>
        <w:spacing w:after="0" w:line="13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 xml:space="preserve">a vote of Limited Partners, whether at a special meeting or by written consent, in either case in accordance with the requirements of </w:t>
      </w:r>
      <w:r>
        <w:rPr>
          <w:rFonts w:ascii="Arial" w:cs="Arial" w:eastAsia="Arial" w:hAnsi="Arial"/>
          <w:sz w:val="18"/>
          <w:szCs w:val="18"/>
          <w:u w:val="single" w:color="auto"/>
          <w:color w:val="auto"/>
        </w:rPr>
        <w:t>Article XIII</w:t>
      </w:r>
      <w:r>
        <w:rPr>
          <w:rFonts w:ascii="Arial" w:cs="Arial" w:eastAsia="Arial" w:hAnsi="Arial"/>
          <w:sz w:val="18"/>
          <w:szCs w:val="18"/>
          <w:color w:val="auto"/>
        </w:rPr>
        <w:t>. A copy or a summary of the Merger Agreement or the Plan of Conversion, as the case may be, shall be included in or enclosed with the notice of a special meeting or the written consent.</w:t>
      </w:r>
    </w:p>
    <w:p>
      <w:pPr>
        <w:spacing w:after="0" w:line="181" w:lineRule="exact"/>
        <w:rPr>
          <w:sz w:val="20"/>
          <w:szCs w:val="20"/>
          <w:color w:val="auto"/>
        </w:rPr>
      </w:pPr>
    </w:p>
    <w:p>
      <w:pPr>
        <w:ind w:right="420" w:firstLine="1305"/>
        <w:spacing w:after="0" w:line="277" w:lineRule="auto"/>
        <w:tabs>
          <w:tab w:leader="none" w:pos="1952"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 14.3(d)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14.3(e)</w:t>
      </w:r>
      <w:r>
        <w:rPr>
          <w:rFonts w:ascii="Arial" w:cs="Arial" w:eastAsia="Arial" w:hAnsi="Arial"/>
          <w:sz w:val="18"/>
          <w:szCs w:val="18"/>
          <w:color w:val="auto"/>
        </w:rPr>
        <w:t>, the Merger Agreement or Plan of Conversion, as the case may be, shall be approved upon receiving the affirmative vote or consent of the holders of a Unit Majority.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60" w:firstLine="1305"/>
        <w:spacing w:after="0" w:line="286" w:lineRule="auto"/>
        <w:tabs>
          <w:tab w:leader="none" w:pos="1955" w:val="left"/>
        </w:tabs>
        <w:numPr>
          <w:ilvl w:val="1"/>
          <w:numId w:val="90"/>
        </w:numPr>
        <w:rPr>
          <w:rFonts w:ascii="Arial" w:cs="Arial" w:eastAsia="Arial" w:hAnsi="Arial"/>
          <w:sz w:val="17"/>
          <w:szCs w:val="17"/>
          <w:color w:val="auto"/>
        </w:rPr>
      </w:pPr>
      <w:r>
        <w:rPr>
          <w:rFonts w:ascii="Arial" w:cs="Arial" w:eastAsia="Arial" w:hAnsi="Arial"/>
          <w:sz w:val="17"/>
          <w:szCs w:val="17"/>
          <w:color w:val="auto"/>
        </w:rPr>
        <w:t xml:space="preserve">Except as provided in </w:t>
      </w:r>
      <w:r>
        <w:rPr>
          <w:rFonts w:ascii="Arial" w:cs="Arial" w:eastAsia="Arial" w:hAnsi="Arial"/>
          <w:sz w:val="17"/>
          <w:szCs w:val="17"/>
          <w:u w:val="single" w:color="auto"/>
          <w:color w:val="auto"/>
        </w:rPr>
        <w:t>Section 14.3(d)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14.3(e)</w:t>
      </w:r>
      <w:r>
        <w:rPr>
          <w:rFonts w:ascii="Arial" w:cs="Arial" w:eastAsia="Arial" w:hAnsi="Arial"/>
          <w:sz w:val="17"/>
          <w:szCs w:val="17"/>
          <w:color w:val="auto"/>
        </w:rPr>
        <w:t xml:space="preserve">, after such approval by vote or consent of the Limited Partners, and at any time prior to the filing of the certificate of merger or certificate of conversion pursuant to </w:t>
      </w:r>
      <w:r>
        <w:rPr>
          <w:rFonts w:ascii="Arial" w:cs="Arial" w:eastAsia="Arial" w:hAnsi="Arial"/>
          <w:sz w:val="17"/>
          <w:szCs w:val="17"/>
          <w:u w:val="single" w:color="auto"/>
          <w:color w:val="auto"/>
        </w:rPr>
        <w:t>Section 14.4</w:t>
      </w:r>
      <w:r>
        <w:rPr>
          <w:rFonts w:ascii="Arial" w:cs="Arial" w:eastAsia="Arial" w:hAnsi="Arial"/>
          <w:sz w:val="17"/>
          <w:szCs w:val="17"/>
          <w:color w:val="auto"/>
        </w:rPr>
        <w:t>, the merger, consolidation or conversion may be abandoned pursuant to provisions therefor, if any, set forth in the Merger Agreement or Plan of Conversion, as the case may be.</w:t>
      </w:r>
    </w:p>
    <w:p>
      <w:pPr>
        <w:spacing w:after="0" w:line="165" w:lineRule="exact"/>
        <w:rPr>
          <w:rFonts w:ascii="Arial" w:cs="Arial" w:eastAsia="Arial" w:hAnsi="Arial"/>
          <w:sz w:val="17"/>
          <w:szCs w:val="17"/>
          <w:color w:val="auto"/>
        </w:rPr>
      </w:pPr>
    </w:p>
    <w:p>
      <w:pPr>
        <w:ind w:right="60" w:firstLine="1305"/>
        <w:spacing w:after="0" w:line="271" w:lineRule="auto"/>
        <w:tabs>
          <w:tab w:leader="none" w:pos="1952" w:val="left"/>
        </w:tabs>
        <w:numPr>
          <w:ilvl w:val="1"/>
          <w:numId w:val="90"/>
        </w:numPr>
        <w:rPr>
          <w:rFonts w:ascii="Arial" w:cs="Arial" w:eastAsia="Arial" w:hAnsi="Arial"/>
          <w:sz w:val="17"/>
          <w:szCs w:val="17"/>
          <w:color w:val="auto"/>
        </w:rPr>
      </w:pPr>
      <w:r>
        <w:rPr>
          <w:rFonts w:ascii="Arial" w:cs="Arial" w:eastAsia="Arial" w:hAnsi="Arial"/>
          <w:sz w:val="17"/>
          <w:szCs w:val="17"/>
          <w:color w:val="auto"/>
        </w:rPr>
        <w:t xml:space="preserve">Notwithstanding anything else contained in this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or in this Agreement, the Board of Directors is permitted, without Limited Partner approval, to convert the Partnership or any Group Member into a new limited liability entity, to merge the Partnership or any Group Member into, or convey all of the Partnership’s assets to, another limited liability entity which shall be newly formed and shall have no assets, liabilities or operations at the time of such conversion, merger or conveyance other than those it receives from the Partnership or other Group Member if (i) the Board of Directors has received an Opinion of Counsel that the conversion, merger or conveyance, as the case may be, would not result in the loss of the limited liability of any Limited Partner, (ii) the sole purpose of such conversion, merger or conveyance is to effect a mere change in the legal form of the Partnership into another limited liability entity and (iii) the governing instruments of the new entity provide the Limited Partners, the General Partner and the Board of Directors with the same rights and obligations as are herein contained.</w:t>
      </w:r>
    </w:p>
    <w:p>
      <w:pPr>
        <w:spacing w:after="0" w:line="178" w:lineRule="exact"/>
        <w:rPr>
          <w:rFonts w:ascii="Arial" w:cs="Arial" w:eastAsia="Arial" w:hAnsi="Arial"/>
          <w:sz w:val="17"/>
          <w:szCs w:val="17"/>
          <w:color w:val="auto"/>
        </w:rPr>
      </w:pPr>
    </w:p>
    <w:p>
      <w:pPr>
        <w:ind w:right="240" w:firstLine="1305"/>
        <w:spacing w:after="0" w:line="291" w:lineRule="auto"/>
        <w:tabs>
          <w:tab w:leader="none" w:pos="1955" w:val="left"/>
        </w:tabs>
        <w:numPr>
          <w:ilvl w:val="1"/>
          <w:numId w:val="90"/>
        </w:numPr>
        <w:rPr>
          <w:rFonts w:ascii="Arial" w:cs="Arial" w:eastAsia="Arial" w:hAnsi="Arial"/>
          <w:sz w:val="16"/>
          <w:szCs w:val="16"/>
          <w:color w:val="auto"/>
        </w:rPr>
      </w:pPr>
      <w:r>
        <w:rPr>
          <w:rFonts w:ascii="Arial" w:cs="Arial" w:eastAsia="Arial" w:hAnsi="Arial"/>
          <w:sz w:val="16"/>
          <w:szCs w:val="16"/>
          <w:color w:val="auto"/>
        </w:rPr>
        <w:t xml:space="preserve">Additionally, notwithstanding anything else contained in this </w:t>
      </w:r>
      <w:r>
        <w:rPr>
          <w:rFonts w:ascii="Arial" w:cs="Arial" w:eastAsia="Arial" w:hAnsi="Arial"/>
          <w:sz w:val="16"/>
          <w:szCs w:val="16"/>
          <w:u w:val="single" w:color="auto"/>
          <w:color w:val="auto"/>
        </w:rPr>
        <w:t>Article XIV</w:t>
      </w:r>
      <w:r>
        <w:rPr>
          <w:rFonts w:ascii="Arial" w:cs="Arial" w:eastAsia="Arial" w:hAnsi="Arial"/>
          <w:sz w:val="16"/>
          <w:szCs w:val="16"/>
          <w:color w:val="auto"/>
        </w:rPr>
        <w:t xml:space="preserve"> or in this Agreement, the Board of Directors, with the prior consent of the General Partner, is permitted, without Limited Partner approval, to merge or consolidate the Partnership with or into another entity if</w:t>
      </w:r>
    </w:p>
    <w:p>
      <w:pPr>
        <w:ind w:right="120" w:firstLine="8"/>
        <w:spacing w:after="0" w:line="270" w:lineRule="auto"/>
        <w:tabs>
          <w:tab w:leader="none" w:pos="215"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the Board of Directors has received an Opinion of Counsel that the merger or consolidation, as the case may be, would not result in the loss of the limited liability of any Limited Partner, (ii) the merger or consolidation would not result in an amendment to this Agreement, other than any amendments that could be adopted pursuant to </w:t>
      </w:r>
      <w:r>
        <w:rPr>
          <w:rFonts w:ascii="Arial" w:cs="Arial" w:eastAsia="Arial" w:hAnsi="Arial"/>
          <w:sz w:val="17"/>
          <w:szCs w:val="17"/>
          <w:u w:val="single" w:color="auto"/>
          <w:color w:val="auto"/>
        </w:rPr>
        <w:t>Section 13.1</w:t>
      </w:r>
      <w:r>
        <w:rPr>
          <w:rFonts w:ascii="Arial" w:cs="Arial" w:eastAsia="Arial" w:hAnsi="Arial"/>
          <w:sz w:val="17"/>
          <w:szCs w:val="17"/>
          <w:color w:val="auto"/>
        </w:rPr>
        <w:t>, (iii) the Partnership is the Surviving Business Entity in such merger or consolidation, (iv) each Unit outstanding immediately prior to the effective date of the merger or consolidation is to be an identical Unit of the Partnership after the effective date of the merger or consolidation, and (v) the number of Partnership Interests to be issued by the Partnership in such merger or consolidation does not exceed 20% of the Partnership Interests Outstanding immediately prior to the effective date of such merger or consolidation.</w:t>
      </w:r>
    </w:p>
    <w:p>
      <w:pPr>
        <w:spacing w:after="0" w:line="179"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 xml:space="preserve">Section 14.4. </w:t>
      </w:r>
      <w:r>
        <w:rPr>
          <w:rFonts w:ascii="Arial" w:cs="Arial" w:eastAsia="Arial" w:hAnsi="Arial"/>
          <w:sz w:val="18"/>
          <w:szCs w:val="18"/>
          <w:i w:val="1"/>
          <w:iCs w:val="1"/>
          <w:color w:val="auto"/>
        </w:rPr>
        <w:t>Certificate of Merger or Conversion</w:t>
      </w:r>
      <w:r>
        <w:rPr>
          <w:rFonts w:ascii="Arial" w:cs="Arial" w:eastAsia="Arial" w:hAnsi="Arial"/>
          <w:sz w:val="18"/>
          <w:szCs w:val="18"/>
          <w:color w:val="auto"/>
        </w:rPr>
        <w:t>. Upon the required approval by the Board of Directors, the General Partner and the Unitholders of a Merger Agreement or Plan of Conversion, as the case may be, a certificate of merger or conversion, as applicable, shall be executed and filed in conformity with the requirements of the Marshall Islands Act.</w:t>
      </w:r>
    </w:p>
    <w:p>
      <w:pPr>
        <w:spacing w:after="0" w:line="181"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 xml:space="preserve">Section 14.5. </w:t>
      </w:r>
      <w:r>
        <w:rPr>
          <w:rFonts w:ascii="Arial" w:cs="Arial" w:eastAsia="Arial" w:hAnsi="Arial"/>
          <w:sz w:val="18"/>
          <w:szCs w:val="18"/>
          <w:i w:val="1"/>
          <w:iCs w:val="1"/>
          <w:color w:val="auto"/>
        </w:rPr>
        <w:t>Amendment of Partnership Agreement</w:t>
      </w:r>
      <w:r>
        <w:rPr>
          <w:rFonts w:ascii="Arial" w:cs="Arial" w:eastAsia="Arial" w:hAnsi="Arial"/>
          <w:sz w:val="18"/>
          <w:szCs w:val="18"/>
          <w:color w:val="auto"/>
        </w:rPr>
        <w:t xml:space="preserve">. Pursuant to Section 20(2) of the Marshall Islands Act, an agreement of merger or consolidation approved in accordance with Section 20(2) of the Marshall Islands Act may (a) effect any amendment to this Agreement or (b) effect the adoption of a new partnership agreement for a limited partnership if it is the Surviving Business Entity. Any such amendment or adoption made pursuant to this </w:t>
      </w:r>
      <w:r>
        <w:rPr>
          <w:rFonts w:ascii="Arial" w:cs="Arial" w:eastAsia="Arial" w:hAnsi="Arial"/>
          <w:sz w:val="18"/>
          <w:szCs w:val="18"/>
          <w:u w:val="single" w:color="auto"/>
          <w:color w:val="auto"/>
        </w:rPr>
        <w:t>Section 14.5</w:t>
      </w:r>
      <w:r>
        <w:rPr>
          <w:rFonts w:ascii="Arial" w:cs="Arial" w:eastAsia="Arial" w:hAnsi="Arial"/>
          <w:sz w:val="18"/>
          <w:szCs w:val="18"/>
          <w:color w:val="auto"/>
        </w:rPr>
        <w:t xml:space="preserve"> shall be effective at the effective time or date of the merger or consolidation.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14.6.</w:t>
      </w:r>
      <w:r>
        <w:rPr>
          <w:sz w:val="20"/>
          <w:szCs w:val="20"/>
          <w:color w:val="auto"/>
        </w:rPr>
        <w:tab/>
      </w:r>
      <w:r>
        <w:rPr>
          <w:rFonts w:ascii="Arial" w:cs="Arial" w:eastAsia="Arial" w:hAnsi="Arial"/>
          <w:sz w:val="16"/>
          <w:szCs w:val="16"/>
          <w:i w:val="1"/>
          <w:iCs w:val="1"/>
          <w:color w:val="auto"/>
        </w:rPr>
        <w:t>Effect of Merger, Consolidation or Conversion</w:t>
      </w:r>
      <w:r>
        <w:rPr>
          <w:rFonts w:ascii="Arial" w:cs="Arial" w:eastAsia="Arial" w:hAnsi="Arial"/>
          <w:sz w:val="16"/>
          <w:szCs w:val="16"/>
          <w:color w:val="auto"/>
        </w:rPr>
        <w:t>. (a) At the effective time of the certificate of merger:</w:t>
      </w:r>
    </w:p>
    <w:p>
      <w:pPr>
        <w:spacing w:after="0" w:line="225" w:lineRule="exact"/>
        <w:rPr>
          <w:sz w:val="20"/>
          <w:szCs w:val="20"/>
          <w:color w:val="auto"/>
        </w:rPr>
      </w:pPr>
    </w:p>
    <w:p>
      <w:pPr>
        <w:ind w:left="660" w:right="80" w:firstLine="645"/>
        <w:spacing w:after="0" w:line="259" w:lineRule="auto"/>
        <w:tabs>
          <w:tab w:leader="none" w:pos="1978"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of the rights, privileges and powers of each of the business entities that has merged or consolidated, and all property, real, personal and mixed, and all debts due to any of those business entities and all other things and causes of action belonging to each of those business entities, shall be vested in the Surviving Business Entity and after the merger or consolidation shall be the property of the Surviving Business Entity to the extent they were of each constituent business entity;</w:t>
      </w:r>
    </w:p>
    <w:p>
      <w:pPr>
        <w:spacing w:after="0" w:line="186" w:lineRule="exact"/>
        <w:rPr>
          <w:rFonts w:ascii="Arial" w:cs="Arial" w:eastAsia="Arial" w:hAnsi="Arial"/>
          <w:sz w:val="18"/>
          <w:szCs w:val="18"/>
          <w:color w:val="auto"/>
        </w:rPr>
      </w:pPr>
    </w:p>
    <w:p>
      <w:pPr>
        <w:ind w:left="660" w:right="140" w:firstLine="645"/>
        <w:spacing w:after="0" w:line="277" w:lineRule="auto"/>
        <w:tabs>
          <w:tab w:leader="none" w:pos="1987"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title to any real property vested by deed or otherwise in any of those constituent business entities shall not revert and is not in any way impaired because of the merger or consolidation;</w:t>
      </w:r>
    </w:p>
    <w:p>
      <w:pPr>
        <w:spacing w:after="0" w:line="170" w:lineRule="exact"/>
        <w:rPr>
          <w:rFonts w:ascii="Arial" w:cs="Arial" w:eastAsia="Arial" w:hAnsi="Arial"/>
          <w:sz w:val="18"/>
          <w:szCs w:val="18"/>
          <w:color w:val="auto"/>
        </w:rPr>
      </w:pPr>
    </w:p>
    <w:p>
      <w:pPr>
        <w:ind w:left="660" w:right="700" w:firstLine="645"/>
        <w:spacing w:after="0" w:line="277" w:lineRule="auto"/>
        <w:tabs>
          <w:tab w:leader="none" w:pos="1997"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rights of creditors and all liens on or security interests in property of any of those constituent business entities shall be preserved unimpaired; and</w:t>
      </w:r>
    </w:p>
    <w:p>
      <w:pPr>
        <w:spacing w:after="0" w:line="170" w:lineRule="exact"/>
        <w:rPr>
          <w:rFonts w:ascii="Arial" w:cs="Arial" w:eastAsia="Arial" w:hAnsi="Arial"/>
          <w:sz w:val="18"/>
          <w:szCs w:val="18"/>
          <w:color w:val="auto"/>
        </w:rPr>
      </w:pPr>
    </w:p>
    <w:p>
      <w:pPr>
        <w:ind w:left="660" w:right="500" w:firstLine="645"/>
        <w:spacing w:after="0" w:line="277" w:lineRule="auto"/>
        <w:tabs>
          <w:tab w:leader="none" w:pos="1973"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debts, liabilities and duties of those constituent business entities shall attach to the Surviving Business Entity and may be enforced against it to the same extent as if the debts, liabilities and duties had been incurred or contracted by it.</w:t>
      </w:r>
    </w:p>
    <w:p>
      <w:pPr>
        <w:spacing w:after="0" w:line="170" w:lineRule="exact"/>
        <w:rPr>
          <w:sz w:val="20"/>
          <w:szCs w:val="20"/>
          <w:color w:val="auto"/>
        </w:rPr>
      </w:pPr>
    </w:p>
    <w:p>
      <w:pPr>
        <w:ind w:left="1960" w:hanging="655"/>
        <w:spacing w:after="0"/>
        <w:tabs>
          <w:tab w:leader="none" w:pos="1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At the effective time of the certificate of conversion, for all purposes of the laws of the Marshall Islands:</w:t>
      </w:r>
    </w:p>
    <w:p>
      <w:pPr>
        <w:spacing w:after="0" w:line="225" w:lineRule="exact"/>
        <w:rPr>
          <w:sz w:val="20"/>
          <w:szCs w:val="20"/>
          <w:color w:val="auto"/>
        </w:rPr>
      </w:pPr>
    </w:p>
    <w:p>
      <w:pPr>
        <w:ind w:left="660" w:right="60" w:firstLine="645"/>
        <w:spacing w:after="0" w:line="277" w:lineRule="auto"/>
        <w:tabs>
          <w:tab w:leader="none" w:pos="1978"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Partnership shall continue to exist, without interruption, but in the organizational form of the converted entity rather than in its prior organizational form;</w:t>
      </w:r>
    </w:p>
    <w:p>
      <w:pPr>
        <w:spacing w:after="0" w:line="170" w:lineRule="exact"/>
        <w:rPr>
          <w:rFonts w:ascii="Arial" w:cs="Arial" w:eastAsia="Arial" w:hAnsi="Arial"/>
          <w:sz w:val="18"/>
          <w:szCs w:val="18"/>
          <w:color w:val="auto"/>
        </w:rPr>
      </w:pPr>
    </w:p>
    <w:p>
      <w:pPr>
        <w:jc w:val="both"/>
        <w:ind w:left="660" w:right="300" w:firstLine="645"/>
        <w:spacing w:after="0" w:line="264" w:lineRule="auto"/>
        <w:tabs>
          <w:tab w:leader="none" w:pos="1987"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rights, title, and interests to all real estate and other property owned by the Partnership shall remain vested in the converted entity in its new organizational form without reversion or impairment, without further act or deed, and without any transfer or assignment having occurred, but subject to any existing liens or other encumbrances thereon;</w:t>
      </w:r>
    </w:p>
    <w:p>
      <w:pPr>
        <w:spacing w:after="0" w:line="181" w:lineRule="exact"/>
        <w:rPr>
          <w:rFonts w:ascii="Arial" w:cs="Arial" w:eastAsia="Arial" w:hAnsi="Arial"/>
          <w:sz w:val="18"/>
          <w:szCs w:val="18"/>
          <w:color w:val="auto"/>
        </w:rPr>
      </w:pPr>
    </w:p>
    <w:p>
      <w:pPr>
        <w:ind w:left="660" w:right="300" w:firstLine="645"/>
        <w:spacing w:after="0" w:line="277" w:lineRule="auto"/>
        <w:tabs>
          <w:tab w:leader="none" w:pos="1997"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liabilities and obligations of the Partnership shall continue to be liabilities and obligations of the converted entity in its new organizational form without impairment or diminution by reason of the conversion;</w:t>
      </w:r>
    </w:p>
    <w:p>
      <w:pPr>
        <w:spacing w:after="0" w:line="170" w:lineRule="exact"/>
        <w:rPr>
          <w:rFonts w:ascii="Arial" w:cs="Arial" w:eastAsia="Arial" w:hAnsi="Arial"/>
          <w:sz w:val="18"/>
          <w:szCs w:val="18"/>
          <w:color w:val="auto"/>
        </w:rPr>
      </w:pPr>
    </w:p>
    <w:p>
      <w:pPr>
        <w:ind w:left="660" w:right="60" w:firstLine="645"/>
        <w:spacing w:after="0" w:line="342" w:lineRule="auto"/>
        <w:tabs>
          <w:tab w:leader="none" w:pos="1973" w:val="left"/>
        </w:tabs>
        <w:numPr>
          <w:ilvl w:val="0"/>
          <w:numId w:val="94"/>
        </w:numPr>
        <w:rPr>
          <w:rFonts w:ascii="Arial" w:cs="Arial" w:eastAsia="Arial" w:hAnsi="Arial"/>
          <w:sz w:val="16"/>
          <w:szCs w:val="16"/>
          <w:color w:val="auto"/>
        </w:rPr>
      </w:pPr>
      <w:r>
        <w:rPr>
          <w:rFonts w:ascii="Arial" w:cs="Arial" w:eastAsia="Arial" w:hAnsi="Arial"/>
          <w:sz w:val="16"/>
          <w:szCs w:val="16"/>
          <w:color w:val="auto"/>
        </w:rPr>
        <w:t>all rights of creditors or other parties with respect to or against the prior interest holders or other owners of the Partnership in their capacities as such in existence as of the effective time of the conversion will continue in existence as to those liabilities and obligations and are</w:t>
      </w:r>
    </w:p>
    <w:p>
      <w:pPr>
        <w:sectPr>
          <w:pgSz w:w="11900" w:h="16975" w:orient="portrait"/>
          <w:cols w:equalWidth="0" w:num="1">
            <w:col w:w="11400"/>
          </w:cols>
          <w:pgMar w:left="240" w:top="125" w:right="259" w:bottom="0" w:gutter="0" w:footer="0" w:header="0"/>
        </w:sectPr>
      </w:pPr>
    </w:p>
    <w:bookmarkStart w:id="42" w:name="page43"/>
    <w:bookmarkEnd w:id="42"/>
    <w:p>
      <w:pPr>
        <w:spacing w:after="0" w:line="137" w:lineRule="exact"/>
        <w:rPr>
          <w:sz w:val="20"/>
          <w:szCs w:val="20"/>
          <w:color w:val="auto"/>
        </w:rPr>
      </w:pPr>
    </w:p>
    <w:p>
      <w:pPr>
        <w:ind w:left="660" w:right="380"/>
        <w:spacing w:after="0" w:line="277" w:lineRule="auto"/>
        <w:rPr>
          <w:sz w:val="20"/>
          <w:szCs w:val="20"/>
          <w:color w:val="auto"/>
        </w:rPr>
      </w:pPr>
      <w:r>
        <w:rPr>
          <w:rFonts w:ascii="Arial" w:cs="Arial" w:eastAsia="Arial" w:hAnsi="Arial"/>
          <w:sz w:val="18"/>
          <w:szCs w:val="18"/>
          <w:color w:val="auto"/>
        </w:rPr>
        <w:t>enforceable against the converted entity by such creditors and obligees to the same extent as if the liabilities and obligations had originally been incurred or contracted by the converted entity; and</w:t>
      </w:r>
    </w:p>
    <w:p>
      <w:pPr>
        <w:spacing w:after="0" w:line="170" w:lineRule="exact"/>
        <w:rPr>
          <w:sz w:val="20"/>
          <w:szCs w:val="20"/>
          <w:color w:val="auto"/>
        </w:rPr>
      </w:pPr>
    </w:p>
    <w:p>
      <w:pPr>
        <w:ind w:left="660" w:right="500" w:firstLine="645"/>
        <w:spacing w:after="0" w:line="277" w:lineRule="auto"/>
        <w:tabs>
          <w:tab w:leader="none" w:pos="1964"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Partnership Interests that are to be converted into partnership interests, shares, evidences of ownership, or other rights or securities in the converted entity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as provided in the Plan of Conversion shall be so converted, and Partners shall be entitled only to the rights provided in the Plan of Conversion.</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 TO ACQUIRE LIMITED PARTNER INTERESTS</w:t>
      </w:r>
    </w:p>
    <w:p>
      <w:pPr>
        <w:spacing w:after="0" w:line="211" w:lineRule="exact"/>
        <w:rPr>
          <w:sz w:val="20"/>
          <w:szCs w:val="20"/>
          <w:color w:val="auto"/>
        </w:rPr>
      </w:pPr>
    </w:p>
    <w:p>
      <w:pPr>
        <w:ind w:right="100" w:firstLine="1297"/>
        <w:spacing w:after="0" w:line="285" w:lineRule="auto"/>
        <w:rPr>
          <w:sz w:val="20"/>
          <w:szCs w:val="20"/>
          <w:color w:val="auto"/>
        </w:rPr>
      </w:pPr>
      <w:r>
        <w:rPr>
          <w:rFonts w:ascii="Arial" w:cs="Arial" w:eastAsia="Arial" w:hAnsi="Arial"/>
          <w:sz w:val="16"/>
          <w:szCs w:val="16"/>
          <w:color w:val="auto"/>
        </w:rPr>
        <w:t xml:space="preserve">Section 15.1. </w:t>
      </w:r>
      <w:r>
        <w:rPr>
          <w:rFonts w:ascii="Arial" w:cs="Arial" w:eastAsia="Arial" w:hAnsi="Arial"/>
          <w:sz w:val="16"/>
          <w:szCs w:val="16"/>
          <w:i w:val="1"/>
          <w:iCs w:val="1"/>
          <w:color w:val="auto"/>
        </w:rPr>
        <w:t>Right to Acquire Limited Partner Interests</w:t>
      </w:r>
      <w:r>
        <w:rPr>
          <w:rFonts w:ascii="Arial" w:cs="Arial" w:eastAsia="Arial" w:hAnsi="Arial"/>
          <w:sz w:val="16"/>
          <w:szCs w:val="16"/>
          <w:color w:val="auto"/>
        </w:rPr>
        <w:t>. (a) Notwithstanding any other provision of this Agreement, if at any time from and after the Closing Date the General Partner and its Affiliates hold more than 80% of the total Limited Partner Interests of any class or series then Outstanding, except for the Series A Preference Units and the Series B Preference Units, the General Partner shall then have the right, which right it may assign and transfer in whole or in part to the Partnership or any Affiliate of the General Partner, exercisable at its option, to purchase all, but not less than all, of such Limited Partner Interests of such class or series then Outstanding held by Persons other than the General Partner and its Affiliates, at the greater of</w:t>
      </w:r>
    </w:p>
    <w:p>
      <w:pPr>
        <w:spacing w:after="0" w:line="2" w:lineRule="exact"/>
        <w:rPr>
          <w:sz w:val="20"/>
          <w:szCs w:val="20"/>
          <w:color w:val="auto"/>
        </w:rPr>
      </w:pPr>
    </w:p>
    <w:p>
      <w:pPr>
        <w:ind w:right="80" w:firstLine="8"/>
        <w:spacing w:after="0" w:line="254" w:lineRule="auto"/>
        <w:tabs>
          <w:tab w:leader="none" w:pos="2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the Current Market Price as of the date three days prior to the date that the notice described in </w:t>
      </w:r>
      <w:r>
        <w:rPr>
          <w:rFonts w:ascii="Arial" w:cs="Arial" w:eastAsia="Arial" w:hAnsi="Arial"/>
          <w:sz w:val="18"/>
          <w:szCs w:val="18"/>
          <w:u w:val="single" w:color="auto"/>
          <w:color w:val="auto"/>
        </w:rPr>
        <w:t>Section 15.1(b)</w:t>
      </w:r>
      <w:r>
        <w:rPr>
          <w:rFonts w:ascii="Arial" w:cs="Arial" w:eastAsia="Arial" w:hAnsi="Arial"/>
          <w:sz w:val="18"/>
          <w:szCs w:val="18"/>
          <w:color w:val="auto"/>
        </w:rPr>
        <w:t xml:space="preserve"> is mailed and (y) the highest price paid by the General Partner or any of its Affiliates for any such Limited Partner Interest of such class or series purchased during the 90-day period preceding the date that the notice described in </w:t>
      </w:r>
      <w:r>
        <w:rPr>
          <w:rFonts w:ascii="Arial" w:cs="Arial" w:eastAsia="Arial" w:hAnsi="Arial"/>
          <w:sz w:val="18"/>
          <w:szCs w:val="18"/>
          <w:u w:val="single" w:color="auto"/>
          <w:color w:val="auto"/>
        </w:rPr>
        <w:t>Section 15.1(b)</w:t>
      </w:r>
      <w:r>
        <w:rPr>
          <w:rFonts w:ascii="Arial" w:cs="Arial" w:eastAsia="Arial" w:hAnsi="Arial"/>
          <w:sz w:val="18"/>
          <w:szCs w:val="18"/>
          <w:color w:val="auto"/>
        </w:rPr>
        <w:t xml:space="preserve"> is mailed. Notwithstanding the foregoing, the repurchase right described in this </w:t>
      </w:r>
      <w:r>
        <w:rPr>
          <w:rFonts w:ascii="Arial" w:cs="Arial" w:eastAsia="Arial" w:hAnsi="Arial"/>
          <w:sz w:val="18"/>
          <w:szCs w:val="18"/>
          <w:u w:val="single" w:color="auto"/>
          <w:color w:val="auto"/>
        </w:rPr>
        <w:t>Article XV</w:t>
      </w:r>
      <w:r>
        <w:rPr>
          <w:rFonts w:ascii="Arial" w:cs="Arial" w:eastAsia="Arial" w:hAnsi="Arial"/>
          <w:sz w:val="18"/>
          <w:szCs w:val="18"/>
          <w:color w:val="auto"/>
        </w:rPr>
        <w:t xml:space="preserve"> shall not apply to Preference Units.</w:t>
      </w:r>
    </w:p>
    <w:p>
      <w:pPr>
        <w:spacing w:after="0" w:line="189" w:lineRule="exact"/>
        <w:rPr>
          <w:rFonts w:ascii="Arial" w:cs="Arial" w:eastAsia="Arial" w:hAnsi="Arial"/>
          <w:sz w:val="18"/>
          <w:szCs w:val="18"/>
          <w:color w:val="auto"/>
        </w:rPr>
      </w:pPr>
    </w:p>
    <w:p>
      <w:pPr>
        <w:ind w:right="80" w:firstLine="1305"/>
        <w:spacing w:after="0" w:line="268" w:lineRule="auto"/>
        <w:tabs>
          <w:tab w:leader="none" w:pos="1952" w:val="left"/>
        </w:tabs>
        <w:numPr>
          <w:ilvl w:val="1"/>
          <w:numId w:val="96"/>
        </w:numPr>
        <w:rPr>
          <w:rFonts w:ascii="Arial" w:cs="Arial" w:eastAsia="Arial" w:hAnsi="Arial"/>
          <w:sz w:val="17"/>
          <w:szCs w:val="17"/>
          <w:color w:val="auto"/>
        </w:rPr>
      </w:pPr>
      <w:r>
        <w:rPr>
          <w:rFonts w:ascii="Arial" w:cs="Arial" w:eastAsia="Arial" w:hAnsi="Arial"/>
          <w:sz w:val="17"/>
          <w:szCs w:val="17"/>
          <w:color w:val="auto"/>
        </w:rPr>
        <w:t xml:space="preserve">If the General Partner, any Affiliate of the General Partner or the Partnership elects to exercise the right to purchase Limited Partner Interests granted pursuant to </w:t>
      </w:r>
      <w:r>
        <w:rPr>
          <w:rFonts w:ascii="Arial" w:cs="Arial" w:eastAsia="Arial" w:hAnsi="Arial"/>
          <w:sz w:val="17"/>
          <w:szCs w:val="17"/>
          <w:u w:val="single" w:color="auto"/>
          <w:color w:val="auto"/>
        </w:rPr>
        <w:t>Section 15.1(a)</w:t>
      </w:r>
      <w:r>
        <w:rPr>
          <w:rFonts w:ascii="Arial" w:cs="Arial" w:eastAsia="Arial" w:hAnsi="Arial"/>
          <w:sz w:val="17"/>
          <w:szCs w:val="17"/>
          <w:color w:val="auto"/>
        </w:rPr>
        <w:t>, the General Partner shall deliver to the Transfer Agent notice of such election to purchase (the “</w:t>
      </w:r>
      <w:r>
        <w:rPr>
          <w:rFonts w:ascii="Arial" w:cs="Arial" w:eastAsia="Arial" w:hAnsi="Arial"/>
          <w:sz w:val="17"/>
          <w:szCs w:val="17"/>
          <w:b w:val="1"/>
          <w:bCs w:val="1"/>
          <w:i w:val="1"/>
          <w:iCs w:val="1"/>
          <w:color w:val="auto"/>
        </w:rPr>
        <w:t>Notice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of Election to Purchase</w:t>
      </w:r>
      <w:r>
        <w:rPr>
          <w:rFonts w:ascii="Arial" w:cs="Arial" w:eastAsia="Arial" w:hAnsi="Arial"/>
          <w:sz w:val="17"/>
          <w:szCs w:val="17"/>
          <w:color w:val="auto"/>
        </w:rPr>
        <w:t>”) and shall cause the Transfer Agent to mail a copy of such Notice of Election to Purchase to the Record Holders of Limited Partner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Interests of such class or series (as of a Record Date selected by the General Partner) at least 10, but not more than 60, days prior to the Purchase Date. Such Notice of Election to Purchase shall also be published for a period of at least three consecutive days in at least two daily newspapers of general circulation printed in the English language and published in the Borough of Manhattan, New York. The Notice of Election to Purchase shall specify the Purchase Date and the price (determined in accordance with </w:t>
      </w:r>
      <w:r>
        <w:rPr>
          <w:rFonts w:ascii="Arial" w:cs="Arial" w:eastAsia="Arial" w:hAnsi="Arial"/>
          <w:sz w:val="17"/>
          <w:szCs w:val="17"/>
          <w:u w:val="single" w:color="auto"/>
          <w:color w:val="auto"/>
        </w:rPr>
        <w:t>Section 15.1(a)</w:t>
      </w:r>
      <w:r>
        <w:rPr>
          <w:rFonts w:ascii="Arial" w:cs="Arial" w:eastAsia="Arial" w:hAnsi="Arial"/>
          <w:sz w:val="17"/>
          <w:szCs w:val="17"/>
          <w:color w:val="auto"/>
        </w:rPr>
        <w:t xml:space="preserve">) at which Limited Partner Interests will be purchased and state that the General Partner, its Affiliate or the Partnership, as the case may be, elects to purchase such Limited Partner Interests, upon surrender of Certificates representing such Limited Partner Interests, if any, in exchange for payment, at such office or offices of the Transfer Agent as the Transfer Agent may specify, or as may be required by any National Securities Exchange on which such Limited Partner Interests are listed. Any such Notice of Election to Purchase mailed to a Record Holder of Limited Partner Interests at his address as reflected in the records of the Transfer Agent shall be conclusively presumed to have been given regardless of whether the owner receives such notice. On or prior to the Purchase Date, the General Partner, its Affiliate or the Partnership, as the case may be, shall deposit with the Transfer Agent cash in an amount sufficient to pay the aggregate purchase price of all of such Limited Partner Interests to be purchased in accordance with this </w:t>
      </w:r>
      <w:r>
        <w:rPr>
          <w:rFonts w:ascii="Arial" w:cs="Arial" w:eastAsia="Arial" w:hAnsi="Arial"/>
          <w:sz w:val="17"/>
          <w:szCs w:val="17"/>
          <w:u w:val="single" w:color="auto"/>
          <w:color w:val="auto"/>
        </w:rPr>
        <w:t>Section 15.1</w:t>
      </w:r>
      <w:r>
        <w:rPr>
          <w:rFonts w:ascii="Arial" w:cs="Arial" w:eastAsia="Arial" w:hAnsi="Arial"/>
          <w:sz w:val="17"/>
          <w:szCs w:val="17"/>
          <w:color w:val="auto"/>
        </w:rPr>
        <w:t>. If the Notice of Election to Purchase shall have been duly given as aforesaid at least 10 days prior to the Purchase Date, and if on or prior to the Purchase Date the deposit described in the preceding sentence has been made for the benefit of the holders of Limited Partner Interests subject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purchase as provided herein, then from and after the Purchase Date to the extent Certificates for the Limited Partner Interests are outstanding, notwithstanding that any Certificate shall not have been surrendered for purchase, all rights of the holders of such Limited Partner Interests (including any rights pursuant to </w:t>
      </w:r>
      <w:r>
        <w:rPr>
          <w:rFonts w:ascii="Arial" w:cs="Arial" w:eastAsia="Arial" w:hAnsi="Arial"/>
          <w:sz w:val="16"/>
          <w:szCs w:val="16"/>
          <w:u w:val="single" w:color="auto"/>
          <w:color w:val="auto"/>
        </w:rPr>
        <w:t>Articles IV</w:t>
      </w:r>
      <w:r>
        <w:rPr>
          <w:rFonts w:ascii="Arial" w:cs="Arial" w:eastAsia="Arial" w:hAnsi="Arial"/>
          <w:sz w:val="16"/>
          <w:szCs w:val="16"/>
          <w:color w:val="auto"/>
        </w:rPr>
        <w:t xml:space="preserve">, </w:t>
      </w:r>
      <w:r>
        <w:rPr>
          <w:rFonts w:ascii="Arial" w:cs="Arial" w:eastAsia="Arial" w:hAnsi="Arial"/>
          <w:sz w:val="16"/>
          <w:szCs w:val="16"/>
          <w:u w:val="single" w:color="auto"/>
          <w:color w:val="auto"/>
        </w:rPr>
        <w:t>V</w:t>
      </w:r>
      <w:r>
        <w:rPr>
          <w:rFonts w:ascii="Arial" w:cs="Arial" w:eastAsia="Arial" w:hAnsi="Arial"/>
          <w:sz w:val="16"/>
          <w:szCs w:val="16"/>
          <w:color w:val="auto"/>
        </w:rPr>
        <w:t xml:space="preserve">,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XII</w:t>
      </w:r>
      <w:r>
        <w:rPr>
          <w:rFonts w:ascii="Arial" w:cs="Arial" w:eastAsia="Arial" w:hAnsi="Arial"/>
          <w:sz w:val="16"/>
          <w:szCs w:val="16"/>
          <w:color w:val="auto"/>
        </w:rPr>
        <w:t xml:space="preserve">) shall thereupon cease, except the right to receive the applicable purchase price (determined in accordance with </w:t>
      </w:r>
      <w:r>
        <w:rPr>
          <w:rFonts w:ascii="Arial" w:cs="Arial" w:eastAsia="Arial" w:hAnsi="Arial"/>
          <w:sz w:val="16"/>
          <w:szCs w:val="16"/>
          <w:u w:val="single" w:color="auto"/>
          <w:color w:val="auto"/>
        </w:rPr>
        <w:t>Section 15.1(a)</w:t>
      </w:r>
      <w:r>
        <w:rPr>
          <w:rFonts w:ascii="Arial" w:cs="Arial" w:eastAsia="Arial" w:hAnsi="Arial"/>
          <w:sz w:val="16"/>
          <w:szCs w:val="16"/>
          <w:color w:val="auto"/>
        </w:rPr>
        <w:t xml:space="preserve">) for Limited Partner Interests therefor, without interest, upon surrender to the Transfer Agent of the Certificates representing such Limited Partner Interests, and such Limited Partner Interests shall thereupon be deemed to be transferred to the General Partner, its Affiliate or the Partnership, as the case may be, on the record books of the Transfer Agent and the Partnership, and the General Partner or any Affiliate of the General Partner, or the Partnership, as the case may be, shall be deemed to be the owner of all such Limited Partner Interests from and after the Purchase Date and shall have all rights as the owner of such Limited Partner Interests (including all rights as owner of such Limited Partner Interests pursuant to </w:t>
      </w:r>
      <w:r>
        <w:rPr>
          <w:rFonts w:ascii="Arial" w:cs="Arial" w:eastAsia="Arial" w:hAnsi="Arial"/>
          <w:sz w:val="16"/>
          <w:szCs w:val="16"/>
          <w:u w:val="single" w:color="auto"/>
          <w:color w:val="auto"/>
        </w:rPr>
        <w:t>Articles IV</w:t>
      </w:r>
      <w:r>
        <w:rPr>
          <w:rFonts w:ascii="Arial" w:cs="Arial" w:eastAsia="Arial" w:hAnsi="Arial"/>
          <w:sz w:val="16"/>
          <w:szCs w:val="16"/>
          <w:color w:val="auto"/>
        </w:rPr>
        <w:t xml:space="preserve">, </w:t>
      </w:r>
      <w:r>
        <w:rPr>
          <w:rFonts w:ascii="Arial" w:cs="Arial" w:eastAsia="Arial" w:hAnsi="Arial"/>
          <w:sz w:val="16"/>
          <w:szCs w:val="16"/>
          <w:u w:val="single" w:color="auto"/>
          <w:color w:val="auto"/>
        </w:rPr>
        <w:t>V</w:t>
      </w:r>
      <w:r>
        <w:rPr>
          <w:rFonts w:ascii="Arial" w:cs="Arial" w:eastAsia="Arial" w:hAnsi="Arial"/>
          <w:sz w:val="16"/>
          <w:szCs w:val="16"/>
          <w:color w:val="auto"/>
        </w:rPr>
        <w:t xml:space="preserve">,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XII</w:t>
      </w:r>
      <w:r>
        <w:rPr>
          <w:rFonts w:ascii="Arial" w:cs="Arial" w:eastAsia="Arial" w:hAnsi="Arial"/>
          <w:sz w:val="16"/>
          <w:szCs w:val="16"/>
          <w:color w:val="auto"/>
        </w:rPr>
        <w:t>).</w:t>
      </w:r>
    </w:p>
    <w:p>
      <w:pPr>
        <w:spacing w:after="0" w:line="166" w:lineRule="exact"/>
        <w:rPr>
          <w:sz w:val="20"/>
          <w:szCs w:val="20"/>
          <w:color w:val="auto"/>
        </w:rPr>
      </w:pPr>
    </w:p>
    <w:p>
      <w:pPr>
        <w:ind w:right="80" w:firstLine="1305"/>
        <w:spacing w:after="0" w:line="264" w:lineRule="auto"/>
        <w:tabs>
          <w:tab w:leader="none" w:pos="19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At any time from and after the Purchase Date, a holder of an Outstanding Limited Partner Interest subject to purchase as provided in this </w:t>
      </w:r>
      <w:r>
        <w:rPr>
          <w:rFonts w:ascii="Arial" w:cs="Arial" w:eastAsia="Arial" w:hAnsi="Arial"/>
          <w:sz w:val="18"/>
          <w:szCs w:val="18"/>
          <w:u w:val="single" w:color="auto"/>
          <w:color w:val="auto"/>
        </w:rPr>
        <w:t>Section 15.1</w:t>
      </w:r>
      <w:r>
        <w:rPr>
          <w:rFonts w:ascii="Arial" w:cs="Arial" w:eastAsia="Arial" w:hAnsi="Arial"/>
          <w:sz w:val="18"/>
          <w:szCs w:val="18"/>
          <w:color w:val="auto"/>
        </w:rPr>
        <w:t xml:space="preserve"> may surrender his Certificate evidencing such Limited Partner Interest to the Transfer Agent in exchange for payment of the amount described in </w:t>
      </w:r>
      <w:r>
        <w:rPr>
          <w:rFonts w:ascii="Arial" w:cs="Arial" w:eastAsia="Arial" w:hAnsi="Arial"/>
          <w:sz w:val="18"/>
          <w:szCs w:val="18"/>
          <w:u w:val="single" w:color="auto"/>
          <w:color w:val="auto"/>
        </w:rPr>
        <w:t>Section 15.1(a)</w:t>
      </w:r>
      <w:r>
        <w:rPr>
          <w:rFonts w:ascii="Arial" w:cs="Arial" w:eastAsia="Arial" w:hAnsi="Arial"/>
          <w:sz w:val="18"/>
          <w:szCs w:val="18"/>
          <w:color w:val="auto"/>
        </w:rPr>
        <w:t>, without interest thereon.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SERIES A CUMULATIVE REDEEMABLE PERPETUAL FIXED TO FLOATING RATE PREFERENCE UNITS</w:t>
      </w:r>
    </w:p>
    <w:p>
      <w:pPr>
        <w:spacing w:after="0" w:line="21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16.1.</w:t>
      </w:r>
      <w:r>
        <w:rPr>
          <w:sz w:val="20"/>
          <w:szCs w:val="20"/>
          <w:color w:val="auto"/>
        </w:rPr>
        <w:tab/>
      </w:r>
      <w:r>
        <w:rPr>
          <w:rFonts w:ascii="Arial" w:cs="Arial" w:eastAsia="Arial" w:hAnsi="Arial"/>
          <w:sz w:val="16"/>
          <w:szCs w:val="16"/>
          <w:i w:val="1"/>
          <w:iCs w:val="1"/>
          <w:color w:val="auto"/>
        </w:rPr>
        <w:t>Designations</w:t>
      </w:r>
      <w:r>
        <w:rPr>
          <w:rFonts w:ascii="Arial" w:cs="Arial" w:eastAsia="Arial" w:hAnsi="Arial"/>
          <w:sz w:val="16"/>
          <w:szCs w:val="16"/>
          <w:color w:val="auto"/>
        </w:rPr>
        <w:t>. On May 15, 2017, the Board of Directors designated and created a series of Preference Units designated as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“8.625% Series A Cumulative Redeemable Perpetual Fixed to Floating Rate Preference Units,” and fixed the preferences, rights, powers and duties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holders of the Series A Preference Units as set forth in this </w:t>
      </w:r>
      <w:r>
        <w:rPr>
          <w:rFonts w:ascii="Arial" w:cs="Arial" w:eastAsia="Arial" w:hAnsi="Arial"/>
          <w:sz w:val="17"/>
          <w:szCs w:val="17"/>
          <w:u w:val="single" w:color="auto"/>
          <w:color w:val="auto"/>
        </w:rPr>
        <w:t>Article XVI</w:t>
      </w:r>
      <w:r>
        <w:rPr>
          <w:rFonts w:ascii="Arial" w:cs="Arial" w:eastAsia="Arial" w:hAnsi="Arial"/>
          <w:sz w:val="17"/>
          <w:szCs w:val="17"/>
          <w:color w:val="auto"/>
        </w:rPr>
        <w:t>. Each Series A Preference Unit shall be identical in all respects to every 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Series A Preference Unit, except as to the respective dates from which the Series A Liquidation Preference shall increase or from which Series A Distributions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begin accruing, to the extent such dates may differ. The Series A Preference Units represent perpetual equity interests in the Partnership and shall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give rise to a claim by the holder for redemption thereof at a particular date.</w:t>
      </w:r>
    </w:p>
    <w:p>
      <w:pPr>
        <w:spacing w:after="0" w:line="21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16.2.</w:t>
      </w:r>
      <w:r>
        <w:rPr>
          <w:sz w:val="20"/>
          <w:szCs w:val="20"/>
          <w:color w:val="auto"/>
        </w:rPr>
        <w:tab/>
      </w:r>
      <w:r>
        <w:rPr>
          <w:rFonts w:ascii="Arial" w:cs="Arial" w:eastAsia="Arial" w:hAnsi="Arial"/>
          <w:sz w:val="17"/>
          <w:szCs w:val="17"/>
          <w:i w:val="1"/>
          <w:iCs w:val="1"/>
          <w:color w:val="auto"/>
        </w:rPr>
        <w:t>Units</w:t>
      </w:r>
      <w:r>
        <w:rPr>
          <w:rFonts w:ascii="Arial" w:cs="Arial" w:eastAsia="Arial" w:hAnsi="Arial"/>
          <w:sz w:val="17"/>
          <w:szCs w:val="17"/>
          <w:color w:val="auto"/>
        </w:rPr>
        <w:t>.</w:t>
      </w:r>
    </w:p>
    <w:p>
      <w:pPr>
        <w:spacing w:after="0" w:line="225" w:lineRule="exact"/>
        <w:rPr>
          <w:sz w:val="20"/>
          <w:szCs w:val="20"/>
          <w:color w:val="auto"/>
        </w:rPr>
      </w:pPr>
    </w:p>
    <w:p>
      <w:pPr>
        <w:ind w:right="60" w:firstLine="1305"/>
        <w:spacing w:after="0" w:line="277" w:lineRule="auto"/>
        <w:tabs>
          <w:tab w:leader="none" w:pos="1942"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authorized number of Series A Preference Units shall be unlimited. Series A Preference Units that are purchased or otherwise acquired by the Partnership shall be cancelled.</w:t>
      </w:r>
    </w:p>
    <w:p>
      <w:pPr>
        <w:spacing w:after="0" w:line="170" w:lineRule="exact"/>
        <w:rPr>
          <w:rFonts w:ascii="Arial" w:cs="Arial" w:eastAsia="Arial" w:hAnsi="Arial"/>
          <w:sz w:val="18"/>
          <w:szCs w:val="18"/>
          <w:color w:val="auto"/>
        </w:rPr>
      </w:pPr>
    </w:p>
    <w:p>
      <w:pPr>
        <w:ind w:right="100" w:firstLine="1305"/>
        <w:spacing w:after="0" w:line="342" w:lineRule="auto"/>
        <w:tabs>
          <w:tab w:leader="none" w:pos="1952"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Series A Preference Units shall be represented by a single Certificate registered in the name of the Depository or its nominee, and no Series A Holder shall be entitled to receive a Certificate evidencing such applicable Units, unless otherwise required by law or the Depository gives</w:t>
      </w:r>
    </w:p>
    <w:p>
      <w:pPr>
        <w:sectPr>
          <w:pgSz w:w="11900" w:h="16975" w:orient="portrait"/>
          <w:cols w:equalWidth="0" w:num="1">
            <w:col w:w="11400"/>
          </w:cols>
          <w:pgMar w:left="240" w:top="125" w:right="259" w:bottom="0" w:gutter="0" w:footer="0" w:header="0"/>
        </w:sectPr>
      </w:pPr>
    </w:p>
    <w:bookmarkStart w:id="43" w:name="page44"/>
    <w:bookmarkEnd w:id="43"/>
    <w:p>
      <w:pPr>
        <w:ind w:right="20"/>
        <w:spacing w:after="0" w:line="277" w:lineRule="auto"/>
        <w:rPr>
          <w:sz w:val="20"/>
          <w:szCs w:val="20"/>
          <w:color w:val="auto"/>
        </w:rPr>
      </w:pPr>
      <w:r>
        <w:rPr>
          <w:rFonts w:ascii="Arial" w:cs="Arial" w:eastAsia="Arial" w:hAnsi="Arial"/>
          <w:sz w:val="18"/>
          <w:szCs w:val="18"/>
          <w:color w:val="auto"/>
        </w:rPr>
        <w:t>notice of its intention to resign or is no longer eligible to act as such with respect to such series of Preference Units and the Partnership shall have not selected a substitute Depository within 60 calendar days thereafter. So long as the Depository shall have been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appointed and is serving with respect to such series of Preference Units, payments and communications made by the Partnership to Series A Holders shall be made by making payments to, and communicating with, the Depository.</w:t>
      </w:r>
    </w:p>
    <w:p>
      <w:pPr>
        <w:spacing w:after="0" w:line="17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16.3.</w:t>
      </w:r>
      <w:r>
        <w:rPr>
          <w:sz w:val="20"/>
          <w:szCs w:val="20"/>
          <w:color w:val="auto"/>
        </w:rPr>
        <w:tab/>
      </w:r>
      <w:r>
        <w:rPr>
          <w:rFonts w:ascii="Arial" w:cs="Arial" w:eastAsia="Arial" w:hAnsi="Arial"/>
          <w:sz w:val="17"/>
          <w:szCs w:val="17"/>
          <w:i w:val="1"/>
          <w:iCs w:val="1"/>
          <w:color w:val="auto"/>
        </w:rPr>
        <w:t>Distributions</w:t>
      </w:r>
      <w:r>
        <w:rPr>
          <w:rFonts w:ascii="Arial" w:cs="Arial" w:eastAsia="Arial" w:hAnsi="Arial"/>
          <w:sz w:val="17"/>
          <w:szCs w:val="17"/>
          <w:color w:val="auto"/>
        </w:rPr>
        <w:t>.</w:t>
      </w:r>
    </w:p>
    <w:p>
      <w:pPr>
        <w:spacing w:after="0" w:line="225" w:lineRule="exact"/>
        <w:rPr>
          <w:sz w:val="20"/>
          <w:szCs w:val="20"/>
          <w:color w:val="auto"/>
        </w:rPr>
      </w:pPr>
    </w:p>
    <w:p>
      <w:pPr>
        <w:ind w:firstLine="1305"/>
        <w:spacing w:after="0" w:line="267" w:lineRule="auto"/>
        <w:tabs>
          <w:tab w:leader="none" w:pos="1942" w:val="left"/>
        </w:tabs>
        <w:numPr>
          <w:ilvl w:val="0"/>
          <w:numId w:val="99"/>
        </w:numPr>
        <w:rPr>
          <w:rFonts w:ascii="Arial" w:cs="Arial" w:eastAsia="Arial" w:hAnsi="Arial"/>
          <w:sz w:val="17"/>
          <w:szCs w:val="17"/>
          <w:color w:val="auto"/>
        </w:rPr>
      </w:pPr>
      <w:r>
        <w:rPr>
          <w:rFonts w:ascii="Arial" w:cs="Arial" w:eastAsia="Arial" w:hAnsi="Arial"/>
          <w:sz w:val="17"/>
          <w:szCs w:val="17"/>
          <w:color w:val="auto"/>
        </w:rPr>
        <w:t xml:space="preserve">Distributions on each Series A Preference Unit shall be cumulative and shall accrue at the Series A Distribution Rate from the Series A Original Issue Date (or, for any subsequently issued and newly Outstanding Series A Preference Units, from the Series A Distribution Payment Date immediately preceding the issuance date of such Units) until such time as the Partnership pays the Series A Distribution or redeems the Series A Preference Units in full in accordance with </w:t>
      </w:r>
      <w:r>
        <w:rPr>
          <w:rFonts w:ascii="Arial" w:cs="Arial" w:eastAsia="Arial" w:hAnsi="Arial"/>
          <w:sz w:val="17"/>
          <w:szCs w:val="17"/>
          <w:u w:val="single" w:color="auto"/>
          <w:color w:val="auto"/>
        </w:rPr>
        <w:t>Section 16.6</w:t>
      </w:r>
      <w:r>
        <w:rPr>
          <w:rFonts w:ascii="Arial" w:cs="Arial" w:eastAsia="Arial" w:hAnsi="Arial"/>
          <w:sz w:val="17"/>
          <w:szCs w:val="17"/>
          <w:color w:val="auto"/>
        </w:rPr>
        <w:t xml:space="preserve"> below, whether or not such Series A Distributions shall have been declared. Series A Holders shall be entitled to receive Series A Distributions from time to time out of any assets of the Partnership legally available for the payment of distributions at the Series A Distribution Rate per Series A Preference Unit when, as, and if declared by the Board of Directors. Series A Distributions, to the extent declared by the Board of Directors to be paid by the Partnership in accordance with this </w:t>
      </w:r>
      <w:r>
        <w:rPr>
          <w:rFonts w:ascii="Arial" w:cs="Arial" w:eastAsia="Arial" w:hAnsi="Arial"/>
          <w:sz w:val="17"/>
          <w:szCs w:val="17"/>
          <w:u w:val="single" w:color="auto"/>
          <w:color w:val="auto"/>
        </w:rPr>
        <w:t>Section 16.3</w:t>
      </w:r>
      <w:r>
        <w:rPr>
          <w:rFonts w:ascii="Arial" w:cs="Arial" w:eastAsia="Arial" w:hAnsi="Arial"/>
          <w:sz w:val="17"/>
          <w:szCs w:val="17"/>
          <w:color w:val="auto"/>
        </w:rPr>
        <w:t>, shall be paid quarterly on each Series A Distribution Payment Date. Distributions shall accumulate in each Series A Distribution Period from and including the preceding Series A Distribution Payment Date (other than the initial Series A Distribution Period, which shall commence on and include the Series A Original Issue Date), to but excluding the next Series A Distribution Payment Date for such Series A Distribution Period and distributions shall accrue on accumulated Series A Distributions at the Series A Distribution Rate. If any Series A Distribution Payment Date during the Series A Fixed Rate Period would otherwise would occur on a date that is not a Business Day, declared Series A Distributions shall be paid on the immediately succeeding Business Day without the accumulation of additional distributions. If any Series A Distribution Payment Date during the Series A Floating Rate Period would otherwise occur on a date that is not a Business Day, then the Series A Distribution Payment Date will be the next day that is a Business Day. Series A Distributions payable for any Series A Distribution Period during the Series A Fixed Rate Period will be calculated based on a 360-day year consisting of twelve 30-day months. Series A Distributions payable for any Series A Distribution Period during the Series A Floating Rate Period will be calculated based on a 360-day year and the number of days actually elapsed during such Series A Distribution Period.</w:t>
      </w:r>
    </w:p>
    <w:p>
      <w:pPr>
        <w:spacing w:after="0" w:line="192" w:lineRule="exact"/>
        <w:rPr>
          <w:rFonts w:ascii="Arial" w:cs="Arial" w:eastAsia="Arial" w:hAnsi="Arial"/>
          <w:sz w:val="17"/>
          <w:szCs w:val="17"/>
          <w:color w:val="auto"/>
        </w:rPr>
      </w:pPr>
    </w:p>
    <w:p>
      <w:pPr>
        <w:ind w:right="200" w:firstLine="1305"/>
        <w:spacing w:after="0" w:line="259" w:lineRule="auto"/>
        <w:tabs>
          <w:tab w:leader="none" w:pos="1952" w:val="left"/>
        </w:tabs>
        <w:numPr>
          <w:ilvl w:val="0"/>
          <w:numId w:val="99"/>
        </w:numPr>
        <w:rPr>
          <w:rFonts w:ascii="Arial" w:cs="Arial" w:eastAsia="Arial" w:hAnsi="Arial"/>
          <w:sz w:val="18"/>
          <w:szCs w:val="18"/>
          <w:color w:val="auto"/>
        </w:rPr>
      </w:pPr>
      <w:r>
        <w:rPr>
          <w:rFonts w:ascii="Arial" w:cs="Arial" w:eastAsia="Arial" w:hAnsi="Arial"/>
          <w:sz w:val="18"/>
          <w:szCs w:val="18"/>
          <w:color w:val="auto"/>
        </w:rPr>
        <w:t>For each Series A Distribution Period during the Series A Floating Rate Period, the applicable Series A Distribution Rate will be determined by the Partnership as of the applicable Series A Distribution Determination Date for such Series A Distribution Period. For purposes of determining the applicable Series A Distribution Rate, the Series A Three-Month LIBOR Rate will be determined by the Partnership, as of the applicable Series A Distribution Determination Date, in accordance with the following provisions:</w:t>
      </w:r>
    </w:p>
    <w:p>
      <w:pPr>
        <w:spacing w:after="0" w:line="187" w:lineRule="exact"/>
        <w:rPr>
          <w:sz w:val="20"/>
          <w:szCs w:val="20"/>
          <w:color w:val="auto"/>
        </w:rPr>
      </w:pPr>
    </w:p>
    <w:p>
      <w:pPr>
        <w:ind w:left="660" w:right="100" w:firstLine="645"/>
        <w:spacing w:after="0" w:line="291" w:lineRule="auto"/>
        <w:tabs>
          <w:tab w:leader="none" w:pos="1978"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Series A Three-Month LIBOR Rate will be the rate (expressed as a percentage per year) for deposits in U.S. dollars having an index maturity of three months, in amounts of at least $1,000,000, as such rate appears on Reuters Page LIBOR01 at approximately 11:00</w:t>
      </w:r>
    </w:p>
    <w:p>
      <w:pPr>
        <w:ind w:left="660"/>
        <w:spacing w:after="0"/>
        <w:rPr>
          <w:rFonts w:ascii="Arial" w:cs="Arial" w:eastAsia="Arial" w:hAnsi="Arial"/>
          <w:sz w:val="16"/>
          <w:szCs w:val="16"/>
          <w:color w:val="auto"/>
        </w:rPr>
      </w:pPr>
      <w:r>
        <w:rPr>
          <w:rFonts w:ascii="Arial" w:cs="Arial" w:eastAsia="Arial" w:hAnsi="Arial"/>
          <w:sz w:val="18"/>
          <w:szCs w:val="18"/>
          <w:color w:val="auto"/>
        </w:rPr>
        <w:t>a.m. (London time) on the relevant Series A Distribution Determination Date; 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80" w:hanging="675"/>
        <w:spacing w:after="0"/>
        <w:tabs>
          <w:tab w:leader="none" w:pos="19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if no such rate appears on Reuters Page LIBOR01 or if the Reuters Page LIBOR01 is not available at approximately 11:00</w:t>
      </w:r>
    </w:p>
    <w:p>
      <w:pPr>
        <w:spacing w:after="0" w:line="35" w:lineRule="exact"/>
        <w:rPr>
          <w:sz w:val="20"/>
          <w:szCs w:val="20"/>
          <w:color w:val="auto"/>
        </w:rPr>
      </w:pPr>
    </w:p>
    <w:p>
      <w:pPr>
        <w:ind w:left="660"/>
        <w:spacing w:after="0" w:line="284" w:lineRule="auto"/>
        <w:rPr>
          <w:sz w:val="20"/>
          <w:szCs w:val="20"/>
          <w:color w:val="auto"/>
        </w:rPr>
      </w:pPr>
      <w:r>
        <w:rPr>
          <w:rFonts w:ascii="Arial" w:cs="Arial" w:eastAsia="Arial" w:hAnsi="Arial"/>
          <w:sz w:val="16"/>
          <w:szCs w:val="16"/>
          <w:color w:val="auto"/>
        </w:rPr>
        <w:t>a.m. (London time) on the relevant Series A Distribution Determination Date, then the Partnership will select four nationally-recognized banks in the London interbank market and request that the principal London offices of those four selected banks provide their offered quotation for deposits in U.S. dollars for a period of three months, commencing on the first day of the applicable Series A Distribution Period, to prime banks in the London interbank market at approximately 11:00 a.m. (London time) on that Series A Distribution Determination Date for the applicable Series A Distribution Period. Offered quotations must be based on a principal amount equal to an amount that, in the Partnership’s discretion, is representative of a single transaction in U.S. dollars in the London interbank market at that time. If at least two quotations are provided, the Series A Three-Month LIBOR Rate for such Series A Distribution Period will be the arithmetic mean (rounded upward if necessary, to the nearest 0.00001 of 1%) of those quotations. If fewer than two quotations are provided, the Series A Three-Month LIBOR Rate for such Series A Distribution Period will be the arithmetic mean (rounded upward if necessary, to the nearest 0.00001 of 1%) of the rates quoted at approximately 11:00 a.m. (New York City time) on that Series A Distribution Determination Date for such Series A Distribution Period by three nationally-recognized banks in New York, New York selected by the Partnership, for loans in U.S. dollars to nationally-recognized European banks (as selected by the Partnership), for a period of three months commencing on the first day of such Series A Distribution Period. The rates quoted must be based on an amount that, in the Partnership’s discretion, is representative of a single transaction in U.S. dollars in that market at that time. If fewer than three New York City banks selected by the Partnership provide quote rates in the manner described above, the Series A Three-Month LIBOR Rate for the applicable Series A Distribution Period will be the same as for the immediately preceding Series A Distribution Period, or, if there was no such Series A Distribution Period, the distribution shall be calculated at the Series A Distribution Rate in effect for the immediately preceding Series A Distribution Period.</w:t>
      </w:r>
    </w:p>
    <w:p>
      <w:pPr>
        <w:spacing w:after="0" w:line="176" w:lineRule="exact"/>
        <w:rPr>
          <w:sz w:val="20"/>
          <w:szCs w:val="20"/>
          <w:color w:val="auto"/>
        </w:rPr>
      </w:pPr>
    </w:p>
    <w:p>
      <w:pPr>
        <w:ind w:firstLine="1305"/>
        <w:spacing w:after="0" w:line="270" w:lineRule="auto"/>
        <w:tabs>
          <w:tab w:leader="none" w:pos="195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Not later than 5:00 p.m., New York City time, on each Series A Distribution Payment Date, the Partnership shall pay those Series A Distributions, if any, that shall have been declared by the Board of Directors to Series A Holders on the Record Date for the applicable Series A Preference Distribution. The Record Date (the “</w:t>
      </w:r>
      <w:r>
        <w:rPr>
          <w:rFonts w:ascii="Arial" w:cs="Arial" w:eastAsia="Arial" w:hAnsi="Arial"/>
          <w:sz w:val="17"/>
          <w:szCs w:val="17"/>
          <w:b w:val="1"/>
          <w:bCs w:val="1"/>
          <w:i w:val="1"/>
          <w:iCs w:val="1"/>
          <w:color w:val="auto"/>
        </w:rPr>
        <w:t>Series A Distribution Record Date</w:t>
      </w:r>
      <w:r>
        <w:rPr>
          <w:rFonts w:ascii="Arial" w:cs="Arial" w:eastAsia="Arial" w:hAnsi="Arial"/>
          <w:sz w:val="17"/>
          <w:szCs w:val="17"/>
          <w:color w:val="auto"/>
        </w:rPr>
        <w:t xml:space="preserve">”) for the payment of any Series A Distributions shall be the fifth Business Day immediately preceding the applicable Series A Distribution Payment Date, except that in the case of payments of Series A Distributions in arrears, the Series A Distribution Record Date with respect to a Series A Distribution Payment Date shall be such date as may be designated by the Board of Directors in accordance with this </w:t>
      </w:r>
      <w:r>
        <w:rPr>
          <w:rFonts w:ascii="Arial" w:cs="Arial" w:eastAsia="Arial" w:hAnsi="Arial"/>
          <w:sz w:val="17"/>
          <w:szCs w:val="17"/>
          <w:u w:val="single" w:color="auto"/>
          <w:color w:val="auto"/>
        </w:rPr>
        <w:t>Article XVI</w:t>
      </w:r>
      <w:r>
        <w:rPr>
          <w:rFonts w:ascii="Arial" w:cs="Arial" w:eastAsia="Arial" w:hAnsi="Arial"/>
          <w:sz w:val="17"/>
          <w:szCs w:val="17"/>
          <w:color w:val="auto"/>
        </w:rPr>
        <w:t>. No distribution shall be declared or paid or set apart for payment on any Junior Securities (other than a distribution payable solely in Junior Securities) unless full cumulative Series A Distributions have been or contemporaneously are being paid or provided for on all Outstanding Series A Preference Units and any other Parity Securities through the most recent respective Series A Distribution Payment Dates. Accumulated Series A Distributions in arrears for any past Series A Distribution Period may be declared by the Board of Directors and paid on any date fixed by the Board of Directors, whether or not a Series A Distribution Payment Date, to Series A Holders on the record date for such</w:t>
      </w:r>
    </w:p>
    <w:p>
      <w:pPr>
        <w:sectPr>
          <w:pgSz w:w="11900" w:h="16838" w:orient="portrait"/>
          <w:cols w:equalWidth="0" w:num="1">
            <w:col w:w="11400"/>
          </w:cols>
          <w:pgMar w:left="240" w:top="125" w:right="259" w:bottom="271"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271" w:gutter="0" w:footer="0" w:header="0"/>
          <w:type w:val="continuous"/>
        </w:sectPr>
      </w:pPr>
    </w:p>
    <w:bookmarkStart w:id="44" w:name="page45"/>
    <w:bookmarkEnd w:id="44"/>
    <w:p>
      <w:pPr>
        <w:spacing w:after="0" w:line="13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payment, which may not be more than 60 days, nor less than 15 days, before such payment date. Subject to the next succeeding sentence, if all accumulated Series A Distributions in arrears on all Outstanding Series A Preference Units and any other Parity Securities shall not have been declared and paid, or if sufficient funds for the payment thereof shall not have been set apart, payment of accumulated distributions in arrears on the Series A Preference Units and any such Parity Securities shall be made in order of their respective distribution payment dates, commencing with the earliest. If less than all distributions payable with respect to all Series A Preference Units and any other Parity Securities are paid, any partial payment shall be made pro rata with respect to the Series A Preference Units and any such other Parity Securities entitled to a distribution payment at such time in proportion to the aggregate distribution amounts remaining due in respect of such Series A Preference Units and such other Parity Securities at such time. Subject to </w:t>
      </w:r>
      <w:r>
        <w:rPr>
          <w:rFonts w:ascii="Arial" w:cs="Arial" w:eastAsia="Arial" w:hAnsi="Arial"/>
          <w:sz w:val="17"/>
          <w:szCs w:val="17"/>
          <w:u w:val="single" w:color="auto"/>
          <w:color w:val="auto"/>
        </w:rPr>
        <w:t>Sections 12.4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16.6</w:t>
      </w:r>
      <w:r>
        <w:rPr>
          <w:rFonts w:ascii="Arial" w:cs="Arial" w:eastAsia="Arial" w:hAnsi="Arial"/>
          <w:sz w:val="17"/>
          <w:szCs w:val="17"/>
          <w:color w:val="auto"/>
        </w:rPr>
        <w:t xml:space="preserve">, Series A Holders shall not be entitled to any distribution, whether payable in cash, property or stock, in excess of full cumulative Series A Distributions. Except insofar as distributions accrue on the amount of any accumulated and unpaid Series A Distributions as described in </w:t>
      </w:r>
      <w:r>
        <w:rPr>
          <w:rFonts w:ascii="Arial" w:cs="Arial" w:eastAsia="Arial" w:hAnsi="Arial"/>
          <w:sz w:val="17"/>
          <w:szCs w:val="17"/>
          <w:u w:val="single" w:color="auto"/>
          <w:color w:val="auto"/>
        </w:rPr>
        <w:t>Section 16.3(a)</w:t>
      </w:r>
      <w:r>
        <w:rPr>
          <w:rFonts w:ascii="Arial" w:cs="Arial" w:eastAsia="Arial" w:hAnsi="Arial"/>
          <w:sz w:val="17"/>
          <w:szCs w:val="17"/>
          <w:color w:val="auto"/>
        </w:rPr>
        <w:t>, no interest or sum of money in lieu of interest shall be payable in respect of any distribution payment which may be in arrears on the Series A Preference Units. So long as the Series A Preference Units are held of record by the nominee of the Depository, declared Series A Distributions shall be paid to the Depository in same-day funds on each Series A Distribution Payment Date.</w:t>
      </w:r>
    </w:p>
    <w:p>
      <w:pPr>
        <w:spacing w:after="0" w:line="18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16.4.</w:t>
      </w:r>
      <w:r>
        <w:rPr>
          <w:sz w:val="20"/>
          <w:szCs w:val="20"/>
          <w:color w:val="auto"/>
        </w:rPr>
        <w:tab/>
      </w:r>
      <w:r>
        <w:rPr>
          <w:rFonts w:ascii="Arial" w:cs="Arial" w:eastAsia="Arial" w:hAnsi="Arial"/>
          <w:sz w:val="17"/>
          <w:szCs w:val="17"/>
          <w:i w:val="1"/>
          <w:iCs w:val="1"/>
          <w:color w:val="auto"/>
        </w:rPr>
        <w:t>Liquidation Rights</w:t>
      </w:r>
      <w:r>
        <w:rPr>
          <w:rFonts w:ascii="Arial" w:cs="Arial" w:eastAsia="Arial" w:hAnsi="Arial"/>
          <w:sz w:val="17"/>
          <w:szCs w:val="17"/>
          <w:color w:val="auto"/>
        </w:rPr>
        <w:t>.</w:t>
      </w:r>
    </w:p>
    <w:p>
      <w:pPr>
        <w:spacing w:after="0" w:line="225" w:lineRule="exact"/>
        <w:rPr>
          <w:sz w:val="20"/>
          <w:szCs w:val="20"/>
          <w:color w:val="auto"/>
        </w:rPr>
      </w:pPr>
    </w:p>
    <w:p>
      <w:pPr>
        <w:ind w:firstLine="1305"/>
        <w:spacing w:after="0" w:line="286" w:lineRule="auto"/>
        <w:tabs>
          <w:tab w:leader="none" w:pos="1942" w:val="left"/>
        </w:tabs>
        <w:numPr>
          <w:ilvl w:val="0"/>
          <w:numId w:val="103"/>
        </w:numPr>
        <w:rPr>
          <w:rFonts w:ascii="Arial" w:cs="Arial" w:eastAsia="Arial" w:hAnsi="Arial"/>
          <w:sz w:val="16"/>
          <w:szCs w:val="16"/>
          <w:color w:val="auto"/>
        </w:rPr>
      </w:pPr>
      <w:r>
        <w:rPr>
          <w:rFonts w:ascii="Arial" w:cs="Arial" w:eastAsia="Arial" w:hAnsi="Arial"/>
          <w:sz w:val="16"/>
          <w:szCs w:val="16"/>
          <w:color w:val="auto"/>
        </w:rPr>
        <w:t>Upon the occurrence of any Liquidation Event, Series A Holders shall be entitled to receive out of the assets of the Partnership or proceeds thereof legally available for distribution to the Partners, (i) after satisfaction of all liabilities, if any, to creditors of the Partnership, (ii) after all applicable distributions of such assets or proceeds being made to or set aside for the holders of any Senior Securities then Outstanding in respect of such Liquidation Event, (iii) concurrently with any applicable distributions of such assets or proceeds being made to or set aside for holders of any Series A Preference Units or other Parity Securities then Outstanding in respect of such Liquidation Event and (iv) before any distribution of such assets or proceeds is made to or set aside for the holders of Common Units and any other classes or series of Junior Securities as to such distribution, a liquidating distribution or payment in full redemption of such Series A Preference Units in an amount equal to the Series A Liquidation Preference. For purposes of clarity, upon the occurrence of any Liquidation Event, (x) the holders of then Outstanding Senior Securities shall be entitled to receive the applicable Liquidation Preference on such Senior Securities before any distribution shall be made with respect to the Series A Preference Units or any Parity Securities and (y) the Series A Holders shall be entitled to the Series A Liquidation Preference per Series A Preference Unit in cash, concurrently with any distribution made to the holders of any Parity Securities and before any distribution shall be made to the holders of Common Units or any other Junior Securities. Series A Holders shall not be entitled to any other amounts from the Partnership, in their capacity as Series A Holders, after they have received the Series A Liquidation Preference. The payment of the Series A Liquidation Preference shall be a payment in redemption of the Series A Preference Units such that, from and after payment of the full Series A Liquidation Preference, any such Series A Preference Unit shall thereafter be cancelled and no longer be Outstanding.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1305"/>
        <w:spacing w:after="0" w:line="255" w:lineRule="auto"/>
        <w:tabs>
          <w:tab w:leader="none" w:pos="195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If, in the event of any distribution or payment described in </w:t>
      </w:r>
      <w:r>
        <w:rPr>
          <w:rFonts w:ascii="Arial" w:cs="Arial" w:eastAsia="Arial" w:hAnsi="Arial"/>
          <w:sz w:val="18"/>
          <w:szCs w:val="18"/>
          <w:u w:val="single" w:color="auto"/>
          <w:color w:val="auto"/>
        </w:rPr>
        <w:t>Section 16.4(a)</w:t>
      </w:r>
      <w:r>
        <w:rPr>
          <w:rFonts w:ascii="Arial" w:cs="Arial" w:eastAsia="Arial" w:hAnsi="Arial"/>
          <w:sz w:val="18"/>
          <w:szCs w:val="18"/>
          <w:color w:val="auto"/>
        </w:rPr>
        <w:t xml:space="preserve"> above where the Partnership’s assets available for distribution to holders of the Outstanding Series A Preference Units and any other Parity Securities are insufficient to satisfy the applicable Liquidation Preference for such Series A Preference Units and Parity Securities, the Partnership’s then remaining assets or proceeds thereof legally available for distribution to unitholders of the Partnership shall be distributed among the holders of Outstanding Series A Preference Units and such Parity Securities, as applicable, ratably on the basis of their relative aggregate Liquidation Preferences. To the extent that the Series A Holders receive a partial payment of their Series A Liquidation Preference, such partial payment shall reduce the Series A Liquidation Preference of their Series A Preference Units, but only to the extent of such amount paid.</w:t>
      </w:r>
    </w:p>
    <w:p>
      <w:pPr>
        <w:spacing w:after="0" w:line="189" w:lineRule="exact"/>
        <w:rPr>
          <w:rFonts w:ascii="Arial" w:cs="Arial" w:eastAsia="Arial" w:hAnsi="Arial"/>
          <w:sz w:val="18"/>
          <w:szCs w:val="18"/>
          <w:color w:val="auto"/>
        </w:rPr>
      </w:pPr>
    </w:p>
    <w:p>
      <w:pPr>
        <w:ind w:right="140" w:firstLine="1305"/>
        <w:spacing w:after="0" w:line="264" w:lineRule="auto"/>
        <w:tabs>
          <w:tab w:leader="none" w:pos="19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After payment of the applicable Liquidation Preference to the holders of the Outstanding Series A Preference Units and any other Parity Securities, the Partnership’s remaining assets and funds shall be distributed among the holders of the Common Units and any other Junior Securities then Outstanding according to their respective rights and preferences.</w:t>
      </w:r>
    </w:p>
    <w:p>
      <w:pPr>
        <w:spacing w:after="0" w:line="18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16.5.</w:t>
      </w:r>
      <w:r>
        <w:rPr>
          <w:sz w:val="20"/>
          <w:szCs w:val="20"/>
          <w:color w:val="auto"/>
        </w:rPr>
        <w:tab/>
      </w:r>
      <w:r>
        <w:rPr>
          <w:rFonts w:ascii="Arial" w:cs="Arial" w:eastAsia="Arial" w:hAnsi="Arial"/>
          <w:sz w:val="16"/>
          <w:szCs w:val="16"/>
          <w:i w:val="1"/>
          <w:iCs w:val="1"/>
          <w:color w:val="auto"/>
        </w:rPr>
        <w:t>Voting Rights</w:t>
      </w:r>
      <w:r>
        <w:rPr>
          <w:rFonts w:ascii="Arial" w:cs="Arial" w:eastAsia="Arial" w:hAnsi="Arial"/>
          <w:sz w:val="16"/>
          <w:szCs w:val="16"/>
          <w:color w:val="auto"/>
        </w:rPr>
        <w:t>.</w:t>
      </w:r>
    </w:p>
    <w:p>
      <w:pPr>
        <w:spacing w:after="0" w:line="225" w:lineRule="exact"/>
        <w:rPr>
          <w:sz w:val="20"/>
          <w:szCs w:val="20"/>
          <w:color w:val="auto"/>
        </w:rPr>
      </w:pPr>
    </w:p>
    <w:p>
      <w:pPr>
        <w:ind w:right="140" w:firstLine="1305"/>
        <w:spacing w:after="0" w:line="277" w:lineRule="auto"/>
        <w:tabs>
          <w:tab w:leader="none" w:pos="194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the Series A Preference Units shall not have any voting rights except as set forth in </w:t>
      </w:r>
      <w:r>
        <w:rPr>
          <w:rFonts w:ascii="Arial" w:cs="Arial" w:eastAsia="Arial" w:hAnsi="Arial"/>
          <w:sz w:val="18"/>
          <w:szCs w:val="18"/>
          <w:u w:val="single" w:color="auto"/>
          <w:color w:val="auto"/>
        </w:rPr>
        <w:t>Section 13.3(d)</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16.5</w:t>
      </w:r>
      <w:r>
        <w:rPr>
          <w:rFonts w:ascii="Arial" w:cs="Arial" w:eastAsia="Arial" w:hAnsi="Arial"/>
          <w:sz w:val="18"/>
          <w:szCs w:val="18"/>
          <w:color w:val="auto"/>
        </w:rPr>
        <w:t xml:space="preserve"> or as otherwise provided by the Marshall Islands Act.</w:t>
      </w:r>
    </w:p>
    <w:p>
      <w:pPr>
        <w:spacing w:after="0" w:line="170" w:lineRule="exact"/>
        <w:rPr>
          <w:rFonts w:ascii="Arial" w:cs="Arial" w:eastAsia="Arial" w:hAnsi="Arial"/>
          <w:sz w:val="18"/>
          <w:szCs w:val="18"/>
          <w:color w:val="auto"/>
        </w:rPr>
      </w:pPr>
    </w:p>
    <w:p>
      <w:pPr>
        <w:ind w:right="20" w:firstLine="1305"/>
        <w:spacing w:after="0" w:line="286" w:lineRule="auto"/>
        <w:tabs>
          <w:tab w:leader="none" w:pos="1952"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In the event that six quarterly Series A Distributions, whether consecutive or not, are in arrears, the Series A Holders shall have the right, voting as a class together with holders of any other Parity Securities upon which like voting rights have been conferred and are exercisable, at a meeting of the Board of Directors called for such purpose within 30 days after receipt by the General Partner of a request by Series A Holders holding a majority of the Outstanding Series A Preference Units, to elect one member of the Board of Directors, and the size of the Board of Directors shall be increased as needed to accommodate such change; provided, however, that such right of the Series A Holders shall not apply to the election of another director if (i) Series A Holders and holders of Parity Securities upon which like voting rights have been conferred, voting as a class, have previously elected a member of the Board of Directors and (ii) such director continues then to serve on the Board of Directors. Such right of such Series A Holders to elect a member of the Board of Directors shall continue until the Partnership pays in full, or declares and sets aside funds for the payment of, all Series A Distributions accumulated and in arrears on the Series A Preference Units, at which time such right shall terminate, subject to the revesting of such right in the event of each and every subsequent failure to pay six quarterly Series A Distributions as described above in this </w:t>
      </w:r>
      <w:r>
        <w:rPr>
          <w:rFonts w:ascii="Arial" w:cs="Arial" w:eastAsia="Arial" w:hAnsi="Arial"/>
          <w:sz w:val="16"/>
          <w:szCs w:val="16"/>
          <w:u w:val="single" w:color="auto"/>
          <w:color w:val="auto"/>
        </w:rPr>
        <w:t>Section 16.5(b)</w:t>
      </w:r>
      <w:r>
        <w:rPr>
          <w:rFonts w:ascii="Arial" w:cs="Arial" w:eastAsia="Arial" w:hAnsi="Arial"/>
          <w:sz w:val="16"/>
          <w:szCs w:val="16"/>
          <w:color w:val="auto"/>
        </w:rPr>
        <w:t xml:space="preserve">. Upon any termination of the right of the Series A Holders and holders of any other Parity Securities to vote as a class for such director, the term of office of the director then in office elected by such Series A Holders and holders voting as a class shall terminate immediately. Any director elected by the Series A Holders and holders of any other Parity Securities shall be entitled to one vote on any matter before the Board of Directors. Upon each election of a member of the Board of Directors by Series A Holders pursuant to this </w:t>
      </w:r>
      <w:r>
        <w:rPr>
          <w:rFonts w:ascii="Arial" w:cs="Arial" w:eastAsia="Arial" w:hAnsi="Arial"/>
          <w:sz w:val="16"/>
          <w:szCs w:val="16"/>
          <w:u w:val="single" w:color="auto"/>
          <w:color w:val="auto"/>
        </w:rPr>
        <w:t>Section 16.5(b)</w:t>
      </w:r>
      <w:r>
        <w:rPr>
          <w:rFonts w:ascii="Arial" w:cs="Arial" w:eastAsia="Arial" w:hAnsi="Arial"/>
          <w:sz w:val="16"/>
          <w:szCs w:val="16"/>
          <w:color w:val="auto"/>
        </w:rPr>
        <w:t>, the General Partner shall have the right to appoint an additional member of the Board of</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Directors, which member shall be an Appointed Director for purposes of this Agreement, the term of such director to begin and end on the same dates as the corresponding director elected by the Series A Holders.</w:t>
      </w:r>
    </w:p>
    <w:p>
      <w:pPr>
        <w:spacing w:after="0" w:line="170" w:lineRule="exact"/>
        <w:rPr>
          <w:sz w:val="20"/>
          <w:szCs w:val="20"/>
          <w:color w:val="auto"/>
        </w:rPr>
      </w:pPr>
    </w:p>
    <w:p>
      <w:pPr>
        <w:ind w:right="240" w:firstLine="1305"/>
        <w:spacing w:after="0" w:line="342" w:lineRule="auto"/>
        <w:tabs>
          <w:tab w:leader="none" w:pos="195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 Unless the Board of Directors shall have received the affirmative vote or consent of the holders of at least 66 2/3% of the Outstanding Series A Preference Units, voting as a separate class, neither the General Partner nor the Board of Directors shall adopt any amendment to this</w:t>
      </w:r>
    </w:p>
    <w:p>
      <w:pPr>
        <w:sectPr>
          <w:pgSz w:w="11900" w:h="16975" w:orient="portrait"/>
          <w:cols w:equalWidth="0" w:num="1">
            <w:col w:w="11420"/>
          </w:cols>
          <w:pgMar w:left="240" w:top="341" w:right="239" w:bottom="0" w:gutter="0" w:footer="0" w:header="0"/>
        </w:sectPr>
      </w:pPr>
    </w:p>
    <w:bookmarkStart w:id="45" w:name="page46"/>
    <w:bookmarkEnd w:id="45"/>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Agreement that would have a material adverse effect on the existing terms of the Series A Preference Units.</w:t>
      </w:r>
    </w:p>
    <w:p>
      <w:pPr>
        <w:spacing w:after="0" w:line="225" w:lineRule="exact"/>
        <w:rPr>
          <w:sz w:val="20"/>
          <w:szCs w:val="20"/>
          <w:color w:val="auto"/>
        </w:rPr>
      </w:pPr>
    </w:p>
    <w:p>
      <w:pPr>
        <w:ind w:left="660" w:right="120" w:firstLine="645"/>
        <w:spacing w:after="0" w:line="259" w:lineRule="auto"/>
        <w:tabs>
          <w:tab w:leader="none" w:pos="198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Unless the Board of Directors shall have received the affirmative vote or consent of the holders of at least 66 2/3% of the Outstanding Series A Preference Units voting as a class together with holders of any other Parity Securities upon which like voting rights have been conferred and are exercisable, the Partnership shall not (x) issue any Parity Securities if the cumulative dividends payable on Outstanding Series A Preference Units are in arrears or (y) create or issue any Senior Securities.</w:t>
      </w:r>
    </w:p>
    <w:p>
      <w:pPr>
        <w:spacing w:after="0" w:line="187" w:lineRule="exact"/>
        <w:rPr>
          <w:sz w:val="20"/>
          <w:szCs w:val="20"/>
          <w:color w:val="auto"/>
        </w:rPr>
      </w:pPr>
    </w:p>
    <w:p>
      <w:pPr>
        <w:ind w:right="100" w:firstLine="1305"/>
        <w:spacing w:after="0" w:line="264" w:lineRule="auto"/>
        <w:tabs>
          <w:tab w:leader="none" w:pos="195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For any matter described in this </w:t>
      </w:r>
      <w:r>
        <w:rPr>
          <w:rFonts w:ascii="Arial" w:cs="Arial" w:eastAsia="Arial" w:hAnsi="Arial"/>
          <w:sz w:val="18"/>
          <w:szCs w:val="18"/>
          <w:u w:val="single" w:color="auto"/>
          <w:color w:val="auto"/>
        </w:rPr>
        <w:t>Section 16.5</w:t>
      </w:r>
      <w:r>
        <w:rPr>
          <w:rFonts w:ascii="Arial" w:cs="Arial" w:eastAsia="Arial" w:hAnsi="Arial"/>
          <w:sz w:val="18"/>
          <w:szCs w:val="18"/>
          <w:color w:val="auto"/>
        </w:rPr>
        <w:t xml:space="preserve"> in which the Series A Holders are entitled to vote as a class (whether separately or together with the holders of any Parity Securities), such Series A Holders shall be entitled to one vote per Series A Preference Unit. Any Series A Preference Units held by the Partnership or any of its subsidiaries or Affiliates shall not be entitled to vote.</w:t>
      </w:r>
    </w:p>
    <w:p>
      <w:pPr>
        <w:spacing w:after="0" w:line="18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16.6.</w:t>
      </w:r>
      <w:r>
        <w:rPr>
          <w:sz w:val="20"/>
          <w:szCs w:val="20"/>
          <w:color w:val="auto"/>
        </w:rPr>
        <w:tab/>
      </w:r>
      <w:r>
        <w:rPr>
          <w:rFonts w:ascii="Arial" w:cs="Arial" w:eastAsia="Arial" w:hAnsi="Arial"/>
          <w:sz w:val="16"/>
          <w:szCs w:val="16"/>
          <w:i w:val="1"/>
          <w:iCs w:val="1"/>
          <w:color w:val="auto"/>
        </w:rPr>
        <w:t>Optional Redemption</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The Partnership shall have the right at any time, and from time to time, on or after June 15, 2027 to redeem the Series A Preference Units, in whole or in part, from any source of funds legally available for such purpose. Any such redemption shall occur on a date set by the Board of Directors (the “</w:t>
      </w:r>
      <w:r>
        <w:rPr>
          <w:rFonts w:ascii="Arial" w:cs="Arial" w:eastAsia="Arial" w:hAnsi="Arial"/>
          <w:sz w:val="18"/>
          <w:szCs w:val="18"/>
          <w:b w:val="1"/>
          <w:bCs w:val="1"/>
          <w:i w:val="1"/>
          <w:iCs w:val="1"/>
          <w:color w:val="auto"/>
        </w:rPr>
        <w:t>Series A Redemption Date</w:t>
      </w:r>
      <w:r>
        <w:rPr>
          <w:rFonts w:ascii="Arial" w:cs="Arial" w:eastAsia="Arial" w:hAnsi="Arial"/>
          <w:sz w:val="18"/>
          <w:szCs w:val="18"/>
          <w:color w:val="auto"/>
        </w:rPr>
        <w:t>”).</w:t>
      </w:r>
    </w:p>
    <w:p>
      <w:pPr>
        <w:spacing w:after="0" w:line="181" w:lineRule="exact"/>
        <w:rPr>
          <w:sz w:val="20"/>
          <w:szCs w:val="20"/>
          <w:color w:val="auto"/>
        </w:rPr>
      </w:pPr>
    </w:p>
    <w:p>
      <w:pPr>
        <w:jc w:val="both"/>
        <w:ind w:right="340" w:firstLine="1305"/>
        <w:spacing w:after="0" w:line="259" w:lineRule="auto"/>
        <w:tabs>
          <w:tab w:leader="none" w:pos="194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Partnership shall effect any such redemption by paying cash for each Series A Preference Unit to be redeemed equal to the Series A Liquidation Preference for such Series A Preference Unit on such Series A Redemption Date (the “</w:t>
      </w:r>
      <w:r>
        <w:rPr>
          <w:rFonts w:ascii="Arial" w:cs="Arial" w:eastAsia="Arial" w:hAnsi="Arial"/>
          <w:sz w:val="18"/>
          <w:szCs w:val="18"/>
          <w:b w:val="1"/>
          <w:bCs w:val="1"/>
          <w:i w:val="1"/>
          <w:iCs w:val="1"/>
          <w:color w:val="auto"/>
        </w:rPr>
        <w:t>Series A Redemption Price</w:t>
      </w:r>
      <w:r>
        <w:rPr>
          <w:rFonts w:ascii="Arial" w:cs="Arial" w:eastAsia="Arial" w:hAnsi="Arial"/>
          <w:sz w:val="18"/>
          <w:szCs w:val="18"/>
          <w:color w:val="auto"/>
        </w:rPr>
        <w:t>”). So long as the Series A Preference Units to be redeemed are held of record by the nominee of the Depository, the Series A Redemption Price shall be paid by the Paying Agent to the Depository on the Series A Redemption Date.</w:t>
      </w:r>
    </w:p>
    <w:p>
      <w:pPr>
        <w:spacing w:after="0" w:line="186" w:lineRule="exact"/>
        <w:rPr>
          <w:rFonts w:ascii="Arial" w:cs="Arial" w:eastAsia="Arial" w:hAnsi="Arial"/>
          <w:sz w:val="18"/>
          <w:szCs w:val="18"/>
          <w:color w:val="auto"/>
        </w:rPr>
      </w:pPr>
    </w:p>
    <w:p>
      <w:pPr>
        <w:ind w:right="40" w:firstLine="1305"/>
        <w:spacing w:after="0" w:line="255" w:lineRule="auto"/>
        <w:tabs>
          <w:tab w:leader="none" w:pos="195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Partnership shall give notice of any redemption by mail, postage prepaid, not less than 30 days and not more than 60 days before the scheduled Series A Redemption Date to the Series A Holders (as of 5:00 p.m. New York City time on the Business Day next preceding the day on which notice is given) of any Series A Preference Units to be redeemed as such Series A Holders’ names appear on the books of the Transfer Agent and at the address of such Series A Holders shown therein. Such notice (the “</w:t>
      </w:r>
      <w:r>
        <w:rPr>
          <w:rFonts w:ascii="Arial" w:cs="Arial" w:eastAsia="Arial" w:hAnsi="Arial"/>
          <w:sz w:val="18"/>
          <w:szCs w:val="18"/>
          <w:b w:val="1"/>
          <w:bCs w:val="1"/>
          <w:i w:val="1"/>
          <w:iCs w:val="1"/>
          <w:color w:val="auto"/>
        </w:rPr>
        <w:t>Series A Redemption Notice</w:t>
      </w:r>
      <w:r>
        <w:rPr>
          <w:rFonts w:ascii="Arial" w:cs="Arial" w:eastAsia="Arial" w:hAnsi="Arial"/>
          <w:sz w:val="18"/>
          <w:szCs w:val="18"/>
          <w:color w:val="auto"/>
        </w:rPr>
        <w:t>”) shall state, as applicable: (1) the Series A Redemption Date, (2) the number of Series A Preference Units to be redeemed and, if less than all Outstanding Series A Preference Units are to be redeemed, the number (and the identification) of Units to be redeemed from such Series A</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Holder, (3) the Series A Redemption Price, (4) the place where the Series A Preference Units are to be redeemed and shall be presented and surrendered for payment of the Series A Redemption Price therefor and (5) that distributions on the Units to be redeemed shall cease to accumulate from and after such Series A Redemption Date.</w:t>
      </w:r>
    </w:p>
    <w:p>
      <w:pPr>
        <w:spacing w:after="0" w:line="181" w:lineRule="exact"/>
        <w:rPr>
          <w:sz w:val="20"/>
          <w:szCs w:val="20"/>
          <w:color w:val="auto"/>
        </w:rPr>
      </w:pPr>
    </w:p>
    <w:p>
      <w:pPr>
        <w:ind w:right="40" w:firstLine="1305"/>
        <w:spacing w:after="0" w:line="255" w:lineRule="auto"/>
        <w:tabs>
          <w:tab w:leader="none" w:pos="19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If the Partnership elects to redeem less than all of the Outstanding Series A Preference Units, the number of Series A Preference Units to be redeemed shall be determined by the Board of Directors, and such Series A Preference Units shall be redeemed by such method of selection as the Depository shall determine either Pro Rata or by lot, with adjustments to avoid redemption of fractional Series A Preference Units. The aggregate Series A Redemption Price for any such partial redemption of the Outstanding Series A Preference Units shall be allocated correspondingly among the redeemed Series A Preference Units. The Series A Preference Units not redeemed shall remain Outstanding and entitled to all the rights and preferences provided in this </w:t>
      </w:r>
      <w:r>
        <w:rPr>
          <w:rFonts w:ascii="Arial" w:cs="Arial" w:eastAsia="Arial" w:hAnsi="Arial"/>
          <w:sz w:val="18"/>
          <w:szCs w:val="18"/>
          <w:u w:val="single" w:color="auto"/>
          <w:color w:val="auto"/>
        </w:rPr>
        <w:t>Article XVI</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right="40" w:firstLine="1305"/>
        <w:spacing w:after="0" w:line="285" w:lineRule="auto"/>
        <w:tabs>
          <w:tab w:leader="none" w:pos="1952"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If the Partnership gives or causes to be given a Series A Redemption Notice, the Partnership shall deposit with the Paying Agent funds, sufficient to redeem the Series A Preference Units, as to which such Series A Redemption Notice shall have been given, no later than 5:00 p.m. New York City time on the Business Day immediately preceding the Series A Redemption Date, and shall give the Paying Agent irrevocable instructions and authority to pay the Series A Redemption Price to the Series A Holders to be redeemed upon surrender or deemed surrender (which shall occur automatically if the Certificate representing such Series A Preference Units is issued in the name of the Depository or its nominee) of the Certificates therefor as set forth in the Series A Redemption Notice. If the Series A Redemption Notice shall have been given, from and after the Series A Redemption Date, unless the Partnership defaults in providing funds sufficient for such redemption at the time and place specified for payment pursuant to the Series A Redemption Notice, all Series A Distributions on such Series A Preference Units to be redeemed shall cease to accumulate and all rights of holders of such Series A Preference Units as Limited Partners with respect to such Series A Preference Units to be redeemed shall cease, except the right to receive the Series A Redemption Price, and such Series A Preference Units shall not thereafter be transferred on the books of the Transfer Agent or be deemed to be Outstanding for any purpose whatsoever. The Partnership shall be entitled to receive from the Paying Agent the interest income, if any, earned on such funds deposited with the Paying Agent (to the extent that such interest income is not required to pay the Series A Redemption Price of the Series A Preference Units to be redeemed), and the holders of any Series A Preference Units so redeemed shall have no claim to any such interest income. Any funds deposited with the Paying Agent hereunder by the Partnership for any reason, including redemption of Series A Preference Units, that remain unclaimed or unpaid after two years after the applicable Series A Redemption Date or other payment date, as applicable, shall be, to the extent permitted by law, repaid to the Partnership upon its written request, after which repayment the Series A Holders entitled to such redemption or other payment shall have recourse only to the Partnership. Notwithstanding any Series A Redemption Notice, there shall be no redemption of any Series A Preference Units called for redemption until funds sufficient to pay the full Series A Redemption Price of such Series A Preference Units shall have been deposited by the Partnership with the Paying Agent.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305"/>
        <w:spacing w:after="0" w:line="257" w:lineRule="auto"/>
        <w:tabs>
          <w:tab w:leader="none" w:pos="19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Series A Preference Units that are redeemed or otherwise acquired by the Partnership shall be canceled. If only a portion of the Series A Preference Units represented by a Certificate shall have been called for redemption, upon surrender of the Certificate to the Paying Agent (which shall occur automatically if the Certificate representing such Series A Preference Units is registered in the name of the Depository or its nominee), the Paying Agent shall issue to the Series A Holders a new Certificate (or adjust the applicable book-entry account) representing the number of Series A Preference Units represented by the surrendered Certificate that have not been called for redemption.</w:t>
      </w:r>
    </w:p>
    <w:p>
      <w:pPr>
        <w:spacing w:after="0" w:line="188" w:lineRule="exact"/>
        <w:rPr>
          <w:rFonts w:ascii="Arial" w:cs="Arial" w:eastAsia="Arial" w:hAnsi="Arial"/>
          <w:sz w:val="18"/>
          <w:szCs w:val="18"/>
          <w:color w:val="auto"/>
        </w:rPr>
      </w:pPr>
    </w:p>
    <w:p>
      <w:pPr>
        <w:ind w:right="200" w:firstLine="1305"/>
        <w:spacing w:after="0" w:line="312" w:lineRule="auto"/>
        <w:tabs>
          <w:tab w:leader="none" w:pos="1949"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w:t>
      </w:r>
      <w:r>
        <w:rPr>
          <w:rFonts w:ascii="Arial" w:cs="Arial" w:eastAsia="Arial" w:hAnsi="Arial"/>
          <w:sz w:val="16"/>
          <w:szCs w:val="16"/>
          <w:u w:val="single" w:color="auto"/>
          <w:color w:val="auto"/>
        </w:rPr>
        <w:t>Article XVI</w:t>
      </w:r>
      <w:r>
        <w:rPr>
          <w:rFonts w:ascii="Arial" w:cs="Arial" w:eastAsia="Arial" w:hAnsi="Arial"/>
          <w:sz w:val="16"/>
          <w:szCs w:val="16"/>
          <w:color w:val="auto"/>
        </w:rPr>
        <w:t>, in the event that full cumulative distributions on the Series A Preference Units and any other Parity Securities shall not have been paid or declared and set apart for payment, none of the Partnership, the General Partner or any Affiliate of the General Partner shall be permitted to repurchase, redeem or otherwise acquire, in whole or in part, any Series A Preference Units or</w:t>
      </w:r>
    </w:p>
    <w:p>
      <w:pPr>
        <w:sectPr>
          <w:pgSz w:w="11900" w:h="16952" w:orient="portrait"/>
          <w:cols w:equalWidth="0" w:num="1">
            <w:col w:w="11420"/>
          </w:cols>
          <w:pgMar w:left="240" w:top="125" w:right="239" w:bottom="0" w:gutter="0" w:footer="0" w:header="0"/>
        </w:sectPr>
      </w:pPr>
    </w:p>
    <w:bookmarkStart w:id="46" w:name="page47"/>
    <w:bookmarkEnd w:id="46"/>
    <w:p>
      <w:pPr>
        <w:spacing w:after="0" w:line="9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other Parity Securities except pursuant to a purchase or exchange offer made on the same terms to all Series A Holders and holders of any other Parity Securities. None of the Partnership, the General Partner or any Affiliate of the General Partner shall be permitted to redeem, repurchase or otherwise acquire any Common Units or any other Junior Securities unless full cumulative distributions on the Series A Preference Units and any other Parity Securities for all prior and the then-ending Series A Distribution Periods shall have been paid or declared and set apart for payment.</w:t>
      </w:r>
    </w:p>
    <w:p>
      <w:pPr>
        <w:spacing w:after="0" w:line="17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16.7.</w:t>
      </w:r>
      <w:r>
        <w:rPr>
          <w:sz w:val="20"/>
          <w:szCs w:val="20"/>
          <w:color w:val="auto"/>
        </w:rPr>
        <w:tab/>
      </w:r>
      <w:r>
        <w:rPr>
          <w:rFonts w:ascii="Arial" w:cs="Arial" w:eastAsia="Arial" w:hAnsi="Arial"/>
          <w:sz w:val="16"/>
          <w:szCs w:val="16"/>
          <w:i w:val="1"/>
          <w:iCs w:val="1"/>
          <w:color w:val="auto"/>
        </w:rPr>
        <w:t>Rank</w:t>
      </w:r>
      <w:r>
        <w:rPr>
          <w:rFonts w:ascii="Arial" w:cs="Arial" w:eastAsia="Arial" w:hAnsi="Arial"/>
          <w:sz w:val="16"/>
          <w:szCs w:val="16"/>
          <w:color w:val="auto"/>
        </w:rPr>
        <w:t>. The Series A Preference Units shall each be deemed to rank:</w:t>
      </w:r>
    </w:p>
    <w:p>
      <w:pPr>
        <w:spacing w:after="0" w:line="225" w:lineRule="exact"/>
        <w:rPr>
          <w:sz w:val="20"/>
          <w:szCs w:val="20"/>
          <w:color w:val="auto"/>
        </w:rPr>
      </w:pPr>
    </w:p>
    <w:p>
      <w:pPr>
        <w:ind w:left="1940" w:hanging="635"/>
        <w:spacing w:after="0"/>
        <w:tabs>
          <w:tab w:leader="none" w:pos="19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senior to any Junior Securities;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on a parity with any Parity Securities;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junior to any Senior Securities.</w:t>
      </w:r>
    </w:p>
    <w:p>
      <w:pPr>
        <w:spacing w:after="0" w:line="225" w:lineRule="exact"/>
        <w:rPr>
          <w:sz w:val="20"/>
          <w:szCs w:val="20"/>
          <w:color w:val="auto"/>
        </w:rPr>
      </w:pPr>
    </w:p>
    <w:p>
      <w:pPr>
        <w:ind w:right="160" w:firstLine="1297"/>
        <w:spacing w:after="0" w:line="279" w:lineRule="auto"/>
        <w:rPr>
          <w:sz w:val="20"/>
          <w:szCs w:val="20"/>
          <w:color w:val="auto"/>
        </w:rPr>
      </w:pPr>
      <w:r>
        <w:rPr>
          <w:rFonts w:ascii="Arial" w:cs="Arial" w:eastAsia="Arial" w:hAnsi="Arial"/>
          <w:sz w:val="17"/>
          <w:szCs w:val="17"/>
          <w:color w:val="auto"/>
        </w:rPr>
        <w:t xml:space="preserve">The Partnership may issue Junior Securities and, subject to any approvals required by Series A Holders pursuant to </w:t>
      </w:r>
      <w:r>
        <w:rPr>
          <w:rFonts w:ascii="Arial" w:cs="Arial" w:eastAsia="Arial" w:hAnsi="Arial"/>
          <w:sz w:val="17"/>
          <w:szCs w:val="17"/>
          <w:u w:val="single" w:color="auto"/>
          <w:color w:val="auto"/>
        </w:rPr>
        <w:t>Section 16.5(c)(ii)</w:t>
      </w:r>
      <w:r>
        <w:rPr>
          <w:rFonts w:ascii="Arial" w:cs="Arial" w:eastAsia="Arial" w:hAnsi="Arial"/>
          <w:sz w:val="17"/>
          <w:szCs w:val="17"/>
          <w:color w:val="auto"/>
        </w:rPr>
        <w:t xml:space="preserve"> and Series B Holders pursuant to </w:t>
      </w:r>
      <w:r>
        <w:rPr>
          <w:rFonts w:ascii="Arial" w:cs="Arial" w:eastAsia="Arial" w:hAnsi="Arial"/>
          <w:sz w:val="17"/>
          <w:szCs w:val="17"/>
          <w:u w:val="single" w:color="auto"/>
          <w:color w:val="auto"/>
        </w:rPr>
        <w:t>Section 17.5(c)(ii)</w:t>
      </w:r>
      <w:r>
        <w:rPr>
          <w:rFonts w:ascii="Arial" w:cs="Arial" w:eastAsia="Arial" w:hAnsi="Arial"/>
          <w:sz w:val="17"/>
          <w:szCs w:val="17"/>
          <w:color w:val="auto"/>
        </w:rPr>
        <w:t>, Parity Securities from time to time in one or more classes or series without the consent of the Series A Holders. The Board of Directors has the authority to determine the preferences, powers, qualifications, limitations, restrictions and special or relative rights or privileges, if any, of any such class or series before the issuance of any Partnership Interests of such class or series.</w:t>
      </w:r>
    </w:p>
    <w:p>
      <w:pPr>
        <w:spacing w:after="0" w:line="17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16.8.</w:t>
      </w:r>
      <w:r>
        <w:rPr>
          <w:sz w:val="20"/>
          <w:szCs w:val="20"/>
          <w:color w:val="auto"/>
        </w:rPr>
        <w:tab/>
      </w:r>
      <w:r>
        <w:rPr>
          <w:rFonts w:ascii="Arial" w:cs="Arial" w:eastAsia="Arial" w:hAnsi="Arial"/>
          <w:sz w:val="16"/>
          <w:szCs w:val="16"/>
          <w:i w:val="1"/>
          <w:iCs w:val="1"/>
          <w:color w:val="auto"/>
        </w:rPr>
        <w:t>No Sinking Fund</w:t>
      </w:r>
      <w:r>
        <w:rPr>
          <w:rFonts w:ascii="Arial" w:cs="Arial" w:eastAsia="Arial" w:hAnsi="Arial"/>
          <w:sz w:val="16"/>
          <w:szCs w:val="16"/>
          <w:color w:val="auto"/>
        </w:rPr>
        <w:t>. The Series A Preference Units shall not have the benefit of any sinking fund.</w:t>
      </w:r>
    </w:p>
    <w:p>
      <w:pPr>
        <w:spacing w:after="0" w:line="225" w:lineRule="exact"/>
        <w:rPr>
          <w:sz w:val="20"/>
          <w:szCs w:val="20"/>
          <w:color w:val="auto"/>
        </w:rPr>
      </w:pPr>
    </w:p>
    <w:p>
      <w:pPr>
        <w:ind w:right="240" w:firstLine="1297"/>
        <w:spacing w:after="0" w:line="312" w:lineRule="auto"/>
        <w:rPr>
          <w:sz w:val="20"/>
          <w:szCs w:val="20"/>
          <w:color w:val="auto"/>
        </w:rPr>
      </w:pPr>
      <w:r>
        <w:rPr>
          <w:rFonts w:ascii="Arial" w:cs="Arial" w:eastAsia="Arial" w:hAnsi="Arial"/>
          <w:sz w:val="16"/>
          <w:szCs w:val="16"/>
          <w:color w:val="auto"/>
        </w:rPr>
        <w:t xml:space="preserve">Section 16.9. </w:t>
      </w:r>
      <w:r>
        <w:rPr>
          <w:rFonts w:ascii="Arial" w:cs="Arial" w:eastAsia="Arial" w:hAnsi="Arial"/>
          <w:sz w:val="16"/>
          <w:szCs w:val="16"/>
          <w:i w:val="1"/>
          <w:iCs w:val="1"/>
          <w:color w:val="auto"/>
        </w:rPr>
        <w:t>Record Holders</w:t>
      </w:r>
      <w:r>
        <w:rPr>
          <w:rFonts w:ascii="Arial" w:cs="Arial" w:eastAsia="Arial" w:hAnsi="Arial"/>
          <w:sz w:val="16"/>
          <w:szCs w:val="16"/>
          <w:color w:val="auto"/>
        </w:rPr>
        <w:t>. To the fullest extent permitted by applicable law, the General Partner, Partnership, the Transfer Agent and the Paying Agent may deem and treat any Series A Holder as the true, lawful and absolute owner of the applicable Series A Preference Units for all purposes, and neither the General Partner, the Partnership nor the Transfer Agent or the Paying Agent shall be affected by any notice to the contrary.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 xml:space="preserve">Section 16.10. </w:t>
      </w:r>
      <w:r>
        <w:rPr>
          <w:rFonts w:ascii="Arial" w:cs="Arial" w:eastAsia="Arial" w:hAnsi="Arial"/>
          <w:sz w:val="18"/>
          <w:szCs w:val="18"/>
          <w:i w:val="1"/>
          <w:iCs w:val="1"/>
          <w:color w:val="auto"/>
        </w:rPr>
        <w:t>Notices</w:t>
      </w:r>
      <w:r>
        <w:rPr>
          <w:rFonts w:ascii="Arial" w:cs="Arial" w:eastAsia="Arial" w:hAnsi="Arial"/>
          <w:sz w:val="18"/>
          <w:szCs w:val="18"/>
          <w:color w:val="auto"/>
        </w:rPr>
        <w:t xml:space="preserve">. All notices or communications in respect of the Series A Preference Units shall be sufficiently given if given in writing and delivered in person or by first class mail, postage prepaid, or if given in such other manner as may be permitted in this </w:t>
      </w:r>
      <w:r>
        <w:rPr>
          <w:rFonts w:ascii="Arial" w:cs="Arial" w:eastAsia="Arial" w:hAnsi="Arial"/>
          <w:sz w:val="18"/>
          <w:szCs w:val="18"/>
          <w:u w:val="single" w:color="auto"/>
          <w:color w:val="auto"/>
        </w:rPr>
        <w:t>Article XVI</w:t>
      </w:r>
      <w:r>
        <w:rPr>
          <w:rFonts w:ascii="Arial" w:cs="Arial" w:eastAsia="Arial" w:hAnsi="Arial"/>
          <w:sz w:val="18"/>
          <w:szCs w:val="18"/>
          <w:color w:val="auto"/>
        </w:rPr>
        <w:t>, this Agreement or by applicable law.</w:t>
      </w:r>
    </w:p>
    <w:p>
      <w:pPr>
        <w:spacing w:after="0" w:line="181"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 xml:space="preserve">Section 16.11. </w:t>
      </w:r>
      <w:r>
        <w:rPr>
          <w:rFonts w:ascii="Arial" w:cs="Arial" w:eastAsia="Arial" w:hAnsi="Arial"/>
          <w:sz w:val="18"/>
          <w:szCs w:val="18"/>
          <w:i w:val="1"/>
          <w:iCs w:val="1"/>
          <w:color w:val="auto"/>
        </w:rPr>
        <w:t>Other Rights; Fiduciary Duties</w:t>
      </w:r>
      <w:r>
        <w:rPr>
          <w:rFonts w:ascii="Arial" w:cs="Arial" w:eastAsia="Arial" w:hAnsi="Arial"/>
          <w:sz w:val="18"/>
          <w:szCs w:val="18"/>
          <w:color w:val="auto"/>
        </w:rPr>
        <w:t xml:space="preserve">. The Series A Preference Units shall not have any voting powers, preferences or relative, participating, optional or other special rights, or qualifications, limitations or restrictions thereof, other than as set forth in this </w:t>
      </w:r>
      <w:r>
        <w:rPr>
          <w:rFonts w:ascii="Arial" w:cs="Arial" w:eastAsia="Arial" w:hAnsi="Arial"/>
          <w:sz w:val="18"/>
          <w:szCs w:val="18"/>
          <w:u w:val="single" w:color="auto"/>
          <w:color w:val="auto"/>
        </w:rPr>
        <w:t>Article XVI</w:t>
      </w:r>
      <w:r>
        <w:rPr>
          <w:rFonts w:ascii="Arial" w:cs="Arial" w:eastAsia="Arial" w:hAnsi="Arial"/>
          <w:sz w:val="18"/>
          <w:szCs w:val="18"/>
          <w:color w:val="auto"/>
        </w:rPr>
        <w:t xml:space="preserve"> or as provided by applicable law. Notwithstanding anything to the contrary in this Agreement, but subject to </w:t>
      </w:r>
      <w:r>
        <w:rPr>
          <w:rFonts w:ascii="Arial" w:cs="Arial" w:eastAsia="Arial" w:hAnsi="Arial"/>
          <w:sz w:val="18"/>
          <w:szCs w:val="18"/>
          <w:u w:val="single" w:color="auto"/>
          <w:color w:val="auto"/>
        </w:rPr>
        <w:t>Section 7.17(c)</w:t>
      </w:r>
      <w:r>
        <w:rPr>
          <w:rFonts w:ascii="Arial" w:cs="Arial" w:eastAsia="Arial" w:hAnsi="Arial"/>
          <w:sz w:val="18"/>
          <w:szCs w:val="18"/>
          <w:color w:val="auto"/>
        </w:rPr>
        <w:t xml:space="preserve"> and without reference to the definition of “good faith” in </w:t>
      </w:r>
      <w:r>
        <w:rPr>
          <w:rFonts w:ascii="Arial" w:cs="Arial" w:eastAsia="Arial" w:hAnsi="Arial"/>
          <w:sz w:val="18"/>
          <w:szCs w:val="18"/>
          <w:u w:val="single" w:color="auto"/>
          <w:color w:val="auto"/>
        </w:rPr>
        <w:t>Section 7.17(b)</w:t>
      </w:r>
      <w:r>
        <w:rPr>
          <w:rFonts w:ascii="Arial" w:cs="Arial" w:eastAsia="Arial" w:hAnsi="Arial"/>
          <w:sz w:val="18"/>
          <w:szCs w:val="18"/>
          <w:color w:val="auto"/>
        </w:rPr>
        <w:t>, neither the General Partner nor any other Indemnitee shall owe any fiduciary duties to Series A Holders, other than the implied duty of good faith and fair dealing.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SERIES B CUMULATIVE REDEEMABLE PERPETUAL FIXED TO FLOATING RATE PREFERENCE UNITS</w:t>
      </w:r>
    </w:p>
    <w:p>
      <w:pPr>
        <w:spacing w:after="0" w:line="21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17.1.</w:t>
      </w:r>
      <w:r>
        <w:rPr>
          <w:sz w:val="20"/>
          <w:szCs w:val="20"/>
          <w:color w:val="auto"/>
        </w:rPr>
        <w:tab/>
      </w:r>
      <w:r>
        <w:rPr>
          <w:rFonts w:ascii="Arial" w:cs="Arial" w:eastAsia="Arial" w:hAnsi="Arial"/>
          <w:sz w:val="16"/>
          <w:szCs w:val="16"/>
          <w:i w:val="1"/>
          <w:iCs w:val="1"/>
          <w:color w:val="auto"/>
        </w:rPr>
        <w:t>Designations</w:t>
      </w:r>
      <w:r>
        <w:rPr>
          <w:rFonts w:ascii="Arial" w:cs="Arial" w:eastAsia="Arial" w:hAnsi="Arial"/>
          <w:sz w:val="16"/>
          <w:szCs w:val="16"/>
          <w:color w:val="auto"/>
        </w:rPr>
        <w:t>. On January 17, 2018, the Board of Directors designated and created a series of Preference Units designated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as “8.200% Series B Cumulative Redeemable Perpetual Fixed to Floating Rate Preference Units,” and fixed the preferences, rights, powers and duties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holders of the Series B Preference Units as set forth in this </w:t>
      </w:r>
      <w:r>
        <w:rPr>
          <w:rFonts w:ascii="Arial" w:cs="Arial" w:eastAsia="Arial" w:hAnsi="Arial"/>
          <w:sz w:val="17"/>
          <w:szCs w:val="17"/>
          <w:u w:val="single" w:color="auto"/>
          <w:color w:val="auto"/>
        </w:rPr>
        <w:t>Article XVII</w:t>
      </w:r>
      <w:r>
        <w:rPr>
          <w:rFonts w:ascii="Arial" w:cs="Arial" w:eastAsia="Arial" w:hAnsi="Arial"/>
          <w:sz w:val="17"/>
          <w:szCs w:val="17"/>
          <w:color w:val="auto"/>
        </w:rPr>
        <w:t>. Each Series B Preference Unit shall be identical in all respects to every 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Series B Preference Unit, except as to the respective dates from which the Series B Liquidation Preference shall increase or from which Series B Distributions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begin accruing, to the extent such dates may differ. The Series B Preference Units represent perpetual equity interests in the Partnership and shall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give rise to a claim by the holder for redemption thereof at a particular date.</w:t>
      </w:r>
    </w:p>
    <w:p>
      <w:pPr>
        <w:spacing w:after="0" w:line="21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17.2.</w:t>
      </w:r>
      <w:r>
        <w:rPr>
          <w:sz w:val="20"/>
          <w:szCs w:val="20"/>
          <w:color w:val="auto"/>
        </w:rPr>
        <w:tab/>
      </w:r>
      <w:r>
        <w:rPr>
          <w:rFonts w:ascii="Arial" w:cs="Arial" w:eastAsia="Arial" w:hAnsi="Arial"/>
          <w:sz w:val="17"/>
          <w:szCs w:val="17"/>
          <w:i w:val="1"/>
          <w:iCs w:val="1"/>
          <w:color w:val="auto"/>
        </w:rPr>
        <w:t>Units</w:t>
      </w:r>
      <w:r>
        <w:rPr>
          <w:rFonts w:ascii="Arial" w:cs="Arial" w:eastAsia="Arial" w:hAnsi="Arial"/>
          <w:sz w:val="17"/>
          <w:szCs w:val="17"/>
          <w:color w:val="auto"/>
        </w:rPr>
        <w:t>.</w:t>
      </w:r>
    </w:p>
    <w:p>
      <w:pPr>
        <w:spacing w:after="0" w:line="225" w:lineRule="exact"/>
        <w:rPr>
          <w:sz w:val="20"/>
          <w:szCs w:val="20"/>
          <w:color w:val="auto"/>
        </w:rPr>
      </w:pPr>
    </w:p>
    <w:p>
      <w:pPr>
        <w:ind w:right="80" w:firstLine="1305"/>
        <w:spacing w:after="0" w:line="277" w:lineRule="auto"/>
        <w:tabs>
          <w:tab w:leader="none" w:pos="194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authorized number of Series B Preference Units shall be unlimited. Series B Preference Units that are purchased or otherwise acquired by the Partnership shall be cancelled.</w:t>
      </w:r>
    </w:p>
    <w:p>
      <w:pPr>
        <w:spacing w:after="0" w:line="170" w:lineRule="exact"/>
        <w:rPr>
          <w:rFonts w:ascii="Arial" w:cs="Arial" w:eastAsia="Arial" w:hAnsi="Arial"/>
          <w:sz w:val="18"/>
          <w:szCs w:val="18"/>
          <w:color w:val="auto"/>
        </w:rPr>
      </w:pPr>
    </w:p>
    <w:p>
      <w:pPr>
        <w:ind w:right="40" w:firstLine="1305"/>
        <w:spacing w:after="0" w:line="255" w:lineRule="auto"/>
        <w:tabs>
          <w:tab w:leader="none" w:pos="195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Series B Preference Units shall be represented by a single Certificate registered in the name of the Depository or its nominee, and no Series B Holder shall be entitled to receive a Certificate evidencing such applicable Units, unless otherwise required by law or the Depository gives notice of its intention to resign or is no longer eligible to act as such with respect to such series of Preference Units and the Partnership shall have not selected a substitute Depository within 60 calendar days thereafter. So long as the Depository shall have been appointed and is serving with respect to such series of Preference Units, payments and communications made by the Partnership to Series B Holders shall be made by making payments to, and communicating with, the Depository.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17.3.</w:t>
      </w:r>
      <w:r>
        <w:rPr>
          <w:sz w:val="20"/>
          <w:szCs w:val="20"/>
          <w:color w:val="auto"/>
        </w:rPr>
        <w:tab/>
      </w:r>
      <w:r>
        <w:rPr>
          <w:rFonts w:ascii="Arial" w:cs="Arial" w:eastAsia="Arial" w:hAnsi="Arial"/>
          <w:sz w:val="17"/>
          <w:szCs w:val="17"/>
          <w:i w:val="1"/>
          <w:iCs w:val="1"/>
          <w:color w:val="auto"/>
        </w:rPr>
        <w:t>Distributions</w:t>
      </w:r>
      <w:r>
        <w:rPr>
          <w:rFonts w:ascii="Arial" w:cs="Arial" w:eastAsia="Arial" w:hAnsi="Arial"/>
          <w:sz w:val="17"/>
          <w:szCs w:val="17"/>
          <w:color w:val="auto"/>
        </w:rPr>
        <w:t>.</w:t>
      </w:r>
    </w:p>
    <w:p>
      <w:pPr>
        <w:spacing w:after="0" w:line="225" w:lineRule="exact"/>
        <w:rPr>
          <w:sz w:val="20"/>
          <w:szCs w:val="20"/>
          <w:color w:val="auto"/>
        </w:rPr>
      </w:pPr>
    </w:p>
    <w:p>
      <w:pPr>
        <w:ind w:right="20" w:firstLine="1305"/>
        <w:spacing w:after="0" w:line="288" w:lineRule="auto"/>
        <w:tabs>
          <w:tab w:leader="none" w:pos="1942"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Distributions on each Series B Preference Unit shall be cumulative and shall accrue at the Series B Distribution Rate from the Series B Original Issue Date (or, for any subsequently issued and newly Outstanding Series B Preference Units, from the Series B Distribution Payment Date immediately preceding the issuance date of such Units) until such time as the Partnership pays the Series B Distribution or redeems the Series B Preference Units in full in accordance with </w:t>
      </w:r>
      <w:r>
        <w:rPr>
          <w:rFonts w:ascii="Arial" w:cs="Arial" w:eastAsia="Arial" w:hAnsi="Arial"/>
          <w:sz w:val="16"/>
          <w:szCs w:val="16"/>
          <w:u w:val="single" w:color="auto"/>
          <w:color w:val="auto"/>
        </w:rPr>
        <w:t>Section 17.6</w:t>
      </w:r>
      <w:r>
        <w:rPr>
          <w:rFonts w:ascii="Arial" w:cs="Arial" w:eastAsia="Arial" w:hAnsi="Arial"/>
          <w:sz w:val="16"/>
          <w:szCs w:val="16"/>
          <w:color w:val="auto"/>
        </w:rPr>
        <w:t xml:space="preserve"> below, whether or not such Series B Distributions shall have been declared. Series B Holders shall be entitled to receive Series B Distributions from time to time out of any assets of the Partnership legally available for the payment of distributions at the Series B Distribution Rate per Series B Preference Unit when, as, and if declared by the Board of Directors. Series B Distributions, to the extent declared by the Board of Directors to be paid by the Partnership in accordance with this </w:t>
      </w:r>
      <w:r>
        <w:rPr>
          <w:rFonts w:ascii="Arial" w:cs="Arial" w:eastAsia="Arial" w:hAnsi="Arial"/>
          <w:sz w:val="16"/>
          <w:szCs w:val="16"/>
          <w:u w:val="single" w:color="auto"/>
          <w:color w:val="auto"/>
        </w:rPr>
        <w:t>Section 17.3</w:t>
      </w:r>
      <w:r>
        <w:rPr>
          <w:rFonts w:ascii="Arial" w:cs="Arial" w:eastAsia="Arial" w:hAnsi="Arial"/>
          <w:sz w:val="16"/>
          <w:szCs w:val="16"/>
          <w:color w:val="auto"/>
        </w:rPr>
        <w:t>, shall be paid quarterly on each Series B Distribution Payment Date. Distributions shall accumulate in each Series B Distribution Period from and including the preceding Series B Distribution Payment Date (other than the initial Series B Distribution Period, which shall commence on and include the Series B Original Issue Date), to but excluding the next Series B Distribution Payment Date for such Series B Distribution Period and distributions shall accrue on accumulated Series B Distributions at the Series B Distribution Rate. If</w:t>
      </w:r>
    </w:p>
    <w:p>
      <w:pPr>
        <w:sectPr>
          <w:pgSz w:w="11900" w:h="16930" w:orient="portrait"/>
          <w:cols w:equalWidth="0" w:num="1">
            <w:col w:w="11420"/>
          </w:cols>
          <w:pgMar w:left="240" w:top="125" w:right="239" w:bottom="0" w:gutter="0" w:footer="0" w:header="0"/>
        </w:sectPr>
      </w:pPr>
    </w:p>
    <w:bookmarkStart w:id="47" w:name="page48"/>
    <w:bookmarkEnd w:id="47"/>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any Series B Distribution Payment Date during the Series B Fixed Rate Period would otherwise would occur on a date that is not a Business Day, declared Series B Distributions shall be paid on the immediately succeeding Business Day without the accumulation of additional distributions. If any Series B Distribution Payment Date during the Series B Floating Rate Period would otherwise occur on a date that is not a Business Day, then the Series B Distribution Payment Date will be the next day that is a Business Day. Series B Distributions payable for any Series B Distribution Period during the Series B Fixed Rate Period will be calculated based on a 360-day year consisting of twelve 30-day months. Series B Distributions payable for any Series B Distribution Period during the Series B Floating Rate Period will be calculated based on a 360-day year and the number of days actually elapsed during such Series B Distribution Period.</w:t>
      </w:r>
    </w:p>
    <w:p>
      <w:pPr>
        <w:spacing w:after="0" w:line="189" w:lineRule="exact"/>
        <w:rPr>
          <w:sz w:val="20"/>
          <w:szCs w:val="20"/>
          <w:color w:val="auto"/>
        </w:rPr>
      </w:pPr>
    </w:p>
    <w:p>
      <w:pPr>
        <w:ind w:right="200" w:firstLine="1305"/>
        <w:spacing w:after="0" w:line="259" w:lineRule="auto"/>
        <w:tabs>
          <w:tab w:leader="none" w:pos="195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For each Series B Distribution Period during the Series B Floating Rate Period, the applicable Series B Distribution Rate will be determined by the Calculation Agent as of the applicable Series B Distribution Determination Date for such Series B Distribution Period. For purposes of determining the applicable Series B Distribution Rate, the Series B Three-Month LIBOR Rate will be determined by the Calculation Agent, as of the applicable Series B Distribution Determination Date, in accordance with the following provisions:</w:t>
      </w:r>
    </w:p>
    <w:p>
      <w:pPr>
        <w:spacing w:after="0" w:line="187" w:lineRule="exact"/>
        <w:rPr>
          <w:sz w:val="20"/>
          <w:szCs w:val="20"/>
          <w:color w:val="auto"/>
        </w:rPr>
      </w:pPr>
    </w:p>
    <w:p>
      <w:pPr>
        <w:ind w:left="660" w:right="100" w:firstLine="645"/>
        <w:spacing w:after="0" w:line="291" w:lineRule="auto"/>
        <w:tabs>
          <w:tab w:leader="none" w:pos="1978"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Series B Three-Month LIBOR Rate will be the rate (expressed as a percentage per year) for deposits in U.S. dollars having an index maturity of three months, in amounts of at least $1,000,000, as such rate appears on Reuters Page LIBOR01 at approximately 11:00</w:t>
      </w:r>
    </w:p>
    <w:p>
      <w:pPr>
        <w:ind w:left="660"/>
        <w:spacing w:after="0"/>
        <w:rPr>
          <w:rFonts w:ascii="Arial" w:cs="Arial" w:eastAsia="Arial" w:hAnsi="Arial"/>
          <w:sz w:val="16"/>
          <w:szCs w:val="16"/>
          <w:color w:val="auto"/>
        </w:rPr>
      </w:pPr>
      <w:r>
        <w:rPr>
          <w:rFonts w:ascii="Arial" w:cs="Arial" w:eastAsia="Arial" w:hAnsi="Arial"/>
          <w:sz w:val="18"/>
          <w:szCs w:val="18"/>
          <w:color w:val="auto"/>
        </w:rPr>
        <w:t>a.m. (London time) on the relevant Series B Distribution Determination Date; or</w:t>
      </w:r>
    </w:p>
    <w:p>
      <w:pPr>
        <w:spacing w:after="0" w:line="210" w:lineRule="exact"/>
        <w:rPr>
          <w:rFonts w:ascii="Arial" w:cs="Arial" w:eastAsia="Arial" w:hAnsi="Arial"/>
          <w:sz w:val="16"/>
          <w:szCs w:val="16"/>
          <w:color w:val="auto"/>
        </w:rPr>
      </w:pPr>
    </w:p>
    <w:p>
      <w:pPr>
        <w:ind w:left="1980" w:hanging="675"/>
        <w:spacing w:after="0"/>
        <w:tabs>
          <w:tab w:leader="none" w:pos="19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if no such rate appears on Reuters Page LIBOR01 or if the Reuters Page LIBOR01 is not available at approximately 11:00</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 (London time) on the relevant Series B Distribution Determination Date, then the Calculation Agent, after consultation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267" w:lineRule="auto"/>
        <w:rPr>
          <w:sz w:val="20"/>
          <w:szCs w:val="20"/>
          <w:color w:val="auto"/>
        </w:rPr>
      </w:pPr>
      <w:r>
        <w:rPr>
          <w:rFonts w:ascii="Arial" w:cs="Arial" w:eastAsia="Arial" w:hAnsi="Arial"/>
          <w:sz w:val="17"/>
          <w:szCs w:val="17"/>
          <w:color w:val="auto"/>
        </w:rPr>
        <w:t>with the Partnership, will select four nationally-recognized banks in the London interbank market and request that the principal London offices of those four selected banks provide the Calculation Agent with their offered quotation for deposits in U.S. dollars for a period of three months, commencing on the first day of the applicable Series B Distribution Period, to prime banks in the London interbank market at approximately 11:00 a.m. (London time) on that Series B Distribution Determination Date for the applicable Series B Distribution Period. Offered quotations must be based on a principal amount equal to an amount that, in the Calculation Agent’s discretion, is representative of a single transaction in U.S. dollars in the London interbank market at that time. If at least two quotations are provided, the Series B Three-Month LIBOR Rate for such Series B Distribution Period will be the arithmetic mean (rounded upward if necessary, to the nearest 0.00001 of 1%) of those quotations. If fewer than two quotations are provided, the Series B Three-Month LIBOR Rate for such Series B Distribution Period will be the arithmetic mean (rounded upward if necessary, to the nearest 0.00001 of 1%) of the rates quoted at approximately 11:00 a.m. (New York City time) on that Series B Distribution Determination Date for such Series B Distribution Period by three nationally-recognized banks in New York, New York selected by the Calculation Agent, for loans in U.S. dollars to nationally-recognized European banks (as selected by the Calculation Agent), for a period of three months commencing on the first day of such Series B Distribution Period. The rates quoted must be based on an amount that, in the Calculation Agent’s discretion, is representative of a single transaction in U.S. dollars in that market at that time. If fewer than three New York City banks selected by the Calculation Agent provide quote rates in the manner described above, the Calculation Agent, after consulting such sources as it deems comparable to any of the foregoing quotations or display page, or any such source as it deems reasonable from which to estimate the Series B Three-Month LIBOR Rate or any of the foregoing lending rates, shall determine Series B Three-Month LIBOR Rate for the applicable Distribution Period in its discretion, after consultation with the Partnership.</w:t>
      </w:r>
    </w:p>
    <w:p>
      <w:pPr>
        <w:spacing w:after="0" w:line="193" w:lineRule="exact"/>
        <w:rPr>
          <w:sz w:val="20"/>
          <w:szCs w:val="20"/>
          <w:color w:val="auto"/>
        </w:rPr>
      </w:pPr>
    </w:p>
    <w:p>
      <w:pPr>
        <w:ind w:left="660" w:firstLine="645"/>
        <w:spacing w:after="0" w:line="271" w:lineRule="auto"/>
        <w:tabs>
          <w:tab w:leader="none" w:pos="2028" w:val="left"/>
        </w:tabs>
        <w:numPr>
          <w:ilvl w:val="0"/>
          <w:numId w:val="117"/>
        </w:numPr>
        <w:rPr>
          <w:rFonts w:ascii="Arial" w:cs="Arial" w:eastAsia="Arial" w:hAnsi="Arial"/>
          <w:sz w:val="17"/>
          <w:szCs w:val="17"/>
          <w:color w:val="auto"/>
        </w:rPr>
      </w:pPr>
      <w:r>
        <w:rPr>
          <w:rFonts w:ascii="Arial" w:cs="Arial" w:eastAsia="Arial" w:hAnsi="Arial"/>
          <w:sz w:val="17"/>
          <w:szCs w:val="17"/>
          <w:color w:val="auto"/>
        </w:rPr>
        <w:t xml:space="preserve">Notwithstanding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if the Calculation Agent determines on the relevant Series B Distribution Determination Date that the LIBOR base rate has been discontinued, then the Calculation Agent will use a substitute or successor base rate that it has determined in its discretion, after consultation with the Partnership, is most comparable to the LIBOR base rate, provided that if the Calculation Agent determines there is an industry-accepted successor base rate, then the Calculation Agent shall use such successor base rate. If the Calculation Agent has determined a substitute or successor base rate in accordance with the foregoing, the Calculation Agent in its discretion, after consultation with the Partnership, may determine what business day convention to use, the definition of business day, the Series B Distribution Determination Date and any other relevant methodology for calculating such substitute or successor base rate in a manner that is consistent with industry-accepted practices for such substitute or successor base rate.</w:t>
      </w:r>
    </w:p>
    <w:p>
      <w:pPr>
        <w:spacing w:after="0" w:line="179" w:lineRule="exact"/>
        <w:rPr>
          <w:sz w:val="20"/>
          <w:szCs w:val="20"/>
          <w:color w:val="auto"/>
        </w:rPr>
      </w:pPr>
    </w:p>
    <w:p>
      <w:pPr>
        <w:ind w:left="660" w:right="320" w:firstLine="1297"/>
        <w:spacing w:after="0" w:line="277" w:lineRule="auto"/>
        <w:rPr>
          <w:sz w:val="20"/>
          <w:szCs w:val="20"/>
          <w:color w:val="auto"/>
        </w:rPr>
      </w:pPr>
      <w:r>
        <w:rPr>
          <w:rFonts w:ascii="Arial" w:cs="Arial" w:eastAsia="Arial" w:hAnsi="Arial"/>
          <w:sz w:val="18"/>
          <w:szCs w:val="18"/>
          <w:color w:val="auto"/>
        </w:rPr>
        <w:t>We will appoint a calculation agent for the Series B Preference Units prior to the commencement of the Series B Floating Rate Period and will be entitled to remove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 replace the calculation agent in our discretion. In addition, we or an affiliate of ours may assume the duties of the calculation agent.</w:t>
      </w:r>
    </w:p>
    <w:p>
      <w:pPr>
        <w:spacing w:after="0" w:line="225" w:lineRule="exact"/>
        <w:rPr>
          <w:sz w:val="20"/>
          <w:szCs w:val="20"/>
          <w:color w:val="auto"/>
        </w:rPr>
      </w:pPr>
    </w:p>
    <w:p>
      <w:pPr>
        <w:ind w:firstLine="1305"/>
        <w:spacing w:after="0" w:line="285" w:lineRule="auto"/>
        <w:tabs>
          <w:tab w:leader="none" w:pos="1991" w:val="left"/>
        </w:tabs>
        <w:numPr>
          <w:ilvl w:val="0"/>
          <w:numId w:val="118"/>
        </w:numPr>
        <w:rPr>
          <w:rFonts w:ascii="Arial" w:cs="Arial" w:eastAsia="Arial" w:hAnsi="Arial"/>
          <w:sz w:val="16"/>
          <w:szCs w:val="16"/>
          <w:color w:val="auto"/>
        </w:rPr>
      </w:pPr>
      <w:r>
        <w:rPr>
          <w:rFonts w:ascii="Arial" w:cs="Arial" w:eastAsia="Arial" w:hAnsi="Arial"/>
          <w:sz w:val="16"/>
          <w:szCs w:val="16"/>
          <w:color w:val="auto"/>
        </w:rPr>
        <w:t>Not later than 5:00 p.m., New York City time, on each Series B Distribution Payment Date, the Partnership shall pay those Series B Distributions, if any, that shall have been declared by the Board of Directors to Series B Holders on the Record Date for the applicable Series B Preference Distribution. The Record Date (the “</w:t>
      </w:r>
      <w:r>
        <w:rPr>
          <w:rFonts w:ascii="Arial" w:cs="Arial" w:eastAsia="Arial" w:hAnsi="Arial"/>
          <w:sz w:val="16"/>
          <w:szCs w:val="16"/>
          <w:b w:val="1"/>
          <w:bCs w:val="1"/>
          <w:i w:val="1"/>
          <w:iCs w:val="1"/>
          <w:color w:val="auto"/>
        </w:rPr>
        <w:t>Series B Distribution Record Date</w:t>
      </w:r>
      <w:r>
        <w:rPr>
          <w:rFonts w:ascii="Arial" w:cs="Arial" w:eastAsia="Arial" w:hAnsi="Arial"/>
          <w:sz w:val="16"/>
          <w:szCs w:val="16"/>
          <w:color w:val="auto"/>
        </w:rPr>
        <w:t xml:space="preserve">”) for the payment of any Series B Distributions shall be the fifth Business Day immediately preceding the applicable Series B Distribution Payment Date, except that in the case of payments of Series B Distributions in arrears, the Series B Distribution Record Date with respect to a Series B Distribution Payment Date shall be such date as may be designated by the Board of Directors in accordance with this </w:t>
      </w:r>
      <w:r>
        <w:rPr>
          <w:rFonts w:ascii="Arial" w:cs="Arial" w:eastAsia="Arial" w:hAnsi="Arial"/>
          <w:sz w:val="16"/>
          <w:szCs w:val="16"/>
          <w:u w:val="single" w:color="auto"/>
          <w:color w:val="auto"/>
        </w:rPr>
        <w:t>Article XVII</w:t>
      </w:r>
      <w:r>
        <w:rPr>
          <w:rFonts w:ascii="Arial" w:cs="Arial" w:eastAsia="Arial" w:hAnsi="Arial"/>
          <w:sz w:val="16"/>
          <w:szCs w:val="16"/>
          <w:color w:val="auto"/>
        </w:rPr>
        <w:t>. No distribution shall be declared or paid or set apart for payment on any Junior Securities (other than a distribution payable solely in Junior Securities) unless full cumulative Series B Distributions have been or contemporaneously are being paid or provided for on all Outstanding Series B Preference Units and any other Parity Securities through the most recent respective Series B Distribution Payment Dates. Accumulated Series B Distributions in arrears for any past Series B Distribution Period may be declared by the Board of Directors and paid on any date fixed by the Board of Directors, whether or not a Series B Distribution Payment Date, to Series B Holders on the record date for such payment, which may not be more than 60 days, nor less than 15 days, before such payment date. Subject to the next succeeding sentence, if all accumulated Series B Distributions in arrears on all Outstanding Series B Preference Units and any other Parity Securities shall not have been declared and paid, or if sufficient funds for the payment thereof shall not have been set apart, payment of accumulated distributions in arrears on the Series B Preference Units and any such Parity Securities shall be made in order of their respective distribution payment dates, commencing with the earliest. If less than all distributions payable with respect to all Series B Preference Units and any other Parity Securities are paid, any partial payment shall be made pro rata with respect to the Series B Preference Units and any such other Parity Securities entitled to a distribution payment at such time in proportion to the aggregate distribution amounts remaining due in respect of such Series B</w:t>
      </w:r>
    </w:p>
    <w:p>
      <w:pPr>
        <w:sectPr>
          <w:pgSz w:w="11900" w:h="16922" w:orient="portrait"/>
          <w:cols w:equalWidth="0" w:num="1">
            <w:col w:w="11400"/>
          </w:cols>
          <w:pgMar w:left="240" w:top="125" w:right="259" w:bottom="0" w:gutter="0" w:footer="0" w:header="0"/>
        </w:sectPr>
      </w:pPr>
    </w:p>
    <w:bookmarkStart w:id="48" w:name="page49"/>
    <w:bookmarkEnd w:id="48"/>
    <w:p>
      <w:pPr>
        <w:spacing w:after="0" w:line="74"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 xml:space="preserve">Preference Units and such other Parity Securities at such time. Subject to </w:t>
      </w:r>
      <w:r>
        <w:rPr>
          <w:rFonts w:ascii="Arial" w:cs="Arial" w:eastAsia="Arial" w:hAnsi="Arial"/>
          <w:sz w:val="16"/>
          <w:szCs w:val="16"/>
          <w:u w:val="single" w:color="auto"/>
          <w:color w:val="auto"/>
        </w:rPr>
        <w:t>Sections 12.4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17.6</w:t>
      </w:r>
      <w:r>
        <w:rPr>
          <w:rFonts w:ascii="Arial" w:cs="Arial" w:eastAsia="Arial" w:hAnsi="Arial"/>
          <w:sz w:val="16"/>
          <w:szCs w:val="16"/>
          <w:color w:val="auto"/>
        </w:rPr>
        <w:t xml:space="preserve">, Series B Holders shall not be entitled to any distribution, whether payable in cash, property or stock, in excess of full cumulative Series B Distributions. Except insofar as distributions accrue on the amount of any accumulated and unpaid Series B Distributions as described in </w:t>
      </w:r>
      <w:r>
        <w:rPr>
          <w:rFonts w:ascii="Arial" w:cs="Arial" w:eastAsia="Arial" w:hAnsi="Arial"/>
          <w:sz w:val="16"/>
          <w:szCs w:val="16"/>
          <w:u w:val="single" w:color="auto"/>
          <w:color w:val="auto"/>
        </w:rPr>
        <w:t>Section 17.3(a)</w:t>
      </w:r>
      <w:r>
        <w:rPr>
          <w:rFonts w:ascii="Arial" w:cs="Arial" w:eastAsia="Arial" w:hAnsi="Arial"/>
          <w:sz w:val="16"/>
          <w:szCs w:val="16"/>
          <w:color w:val="auto"/>
        </w:rPr>
        <w:t>, no interest or sum of money in lieu of interest shall be payable in respect of any distribution payment which may be in arrears on the Series B Preference Units. So long as the Series B Preference Units are held of record by the nominee of the Depository, declared Series B Distributions shall be paid to the Depository in same-day funds on each Series B Distribution Payment Date.</w:t>
      </w:r>
    </w:p>
    <w:p>
      <w:pPr>
        <w:spacing w:after="0" w:line="158"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17.4.</w:t>
      </w:r>
      <w:r>
        <w:rPr>
          <w:sz w:val="20"/>
          <w:szCs w:val="20"/>
          <w:color w:val="auto"/>
        </w:rPr>
        <w:tab/>
      </w:r>
      <w:r>
        <w:rPr>
          <w:rFonts w:ascii="Arial" w:cs="Arial" w:eastAsia="Arial" w:hAnsi="Arial"/>
          <w:sz w:val="16"/>
          <w:szCs w:val="16"/>
          <w:i w:val="1"/>
          <w:iCs w:val="1"/>
          <w:color w:val="auto"/>
        </w:rPr>
        <w:t>Liquidation Rights</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259" w:lineRule="auto"/>
        <w:tabs>
          <w:tab w:leader="none" w:pos="199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Upon the occurrence of any Liquidation Event, Series B Holders shall be entitled to receive out of the assets of the Partnership or proceeds thereof legally available for distribution to the Partners, (i) after satisfaction of all liabilities, if any, to creditors of the Partnership, (ii) after all applicable distributions of such assets or proceeds being made to or set aside for the holders of any Senior Securities then Outstanding in respect of such Liquidation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Event, (iii) concurrently with any applicable distributions of such assets or proceeds being made to or set aside for holders of any Series B Preference Units or other Parity Securities then Outstanding in respect of such Liquidation Event and (iv) before any distribution of such assets or proceeds is made to or set aside for the holders of Common Units and any other classes or series of Junior Securities as to such distribution, a liquidating distribution or payment in full redemption of such Series B Preference Units in an amount equal to the Series B Liquidation Preference. For purposes of clarity, upon the occurrence of any Liquidation Event, (x) the holders of then Outstanding Senior Securities shall be entitled to receive the applicable Liquidation Preference on such Senior Securities before any distribution shall be made with respect to the Series B Preference Units or any Parity Securities and (y) the Series B Holders shall be entitled to the Series B Liquidation Preference per Series B Preference Unit in cash, concurrently with any distribution made to the holders of any Parity Securities and before any distribution shall be made to the holders of Common Units or any other Junior Securities. Series B Holders shall not be entitled to any other amounts from the Partnership, in their capacity as Series B Holders, after they have received the Series B Liquidation Preference. The payment of the Series B Liquidation Preference shall be a payment in redemption of the Series B Preference Units such that, from and after payment of the full Series B Liquidation Preference, any such Series B Preference Unit shall thereafter be cancelled and no longer be Outstanding.</w:t>
      </w:r>
    </w:p>
    <w:p>
      <w:pPr>
        <w:spacing w:after="0" w:line="173" w:lineRule="exact"/>
        <w:rPr>
          <w:sz w:val="20"/>
          <w:szCs w:val="20"/>
          <w:color w:val="auto"/>
        </w:rPr>
      </w:pPr>
    </w:p>
    <w:p>
      <w:pPr>
        <w:ind w:right="160" w:firstLine="1305"/>
        <w:spacing w:after="0" w:line="255" w:lineRule="auto"/>
        <w:tabs>
          <w:tab w:leader="none" w:pos="200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If, in the event of any distribution or payment described in </w:t>
      </w:r>
      <w:r>
        <w:rPr>
          <w:rFonts w:ascii="Arial" w:cs="Arial" w:eastAsia="Arial" w:hAnsi="Arial"/>
          <w:sz w:val="18"/>
          <w:szCs w:val="18"/>
          <w:u w:val="single" w:color="auto"/>
          <w:color w:val="auto"/>
        </w:rPr>
        <w:t>Section 17.4(a)</w:t>
      </w:r>
      <w:r>
        <w:rPr>
          <w:rFonts w:ascii="Arial" w:cs="Arial" w:eastAsia="Arial" w:hAnsi="Arial"/>
          <w:sz w:val="18"/>
          <w:szCs w:val="18"/>
          <w:color w:val="auto"/>
        </w:rPr>
        <w:t xml:space="preserve"> above where the Partnership’s assets available for distribution to holders of the Outstanding Series B Preference Units and any other Parity Securities are insufficient to satisfy the applicable Liquidation Preference for such Series B Preference Units and Parity Securities, the Partnership’s then remaining assets or proceeds thereof legally available for distribution to unitholders of the Partnership shall be distributed among the holders of Outstanding Series B Preference Units and such Parity Securities, as applicable, ratably on the basis of their relative aggregate Liquidation Preferences. To the extent that the Series B Holders receive a partial payment of their Series B Liquidation Preference, such partial payment shall reduce the Series B Liquidation Preference of their Series B Preference Units, but only to the extent of such amount paid.</w:t>
      </w:r>
    </w:p>
    <w:p>
      <w:pPr>
        <w:spacing w:after="0" w:line="189" w:lineRule="exact"/>
        <w:rPr>
          <w:rFonts w:ascii="Arial" w:cs="Arial" w:eastAsia="Arial" w:hAnsi="Arial"/>
          <w:sz w:val="18"/>
          <w:szCs w:val="18"/>
          <w:color w:val="auto"/>
        </w:rPr>
      </w:pPr>
    </w:p>
    <w:p>
      <w:pPr>
        <w:ind w:right="80" w:firstLine="1305"/>
        <w:spacing w:after="0" w:line="264" w:lineRule="auto"/>
        <w:tabs>
          <w:tab w:leader="none" w:pos="199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After payment of the applicable Liquidation Preference to the holders of the Outstanding Series B Preference Units and any other Parity Securities, the Partnership’s remaining assets and funds shall be distributed among the holders of the Common Units and any other Junior Securities then Outstanding according to their respective rights and preferences.</w:t>
      </w:r>
    </w:p>
    <w:p>
      <w:pPr>
        <w:spacing w:after="0" w:line="181"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17.5.</w:t>
      </w:r>
      <w:r>
        <w:rPr>
          <w:sz w:val="20"/>
          <w:szCs w:val="20"/>
          <w:color w:val="auto"/>
        </w:rPr>
        <w:tab/>
      </w:r>
      <w:r>
        <w:rPr>
          <w:rFonts w:ascii="Arial" w:cs="Arial" w:eastAsia="Arial" w:hAnsi="Arial"/>
          <w:sz w:val="16"/>
          <w:szCs w:val="16"/>
          <w:i w:val="1"/>
          <w:iCs w:val="1"/>
          <w:color w:val="auto"/>
        </w:rPr>
        <w:t>Voting Rights</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77" w:lineRule="auto"/>
        <w:tabs>
          <w:tab w:leader="none" w:pos="199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the Series B Preference Units shall not have any voting rights except as set forth in </w:t>
      </w:r>
      <w:r>
        <w:rPr>
          <w:rFonts w:ascii="Arial" w:cs="Arial" w:eastAsia="Arial" w:hAnsi="Arial"/>
          <w:sz w:val="18"/>
          <w:szCs w:val="18"/>
          <w:u w:val="single" w:color="auto"/>
          <w:color w:val="auto"/>
        </w:rPr>
        <w:t>Section 13.3(d)</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17.5</w:t>
      </w:r>
      <w:r>
        <w:rPr>
          <w:rFonts w:ascii="Arial" w:cs="Arial" w:eastAsia="Arial" w:hAnsi="Arial"/>
          <w:sz w:val="18"/>
          <w:szCs w:val="18"/>
          <w:color w:val="auto"/>
        </w:rPr>
        <w:t xml:space="preserve"> or as otherwise provided by the Marshall Islands Act.</w:t>
      </w:r>
    </w:p>
    <w:p>
      <w:pPr>
        <w:spacing w:after="0" w:line="170" w:lineRule="exact"/>
        <w:rPr>
          <w:rFonts w:ascii="Arial" w:cs="Arial" w:eastAsia="Arial" w:hAnsi="Arial"/>
          <w:sz w:val="18"/>
          <w:szCs w:val="18"/>
          <w:color w:val="auto"/>
        </w:rPr>
      </w:pPr>
    </w:p>
    <w:p>
      <w:pPr>
        <w:ind w:right="240" w:firstLine="1305"/>
        <w:spacing w:after="0" w:line="264" w:lineRule="auto"/>
        <w:tabs>
          <w:tab w:leader="none" w:pos="200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the event that six quarterly Series B Distributions, whether consecutive or not, are in arrears, the Series B Holders shall have the right, voting as a class together with holders of any other Parity Securities upon which like voting rights have been conferred and are exercisable, at a meeting of the Board of Directors called for such purpose within 30 days after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receipt by the General Partner of a request by Series B Holders holding a majority of the Outstanding Series B Preference Units, to elect one member of the Board of Directors, and the size of the Board of Directors shall be increased as needed to accommodate such change; provided, however, that such right of the Series B Holders shall not apply to the election of another director if (i) Series B Holders and holders of Parity Securities upon which like voting rights have been conferred, voting as a class, have previously elected a member of the Board of Directors and (ii) such director continues then to serve on the Board of Directors. Such right of such Series B Holders to elect a member of the Board of Directors shall continue until the Partnership pays in full, or declares and sets aside funds for the payment of, all Series B Distributions accumulated and in arrears on the Series B Preference Units, at which time such right shall terminate, subject to the revesting of such right in the event of each and every subsequent failure to pay six quarterly Series B Distributions as described above in this </w:t>
      </w:r>
      <w:r>
        <w:rPr>
          <w:rFonts w:ascii="Arial" w:cs="Arial" w:eastAsia="Arial" w:hAnsi="Arial"/>
          <w:sz w:val="16"/>
          <w:szCs w:val="16"/>
          <w:u w:val="single" w:color="auto"/>
          <w:color w:val="auto"/>
        </w:rPr>
        <w:t>Section 17.5(b)</w:t>
      </w:r>
      <w:r>
        <w:rPr>
          <w:rFonts w:ascii="Arial" w:cs="Arial" w:eastAsia="Arial" w:hAnsi="Arial"/>
          <w:sz w:val="16"/>
          <w:szCs w:val="16"/>
          <w:color w:val="auto"/>
        </w:rPr>
        <w:t xml:space="preserve">. Upon any termination of the right of the Series B Holders and holders of any other Parity Securities to vote as a class for such director, the term of office of the director then in office elected by such Series B Holders and holders voting as a class shall terminate immediately. Any director elected by the Series B Holders and holders of any other Parity Securities shall be entitled to one vote on any matter before the Board of Directors. Upon each election of a member of the Board of Directors by Series B Holders pursuant to this </w:t>
      </w:r>
      <w:r>
        <w:rPr>
          <w:rFonts w:ascii="Arial" w:cs="Arial" w:eastAsia="Arial" w:hAnsi="Arial"/>
          <w:sz w:val="16"/>
          <w:szCs w:val="16"/>
          <w:u w:val="single" w:color="auto"/>
          <w:color w:val="auto"/>
        </w:rPr>
        <w:t>Section 17.5(b)</w:t>
      </w:r>
      <w:r>
        <w:rPr>
          <w:rFonts w:ascii="Arial" w:cs="Arial" w:eastAsia="Arial" w:hAnsi="Arial"/>
          <w:sz w:val="16"/>
          <w:szCs w:val="16"/>
          <w:color w:val="auto"/>
        </w:rPr>
        <w:t>, the General Partner shall have the right to appoint an additional member of the Board of Directors, which member shall be an Appointed Director for purposes of this Agreement, the term of such director to begin and end on the same dates as the corresponding director elected by the Series B Holders.</w:t>
      </w:r>
    </w:p>
    <w:p>
      <w:pPr>
        <w:spacing w:after="0" w:line="175" w:lineRule="exact"/>
        <w:rPr>
          <w:sz w:val="20"/>
          <w:szCs w:val="20"/>
          <w:color w:val="auto"/>
        </w:rPr>
      </w:pPr>
    </w:p>
    <w:p>
      <w:pPr>
        <w:ind w:right="220" w:firstLine="1305"/>
        <w:spacing w:after="0" w:line="264" w:lineRule="auto"/>
        <w:tabs>
          <w:tab w:leader="none" w:pos="199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 Unless the Board of Directors shall have received the affirmative vote or consent of the holders of at least 66 2/3% of the Outstanding Series B Preference Units, voting as a separate class, neither the General Partner nor the Board of Directors shall adopt any amendment to this Agreement that would have a material adverse effect on the existing terms of the Series B Preference Units.</w:t>
      </w:r>
    </w:p>
    <w:p>
      <w:pPr>
        <w:spacing w:after="0" w:line="181" w:lineRule="exact"/>
        <w:rPr>
          <w:sz w:val="20"/>
          <w:szCs w:val="20"/>
          <w:color w:val="auto"/>
        </w:rPr>
      </w:pPr>
    </w:p>
    <w:p>
      <w:pPr>
        <w:ind w:left="660" w:right="100" w:firstLine="645"/>
        <w:spacing w:after="0" w:line="259" w:lineRule="auto"/>
        <w:tabs>
          <w:tab w:leader="none" w:pos="201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Unless the Board of Directors shall have received the affirmative vote or consent of the holders of at least 66 2/3% of the Outstanding Series B Preference Units voting as a class together with holders of any other Parity Securities upon which like voting rights have been conferred and are exercisable, the Partnership shall not (x) issue any Parity Securities if the cumulative dividends payable on Outstanding Series B Preference Units are in arrears or (y) create or issue any Senior Securities.</w:t>
      </w:r>
    </w:p>
    <w:p>
      <w:pPr>
        <w:sectPr>
          <w:pgSz w:w="11900" w:h="16912" w:orient="portrait"/>
          <w:cols w:equalWidth="0" w:num="1">
            <w:col w:w="11400"/>
          </w:cols>
          <w:pgMar w:left="240" w:top="125" w:right="259" w:bottom="0" w:gutter="0" w:footer="0" w:header="0"/>
        </w:sectPr>
      </w:pPr>
    </w:p>
    <w:bookmarkStart w:id="49" w:name="page50"/>
    <w:bookmarkEnd w:id="49"/>
    <w:p>
      <w:pPr>
        <w:ind w:right="100" w:firstLine="1305"/>
        <w:spacing w:after="0" w:line="264" w:lineRule="auto"/>
        <w:tabs>
          <w:tab w:leader="none" w:pos="200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For any matter described in this </w:t>
      </w:r>
      <w:r>
        <w:rPr>
          <w:rFonts w:ascii="Arial" w:cs="Arial" w:eastAsia="Arial" w:hAnsi="Arial"/>
          <w:sz w:val="18"/>
          <w:szCs w:val="18"/>
          <w:u w:val="single" w:color="auto"/>
          <w:color w:val="auto"/>
        </w:rPr>
        <w:t>Section 17.5</w:t>
      </w:r>
      <w:r>
        <w:rPr>
          <w:rFonts w:ascii="Arial" w:cs="Arial" w:eastAsia="Arial" w:hAnsi="Arial"/>
          <w:sz w:val="18"/>
          <w:szCs w:val="18"/>
          <w:color w:val="auto"/>
        </w:rPr>
        <w:t xml:space="preserve"> in which the Series B Holders are entitled to vote as a class (whether separately or together with the holders of any Parity Securities), such Series B Holders shall be entitled to one vote per Series B Preference Unit. Any Series B Preference Units held by the Partnership or any of its subsidiaries or Affiliates shall not be entitled to vote.</w:t>
      </w:r>
    </w:p>
    <w:p>
      <w:pPr>
        <w:spacing w:after="0" w:line="181"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17.6.</w:t>
      </w:r>
      <w:r>
        <w:rPr>
          <w:sz w:val="20"/>
          <w:szCs w:val="20"/>
          <w:color w:val="auto"/>
        </w:rPr>
        <w:tab/>
      </w:r>
      <w:r>
        <w:rPr>
          <w:rFonts w:ascii="Arial" w:cs="Arial" w:eastAsia="Arial" w:hAnsi="Arial"/>
          <w:sz w:val="16"/>
          <w:szCs w:val="16"/>
          <w:i w:val="1"/>
          <w:iCs w:val="1"/>
          <w:color w:val="auto"/>
        </w:rPr>
        <w:t>Optional Redemption</w:t>
      </w:r>
      <w:r>
        <w:rPr>
          <w:rFonts w:ascii="Arial" w:cs="Arial" w:eastAsia="Arial" w:hAnsi="Arial"/>
          <w:sz w:val="16"/>
          <w:szCs w:val="16"/>
          <w:color w:val="auto"/>
        </w:rPr>
        <w:t>.</w:t>
      </w:r>
    </w:p>
    <w:p>
      <w:pPr>
        <w:spacing w:after="0" w:line="225"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The Partnership shall have the right at any time, and from time to time, on or after March 15, 2023 to redeem the Series B Preference Units, in whole or in part, from any source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funds legally available for such purpose. Any such redemption shall occur on a date set by the Board of Directors (the “</w:t>
      </w:r>
      <w:r>
        <w:rPr>
          <w:rFonts w:ascii="Arial" w:cs="Arial" w:eastAsia="Arial" w:hAnsi="Arial"/>
          <w:sz w:val="17"/>
          <w:szCs w:val="17"/>
          <w:b w:val="1"/>
          <w:bCs w:val="1"/>
          <w:i w:val="1"/>
          <w:iCs w:val="1"/>
          <w:color w:val="auto"/>
        </w:rPr>
        <w:t>Series B Redemption Date</w:t>
      </w:r>
      <w:r>
        <w:rPr>
          <w:rFonts w:ascii="Arial" w:cs="Arial" w:eastAsia="Arial" w:hAnsi="Arial"/>
          <w:sz w:val="17"/>
          <w:szCs w:val="17"/>
          <w:color w:val="auto"/>
        </w:rPr>
        <w:t>”).</w:t>
      </w:r>
    </w:p>
    <w:p>
      <w:pPr>
        <w:spacing w:after="0" w:line="237" w:lineRule="exact"/>
        <w:rPr>
          <w:sz w:val="20"/>
          <w:szCs w:val="20"/>
          <w:color w:val="auto"/>
        </w:rPr>
      </w:pPr>
    </w:p>
    <w:p>
      <w:pPr>
        <w:ind w:right="280" w:firstLine="1305"/>
        <w:spacing w:after="0" w:line="259" w:lineRule="auto"/>
        <w:tabs>
          <w:tab w:leader="none" w:pos="199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Partnership shall effect any such redemption by paying cash for each Series B Preference Unit to be redeemed equal to the Series B Liquidation Preference for such Series B Preference Unit on such Series B Redemption Date (the “</w:t>
      </w:r>
      <w:r>
        <w:rPr>
          <w:rFonts w:ascii="Arial" w:cs="Arial" w:eastAsia="Arial" w:hAnsi="Arial"/>
          <w:sz w:val="18"/>
          <w:szCs w:val="18"/>
          <w:b w:val="1"/>
          <w:bCs w:val="1"/>
          <w:i w:val="1"/>
          <w:iCs w:val="1"/>
          <w:color w:val="auto"/>
        </w:rPr>
        <w:t>Series B Redemption Price</w:t>
      </w:r>
      <w:r>
        <w:rPr>
          <w:rFonts w:ascii="Arial" w:cs="Arial" w:eastAsia="Arial" w:hAnsi="Arial"/>
          <w:sz w:val="18"/>
          <w:szCs w:val="18"/>
          <w:color w:val="auto"/>
        </w:rPr>
        <w:t>”). So long as the Series B Preference Units to be redeemed are held of record by the nominee of the Depository, the Series B Redemption Price shall be paid by the Paying Agent to the Depository on the Series B Redemption Date.</w:t>
      </w:r>
    </w:p>
    <w:p>
      <w:pPr>
        <w:spacing w:after="0" w:line="186" w:lineRule="exact"/>
        <w:rPr>
          <w:rFonts w:ascii="Arial" w:cs="Arial" w:eastAsia="Arial" w:hAnsi="Arial"/>
          <w:sz w:val="18"/>
          <w:szCs w:val="18"/>
          <w:color w:val="auto"/>
        </w:rPr>
      </w:pPr>
    </w:p>
    <w:p>
      <w:pPr>
        <w:ind w:right="40" w:firstLine="1305"/>
        <w:spacing w:after="0" w:line="290" w:lineRule="auto"/>
        <w:tabs>
          <w:tab w:leader="none" w:pos="2001"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Partnership shall give notice of any redemption by mail, postage prepaid, not less than 30 days and not more than 60 days before the scheduled Series B Redemption Date to the Series B Holders (as of 5:00 p.m. New York City time on the Business Day next preceding the day on which notice is given) of any Series B Preference Units to be redeemed as such Series B Holders’ names appear on the books of the Transfer Agent and at the address of such Series B Holders shown therein. Such notice (the “</w:t>
      </w:r>
      <w:r>
        <w:rPr>
          <w:rFonts w:ascii="Arial" w:cs="Arial" w:eastAsia="Arial" w:hAnsi="Arial"/>
          <w:sz w:val="16"/>
          <w:szCs w:val="16"/>
          <w:b w:val="1"/>
          <w:bCs w:val="1"/>
          <w:i w:val="1"/>
          <w:iCs w:val="1"/>
          <w:color w:val="auto"/>
        </w:rPr>
        <w:t>Series B Redemption Notice</w:t>
      </w:r>
      <w:r>
        <w:rPr>
          <w:rFonts w:ascii="Arial" w:cs="Arial" w:eastAsia="Arial" w:hAnsi="Arial"/>
          <w:sz w:val="16"/>
          <w:szCs w:val="16"/>
          <w:color w:val="auto"/>
        </w:rPr>
        <w:t>”) shall state, as applicable: (1) the Series B Redemption Date, (2) the number of Series B Preference Units to be redeemed and, if less than all Outstanding Series B Preference Units are to be redeemed, the number (and the identification) of Units to be redeemed from such Series B Holder, (3) the Series B Redemption Price, (4) the place where the Series B Preference Units are to be redeemed and shall be presented and surrendered for payment of the Series B Redemption Price therefor and (5) that distributions on the Units to be redeemed shall cease to accumulate from and after such Series B Redemption Date.</w:t>
      </w:r>
    </w:p>
    <w:p>
      <w:pPr>
        <w:spacing w:after="0" w:line="166" w:lineRule="exact"/>
        <w:rPr>
          <w:rFonts w:ascii="Arial" w:cs="Arial" w:eastAsia="Arial" w:hAnsi="Arial"/>
          <w:sz w:val="16"/>
          <w:szCs w:val="16"/>
          <w:color w:val="auto"/>
        </w:rPr>
      </w:pPr>
    </w:p>
    <w:p>
      <w:pPr>
        <w:ind w:right="40" w:firstLine="1305"/>
        <w:spacing w:after="0" w:line="255" w:lineRule="auto"/>
        <w:tabs>
          <w:tab w:leader="none" w:pos="199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If the Partnership elects to redeem less than all of the Outstanding Series B Preference Units, the number of Series B Preference Units to be redeemed shall be determined by the Board of Directors, and such Series B Preference Units shall be redeemed by such method of selection as the Depository shall determine either Pro Rata or by lot, with adjustments to avoid redemption of fractional Series B Preference Units. The aggregate Series B Redemption Price for any such partial redemption of the Outstanding Series B Preference Units shall be allocated correspondingly among the redeemed Series B Preference Units. The Series B Preference Units not redeemed shall remain Outstanding and entitled to all the rights and preferences provided in this </w:t>
      </w:r>
      <w:r>
        <w:rPr>
          <w:rFonts w:ascii="Arial" w:cs="Arial" w:eastAsia="Arial" w:hAnsi="Arial"/>
          <w:sz w:val="18"/>
          <w:szCs w:val="18"/>
          <w:u w:val="single" w:color="auto"/>
          <w:color w:val="auto"/>
        </w:rPr>
        <w:t>Article XVII</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right="80" w:firstLine="1305"/>
        <w:spacing w:after="0" w:line="271" w:lineRule="auto"/>
        <w:tabs>
          <w:tab w:leader="none" w:pos="2001" w:val="left"/>
        </w:tabs>
        <w:numPr>
          <w:ilvl w:val="0"/>
          <w:numId w:val="125"/>
        </w:numPr>
        <w:rPr>
          <w:rFonts w:ascii="Arial" w:cs="Arial" w:eastAsia="Arial" w:hAnsi="Arial"/>
          <w:sz w:val="17"/>
          <w:szCs w:val="17"/>
          <w:color w:val="auto"/>
        </w:rPr>
      </w:pPr>
      <w:r>
        <w:rPr>
          <w:rFonts w:ascii="Arial" w:cs="Arial" w:eastAsia="Arial" w:hAnsi="Arial"/>
          <w:sz w:val="17"/>
          <w:szCs w:val="17"/>
          <w:color w:val="auto"/>
        </w:rPr>
        <w:t>If the Partnership gives or causes to be given a Series B Redemption Notice, the Partnership shall deposit with the Paying Agent funds, sufficient to redeem the Series B Preference Units, as to which such Series B Redemption Notice shall have been given, no later than 5:00 p.m. New York City time on the Business Day immediately preceding the Series B Redemption Date, and shall give the Paying Agent irrevocable instructions and authority to pay the Series B Redemption Price to the Series B Holders to be redeemed upon surrender or deemed surrender (which shall occur automatically if the Certificate representing such Series B Preference Units is issued in the name of the Depository or its nominee) of the Certificates therefor as set forth in the Series B Redemption Notice. If the Series B Redemption Notice shall have been given, from and after the Series B Redemption Date, unless the Partnership defaults in providing funds sufficient for such redemption at the time and place specified for payment pursuant to the Series B Redemption Notice, all Series B Distributions on such Series B</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Preference Units to be redeemed shall cease to accumulate and all rights of holders of such Series B Preference Units as Limited Partners with respect to such Series B Preference Units to be redeemed shall cease, except the right to receive the Series B Redemption Price, and such Series B Preference Units shall not thereafter be transferred on the books of the Transfer Agent or be deemed to be Outstanding for any purpose whatsoever. The Partnership shall be entitled to receive from the Paying Agent the interest income, if any, earned on such funds deposited with the Paying Agent (to the extent that such interest income is not required to pay the Series B Redemption Price of the Series B Preference Units to be redeemed), and the holders of any Series B Preference Units so redeemed shall have no claim to any such interest income. Any funds deposited with the Paying Agent hereunder by the Partnership for any reason, including redemption of Series B Preference Units, that remain unclaimed or unpaid after two years after the applicable Series B Redemption Date or other payment date, as applicable, shall be, to the extent permitted by law, repaid to the Partnership upon its written request, after which repayment the Series B Holders entitled to such redemption or other payment shall have recourse only to the Partnership. Notwithstanding any Series B Redemption Notice, there shall be no redemption of any Series B Preference Units called for redemption until funds sufficient to pay the full Series B Redemption Price of such Series B Preference Units shall have been deposited by the Partnership with the Paying Agent.</w:t>
      </w:r>
    </w:p>
    <w:p>
      <w:pPr>
        <w:spacing w:after="0" w:line="173" w:lineRule="exact"/>
        <w:rPr>
          <w:sz w:val="20"/>
          <w:szCs w:val="20"/>
          <w:color w:val="auto"/>
        </w:rPr>
      </w:pPr>
    </w:p>
    <w:p>
      <w:pPr>
        <w:ind w:right="20" w:firstLine="1305"/>
        <w:spacing w:after="0" w:line="257" w:lineRule="auto"/>
        <w:tabs>
          <w:tab w:leader="none" w:pos="199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Series B Preference Units that are redeemed or otherwise acquired by the Partnership shall be canceled. If only a portion of the Series B Preference Units represented by a Certificate shall have been called for redemption, upon surrender of the Certificate to the Paying Agent (which shall occur automatically if the Certificate representing such Series B Preference Units is registered in the name of the Depository or its nominee), the Paying Agent shall issue to the Series B Holders a new Certificate (or adjust the applicable book-entry account) representing the number of Series B Preference Units represented by the surrendered Certificate that have not been called for redemption.</w:t>
      </w:r>
    </w:p>
    <w:p>
      <w:pPr>
        <w:spacing w:after="0" w:line="188" w:lineRule="exact"/>
        <w:rPr>
          <w:rFonts w:ascii="Arial" w:cs="Arial" w:eastAsia="Arial" w:hAnsi="Arial"/>
          <w:sz w:val="18"/>
          <w:szCs w:val="18"/>
          <w:color w:val="auto"/>
        </w:rPr>
      </w:pPr>
    </w:p>
    <w:p>
      <w:pPr>
        <w:ind w:right="100" w:firstLine="1305"/>
        <w:spacing w:after="0" w:line="291" w:lineRule="auto"/>
        <w:tabs>
          <w:tab w:leader="none" w:pos="2016" w:val="left"/>
        </w:tabs>
        <w:numPr>
          <w:ilvl w:val="0"/>
          <w:numId w:val="126"/>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w:t>
      </w:r>
      <w:r>
        <w:rPr>
          <w:rFonts w:ascii="Arial" w:cs="Arial" w:eastAsia="Arial" w:hAnsi="Arial"/>
          <w:sz w:val="16"/>
          <w:szCs w:val="16"/>
          <w:u w:val="single" w:color="auto"/>
          <w:color w:val="auto"/>
        </w:rPr>
        <w:t>Article XVII</w:t>
      </w:r>
      <w:r>
        <w:rPr>
          <w:rFonts w:ascii="Arial" w:cs="Arial" w:eastAsia="Arial" w:hAnsi="Arial"/>
          <w:sz w:val="16"/>
          <w:szCs w:val="16"/>
          <w:color w:val="auto"/>
        </w:rPr>
        <w:t>, in the event that full cumulative distributions on the Series B Preference Units and any other Parity Securities shall not have been paid or declared and set apart for payment, none of the Partnership, the General Partner or any Affiliate of the General Partner shall be permitted to repurchase, redeem or otherwise acquire, in whole or in part, any Series B Preference Units or other Parity Securities except pursuant to a purchase or exchange offer made on the same terms to all Series B Holders and holders of any other Parity Securities. None of the Partnership, the General Partner or any Affiliate of the General Partner shall be permitted to redeem, repurchase or otherwise acquire any Common Units or any other Junior Securities unless full cumulative distributions on the Series B Preference Units and any other Parity Securities for all prior and the then-ending Series B Distribution Periods shall have been paid or declared and set apart for payment.</w:t>
      </w:r>
    </w:p>
    <w:p>
      <w:pPr>
        <w:sectPr>
          <w:pgSz w:w="11900" w:h="16838" w:orient="portrait"/>
          <w:cols w:equalWidth="0" w:num="1">
            <w:col w:w="11420"/>
          </w:cols>
          <w:pgMar w:left="240" w:top="341" w:right="239" w:bottom="0" w:gutter="0" w:footer="0" w:header="0"/>
        </w:sectPr>
      </w:pPr>
    </w:p>
    <w:bookmarkStart w:id="50" w:name="page51"/>
    <w:bookmarkEnd w:id="50"/>
    <w:p>
      <w:pPr>
        <w:spacing w:after="0" w:line="137"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17.7.</w:t>
      </w:r>
      <w:r>
        <w:rPr>
          <w:sz w:val="20"/>
          <w:szCs w:val="20"/>
          <w:color w:val="auto"/>
        </w:rPr>
        <w:tab/>
      </w:r>
      <w:r>
        <w:rPr>
          <w:rFonts w:ascii="Arial" w:cs="Arial" w:eastAsia="Arial" w:hAnsi="Arial"/>
          <w:sz w:val="16"/>
          <w:szCs w:val="16"/>
          <w:i w:val="1"/>
          <w:iCs w:val="1"/>
          <w:color w:val="auto"/>
        </w:rPr>
        <w:t>Rank</w:t>
      </w:r>
      <w:r>
        <w:rPr>
          <w:rFonts w:ascii="Arial" w:cs="Arial" w:eastAsia="Arial" w:hAnsi="Arial"/>
          <w:sz w:val="16"/>
          <w:szCs w:val="16"/>
          <w:color w:val="auto"/>
        </w:rPr>
        <w:t>. The Series B Preference Units shall each be deemed to rank:</w:t>
      </w:r>
    </w:p>
    <w:p>
      <w:pPr>
        <w:spacing w:after="0" w:line="225" w:lineRule="exact"/>
        <w:rPr>
          <w:sz w:val="20"/>
          <w:szCs w:val="20"/>
          <w:color w:val="auto"/>
        </w:rPr>
      </w:pPr>
    </w:p>
    <w:p>
      <w:pPr>
        <w:ind w:left="2000" w:hanging="695"/>
        <w:spacing w:after="0"/>
        <w:tabs>
          <w:tab w:leader="none" w:pos="2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senior to any Junior Securities;</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on a parity with any Parity Securities;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0" w:hanging="695"/>
        <w:spacing w:after="0"/>
        <w:tabs>
          <w:tab w:leader="none" w:pos="20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junior to any Senior Securities.</w:t>
      </w:r>
    </w:p>
    <w:p>
      <w:pPr>
        <w:spacing w:after="0" w:line="225" w:lineRule="exact"/>
        <w:rPr>
          <w:sz w:val="20"/>
          <w:szCs w:val="20"/>
          <w:color w:val="auto"/>
        </w:rPr>
      </w:pPr>
    </w:p>
    <w:p>
      <w:pPr>
        <w:ind w:right="160" w:firstLine="1297"/>
        <w:spacing w:after="0" w:line="279" w:lineRule="auto"/>
        <w:rPr>
          <w:sz w:val="20"/>
          <w:szCs w:val="20"/>
          <w:color w:val="auto"/>
        </w:rPr>
      </w:pPr>
      <w:r>
        <w:rPr>
          <w:rFonts w:ascii="Arial" w:cs="Arial" w:eastAsia="Arial" w:hAnsi="Arial"/>
          <w:sz w:val="17"/>
          <w:szCs w:val="17"/>
          <w:color w:val="auto"/>
        </w:rPr>
        <w:t xml:space="preserve">The Partnership may issue Junior Securities and, subject to any approvals required by Series A Holders pursuant to </w:t>
      </w:r>
      <w:r>
        <w:rPr>
          <w:rFonts w:ascii="Arial" w:cs="Arial" w:eastAsia="Arial" w:hAnsi="Arial"/>
          <w:sz w:val="17"/>
          <w:szCs w:val="17"/>
          <w:u w:val="single" w:color="auto"/>
          <w:color w:val="auto"/>
        </w:rPr>
        <w:t>Section 16.5(c)(ii)</w:t>
      </w:r>
      <w:r>
        <w:rPr>
          <w:rFonts w:ascii="Arial" w:cs="Arial" w:eastAsia="Arial" w:hAnsi="Arial"/>
          <w:sz w:val="17"/>
          <w:szCs w:val="17"/>
          <w:color w:val="auto"/>
        </w:rPr>
        <w:t xml:space="preserve"> and Series B Holders pursuant to </w:t>
      </w:r>
      <w:r>
        <w:rPr>
          <w:rFonts w:ascii="Arial" w:cs="Arial" w:eastAsia="Arial" w:hAnsi="Arial"/>
          <w:sz w:val="17"/>
          <w:szCs w:val="17"/>
          <w:u w:val="single" w:color="auto"/>
          <w:color w:val="auto"/>
        </w:rPr>
        <w:t>Section 17.5(c)(ii)</w:t>
      </w:r>
      <w:r>
        <w:rPr>
          <w:rFonts w:ascii="Arial" w:cs="Arial" w:eastAsia="Arial" w:hAnsi="Arial"/>
          <w:sz w:val="17"/>
          <w:szCs w:val="17"/>
          <w:color w:val="auto"/>
        </w:rPr>
        <w:t>, Parity Securities from time to time in one or more classes or series without the consent of the Series B Holders. The Board of Directors has the authority to determine the preferences, powers, qualifications, limitations, restrictions and special or relative rights or privileges, if any, of any such class or series before the issuance of any Partnership Interests of such class or series.</w:t>
      </w:r>
    </w:p>
    <w:p>
      <w:pPr>
        <w:spacing w:after="0" w:line="171"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17.8.</w:t>
      </w:r>
      <w:r>
        <w:rPr>
          <w:sz w:val="20"/>
          <w:szCs w:val="20"/>
          <w:color w:val="auto"/>
        </w:rPr>
        <w:tab/>
      </w:r>
      <w:r>
        <w:rPr>
          <w:rFonts w:ascii="Arial" w:cs="Arial" w:eastAsia="Arial" w:hAnsi="Arial"/>
          <w:sz w:val="16"/>
          <w:szCs w:val="16"/>
          <w:i w:val="1"/>
          <w:iCs w:val="1"/>
          <w:color w:val="auto"/>
        </w:rPr>
        <w:t>No Sinking Fund</w:t>
      </w:r>
      <w:r>
        <w:rPr>
          <w:rFonts w:ascii="Arial" w:cs="Arial" w:eastAsia="Arial" w:hAnsi="Arial"/>
          <w:sz w:val="15"/>
          <w:szCs w:val="15"/>
          <w:color w:val="auto"/>
        </w:rPr>
        <w:t>. The Series B Preference Units shall not have the benefit of any sinking fund.</w:t>
      </w:r>
    </w:p>
    <w:p>
      <w:pPr>
        <w:spacing w:after="0" w:line="225" w:lineRule="exact"/>
        <w:rPr>
          <w:sz w:val="20"/>
          <w:szCs w:val="20"/>
          <w:color w:val="auto"/>
        </w:rPr>
      </w:pPr>
    </w:p>
    <w:p>
      <w:pPr>
        <w:jc w:val="both"/>
        <w:ind w:right="60" w:firstLine="1297"/>
        <w:spacing w:after="0" w:line="301" w:lineRule="auto"/>
        <w:rPr>
          <w:sz w:val="20"/>
          <w:szCs w:val="20"/>
          <w:color w:val="auto"/>
        </w:rPr>
      </w:pPr>
      <w:r>
        <w:rPr>
          <w:rFonts w:ascii="Arial" w:cs="Arial" w:eastAsia="Arial" w:hAnsi="Arial"/>
          <w:sz w:val="17"/>
          <w:szCs w:val="17"/>
          <w:color w:val="auto"/>
        </w:rPr>
        <w:t xml:space="preserve">Section 17.9. </w:t>
      </w:r>
      <w:r>
        <w:rPr>
          <w:rFonts w:ascii="Arial" w:cs="Arial" w:eastAsia="Arial" w:hAnsi="Arial"/>
          <w:sz w:val="16"/>
          <w:szCs w:val="16"/>
          <w:i w:val="1"/>
          <w:iCs w:val="1"/>
          <w:color w:val="auto"/>
        </w:rPr>
        <w:t>Record Holders</w:t>
      </w:r>
      <w:r>
        <w:rPr>
          <w:rFonts w:ascii="Arial" w:cs="Arial" w:eastAsia="Arial" w:hAnsi="Arial"/>
          <w:sz w:val="16"/>
          <w:szCs w:val="16"/>
          <w:color w:val="auto"/>
        </w:rPr>
        <w:t>. To the fullest extent permitted by applicable law, the General Partner, Partnership, the Transfer Agent and</w:t>
      </w:r>
      <w:r>
        <w:rPr>
          <w:rFonts w:ascii="Arial" w:cs="Arial" w:eastAsia="Arial" w:hAnsi="Arial"/>
          <w:sz w:val="17"/>
          <w:szCs w:val="17"/>
          <w:color w:val="auto"/>
        </w:rPr>
        <w:t xml:space="preserve"> </w:t>
      </w:r>
      <w:r>
        <w:rPr>
          <w:rFonts w:ascii="Arial" w:cs="Arial" w:eastAsia="Arial" w:hAnsi="Arial"/>
          <w:sz w:val="16"/>
          <w:szCs w:val="16"/>
          <w:color w:val="auto"/>
        </w:rPr>
        <w:t>the Paying Agent may deem and treat any Series B Holder as the true, lawful and absolute owner of the applicable Series B Preference Units for all purposes, and neither the General Partner, the Partnership nor the Transfer Agent or the Paying Agent shall be affected by any notice to the contrary.</w:t>
      </w:r>
    </w:p>
    <w:p>
      <w:pPr>
        <w:spacing w:after="0" w:line="158" w:lineRule="exact"/>
        <w:rPr>
          <w:sz w:val="20"/>
          <w:szCs w:val="20"/>
          <w:color w:val="auto"/>
        </w:rPr>
      </w:pPr>
    </w:p>
    <w:p>
      <w:pPr>
        <w:ind w:right="160" w:firstLine="1297"/>
        <w:spacing w:after="0" w:line="270" w:lineRule="auto"/>
        <w:rPr>
          <w:sz w:val="20"/>
          <w:szCs w:val="20"/>
          <w:color w:val="auto"/>
        </w:rPr>
      </w:pPr>
      <w:r>
        <w:rPr>
          <w:rFonts w:ascii="Arial" w:cs="Arial" w:eastAsia="Arial" w:hAnsi="Arial"/>
          <w:sz w:val="18"/>
          <w:szCs w:val="18"/>
          <w:color w:val="auto"/>
        </w:rPr>
        <w:t xml:space="preserve">Section 17.10. </w:t>
      </w:r>
      <w:r>
        <w:rPr>
          <w:rFonts w:ascii="Arial" w:cs="Arial" w:eastAsia="Arial" w:hAnsi="Arial"/>
          <w:sz w:val="17"/>
          <w:szCs w:val="17"/>
          <w:i w:val="1"/>
          <w:iCs w:val="1"/>
          <w:color w:val="auto"/>
        </w:rPr>
        <w:t>Notices</w:t>
      </w:r>
      <w:r>
        <w:rPr>
          <w:rFonts w:ascii="Arial" w:cs="Arial" w:eastAsia="Arial" w:hAnsi="Arial"/>
          <w:sz w:val="17"/>
          <w:szCs w:val="17"/>
          <w:color w:val="auto"/>
        </w:rPr>
        <w:t>. All notices or communications in respect of the Series B Preference Units shall be sufficiently given if given in</w:t>
      </w:r>
      <w:r>
        <w:rPr>
          <w:rFonts w:ascii="Arial" w:cs="Arial" w:eastAsia="Arial" w:hAnsi="Arial"/>
          <w:sz w:val="18"/>
          <w:szCs w:val="18"/>
          <w:color w:val="auto"/>
        </w:rPr>
        <w:t xml:space="preserve"> </w:t>
      </w:r>
      <w:r>
        <w:rPr>
          <w:rFonts w:ascii="Arial" w:cs="Arial" w:eastAsia="Arial" w:hAnsi="Arial"/>
          <w:sz w:val="17"/>
          <w:szCs w:val="17"/>
          <w:color w:val="auto"/>
        </w:rPr>
        <w:t xml:space="preserve">writing and delivered in person or by first class mail, postage prepaid, or if given in such other manner as may be permitted in this </w:t>
      </w:r>
      <w:r>
        <w:rPr>
          <w:rFonts w:ascii="Arial" w:cs="Arial" w:eastAsia="Arial" w:hAnsi="Arial"/>
          <w:sz w:val="17"/>
          <w:szCs w:val="17"/>
          <w:u w:val="single" w:color="auto"/>
          <w:color w:val="auto"/>
        </w:rPr>
        <w:t>Article XVII</w:t>
      </w:r>
      <w:r>
        <w:rPr>
          <w:rFonts w:ascii="Arial" w:cs="Arial" w:eastAsia="Arial" w:hAnsi="Arial"/>
          <w:sz w:val="17"/>
          <w:szCs w:val="17"/>
          <w:color w:val="auto"/>
        </w:rPr>
        <w:t>, this Agreement or by applicable law.</w:t>
      </w:r>
    </w:p>
    <w:p>
      <w:pPr>
        <w:spacing w:after="0" w:line="179" w:lineRule="exact"/>
        <w:rPr>
          <w:sz w:val="20"/>
          <w:szCs w:val="20"/>
          <w:color w:val="auto"/>
        </w:rPr>
      </w:pPr>
    </w:p>
    <w:p>
      <w:pPr>
        <w:ind w:right="80" w:firstLine="1297"/>
        <w:spacing w:after="0" w:line="267" w:lineRule="auto"/>
        <w:rPr>
          <w:sz w:val="20"/>
          <w:szCs w:val="20"/>
          <w:color w:val="auto"/>
        </w:rPr>
      </w:pPr>
      <w:r>
        <w:rPr>
          <w:rFonts w:ascii="Arial" w:cs="Arial" w:eastAsia="Arial" w:hAnsi="Arial"/>
          <w:sz w:val="18"/>
          <w:szCs w:val="18"/>
          <w:color w:val="auto"/>
        </w:rPr>
        <w:t xml:space="preserve">Section 17.11. </w:t>
      </w:r>
      <w:r>
        <w:rPr>
          <w:rFonts w:ascii="Arial" w:cs="Arial" w:eastAsia="Arial" w:hAnsi="Arial"/>
          <w:sz w:val="17"/>
          <w:szCs w:val="17"/>
          <w:i w:val="1"/>
          <w:iCs w:val="1"/>
          <w:color w:val="auto"/>
        </w:rPr>
        <w:t>Other Rights; Fiduciary Duties</w:t>
      </w:r>
      <w:r>
        <w:rPr>
          <w:rFonts w:ascii="Arial" w:cs="Arial" w:eastAsia="Arial" w:hAnsi="Arial"/>
          <w:sz w:val="17"/>
          <w:szCs w:val="17"/>
          <w:color w:val="auto"/>
        </w:rPr>
        <w:t>. The Series B Preference Units shall not have any voting powers, preferences or relative,</w:t>
      </w:r>
      <w:r>
        <w:rPr>
          <w:rFonts w:ascii="Arial" w:cs="Arial" w:eastAsia="Arial" w:hAnsi="Arial"/>
          <w:sz w:val="18"/>
          <w:szCs w:val="18"/>
          <w:color w:val="auto"/>
        </w:rPr>
        <w:t xml:space="preserve"> </w:t>
      </w:r>
      <w:r>
        <w:rPr>
          <w:rFonts w:ascii="Arial" w:cs="Arial" w:eastAsia="Arial" w:hAnsi="Arial"/>
          <w:sz w:val="17"/>
          <w:szCs w:val="17"/>
          <w:color w:val="auto"/>
        </w:rPr>
        <w:t xml:space="preserve">participating, optional or other special rights, or qualifications, limitations or restrictions thereof, other than as set forth in this </w:t>
      </w:r>
      <w:r>
        <w:rPr>
          <w:rFonts w:ascii="Arial" w:cs="Arial" w:eastAsia="Arial" w:hAnsi="Arial"/>
          <w:sz w:val="17"/>
          <w:szCs w:val="17"/>
          <w:u w:val="single" w:color="auto"/>
          <w:color w:val="auto"/>
        </w:rPr>
        <w:t>Article XVII</w:t>
      </w:r>
      <w:r>
        <w:rPr>
          <w:rFonts w:ascii="Arial" w:cs="Arial" w:eastAsia="Arial" w:hAnsi="Arial"/>
          <w:sz w:val="17"/>
          <w:szCs w:val="17"/>
          <w:color w:val="auto"/>
        </w:rPr>
        <w:t xml:space="preserve"> or as provided by applicable law. Notwithstanding anything to the contrary in this Agreement, but subject to </w:t>
      </w:r>
      <w:r>
        <w:rPr>
          <w:rFonts w:ascii="Arial" w:cs="Arial" w:eastAsia="Arial" w:hAnsi="Arial"/>
          <w:sz w:val="17"/>
          <w:szCs w:val="17"/>
          <w:u w:val="single" w:color="auto"/>
          <w:color w:val="auto"/>
        </w:rPr>
        <w:t>Section 7.17(c)</w:t>
      </w:r>
      <w:r>
        <w:rPr>
          <w:rFonts w:ascii="Arial" w:cs="Arial" w:eastAsia="Arial" w:hAnsi="Arial"/>
          <w:sz w:val="17"/>
          <w:szCs w:val="17"/>
          <w:color w:val="auto"/>
        </w:rPr>
        <w:t xml:space="preserve"> and without reference to the definition of “good faith” in </w:t>
      </w:r>
      <w:r>
        <w:rPr>
          <w:rFonts w:ascii="Arial" w:cs="Arial" w:eastAsia="Arial" w:hAnsi="Arial"/>
          <w:sz w:val="17"/>
          <w:szCs w:val="17"/>
          <w:u w:val="single" w:color="auto"/>
          <w:color w:val="auto"/>
        </w:rPr>
        <w:t>Section 7.17(b)</w:t>
      </w:r>
      <w:r>
        <w:rPr>
          <w:rFonts w:ascii="Arial" w:cs="Arial" w:eastAsia="Arial" w:hAnsi="Arial"/>
          <w:sz w:val="17"/>
          <w:szCs w:val="17"/>
          <w:color w:val="auto"/>
        </w:rPr>
        <w:t>, neither the General Partner nor any other Indemnitee shall owe any fiduciary duties to Series B Holders, other than the implied duty of good faith and fair dealing.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right="20" w:firstLine="1297"/>
        <w:spacing w:after="0" w:line="272" w:lineRule="auto"/>
        <w:rPr>
          <w:sz w:val="20"/>
          <w:szCs w:val="20"/>
          <w:color w:val="auto"/>
        </w:rPr>
      </w:pPr>
      <w:r>
        <w:rPr>
          <w:rFonts w:ascii="Arial" w:cs="Arial" w:eastAsia="Arial" w:hAnsi="Arial"/>
          <w:sz w:val="17"/>
          <w:szCs w:val="17"/>
          <w:color w:val="auto"/>
        </w:rPr>
        <w:t xml:space="preserve">Section 18.1. </w:t>
      </w:r>
      <w:r>
        <w:rPr>
          <w:rFonts w:ascii="Arial" w:cs="Arial" w:eastAsia="Arial" w:hAnsi="Arial"/>
          <w:sz w:val="17"/>
          <w:szCs w:val="17"/>
          <w:i w:val="1"/>
          <w:iCs w:val="1"/>
          <w:color w:val="auto"/>
        </w:rPr>
        <w:t>Addresses and Notices</w:t>
      </w:r>
      <w:r>
        <w:rPr>
          <w:rFonts w:ascii="Arial" w:cs="Arial" w:eastAsia="Arial" w:hAnsi="Arial"/>
          <w:sz w:val="17"/>
          <w:szCs w:val="17"/>
          <w:color w:val="auto"/>
        </w:rPr>
        <w:t>. (a) Any notice, demand, request, report or proxy materials required or permitted to be given or made to a Partner under this Agreement shall be in writing and shall be deemed given or made when delivered in person or when sent by first class United States mail or by other means of written communication to the Partner at the address described below. Any notice, payment or report to be given or made to a Partner hereunder shall be deemed conclusively to have been given or made, and the obligation to give such notice or report or to make such payment shall be deemed conclusively to have been fully satisfied, upon sending of such notice, payment or report to the Record Holder of such Partnership Interests at his address as shown on the records of the Transfer Agent or as otherwise shown on the records of the Partnership, regardless of any claim of any Person who may have an interest in such Partnership Interests by reason of any assignment or otherwise. An affidavit or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certificate of making of any notice, payment or report in accordance with the provisions of this </w:t>
      </w:r>
      <w:r>
        <w:rPr>
          <w:rFonts w:ascii="Arial" w:cs="Arial" w:eastAsia="Arial" w:hAnsi="Arial"/>
          <w:sz w:val="17"/>
          <w:szCs w:val="17"/>
          <w:u w:val="single" w:color="auto"/>
          <w:color w:val="auto"/>
        </w:rPr>
        <w:t>Section 18.1</w:t>
      </w:r>
      <w:r>
        <w:rPr>
          <w:rFonts w:ascii="Arial" w:cs="Arial" w:eastAsia="Arial" w:hAnsi="Arial"/>
          <w:sz w:val="17"/>
          <w:szCs w:val="17"/>
          <w:color w:val="auto"/>
        </w:rPr>
        <w:t xml:space="preserve"> executed by a member of the Board of Directors, the General Partner, the Transfer Agent or the mailing organization shall be prima facie evidence of the giving or making of such notice, payment or report. If any notice, payment or report addressed to a Record Holder at the address of such Record Holder appearing on the books and records of the Transfer Agent or the Partnership is returned by the United States Postal Service marked to indicate that the United States Postal Service is unable to deliver it, such notice, payment or report and any subsequent notices, payments and reports shall be deemed to have been duly given or made without further mailing (until such time as such Record Holder or another Person notifies the Transfer Agent or the Partnership of a change in his address) if they are available for the Partner at the principal office of the Partnership for a period of one year from the date of the giving or making of such notice, payment or report to the other Partners. Any notice to the Partnership shall be deemed given if received by the General Partner or the Board of Directors at the principal office of the Partnership designated pursuant to </w:t>
      </w:r>
      <w:r>
        <w:rPr>
          <w:rFonts w:ascii="Arial" w:cs="Arial" w:eastAsia="Arial" w:hAnsi="Arial"/>
          <w:sz w:val="17"/>
          <w:szCs w:val="17"/>
          <w:u w:val="single" w:color="auto"/>
          <w:color w:val="auto"/>
        </w:rPr>
        <w:t>Section 2.3</w:t>
      </w:r>
      <w:r>
        <w:rPr>
          <w:rFonts w:ascii="Arial" w:cs="Arial" w:eastAsia="Arial" w:hAnsi="Arial"/>
          <w:sz w:val="17"/>
          <w:szCs w:val="17"/>
          <w:color w:val="auto"/>
        </w:rPr>
        <w:t>. The General Partner and the Board of Directors may rely and shall be protected in relying on any notice or other document from a Partner or other Person if believed by it to be genuine.</w:t>
      </w:r>
    </w:p>
    <w:p>
      <w:pPr>
        <w:spacing w:after="0" w:line="178" w:lineRule="exact"/>
        <w:rPr>
          <w:sz w:val="20"/>
          <w:szCs w:val="20"/>
          <w:color w:val="auto"/>
        </w:rPr>
      </w:pPr>
    </w:p>
    <w:p>
      <w:pPr>
        <w:ind w:right="180" w:firstLine="1305"/>
        <w:spacing w:after="0" w:line="277" w:lineRule="auto"/>
        <w:tabs>
          <w:tab w:leader="none" w:pos="200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terms “in writing,” “written communications,” “written notice” and words of similar import shall be deemed satisfied under this Agreement by use of e-mail and other forms of electronic communication.</w:t>
      </w:r>
    </w:p>
    <w:p>
      <w:pPr>
        <w:spacing w:after="0" w:line="170" w:lineRule="exact"/>
        <w:rPr>
          <w:sz w:val="20"/>
          <w:szCs w:val="20"/>
          <w:color w:val="auto"/>
        </w:rPr>
      </w:pPr>
    </w:p>
    <w:p>
      <w:pPr>
        <w:ind w:right="340" w:firstLine="1297"/>
        <w:spacing w:after="0" w:line="277" w:lineRule="auto"/>
        <w:rPr>
          <w:sz w:val="20"/>
          <w:szCs w:val="20"/>
          <w:color w:val="auto"/>
        </w:rPr>
      </w:pPr>
      <w:r>
        <w:rPr>
          <w:rFonts w:ascii="Arial" w:cs="Arial" w:eastAsia="Arial" w:hAnsi="Arial"/>
          <w:sz w:val="18"/>
          <w:szCs w:val="18"/>
          <w:color w:val="auto"/>
        </w:rPr>
        <w:t xml:space="preserve">Section 18.2. </w:t>
      </w:r>
      <w:r>
        <w:rPr>
          <w:rFonts w:ascii="Arial" w:cs="Arial" w:eastAsia="Arial" w:hAnsi="Arial"/>
          <w:sz w:val="18"/>
          <w:szCs w:val="18"/>
          <w:i w:val="1"/>
          <w:iCs w:val="1"/>
          <w:color w:val="auto"/>
        </w:rPr>
        <w:t>Further Action</w:t>
      </w:r>
      <w:r>
        <w:rPr>
          <w:rFonts w:ascii="Arial" w:cs="Arial" w:eastAsia="Arial" w:hAnsi="Arial"/>
          <w:sz w:val="18"/>
          <w:szCs w:val="18"/>
          <w:color w:val="auto"/>
        </w:rPr>
        <w:t>. The parties shall execute and deliver all documents, provide all information and take or refrain from taking action as may be necessary or appropriate to achieve the purposes of this Agreement.</w:t>
      </w:r>
    </w:p>
    <w:p>
      <w:pPr>
        <w:spacing w:after="0" w:line="170"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 xml:space="preserve">Section 18.3. </w:t>
      </w:r>
      <w:r>
        <w:rPr>
          <w:rFonts w:ascii="Arial" w:cs="Arial" w:eastAsia="Arial" w:hAnsi="Arial"/>
          <w:sz w:val="18"/>
          <w:szCs w:val="18"/>
          <w:i w:val="1"/>
          <w:iCs w:val="1"/>
          <w:color w:val="auto"/>
        </w:rPr>
        <w:t>Binding Effect</w:t>
      </w:r>
      <w:r>
        <w:rPr>
          <w:rFonts w:ascii="Arial" w:cs="Arial" w:eastAsia="Arial" w:hAnsi="Arial"/>
          <w:sz w:val="18"/>
          <w:szCs w:val="18"/>
          <w:color w:val="auto"/>
        </w:rPr>
        <w:t>. This Agreement shall be binding upon and inure to the benefit of the parties hereto and their respective heirs, executors, administrators, successors, legal representatives and permitted assigns.</w:t>
      </w:r>
    </w:p>
    <w:p>
      <w:pPr>
        <w:spacing w:after="0" w:line="170" w:lineRule="exact"/>
        <w:rPr>
          <w:sz w:val="20"/>
          <w:szCs w:val="20"/>
          <w:color w:val="auto"/>
        </w:rPr>
      </w:pPr>
    </w:p>
    <w:p>
      <w:pPr>
        <w:ind w:right="220" w:firstLine="1297"/>
        <w:spacing w:after="0" w:line="308" w:lineRule="auto"/>
        <w:rPr>
          <w:sz w:val="20"/>
          <w:szCs w:val="20"/>
          <w:color w:val="auto"/>
        </w:rPr>
      </w:pPr>
      <w:r>
        <w:rPr>
          <w:rFonts w:ascii="Arial" w:cs="Arial" w:eastAsia="Arial" w:hAnsi="Arial"/>
          <w:sz w:val="17"/>
          <w:szCs w:val="17"/>
          <w:color w:val="auto"/>
        </w:rPr>
        <w:t xml:space="preserve">Section 18.4. </w:t>
      </w:r>
      <w:r>
        <w:rPr>
          <w:rFonts w:ascii="Arial" w:cs="Arial" w:eastAsia="Arial" w:hAnsi="Arial"/>
          <w:sz w:val="17"/>
          <w:szCs w:val="17"/>
          <w:i w:val="1"/>
          <w:iCs w:val="1"/>
          <w:color w:val="auto"/>
        </w:rPr>
        <w:t>Integration</w:t>
      </w:r>
      <w:r>
        <w:rPr>
          <w:rFonts w:ascii="Arial" w:cs="Arial" w:eastAsia="Arial" w:hAnsi="Arial"/>
          <w:sz w:val="17"/>
          <w:szCs w:val="17"/>
          <w:color w:val="auto"/>
        </w:rPr>
        <w:t>. This Agreement constitutes the entire agreement among the parties hereto pertaining to the subject matter hereof and supersedes all prior agreements and understandings pertaining thereto, including the Second Amended Agreement.</w:t>
      </w:r>
    </w:p>
    <w:p>
      <w:pPr>
        <w:spacing w:after="0" w:line="147"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18.5.</w:t>
      </w:r>
      <w:r>
        <w:rPr>
          <w:sz w:val="20"/>
          <w:szCs w:val="20"/>
          <w:color w:val="auto"/>
        </w:rPr>
        <w:tab/>
      </w:r>
      <w:r>
        <w:rPr>
          <w:rFonts w:ascii="Arial" w:cs="Arial" w:eastAsia="Arial" w:hAnsi="Arial"/>
          <w:sz w:val="16"/>
          <w:szCs w:val="16"/>
          <w:i w:val="1"/>
          <w:iCs w:val="1"/>
          <w:color w:val="auto"/>
        </w:rPr>
        <w:t>Creditors</w:t>
      </w:r>
      <w:r>
        <w:rPr>
          <w:rFonts w:ascii="Arial" w:cs="Arial" w:eastAsia="Arial" w:hAnsi="Arial"/>
          <w:sz w:val="16"/>
          <w:szCs w:val="16"/>
          <w:color w:val="auto"/>
        </w:rPr>
        <w:t>. None of the provisions of this Agreement shall be for the benefit of, or shall be enforceable by, any creditor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Partnership.</w:t>
      </w:r>
    </w:p>
    <w:p>
      <w:pPr>
        <w:spacing w:after="0" w:line="211" w:lineRule="exact"/>
        <w:rPr>
          <w:sz w:val="20"/>
          <w:szCs w:val="20"/>
          <w:color w:val="auto"/>
        </w:rPr>
      </w:pPr>
    </w:p>
    <w:p>
      <w:pPr>
        <w:jc w:val="both"/>
        <w:ind w:right="240" w:firstLine="1297"/>
        <w:spacing w:after="0" w:line="342" w:lineRule="auto"/>
        <w:rPr>
          <w:sz w:val="20"/>
          <w:szCs w:val="20"/>
          <w:color w:val="auto"/>
        </w:rPr>
      </w:pPr>
      <w:r>
        <w:rPr>
          <w:rFonts w:ascii="Arial" w:cs="Arial" w:eastAsia="Arial" w:hAnsi="Arial"/>
          <w:sz w:val="16"/>
          <w:szCs w:val="16"/>
          <w:color w:val="auto"/>
        </w:rPr>
        <w:t xml:space="preserve">Section 18.6. </w:t>
      </w:r>
      <w:r>
        <w:rPr>
          <w:rFonts w:ascii="Arial" w:cs="Arial" w:eastAsia="Arial" w:hAnsi="Arial"/>
          <w:sz w:val="16"/>
          <w:szCs w:val="16"/>
          <w:i w:val="1"/>
          <w:iCs w:val="1"/>
          <w:color w:val="auto"/>
        </w:rPr>
        <w:t>Waiver</w:t>
      </w:r>
      <w:r>
        <w:rPr>
          <w:rFonts w:ascii="Arial" w:cs="Arial" w:eastAsia="Arial" w:hAnsi="Arial"/>
          <w:sz w:val="16"/>
          <w:szCs w:val="16"/>
          <w:color w:val="auto"/>
        </w:rPr>
        <w:t>. No failure by any party to insist upon the strict performance of any covenant, duty, agreement or condition of this Agreement or to exercise any right or remedy consequent upon a breach thereof shall constitute waiver of any such breach of any other covenant, duty,</w:t>
      </w:r>
    </w:p>
    <w:p>
      <w:pPr>
        <w:sectPr>
          <w:pgSz w:w="11900" w:h="16975" w:orient="portrait"/>
          <w:cols w:equalWidth="0" w:num="1">
            <w:col w:w="11420"/>
          </w:cols>
          <w:pgMar w:left="240" w:top="125" w:right="239" w:bottom="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agreement or condition.</w:t>
      </w:r>
    </w:p>
    <w:p>
      <w:pPr>
        <w:spacing w:after="0" w:line="225" w:lineRule="exact"/>
        <w:rPr>
          <w:sz w:val="20"/>
          <w:szCs w:val="20"/>
          <w:color w:val="auto"/>
        </w:rPr>
      </w:pPr>
    </w:p>
    <w:p>
      <w:pPr>
        <w:jc w:val="both"/>
        <w:ind w:right="380" w:firstLine="1297"/>
        <w:spacing w:after="0" w:line="264" w:lineRule="auto"/>
        <w:rPr>
          <w:sz w:val="20"/>
          <w:szCs w:val="20"/>
          <w:color w:val="auto"/>
        </w:rPr>
      </w:pPr>
      <w:r>
        <w:rPr>
          <w:rFonts w:ascii="Arial" w:cs="Arial" w:eastAsia="Arial" w:hAnsi="Arial"/>
          <w:sz w:val="18"/>
          <w:szCs w:val="18"/>
          <w:color w:val="auto"/>
        </w:rPr>
        <w:t xml:space="preserve">Section 18.7.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counterparts, all of which together shall constitute an agreement binding on all the parties hereto, notwithstanding that all such parties are not signatories to the original or the same counterpart. Each party shall become bound by this Agreement immediately upon affixing its signature hereto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or, in the case of a Person acquiring a Limited Partner Interest, pursuant to </w:t>
      </w:r>
      <w:r>
        <w:rPr>
          <w:rFonts w:ascii="Arial" w:cs="Arial" w:eastAsia="Arial" w:hAnsi="Arial"/>
          <w:sz w:val="18"/>
          <w:szCs w:val="18"/>
          <w:u w:val="single" w:color="auto"/>
          <w:color w:val="auto"/>
        </w:rPr>
        <w:t>Section 10.2(a)</w:t>
      </w:r>
      <w:r>
        <w:rPr>
          <w:rFonts w:ascii="Arial" w:cs="Arial" w:eastAsia="Arial" w:hAnsi="Arial"/>
          <w:sz w:val="18"/>
          <w:szCs w:val="18"/>
          <w:color w:val="auto"/>
        </w:rPr>
        <w:t>, immediately upon the acquisition of such Limited Partner Interests without execution hereof.</w:t>
      </w:r>
    </w:p>
    <w:p>
      <w:pPr>
        <w:spacing w:after="0" w:line="170" w:lineRule="exact"/>
        <w:rPr>
          <w:sz w:val="20"/>
          <w:szCs w:val="20"/>
          <w:color w:val="auto"/>
        </w:rPr>
      </w:pPr>
    </w:p>
    <w:p>
      <w:pPr>
        <w:ind w:right="660" w:firstLine="1297"/>
        <w:spacing w:after="0" w:line="277" w:lineRule="auto"/>
        <w:rPr>
          <w:sz w:val="20"/>
          <w:szCs w:val="20"/>
          <w:color w:val="auto"/>
        </w:rPr>
      </w:pPr>
      <w:r>
        <w:rPr>
          <w:rFonts w:ascii="Arial" w:cs="Arial" w:eastAsia="Arial" w:hAnsi="Arial"/>
          <w:sz w:val="18"/>
          <w:szCs w:val="18"/>
          <w:color w:val="auto"/>
        </w:rPr>
        <w:t xml:space="preserve">Section 18.8. </w:t>
      </w:r>
      <w:r>
        <w:rPr>
          <w:rFonts w:ascii="Arial" w:cs="Arial" w:eastAsia="Arial" w:hAnsi="Arial"/>
          <w:sz w:val="18"/>
          <w:szCs w:val="18"/>
          <w:i w:val="1"/>
          <w:iCs w:val="1"/>
          <w:color w:val="auto"/>
        </w:rPr>
        <w:t>Applicable Law; Forum, Venue and Jurisdiction</w:t>
      </w:r>
      <w:r>
        <w:rPr>
          <w:rFonts w:ascii="Arial" w:cs="Arial" w:eastAsia="Arial" w:hAnsi="Arial"/>
          <w:sz w:val="18"/>
          <w:szCs w:val="18"/>
          <w:color w:val="auto"/>
        </w:rPr>
        <w:t>. (a) This Agreement shall be construed in accordance with and governed by the laws of The Republic of the Marshall Islands, without regard to the principles of conflicts of law.</w:t>
      </w:r>
    </w:p>
    <w:p>
      <w:pPr>
        <w:spacing w:after="0" w:line="170" w:lineRule="exact"/>
        <w:rPr>
          <w:sz w:val="20"/>
          <w:szCs w:val="20"/>
          <w:color w:val="auto"/>
        </w:rPr>
      </w:pPr>
    </w:p>
    <w:p>
      <w:pPr>
        <w:ind w:right="260" w:firstLine="1305"/>
        <w:spacing w:after="0" w:line="277" w:lineRule="auto"/>
        <w:tabs>
          <w:tab w:leader="none" w:pos="200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Each of the Partners and each Person holding any beneficial interest in the Partnership (whether through a broker, dealer, bank, trust company or clearing corporation or an agent of any of the foregoing or otherwise):</w:t>
      </w:r>
    </w:p>
    <w:p>
      <w:pPr>
        <w:spacing w:after="0" w:line="170" w:lineRule="exact"/>
        <w:rPr>
          <w:sz w:val="20"/>
          <w:szCs w:val="20"/>
          <w:color w:val="auto"/>
        </w:rPr>
      </w:pPr>
    </w:p>
    <w:p>
      <w:pPr>
        <w:ind w:left="660" w:firstLine="645"/>
        <w:spacing w:after="0" w:line="270" w:lineRule="auto"/>
        <w:tabs>
          <w:tab w:leader="none" w:pos="2018" w:val="left"/>
        </w:tabs>
        <w:numPr>
          <w:ilvl w:val="0"/>
          <w:numId w:val="131"/>
        </w:numPr>
        <w:rPr>
          <w:rFonts w:ascii="Arial" w:cs="Arial" w:eastAsia="Arial" w:hAnsi="Arial"/>
          <w:sz w:val="17"/>
          <w:szCs w:val="17"/>
          <w:color w:val="auto"/>
        </w:rPr>
      </w:pPr>
      <w:r>
        <w:rPr>
          <w:rFonts w:ascii="Arial" w:cs="Arial" w:eastAsia="Arial" w:hAnsi="Arial"/>
          <w:sz w:val="17"/>
          <w:szCs w:val="17"/>
          <w:color w:val="auto"/>
        </w:rPr>
        <w:t>irrevocably agrees that any claims, suits, actions or proceedings (A) arising out of or relating in any way to this Agreement (including any claims, suits or actions to interpret, apply or enforce the provisions of this Agreement or the duties, obligations or liabilities among Partners or of Partners to the Partnership, or the rights or powers of, or restrictions on, the Partners or the Partnership), (B) brought in a derivative manner on behalf of the Partnership, (C) asserting a claim of breach of a fiduciary duty owed by any director, officer, or other employee of the Partnership or the General Partner, or owed by the General Partner, to the Partnership or the Partners, (D) asserting a claim arising pursuant to any provision of the Marshall Islands Act or (E) asserting a claim governed by the internal affairs doctrine shall be exclusively brought in the Court of Chancery of the State of Delaware (or, if such court does not have subject matter jurisdiction thereof, any other court located in the State of Delaware with subject matter jurisdiction), unless otherwise provided for by Marshall Islands law, in each case regardless of whether such claims, suits, actions or proceedings sound in contract, tort, fraud or otherwise, are based on common law, statutory, equitable, legal or other grounds, or are derivative or direct claims;</w:t>
      </w:r>
    </w:p>
    <w:p>
      <w:pPr>
        <w:spacing w:after="0" w:line="177" w:lineRule="exact"/>
        <w:rPr>
          <w:rFonts w:ascii="Arial" w:cs="Arial" w:eastAsia="Arial" w:hAnsi="Arial"/>
          <w:sz w:val="17"/>
          <w:szCs w:val="17"/>
          <w:color w:val="auto"/>
        </w:rPr>
      </w:pPr>
    </w:p>
    <w:p>
      <w:pPr>
        <w:jc w:val="both"/>
        <w:ind w:left="660" w:firstLine="645"/>
        <w:spacing w:after="0" w:line="264" w:lineRule="auto"/>
        <w:tabs>
          <w:tab w:leader="none" w:pos="202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irrevocably submits to the exclusive jurisdiction of the Court of Chancery of the State of Delaware (or, if such court does not have subject matter jurisdiction thereof, any other court located in the State of Delaware with subject matter jurisdiction), unless otherwise provided for by Marshall Islands law, in connection with any such claim, suit, action or proceeding;</w:t>
      </w:r>
    </w:p>
    <w:p>
      <w:pPr>
        <w:spacing w:after="0" w:line="181" w:lineRule="exact"/>
        <w:rPr>
          <w:rFonts w:ascii="Arial" w:cs="Arial" w:eastAsia="Arial" w:hAnsi="Arial"/>
          <w:sz w:val="18"/>
          <w:szCs w:val="18"/>
          <w:color w:val="auto"/>
        </w:rPr>
      </w:pPr>
    </w:p>
    <w:p>
      <w:pPr>
        <w:ind w:left="660" w:right="40" w:firstLine="645"/>
        <w:spacing w:after="0" w:line="259" w:lineRule="auto"/>
        <w:tabs>
          <w:tab w:leader="none" w:pos="202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agrees not to, and waives any right to, assert in any such claim, suit, action or proceeding that (A) it is not personally subject to the jurisdiction of the Court of Chancery of the State of Delaware or of any other court to which proceedings in the Court of Chancery of the State of Delaware may be appealed, (B) such claim, suit, action or proceeding is brought in an inconvenient forum, or (C) the venue of such claim, suit, action or proceeding is improper;</w:t>
      </w:r>
    </w:p>
    <w:p>
      <w:pPr>
        <w:spacing w:after="0" w:line="186" w:lineRule="exact"/>
        <w:rPr>
          <w:rFonts w:ascii="Arial" w:cs="Arial" w:eastAsia="Arial" w:hAnsi="Arial"/>
          <w:sz w:val="18"/>
          <w:szCs w:val="18"/>
          <w:color w:val="auto"/>
        </w:rPr>
      </w:pPr>
    </w:p>
    <w:p>
      <w:pPr>
        <w:ind w:left="2020" w:hanging="715"/>
        <w:spacing w:after="0"/>
        <w:tabs>
          <w:tab w:leader="none" w:pos="202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expressly waives any requirement for the posting of a bond by a party bringing such claim, suit, action or proceeding; and</w:t>
      </w:r>
    </w:p>
    <w:p>
      <w:pPr>
        <w:spacing w:after="0" w:line="236" w:lineRule="exact"/>
        <w:rPr>
          <w:rFonts w:ascii="Arial" w:cs="Arial" w:eastAsia="Arial" w:hAnsi="Arial"/>
          <w:sz w:val="17"/>
          <w:szCs w:val="17"/>
          <w:color w:val="auto"/>
        </w:rPr>
      </w:pPr>
    </w:p>
    <w:p>
      <w:pPr>
        <w:ind w:left="660" w:right="120" w:firstLine="645"/>
        <w:spacing w:after="0" w:line="277" w:lineRule="auto"/>
        <w:tabs>
          <w:tab w:leader="none" w:pos="201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consents to process being served in any such claim, suit, action or proceeding by mailing, certified mail, return receipt requested, a copy thereof to such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20"/>
        <w:spacing w:after="0" w:line="342" w:lineRule="auto"/>
        <w:rPr>
          <w:sz w:val="20"/>
          <w:szCs w:val="20"/>
          <w:color w:val="auto"/>
        </w:rPr>
      </w:pPr>
      <w:r>
        <w:rPr>
          <w:rFonts w:ascii="Arial" w:cs="Arial" w:eastAsia="Arial" w:hAnsi="Arial"/>
          <w:sz w:val="16"/>
          <w:szCs w:val="16"/>
          <w:color w:val="auto"/>
        </w:rPr>
        <w:t xml:space="preserve">party at the address in effect for notices hereunder, and agrees that such services shall constitute good and sufficient service of process and notice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nothing in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hereof shall affect or limit any right to serve process in any other manner permitted by law.</w:t>
      </w:r>
    </w:p>
    <w:p>
      <w:pPr>
        <w:spacing w:after="0" w:line="124" w:lineRule="exact"/>
        <w:rPr>
          <w:sz w:val="20"/>
          <w:szCs w:val="20"/>
          <w:color w:val="auto"/>
        </w:rPr>
      </w:pPr>
    </w:p>
    <w:p>
      <w:pPr>
        <w:ind w:right="140" w:firstLine="1297"/>
        <w:spacing w:after="0" w:line="257" w:lineRule="auto"/>
        <w:rPr>
          <w:sz w:val="20"/>
          <w:szCs w:val="20"/>
          <w:color w:val="auto"/>
        </w:rPr>
      </w:pPr>
      <w:r>
        <w:rPr>
          <w:rFonts w:ascii="Arial" w:cs="Arial" w:eastAsia="Arial" w:hAnsi="Arial"/>
          <w:sz w:val="18"/>
          <w:szCs w:val="18"/>
          <w:color w:val="auto"/>
        </w:rPr>
        <w:t xml:space="preserve">Section 18.9. </w:t>
      </w:r>
      <w:r>
        <w:rPr>
          <w:rFonts w:ascii="Arial" w:cs="Arial" w:eastAsia="Arial" w:hAnsi="Arial"/>
          <w:sz w:val="18"/>
          <w:szCs w:val="18"/>
          <w:i w:val="1"/>
          <w:iCs w:val="1"/>
          <w:color w:val="auto"/>
        </w:rPr>
        <w:t>Invalidity of Provisions</w:t>
      </w:r>
      <w:r>
        <w:rPr>
          <w:rFonts w:ascii="Arial" w:cs="Arial" w:eastAsia="Arial" w:hAnsi="Arial"/>
          <w:sz w:val="18"/>
          <w:szCs w:val="18"/>
          <w:color w:val="auto"/>
        </w:rPr>
        <w:t>. If any provision or part of a provision of this Agreement is or becomes for any reason, invalid, illegal or unenforceable in any respect, the validity, legality and enforceability of the remaining provisions and part thereof contained herein shall not be affected thereby and this Agreement shall, to the fullest extent permitted by law, be reformed and construed as if such invalid, illegal or unenforceable provision, or part of a provision, had never been contained herein, and such provision or part reformed so that it would be valid, legal and enforceable to the maximum extent possible.</w:t>
      </w:r>
    </w:p>
    <w:p>
      <w:pPr>
        <w:spacing w:after="0" w:line="188"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 xml:space="preserve">Section 18.10. </w:t>
      </w:r>
      <w:r>
        <w:rPr>
          <w:rFonts w:ascii="Arial" w:cs="Arial" w:eastAsia="Arial" w:hAnsi="Arial"/>
          <w:sz w:val="18"/>
          <w:szCs w:val="18"/>
          <w:i w:val="1"/>
          <w:iCs w:val="1"/>
          <w:color w:val="auto"/>
        </w:rPr>
        <w:t>Consent of Partners</w:t>
      </w:r>
      <w:r>
        <w:rPr>
          <w:rFonts w:ascii="Arial" w:cs="Arial" w:eastAsia="Arial" w:hAnsi="Arial"/>
          <w:sz w:val="18"/>
          <w:szCs w:val="18"/>
          <w:color w:val="auto"/>
        </w:rPr>
        <w:t>. Each Partner hereby expressly consents and agrees that, whenever in this Agreement it is specified that an action may be taken upon the affirmative vote or consent of less than all of the Partners (including any amendment to this Agreement), such action may be so taken upon the concurrence of less than all of the Partners and each Partner shall be bound by the results of such action (including any amendment to this Agreement).</w:t>
      </w:r>
    </w:p>
    <w:p>
      <w:pPr>
        <w:spacing w:after="0" w:line="187"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 xml:space="preserve">Section 18.11. </w:t>
      </w:r>
      <w:r>
        <w:rPr>
          <w:rFonts w:ascii="Arial" w:cs="Arial" w:eastAsia="Arial" w:hAnsi="Arial"/>
          <w:sz w:val="18"/>
          <w:szCs w:val="18"/>
          <w:i w:val="1"/>
          <w:iCs w:val="1"/>
          <w:color w:val="auto"/>
        </w:rPr>
        <w:t>Facsimile Signatures</w:t>
      </w:r>
      <w:r>
        <w:rPr>
          <w:rFonts w:ascii="Arial" w:cs="Arial" w:eastAsia="Arial" w:hAnsi="Arial"/>
          <w:sz w:val="18"/>
          <w:szCs w:val="18"/>
          <w:color w:val="auto"/>
        </w:rPr>
        <w:t>. The use of facsimile signatures affixed in the name and on behalf of the transfer agent and registrar of the Partnership on certificates representing Common Units and Preference Units is expressly permitted by this Agreement.</w:t>
      </w:r>
    </w:p>
    <w:p>
      <w:pPr>
        <w:spacing w:after="0" w:line="170" w:lineRule="exact"/>
        <w:rPr>
          <w:sz w:val="20"/>
          <w:szCs w:val="20"/>
          <w:color w:val="auto"/>
        </w:rPr>
      </w:pPr>
    </w:p>
    <w:p>
      <w:pPr>
        <w:ind w:right="400" w:firstLine="1297"/>
        <w:spacing w:after="0" w:line="342" w:lineRule="auto"/>
        <w:rPr>
          <w:sz w:val="20"/>
          <w:szCs w:val="20"/>
          <w:color w:val="auto"/>
        </w:rPr>
      </w:pPr>
      <w:r>
        <w:rPr>
          <w:rFonts w:ascii="Arial" w:cs="Arial" w:eastAsia="Arial" w:hAnsi="Arial"/>
          <w:sz w:val="16"/>
          <w:szCs w:val="16"/>
          <w:color w:val="auto"/>
        </w:rPr>
        <w:t xml:space="preserve">Section 18.12. </w:t>
      </w:r>
      <w:r>
        <w:rPr>
          <w:rFonts w:ascii="Arial" w:cs="Arial" w:eastAsia="Arial" w:hAnsi="Arial"/>
          <w:sz w:val="16"/>
          <w:szCs w:val="16"/>
          <w:i w:val="1"/>
          <w:iCs w:val="1"/>
          <w:color w:val="auto"/>
        </w:rPr>
        <w:t>Third-Party Beneficiaries</w:t>
      </w:r>
      <w:r>
        <w:rPr>
          <w:rFonts w:ascii="Arial" w:cs="Arial" w:eastAsia="Arial" w:hAnsi="Arial"/>
          <w:sz w:val="16"/>
          <w:szCs w:val="16"/>
          <w:color w:val="auto"/>
        </w:rPr>
        <w:t>. Each Partner agrees that any Indemnitee shall be entitled to assert rights and remedies hereunder as a third party beneficiary hereto with respect to those provisions of this Agreement affording a right, benefit or privilege to such Indemnitee.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680" w:gutter="0" w:footer="0" w:header="0"/>
        </w:sectPr>
      </w:pPr>
    </w:p>
    <w:bookmarkStart w:id="52" w:name="page53"/>
    <w:bookmarkEnd w:id="52"/>
    <w:p>
      <w:pPr>
        <w:ind w:right="120" w:firstLine="1297"/>
        <w:spacing w:after="0" w:line="277" w:lineRule="auto"/>
        <w:rPr>
          <w:sz w:val="20"/>
          <w:szCs w:val="20"/>
          <w:color w:val="auto"/>
        </w:rPr>
      </w:pPr>
      <w:r>
        <w:rPr>
          <w:rFonts w:ascii="Arial" w:cs="Arial" w:eastAsia="Arial" w:hAnsi="Arial"/>
          <w:sz w:val="18"/>
          <w:szCs w:val="18"/>
          <w:color w:val="auto"/>
        </w:rPr>
        <w:t>IN WITNESS WHEREOF, the parties hereto have executed this Third Amended and Restated Agreement of Limited Partnership as a Deed as of the date first written above.</w:t>
      </w:r>
    </w:p>
    <w:p>
      <w:pPr>
        <w:spacing w:after="0" w:line="166"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GENERAL PARTNER:</w:t>
      </w:r>
    </w:p>
    <w:p>
      <w:pPr>
        <w:spacing w:after="0" w:line="22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GasLog Partners GP LLC</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By: GasLog Ltd.,</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5320"/>
        <w:spacing w:after="0"/>
        <w:tabs>
          <w:tab w:leader="none" w:pos="5800" w:val="left"/>
        </w:tabs>
        <w:rPr>
          <w:sz w:val="20"/>
          <w:szCs w:val="20"/>
          <w:color w:val="auto"/>
        </w:rPr>
      </w:pPr>
      <w:r>
        <w:rPr>
          <w:rFonts w:ascii="Arial" w:cs="Arial" w:eastAsia="Arial" w:hAnsi="Arial"/>
          <w:sz w:val="18"/>
          <w:szCs w:val="18"/>
          <w:color w:val="auto"/>
        </w:rPr>
        <w:t>By:</w:t>
        <w:tab/>
        <w:t>/s/ Paul Wogan</w:t>
      </w:r>
    </w:p>
    <w:p>
      <w:pPr>
        <w:spacing w:after="0" w:line="23" w:lineRule="exact"/>
        <w:rPr>
          <w:sz w:val="20"/>
          <w:szCs w:val="20"/>
          <w:color w:val="auto"/>
        </w:rPr>
      </w:pPr>
    </w:p>
    <w:tbl>
      <w:tblPr>
        <w:tblLayout w:type="fixed"/>
        <w:tblInd w:w="582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98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Paul Wogan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98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14"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LIMITED PARTNERS:</w:t>
      </w:r>
    </w:p>
    <w:p>
      <w:pPr>
        <w:spacing w:after="0" w:line="229" w:lineRule="exact"/>
        <w:rPr>
          <w:sz w:val="20"/>
          <w:szCs w:val="20"/>
          <w:color w:val="auto"/>
        </w:rPr>
      </w:pPr>
    </w:p>
    <w:p>
      <w:pPr>
        <w:ind w:left="5320" w:right="380"/>
        <w:spacing w:after="0" w:line="259" w:lineRule="auto"/>
        <w:rPr>
          <w:sz w:val="20"/>
          <w:szCs w:val="20"/>
          <w:color w:val="auto"/>
        </w:rPr>
      </w:pPr>
      <w:r>
        <w:rPr>
          <w:rFonts w:ascii="Arial" w:cs="Arial" w:eastAsia="Arial" w:hAnsi="Arial"/>
          <w:sz w:val="18"/>
          <w:szCs w:val="18"/>
          <w:color w:val="auto"/>
        </w:rPr>
        <w:t>All Limited Partners now and hereafter admitted as Limited Partners of the Partnership, pursuant to authority now and hereafter executed in favor of, and granted and delivered to, the Board of Directors pursuant to Section 13.1 of this Partnership Agreement.</w:t>
      </w:r>
    </w:p>
    <w:p>
      <w:pPr>
        <w:spacing w:after="0" w:line="187" w:lineRule="exact"/>
        <w:rPr>
          <w:sz w:val="20"/>
          <w:szCs w:val="20"/>
          <w:color w:val="auto"/>
        </w:rPr>
      </w:pPr>
    </w:p>
    <w:p>
      <w:pPr>
        <w:ind w:left="5320"/>
        <w:spacing w:after="0"/>
        <w:tabs>
          <w:tab w:leader="none" w:pos="5780" w:val="left"/>
        </w:tabs>
        <w:rPr>
          <w:sz w:val="20"/>
          <w:szCs w:val="20"/>
          <w:color w:val="auto"/>
        </w:rPr>
      </w:pPr>
      <w:r>
        <w:rPr>
          <w:rFonts w:ascii="Arial" w:cs="Arial" w:eastAsia="Arial" w:hAnsi="Arial"/>
          <w:sz w:val="18"/>
          <w:szCs w:val="18"/>
          <w:color w:val="auto"/>
        </w:rPr>
        <w:t>By:</w:t>
        <w:tab/>
        <w:t>/s/ Andrew J. Orekar</w:t>
      </w:r>
    </w:p>
    <w:p>
      <w:pPr>
        <w:spacing w:after="0" w:line="23" w:lineRule="exact"/>
        <w:rPr>
          <w:sz w:val="20"/>
          <w:szCs w:val="20"/>
          <w:color w:val="auto"/>
        </w:rPr>
      </w:pPr>
    </w:p>
    <w:tbl>
      <w:tblPr>
        <w:tblLayout w:type="fixed"/>
        <w:tblInd w:w="580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50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Andrew J. Orekar</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ind w:left="140"/>
              <w:spacing w:after="0"/>
              <w:rPr>
                <w:sz w:val="20"/>
                <w:szCs w:val="20"/>
                <w:color w:val="auto"/>
              </w:rPr>
            </w:pPr>
            <w:r>
              <w:rPr>
                <w:rFonts w:ascii="Arial" w:cs="Arial" w:eastAsia="Arial" w:hAnsi="Arial"/>
                <w:sz w:val="18"/>
                <w:szCs w:val="18"/>
                <w:color w:val="auto"/>
              </w:rPr>
              <w:t>Chief Executive Officer and Director</w:t>
            </w:r>
          </w:p>
        </w:tc>
      </w:tr>
    </w:tbl>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THIRD AMENDED AND RESTATED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AGREEMENT OF LIMITED PARTNERSHIP</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to the Third Amended and Restated</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Agreement of Limited Partnership of</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GASLOG PARTNERS LP</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Certificate Evidencing Common Units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Representing Limited Partner Interests in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GASLOG PARTNERS LP</w:t>
      </w:r>
    </w:p>
    <w:p>
      <w:pPr>
        <w:spacing w:after="0" w:line="211" w:lineRule="exact"/>
        <w:rPr>
          <w:sz w:val="20"/>
          <w:szCs w:val="20"/>
          <w:color w:val="auto"/>
        </w:rPr>
      </w:pPr>
    </w:p>
    <w:p>
      <w:pPr>
        <w:spacing w:after="0"/>
        <w:tabs>
          <w:tab w:leader="none" w:pos="10300" w:val="left"/>
        </w:tabs>
        <w:rPr>
          <w:sz w:val="20"/>
          <w:szCs w:val="20"/>
          <w:color w:val="auto"/>
        </w:rPr>
      </w:pPr>
      <w:r>
        <w:rPr>
          <w:rFonts w:ascii="Arial" w:cs="Arial" w:eastAsia="Arial" w:hAnsi="Arial"/>
          <w:sz w:val="17"/>
          <w:szCs w:val="17"/>
          <w:color w:val="auto"/>
        </w:rPr>
        <w:t>No.</w:t>
      </w:r>
      <w:r>
        <w:rPr>
          <w:sz w:val="20"/>
          <w:szCs w:val="20"/>
          <w:color w:val="auto"/>
        </w:rPr>
        <w:tab/>
      </w:r>
      <w:r>
        <w:rPr>
          <w:rFonts w:ascii="Arial" w:cs="Arial" w:eastAsia="Arial" w:hAnsi="Arial"/>
          <w:sz w:val="17"/>
          <w:szCs w:val="17"/>
          <w:color w:val="auto"/>
        </w:rPr>
        <w:t>Common Units</w:t>
      </w:r>
    </w:p>
    <w:p>
      <w:pPr>
        <w:spacing w:after="0" w:line="237" w:lineRule="exact"/>
        <w:rPr>
          <w:sz w:val="20"/>
          <w:szCs w:val="20"/>
          <w:color w:val="auto"/>
        </w:rPr>
      </w:pPr>
    </w:p>
    <w:p>
      <w:pPr>
        <w:jc w:val="both"/>
        <w:ind w:right="140" w:firstLine="1297"/>
        <w:spacing w:after="0" w:line="291" w:lineRule="auto"/>
        <w:rPr>
          <w:sz w:val="20"/>
          <w:szCs w:val="20"/>
          <w:color w:val="auto"/>
        </w:rPr>
      </w:pPr>
      <w:r>
        <w:rPr>
          <w:rFonts w:ascii="Arial" w:cs="Arial" w:eastAsia="Arial" w:hAnsi="Arial"/>
          <w:sz w:val="16"/>
          <w:szCs w:val="16"/>
          <w:color w:val="auto"/>
        </w:rPr>
        <w:t>In accordance with Section 4.1 of the Third Amended and Restated Agreement of Limited Partnership of GasLog Partners LP, as amended, supplemented or restated from time to time (the “</w:t>
      </w:r>
      <w:r>
        <w:rPr>
          <w:rFonts w:ascii="Arial" w:cs="Arial" w:eastAsia="Arial" w:hAnsi="Arial"/>
          <w:sz w:val="16"/>
          <w:szCs w:val="16"/>
          <w:b w:val="1"/>
          <w:bCs w:val="1"/>
          <w:i w:val="1"/>
          <w:iCs w:val="1"/>
          <w:color w:val="auto"/>
        </w:rPr>
        <w:t>Partnership Agreement</w:t>
      </w:r>
      <w:r>
        <w:rPr>
          <w:rFonts w:ascii="Arial" w:cs="Arial" w:eastAsia="Arial" w:hAnsi="Arial"/>
          <w:sz w:val="16"/>
          <w:szCs w:val="16"/>
          <w:color w:val="auto"/>
        </w:rPr>
        <w:t>”), GasLog Partners LP, a Marshall Islands limited partnership (the “</w:t>
      </w:r>
      <w:r>
        <w:rPr>
          <w:rFonts w:ascii="Arial" w:cs="Arial" w:eastAsia="Arial" w:hAnsi="Arial"/>
          <w:sz w:val="16"/>
          <w:szCs w:val="16"/>
          <w:b w:val="1"/>
          <w:bCs w:val="1"/>
          <w:i w:val="1"/>
          <w:iCs w:val="1"/>
          <w:color w:val="auto"/>
        </w:rPr>
        <w:t>Partnership</w:t>
      </w:r>
      <w:r>
        <w:rPr>
          <w:rFonts w:ascii="Arial" w:cs="Arial" w:eastAsia="Arial" w:hAnsi="Arial"/>
          <w:sz w:val="16"/>
          <w:szCs w:val="16"/>
          <w:color w:val="auto"/>
        </w:rPr>
        <w:t>”),</w:t>
      </w:r>
    </w:p>
    <w:p>
      <w:pPr>
        <w:ind w:right="240"/>
        <w:spacing w:after="0" w:line="252" w:lineRule="auto"/>
        <w:rPr>
          <w:sz w:val="20"/>
          <w:szCs w:val="20"/>
          <w:color w:val="auto"/>
        </w:rPr>
      </w:pPr>
      <w:r>
        <w:rPr>
          <w:rFonts w:ascii="Arial" w:cs="Arial" w:eastAsia="Arial" w:hAnsi="Arial"/>
          <w:sz w:val="18"/>
          <w:szCs w:val="18"/>
          <w:color w:val="auto"/>
        </w:rPr>
        <w:t>hereby certifies that (the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is the registered owner of the above designated number of Common Units representing limited partner interests in the Partnership (the “</w:t>
      </w:r>
      <w:r>
        <w:rPr>
          <w:rFonts w:ascii="Arial" w:cs="Arial" w:eastAsia="Arial" w:hAnsi="Arial"/>
          <w:sz w:val="18"/>
          <w:szCs w:val="18"/>
          <w:b w:val="1"/>
          <w:bCs w:val="1"/>
          <w:i w:val="1"/>
          <w:iCs w:val="1"/>
          <w:color w:val="auto"/>
        </w:rPr>
        <w:t>Common Units</w:t>
      </w:r>
      <w:r>
        <w:rPr>
          <w:rFonts w:ascii="Arial" w:cs="Arial" w:eastAsia="Arial" w:hAnsi="Arial"/>
          <w:sz w:val="18"/>
          <w:szCs w:val="18"/>
          <w:color w:val="auto"/>
        </w:rPr>
        <w:t>”) transferable on the books of the Partnership, in person or by duly authorized attorney, upon surrender of this Certificate properly endorsed. The rights, preferences and limitations of the Common Units are set forth in, and this Certificate and the Common Units represented hereby are issued and shall in all respects be subject to the terms and provisions of, the Partnership Agreement. Copies of the Partnership Agreement are on file at, and will be furnished without charge on delivery of written request to the Partnership at, the principal office of the Partnership located at Gildo Pastor Center, 7 Rue du Gabian, MC 98000, Monaco. Capitalized terms used herein but not defined shall have the meanings given them in the Partnership Agreement.</w:t>
      </w:r>
    </w:p>
    <w:p>
      <w:pPr>
        <w:spacing w:after="0" w:line="193"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The Holder, by accepting this Certificate, is deemed to have (a) requested admission as, and agreed to become, a Limited Partner and to have agreed to comply with and be bound by and to have executed the Partnership Agreement, (b) represented and warranted that the Holder has all right, power and authority and, if an individual, the capacity necessary to enter into the Partnership Agreement and (c) made the waivers and given the consents and approvals contained in the Partnership Agreement.</w:t>
      </w:r>
    </w:p>
    <w:p>
      <w:pPr>
        <w:spacing w:after="0" w:line="187"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This Certificate shall not be valid for any purpose unless it has been countersigned and registered by the Transfer Agent and Registrar. This Certificate shall be governed by and construed in accordance with the laws of the Marshall Islands.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gridSpan w:val="3"/>
          </w:tcPr>
          <w:p>
            <w:pPr>
              <w:spacing w:after="0"/>
              <w:rPr>
                <w:sz w:val="20"/>
                <w:szCs w:val="20"/>
                <w:color w:val="auto"/>
              </w:rPr>
            </w:pPr>
            <w:r>
              <w:rPr>
                <w:rFonts w:ascii="Arial" w:cs="Arial" w:eastAsia="Arial" w:hAnsi="Arial"/>
                <w:sz w:val="18"/>
                <w:szCs w:val="18"/>
                <w:color w:val="auto"/>
              </w:rPr>
              <w:t>Dated:</w:t>
            </w:r>
          </w:p>
        </w:tc>
        <w:tc>
          <w:tcPr>
            <w:tcW w:w="1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4020" w:type="dxa"/>
            <w:vAlign w:val="bottom"/>
            <w:gridSpan w:val="3"/>
          </w:tcPr>
          <w:p>
            <w:pPr>
              <w:spacing w:after="0"/>
              <w:rPr>
                <w:sz w:val="20"/>
                <w:szCs w:val="20"/>
                <w:color w:val="auto"/>
              </w:rPr>
            </w:pPr>
            <w:r>
              <w:rPr>
                <w:rFonts w:ascii="Arial" w:cs="Arial" w:eastAsia="Arial" w:hAnsi="Arial"/>
                <w:sz w:val="18"/>
                <w:szCs w:val="18"/>
                <w:color w:val="auto"/>
              </w:rPr>
              <w:t>Countersigned and Registered by:</w:t>
            </w:r>
          </w:p>
        </w:tc>
        <w:tc>
          <w:tcPr>
            <w:tcW w:w="1600" w:type="dxa"/>
            <w:vAlign w:val="bottom"/>
          </w:tcPr>
          <w:p>
            <w:pPr>
              <w:spacing w:after="0"/>
              <w:rPr>
                <w:sz w:val="24"/>
                <w:szCs w:val="24"/>
                <w:color w:val="auto"/>
              </w:rPr>
            </w:pPr>
          </w:p>
        </w:tc>
        <w:tc>
          <w:tcPr>
            <w:tcW w:w="5800" w:type="dxa"/>
            <w:vAlign w:val="bottom"/>
            <w:gridSpan w:val="2"/>
          </w:tcPr>
          <w:p>
            <w:pPr>
              <w:ind w:left="380"/>
              <w:spacing w:after="0"/>
              <w:rPr>
                <w:sz w:val="20"/>
                <w:szCs w:val="20"/>
                <w:color w:val="auto"/>
              </w:rPr>
            </w:pPr>
            <w:r>
              <w:rPr>
                <w:rFonts w:ascii="Arial" w:cs="Arial" w:eastAsia="Arial" w:hAnsi="Arial"/>
                <w:sz w:val="18"/>
                <w:szCs w:val="18"/>
                <w:color w:val="auto"/>
              </w:rPr>
              <w:t>GASLOG PARTNERS LP</w:t>
            </w:r>
          </w:p>
        </w:tc>
        <w:tc>
          <w:tcPr>
            <w:tcW w:w="40" w:type="dxa"/>
            <w:vAlign w:val="bottom"/>
          </w:tcPr>
          <w:p>
            <w:pPr>
              <w:spacing w:after="0"/>
              <w:rPr>
                <w:sz w:val="24"/>
                <w:szCs w:val="24"/>
                <w:color w:val="auto"/>
              </w:rPr>
            </w:pPr>
          </w:p>
        </w:tc>
      </w:tr>
      <w:tr>
        <w:trPr>
          <w:trHeight w:val="64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800" w:type="dxa"/>
            <w:vAlign w:val="bottom"/>
            <w:gridSpan w:val="2"/>
          </w:tcPr>
          <w:p>
            <w:pPr>
              <w:ind w:left="38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40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as Transfer Agent and Registrar</w:t>
            </w:r>
          </w:p>
        </w:tc>
        <w:tc>
          <w:tcPr>
            <w:tcW w:w="1600" w:type="dxa"/>
            <w:vAlign w:val="bottom"/>
            <w:tcBorders>
              <w:top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4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19"/>
                <w:szCs w:val="19"/>
                <w:color w:val="auto"/>
              </w:rPr>
            </w:pPr>
          </w:p>
        </w:tc>
      </w:tr>
      <w:tr>
        <w:trPr>
          <w:trHeight w:val="418"/>
        </w:trPr>
        <w:tc>
          <w:tcPr>
            <w:tcW w:w="4020" w:type="dxa"/>
            <w:vAlign w:val="bottom"/>
            <w:gridSpan w:val="3"/>
          </w:tcPr>
          <w:p>
            <w:pPr>
              <w:spacing w:after="0"/>
              <w:rPr>
                <w:sz w:val="20"/>
                <w:szCs w:val="20"/>
                <w:color w:val="auto"/>
              </w:rPr>
            </w:pPr>
            <w:r>
              <w:rPr>
                <w:rFonts w:ascii="Arial" w:cs="Arial" w:eastAsia="Arial" w:hAnsi="Arial"/>
                <w:sz w:val="18"/>
                <w:szCs w:val="18"/>
                <w:color w:val="auto"/>
              </w:rPr>
              <w:t>By:</w:t>
            </w:r>
          </w:p>
        </w:tc>
        <w:tc>
          <w:tcPr>
            <w:tcW w:w="1600" w:type="dxa"/>
            <w:vAlign w:val="bottom"/>
          </w:tcPr>
          <w:p>
            <w:pPr>
              <w:spacing w:after="0"/>
              <w:rPr>
                <w:sz w:val="24"/>
                <w:szCs w:val="24"/>
                <w:color w:val="auto"/>
              </w:rPr>
            </w:pPr>
          </w:p>
        </w:tc>
        <w:tc>
          <w:tcPr>
            <w:tcW w:w="5800" w:type="dxa"/>
            <w:vAlign w:val="bottom"/>
            <w:gridSpan w:val="2"/>
          </w:tcPr>
          <w:p>
            <w:pPr>
              <w:ind w:left="38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Authorized Signature</w:t>
            </w:r>
          </w:p>
        </w:tc>
        <w:tc>
          <w:tcPr>
            <w:tcW w:w="1600" w:type="dxa"/>
            <w:vAlign w:val="bottom"/>
            <w:tcBorders>
              <w:top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4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Secretary</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7400" w:type="dxa"/>
            <w:vAlign w:val="bottom"/>
            <w:gridSpan w:val="3"/>
          </w:tcPr>
          <w:p>
            <w:pPr>
              <w:ind w:left="1560"/>
              <w:spacing w:after="0"/>
              <w:rPr>
                <w:sz w:val="20"/>
                <w:szCs w:val="20"/>
                <w:color w:val="auto"/>
              </w:rPr>
            </w:pPr>
            <w:r>
              <w:rPr>
                <w:rFonts w:ascii="Arial" w:cs="Arial" w:eastAsia="Arial" w:hAnsi="Arial"/>
                <w:sz w:val="18"/>
                <w:szCs w:val="18"/>
                <w:color w:val="auto"/>
              </w:rPr>
              <w:t>A-1</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352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4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[Reverse of Certificate]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ABBREVIATIONS</w:t>
      </w:r>
    </w:p>
    <w:p>
      <w:pPr>
        <w:spacing w:after="0" w:line="211" w:lineRule="exact"/>
        <w:rPr>
          <w:sz w:val="20"/>
          <w:szCs w:val="20"/>
          <w:color w:val="auto"/>
        </w:rPr>
      </w:pPr>
    </w:p>
    <w:p>
      <w:pPr>
        <w:ind w:right="700" w:firstLine="1297"/>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follows according to applicable laws or regulations: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TEN COM</w:t>
            </w:r>
          </w:p>
        </w:tc>
        <w:tc>
          <w:tcPr>
            <w:tcW w:w="600" w:type="dxa"/>
            <w:vAlign w:val="bottom"/>
          </w:tcPr>
          <w:p>
            <w:pPr>
              <w:ind w:left="220"/>
              <w:spacing w:after="0"/>
              <w:rPr>
                <w:sz w:val="20"/>
                <w:szCs w:val="20"/>
                <w:color w:val="auto"/>
              </w:rPr>
            </w:pPr>
            <w:r>
              <w:rPr>
                <w:rFonts w:ascii="Arial" w:cs="Arial" w:eastAsia="Arial" w:hAnsi="Arial"/>
                <w:sz w:val="18"/>
                <w:szCs w:val="18"/>
                <w:color w:val="auto"/>
              </w:rPr>
              <w:t>—</w:t>
            </w:r>
          </w:p>
        </w:tc>
        <w:tc>
          <w:tcPr>
            <w:tcW w:w="4800" w:type="dxa"/>
            <w:vAlign w:val="bottom"/>
          </w:tcPr>
          <w:p>
            <w:pPr>
              <w:ind w:left="180"/>
              <w:spacing w:after="0"/>
              <w:rPr>
                <w:sz w:val="20"/>
                <w:szCs w:val="20"/>
                <w:color w:val="auto"/>
              </w:rPr>
            </w:pPr>
            <w:r>
              <w:rPr>
                <w:rFonts w:ascii="Arial" w:cs="Arial" w:eastAsia="Arial" w:hAnsi="Arial"/>
                <w:sz w:val="18"/>
                <w:szCs w:val="18"/>
                <w:color w:val="auto"/>
              </w:rPr>
              <w:t>as tenants in common</w:t>
            </w:r>
          </w:p>
        </w:tc>
        <w:tc>
          <w:tcPr>
            <w:tcW w:w="4260" w:type="dxa"/>
            <w:vAlign w:val="bottom"/>
            <w:gridSpan w:val="5"/>
          </w:tcPr>
          <w:p>
            <w:pPr>
              <w:ind w:left="140"/>
              <w:spacing w:after="0"/>
              <w:rPr>
                <w:sz w:val="20"/>
                <w:szCs w:val="20"/>
                <w:color w:val="auto"/>
              </w:rPr>
            </w:pPr>
            <w:r>
              <w:rPr>
                <w:rFonts w:ascii="Arial" w:cs="Arial" w:eastAsia="Arial" w:hAnsi="Arial"/>
                <w:sz w:val="18"/>
                <w:szCs w:val="18"/>
                <w:color w:val="auto"/>
              </w:rPr>
              <w:t>UNIF GIFT/TRANSFERS MIN ACT</w:t>
            </w:r>
          </w:p>
        </w:tc>
        <w:tc>
          <w:tcPr>
            <w:tcW w:w="0" w:type="dxa"/>
            <w:vAlign w:val="bottom"/>
          </w:tcPr>
          <w:p>
            <w:pPr>
              <w:spacing w:after="0"/>
              <w:rPr>
                <w:sz w:val="1"/>
                <w:szCs w:val="1"/>
                <w:color w:val="auto"/>
              </w:rPr>
            </w:pPr>
          </w:p>
        </w:tc>
      </w:tr>
      <w:tr>
        <w:trPr>
          <w:trHeight w:val="190"/>
        </w:trPr>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740" w:type="dxa"/>
            <w:vAlign w:val="bottom"/>
          </w:tcPr>
          <w:p>
            <w:pPr>
              <w:spacing w:after="0" w:line="190" w:lineRule="exact"/>
              <w:rPr>
                <w:sz w:val="20"/>
                <w:szCs w:val="20"/>
                <w:color w:val="auto"/>
              </w:rPr>
            </w:pPr>
            <w:r>
              <w:rPr>
                <w:rFonts w:ascii="Arial" w:cs="Arial" w:eastAsia="Arial" w:hAnsi="Arial"/>
                <w:sz w:val="18"/>
                <w:szCs w:val="18"/>
                <w:color w:val="auto"/>
                <w:w w:val="88"/>
              </w:rPr>
              <w:t>Custodian</w:t>
            </w:r>
          </w:p>
        </w:tc>
        <w:tc>
          <w:tcPr>
            <w:tcW w:w="1160" w:type="dxa"/>
            <w:vAlign w:val="bottom"/>
            <w:tcBorders>
              <w:bottom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020" w:type="dxa"/>
            <w:vAlign w:val="bottom"/>
            <w:vMerge w:val="restart"/>
          </w:tcPr>
          <w:p>
            <w:pPr>
              <w:spacing w:after="0"/>
              <w:rPr>
                <w:sz w:val="20"/>
                <w:szCs w:val="20"/>
                <w:color w:val="auto"/>
              </w:rPr>
            </w:pPr>
            <w:r>
              <w:rPr>
                <w:rFonts w:ascii="Arial" w:cs="Arial" w:eastAsia="Arial" w:hAnsi="Arial"/>
                <w:sz w:val="18"/>
                <w:szCs w:val="18"/>
                <w:color w:val="auto"/>
              </w:rPr>
              <w:t>TEN ENT</w:t>
            </w:r>
          </w:p>
        </w:tc>
        <w:tc>
          <w:tcPr>
            <w:tcW w:w="600" w:type="dxa"/>
            <w:vAlign w:val="bottom"/>
            <w:vMerge w:val="restart"/>
          </w:tcPr>
          <w:p>
            <w:pPr>
              <w:ind w:left="220"/>
              <w:spacing w:after="0"/>
              <w:rPr>
                <w:sz w:val="20"/>
                <w:szCs w:val="20"/>
                <w:color w:val="auto"/>
              </w:rPr>
            </w:pPr>
            <w:r>
              <w:rPr>
                <w:rFonts w:ascii="Arial" w:cs="Arial" w:eastAsia="Arial" w:hAnsi="Arial"/>
                <w:sz w:val="18"/>
                <w:szCs w:val="18"/>
                <w:color w:val="auto"/>
              </w:rPr>
              <w:t>—</w:t>
            </w:r>
          </w:p>
        </w:tc>
        <w:tc>
          <w:tcPr>
            <w:tcW w:w="4800" w:type="dxa"/>
            <w:vAlign w:val="bottom"/>
            <w:vMerge w:val="restart"/>
          </w:tcPr>
          <w:p>
            <w:pPr>
              <w:ind w:left="180"/>
              <w:spacing w:after="0"/>
              <w:rPr>
                <w:sz w:val="20"/>
                <w:szCs w:val="20"/>
                <w:color w:val="auto"/>
              </w:rPr>
            </w:pPr>
            <w:r>
              <w:rPr>
                <w:rFonts w:ascii="Arial" w:cs="Arial" w:eastAsia="Arial" w:hAnsi="Arial"/>
                <w:sz w:val="18"/>
                <w:szCs w:val="18"/>
                <w:color w:val="auto"/>
              </w:rPr>
              <w:t>as tenants by the entireties</w:t>
            </w:r>
          </w:p>
        </w:tc>
        <w:tc>
          <w:tcPr>
            <w:tcW w:w="4260" w:type="dxa"/>
            <w:vAlign w:val="bottom"/>
            <w:gridSpan w:val="5"/>
          </w:tcPr>
          <w:p>
            <w:pPr>
              <w:ind w:left="140"/>
              <w:spacing w:after="0"/>
              <w:rPr>
                <w:sz w:val="20"/>
                <w:szCs w:val="20"/>
                <w:color w:val="auto"/>
              </w:rPr>
            </w:pPr>
            <w:r>
              <w:rPr>
                <w:rFonts w:ascii="Arial" w:cs="Arial" w:eastAsia="Arial" w:hAnsi="Arial"/>
                <w:sz w:val="18"/>
                <w:szCs w:val="18"/>
                <w:color w:val="auto"/>
              </w:rPr>
              <w:t>(Cust) (Minor)</w:t>
            </w:r>
          </w:p>
        </w:tc>
        <w:tc>
          <w:tcPr>
            <w:tcW w:w="0" w:type="dxa"/>
            <w:vAlign w:val="bottom"/>
          </w:tcPr>
          <w:p>
            <w:pPr>
              <w:spacing w:after="0"/>
              <w:rPr>
                <w:sz w:val="1"/>
                <w:szCs w:val="1"/>
                <w:color w:val="auto"/>
              </w:rPr>
            </w:pPr>
          </w:p>
        </w:tc>
      </w:tr>
      <w:tr>
        <w:trPr>
          <w:trHeight w:val="202"/>
        </w:trPr>
        <w:tc>
          <w:tcPr>
            <w:tcW w:w="102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48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JT TEN</w:t>
            </w:r>
          </w:p>
        </w:tc>
        <w:tc>
          <w:tcPr>
            <w:tcW w:w="600" w:type="dxa"/>
            <w:vAlign w:val="bottom"/>
          </w:tcPr>
          <w:p>
            <w:pPr>
              <w:ind w:left="220"/>
              <w:spacing w:after="0"/>
              <w:rPr>
                <w:sz w:val="20"/>
                <w:szCs w:val="20"/>
                <w:color w:val="auto"/>
              </w:rPr>
            </w:pPr>
            <w:r>
              <w:rPr>
                <w:rFonts w:ascii="Arial" w:cs="Arial" w:eastAsia="Arial" w:hAnsi="Arial"/>
                <w:sz w:val="18"/>
                <w:szCs w:val="18"/>
                <w:color w:val="auto"/>
              </w:rPr>
              <w:t>—</w:t>
            </w:r>
          </w:p>
        </w:tc>
        <w:tc>
          <w:tcPr>
            <w:tcW w:w="4800" w:type="dxa"/>
            <w:vAlign w:val="bottom"/>
          </w:tcPr>
          <w:p>
            <w:pPr>
              <w:ind w:left="180"/>
              <w:spacing w:after="0"/>
              <w:rPr>
                <w:sz w:val="20"/>
                <w:szCs w:val="20"/>
                <w:color w:val="auto"/>
              </w:rPr>
            </w:pPr>
            <w:r>
              <w:rPr>
                <w:rFonts w:ascii="Arial" w:cs="Arial" w:eastAsia="Arial" w:hAnsi="Arial"/>
                <w:sz w:val="18"/>
                <w:szCs w:val="18"/>
                <w:color w:val="auto"/>
                <w:w w:val="93"/>
              </w:rPr>
              <w:t>as joint tenants with right of survivorship and not as tenants in</w:t>
            </w:r>
          </w:p>
        </w:tc>
        <w:tc>
          <w:tcPr>
            <w:tcW w:w="4260" w:type="dxa"/>
            <w:vAlign w:val="bottom"/>
            <w:gridSpan w:val="5"/>
          </w:tcPr>
          <w:p>
            <w:pPr>
              <w:ind w:left="140"/>
              <w:spacing w:after="0"/>
              <w:rPr>
                <w:sz w:val="20"/>
                <w:szCs w:val="20"/>
                <w:color w:val="auto"/>
              </w:rPr>
            </w:pPr>
            <w:r>
              <w:rPr>
                <w:rFonts w:ascii="Arial" w:cs="Arial" w:eastAsia="Arial" w:hAnsi="Arial"/>
                <w:sz w:val="18"/>
                <w:szCs w:val="18"/>
                <w:color w:val="auto"/>
                <w:w w:val="92"/>
              </w:rPr>
              <w:t>under Uniform Gifts /Transfers to CD Minors Act (State)</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common</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Additional abbreviations, though not in the above list, may also be used.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60" w:type="dxa"/>
            <w:vAlign w:val="bottom"/>
            <w:gridSpan w:val="3"/>
          </w:tcPr>
          <w:p>
            <w:pPr>
              <w:jc w:val="center"/>
              <w:ind w:right="4070"/>
              <w:spacing w:after="0"/>
              <w:rPr>
                <w:sz w:val="20"/>
                <w:szCs w:val="20"/>
                <w:color w:val="auto"/>
              </w:rPr>
            </w:pPr>
            <w:r>
              <w:rPr>
                <w:rFonts w:ascii="Arial" w:cs="Arial" w:eastAsia="Arial" w:hAnsi="Arial"/>
                <w:sz w:val="18"/>
                <w:szCs w:val="18"/>
                <w:b w:val="1"/>
                <w:bCs w:val="1"/>
                <w:color w:val="auto"/>
              </w:rPr>
              <w:t>ASSIGNMENT OF COMMON UNITS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0" w:type="dxa"/>
            <w:vAlign w:val="bottom"/>
            <w:gridSpan w:val="2"/>
          </w:tcPr>
          <w:p>
            <w:pPr>
              <w:jc w:val="center"/>
              <w:ind w:right="5530"/>
              <w:spacing w:after="0"/>
              <w:rPr>
                <w:sz w:val="20"/>
                <w:szCs w:val="20"/>
                <w:color w:val="auto"/>
              </w:rPr>
            </w:pPr>
            <w:r>
              <w:rPr>
                <w:rFonts w:ascii="Arial" w:cs="Arial" w:eastAsia="Arial" w:hAnsi="Arial"/>
                <w:sz w:val="18"/>
                <w:szCs w:val="18"/>
                <w:b w:val="1"/>
                <w:bCs w:val="1"/>
                <w:color w:val="auto"/>
                <w:w w:val="87"/>
              </w:rPr>
              <w:t>in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60" w:type="dxa"/>
            <w:vAlign w:val="bottom"/>
            <w:gridSpan w:val="3"/>
          </w:tcPr>
          <w:p>
            <w:pPr>
              <w:jc w:val="center"/>
              <w:ind w:right="4050"/>
              <w:spacing w:after="0"/>
              <w:rPr>
                <w:sz w:val="20"/>
                <w:szCs w:val="20"/>
                <w:color w:val="auto"/>
              </w:rPr>
            </w:pPr>
            <w:r>
              <w:rPr>
                <w:rFonts w:ascii="Arial" w:cs="Arial" w:eastAsia="Arial" w:hAnsi="Arial"/>
                <w:sz w:val="18"/>
                <w:szCs w:val="18"/>
                <w:b w:val="1"/>
                <w:bCs w:val="1"/>
                <w:color w:val="auto"/>
                <w:w w:val="97"/>
              </w:rPr>
              <w:t>GASLOG PARTNERS LP</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120" w:type="dxa"/>
            <w:vAlign w:val="bottom"/>
          </w:tcPr>
          <w:p>
            <w:pPr>
              <w:ind w:left="640"/>
              <w:spacing w:after="0"/>
              <w:rPr>
                <w:sz w:val="20"/>
                <w:szCs w:val="20"/>
                <w:color w:val="auto"/>
              </w:rPr>
            </w:pPr>
            <w:r>
              <w:rPr>
                <w:rFonts w:ascii="Arial" w:cs="Arial" w:eastAsia="Arial" w:hAnsi="Arial"/>
                <w:sz w:val="18"/>
                <w:szCs w:val="18"/>
                <w:color w:val="auto"/>
              </w:rPr>
              <w:t>FOR VALUE RECEIVED,</w:t>
            </w:r>
          </w:p>
        </w:tc>
        <w:tc>
          <w:tcPr>
            <w:tcW w:w="8280" w:type="dxa"/>
            <w:vAlign w:val="bottom"/>
            <w:gridSpan w:val="4"/>
          </w:tcPr>
          <w:p>
            <w:pPr>
              <w:ind w:left="520"/>
              <w:spacing w:after="0"/>
              <w:rPr>
                <w:sz w:val="20"/>
                <w:szCs w:val="20"/>
                <w:color w:val="auto"/>
              </w:rPr>
            </w:pPr>
            <w:r>
              <w:rPr>
                <w:rFonts w:ascii="Arial" w:cs="Arial" w:eastAsia="Arial" w:hAnsi="Arial"/>
                <w:sz w:val="18"/>
                <w:szCs w:val="18"/>
                <w:color w:val="auto"/>
              </w:rPr>
              <w:t>hereby assigns, conveys, sells and transfers unto</w:t>
            </w: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4140" w:type="dxa"/>
            <w:vAlign w:val="bottom"/>
            <w:tcBorders>
              <w:bottom w:val="single" w:sz="8" w:color="auto"/>
            </w:tcBorders>
            <w:gridSpan w:val="2"/>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w w:val="89"/>
              </w:rPr>
              <w:t>(Please print or typewrite name and address of Assignee)</w:t>
            </w: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w w:val="98"/>
              </w:rPr>
              <w:t>(Please insert Social Security or other identifying number of Assignee)</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Common Units representing limited partner interests evidenced by this Certificate, subject to the Partnership Agreement, and does hereby</w:t>
      </w:r>
    </w:p>
    <w:p>
      <w:pPr>
        <w:spacing w:after="0" w:line="4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irrevocably constitute and appoint as its attorney-in-fact with full power of substitution to transfer the same on the books of GasLog Partners LP.</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Date:</w:t>
            </w:r>
          </w:p>
        </w:tc>
        <w:tc>
          <w:tcPr>
            <w:tcW w:w="5700" w:type="dxa"/>
            <w:vAlign w:val="bottom"/>
            <w:gridSpan w:val="2"/>
          </w:tcPr>
          <w:p>
            <w:pPr>
              <w:ind w:left="180"/>
              <w:spacing w:after="0"/>
              <w:rPr>
                <w:sz w:val="20"/>
                <w:szCs w:val="20"/>
                <w:color w:val="auto"/>
              </w:rPr>
            </w:pPr>
            <w:r>
              <w:rPr>
                <w:rFonts w:ascii="Arial" w:cs="Arial" w:eastAsia="Arial" w:hAnsi="Arial"/>
                <w:sz w:val="18"/>
                <w:szCs w:val="18"/>
                <w:color w:val="auto"/>
                <w:w w:val="94"/>
              </w:rPr>
              <w:t>NOTE:   The signature to any endorsement hereon must correspond with</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18"/>
                <w:szCs w:val="18"/>
                <w:color w:val="auto"/>
              </w:rPr>
            </w:pPr>
          </w:p>
        </w:tc>
        <w:tc>
          <w:tcPr>
            <w:tcW w:w="5700" w:type="dxa"/>
            <w:vAlign w:val="bottom"/>
            <w:gridSpan w:val="2"/>
          </w:tcPr>
          <w:p>
            <w:pPr>
              <w:ind w:left="940"/>
              <w:spacing w:after="0"/>
              <w:rPr>
                <w:sz w:val="20"/>
                <w:szCs w:val="20"/>
                <w:color w:val="auto"/>
              </w:rPr>
            </w:pPr>
            <w:r>
              <w:rPr>
                <w:rFonts w:ascii="Arial" w:cs="Arial" w:eastAsia="Arial" w:hAnsi="Arial"/>
                <w:sz w:val="18"/>
                <w:szCs w:val="18"/>
                <w:color w:val="auto"/>
                <w:w w:val="99"/>
              </w:rPr>
              <w:t>the name as written upon the face of this Certificate in every</w:t>
            </w:r>
          </w:p>
        </w:tc>
        <w:tc>
          <w:tcPr>
            <w:tcW w:w="0" w:type="dxa"/>
            <w:vAlign w:val="bottom"/>
          </w:tcPr>
          <w:p>
            <w:pPr>
              <w:spacing w:after="0"/>
              <w:rPr>
                <w:sz w:val="1"/>
                <w:szCs w:val="1"/>
                <w:color w:val="auto"/>
              </w:rPr>
            </w:pPr>
          </w:p>
        </w:tc>
      </w:tr>
      <w:tr>
        <w:trPr>
          <w:trHeight w:val="230"/>
        </w:trPr>
        <w:tc>
          <w:tcPr>
            <w:tcW w:w="5720" w:type="dxa"/>
            <w:vAlign w:val="bottom"/>
            <w:vMerge w:val="restart"/>
          </w:tcPr>
          <w:p>
            <w:pPr>
              <w:spacing w:after="0"/>
              <w:rPr>
                <w:sz w:val="20"/>
                <w:szCs w:val="20"/>
                <w:color w:val="auto"/>
              </w:rPr>
            </w:pPr>
            <w:r>
              <w:rPr>
                <w:rFonts w:ascii="Arial" w:cs="Arial" w:eastAsia="Arial" w:hAnsi="Arial"/>
                <w:sz w:val="18"/>
                <w:szCs w:val="18"/>
                <w:b w:val="1"/>
                <w:bCs w:val="1"/>
                <w:color w:val="auto"/>
              </w:rPr>
              <w:t>THE SIGNATURE(S) MUST BE GUARANTEED BY AN</w:t>
            </w:r>
          </w:p>
        </w:tc>
        <w:tc>
          <w:tcPr>
            <w:tcW w:w="5700" w:type="dxa"/>
            <w:vAlign w:val="bottom"/>
            <w:gridSpan w:val="2"/>
          </w:tcPr>
          <w:p>
            <w:pPr>
              <w:ind w:left="940"/>
              <w:spacing w:after="0"/>
              <w:rPr>
                <w:sz w:val="20"/>
                <w:szCs w:val="20"/>
                <w:color w:val="auto"/>
              </w:rPr>
            </w:pPr>
            <w:r>
              <w:rPr>
                <w:rFonts w:ascii="Arial" w:cs="Arial" w:eastAsia="Arial" w:hAnsi="Arial"/>
                <w:sz w:val="18"/>
                <w:szCs w:val="18"/>
                <w:color w:val="auto"/>
              </w:rPr>
              <w:t>particular, without alteration, enlargement or change.</w:t>
            </w:r>
          </w:p>
        </w:tc>
        <w:tc>
          <w:tcPr>
            <w:tcW w:w="0" w:type="dxa"/>
            <w:vAlign w:val="bottom"/>
          </w:tcPr>
          <w:p>
            <w:pPr>
              <w:spacing w:after="0"/>
              <w:rPr>
                <w:sz w:val="1"/>
                <w:szCs w:val="1"/>
                <w:color w:val="auto"/>
              </w:rPr>
            </w:pPr>
          </w:p>
        </w:tc>
      </w:tr>
      <w:tr>
        <w:trPr>
          <w:trHeight w:val="216"/>
        </w:trPr>
        <w:tc>
          <w:tcPr>
            <w:tcW w:w="572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4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720" w:type="dxa"/>
            <w:vAlign w:val="bottom"/>
          </w:tcPr>
          <w:p>
            <w:pPr>
              <w:spacing w:after="0" w:line="178" w:lineRule="exact"/>
              <w:rPr>
                <w:sz w:val="20"/>
                <w:szCs w:val="20"/>
                <w:color w:val="auto"/>
              </w:rPr>
            </w:pPr>
            <w:r>
              <w:rPr>
                <w:rFonts w:ascii="Arial" w:cs="Arial" w:eastAsia="Arial" w:hAnsi="Arial"/>
                <w:sz w:val="18"/>
                <w:szCs w:val="18"/>
                <w:b w:val="1"/>
                <w:bCs w:val="1"/>
                <w:color w:val="auto"/>
              </w:rPr>
              <w:t>ELIGIBLE GUARANTOR INSTITUTION (BANKS,</w:t>
            </w:r>
          </w:p>
        </w:tc>
        <w:tc>
          <w:tcPr>
            <w:tcW w:w="940" w:type="dxa"/>
            <w:vAlign w:val="bottom"/>
          </w:tcPr>
          <w:p>
            <w:pPr>
              <w:spacing w:after="0"/>
              <w:rPr>
                <w:sz w:val="15"/>
                <w:szCs w:val="15"/>
                <w:color w:val="auto"/>
              </w:rPr>
            </w:pPr>
          </w:p>
        </w:tc>
        <w:tc>
          <w:tcPr>
            <w:tcW w:w="4760" w:type="dxa"/>
            <w:vAlign w:val="bottom"/>
          </w:tcPr>
          <w:p>
            <w:pPr>
              <w:ind w:left="80"/>
              <w:spacing w:after="0" w:line="178" w:lineRule="exact"/>
              <w:rPr>
                <w:sz w:val="20"/>
                <w:szCs w:val="20"/>
                <w:color w:val="auto"/>
              </w:rPr>
            </w:pPr>
            <w:r>
              <w:rPr>
                <w:rFonts w:ascii="Arial" w:cs="Arial" w:eastAsia="Arial" w:hAnsi="Arial"/>
                <w:sz w:val="18"/>
                <w:szCs w:val="18"/>
                <w:color w:val="auto"/>
              </w:rPr>
              <w:t>(Signature)</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b w:val="1"/>
                <w:bCs w:val="1"/>
                <w:color w:val="auto"/>
              </w:rPr>
              <w:t>STOCKBROKERS, SAVINGS AND LOAN ASSOCIATIONS AND</w:t>
            </w:r>
          </w:p>
        </w:tc>
        <w:tc>
          <w:tcPr>
            <w:tcW w:w="94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b w:val="1"/>
                <w:bCs w:val="1"/>
                <w:color w:val="auto"/>
              </w:rPr>
              <w:t>CREDIT UNIONS WITH MEMBERSHIP IN AN APPROVED</w:t>
            </w:r>
          </w:p>
        </w:tc>
        <w:tc>
          <w:tcPr>
            <w:tcW w:w="94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b w:val="1"/>
                <w:bCs w:val="1"/>
                <w:color w:val="auto"/>
              </w:rPr>
              <w:t>SIGNATURE GUARANTEE MEDALLION PROGRAM), PURSUANT</w:t>
            </w:r>
          </w:p>
        </w:tc>
        <w:tc>
          <w:tcPr>
            <w:tcW w:w="94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20" w:type="dxa"/>
            <w:vAlign w:val="bottom"/>
          </w:tcPr>
          <w:p>
            <w:pPr>
              <w:spacing w:after="0"/>
              <w:rPr>
                <w:sz w:val="20"/>
                <w:szCs w:val="20"/>
                <w:color w:val="auto"/>
              </w:rPr>
            </w:pPr>
            <w:r>
              <w:rPr>
                <w:rFonts w:ascii="Arial" w:cs="Arial" w:eastAsia="Arial" w:hAnsi="Arial"/>
                <w:sz w:val="18"/>
                <w:szCs w:val="18"/>
                <w:b w:val="1"/>
                <w:bCs w:val="1"/>
                <w:color w:val="auto"/>
              </w:rPr>
              <w:t>TO S.E.C. RULE 17Ad-15</w:t>
            </w:r>
          </w:p>
        </w:tc>
        <w:tc>
          <w:tcPr>
            <w:tcW w:w="940" w:type="dxa"/>
            <w:vAlign w:val="bottom"/>
          </w:tcPr>
          <w:p>
            <w:pPr>
              <w:spacing w:after="0"/>
              <w:rPr>
                <w:sz w:val="20"/>
                <w:szCs w:val="20"/>
                <w:color w:val="auto"/>
              </w:rPr>
            </w:pPr>
          </w:p>
        </w:tc>
        <w:tc>
          <w:tcPr>
            <w:tcW w:w="4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760" w:type="dxa"/>
            <w:vAlign w:val="bottom"/>
          </w:tcPr>
          <w:p>
            <w:pPr>
              <w:ind w:left="80"/>
              <w:spacing w:after="0"/>
              <w:rPr>
                <w:sz w:val="20"/>
                <w:szCs w:val="20"/>
                <w:color w:val="auto"/>
              </w:rPr>
            </w:pPr>
            <w:r>
              <w:rPr>
                <w:rFonts w:ascii="Arial" w:cs="Arial" w:eastAsia="Arial" w:hAnsi="Arial"/>
                <w:sz w:val="18"/>
                <w:szCs w:val="18"/>
                <w:color w:val="auto"/>
              </w:rPr>
              <w:t>(Signature)</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No transfer of the Common Units evidenced hereby will be registered on the books of the Partnership, unless the Certificate evidencing the Common Units to be transferred is surrendered for registration or transfer.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Third Amended and Restated Agreement of Limited Partnership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PARTNERS LP</w:t>
      </w:r>
    </w:p>
    <w:p>
      <w:pPr>
        <w:spacing w:after="0" w:line="207" w:lineRule="exact"/>
        <w:rPr>
          <w:sz w:val="20"/>
          <w:szCs w:val="20"/>
          <w:color w:val="auto"/>
        </w:rPr>
      </w:pPr>
    </w:p>
    <w:p>
      <w:pPr>
        <w:jc w:val="center"/>
        <w:ind w:left="260" w:right="60"/>
        <w:spacing w:after="0" w:line="282" w:lineRule="auto"/>
        <w:rPr>
          <w:sz w:val="20"/>
          <w:szCs w:val="20"/>
          <w:color w:val="auto"/>
        </w:rPr>
      </w:pPr>
      <w:r>
        <w:rPr>
          <w:rFonts w:ascii="Arial" w:cs="Arial" w:eastAsia="Arial" w:hAnsi="Arial"/>
          <w:sz w:val="18"/>
          <w:szCs w:val="18"/>
          <w:b w:val="1"/>
          <w:bCs w:val="1"/>
          <w:color w:val="auto"/>
        </w:rPr>
        <w:t>Certificate Evidencing Series A Cumulative Redeemable Perpetual Fixed to Floating Rate Preference Units Representing Limited Partner Interests in GASLOG PARTNERS LP</w:t>
      </w:r>
    </w:p>
    <w:p>
      <w:pPr>
        <w:spacing w:after="0" w:line="166" w:lineRule="exact"/>
        <w:rPr>
          <w:sz w:val="20"/>
          <w:szCs w:val="20"/>
          <w:color w:val="auto"/>
        </w:rPr>
      </w:pPr>
    </w:p>
    <w:p>
      <w:pPr>
        <w:spacing w:after="0"/>
        <w:tabs>
          <w:tab w:leader="none" w:pos="9540" w:val="left"/>
        </w:tabs>
        <w:rPr>
          <w:sz w:val="20"/>
          <w:szCs w:val="20"/>
          <w:color w:val="auto"/>
        </w:rPr>
      </w:pPr>
      <w:r>
        <w:rPr>
          <w:rFonts w:ascii="Arial" w:cs="Arial" w:eastAsia="Arial" w:hAnsi="Arial"/>
          <w:sz w:val="16"/>
          <w:szCs w:val="16"/>
          <w:color w:val="auto"/>
        </w:rPr>
        <w:t>No.</w:t>
      </w:r>
      <w:r>
        <w:rPr>
          <w:sz w:val="20"/>
          <w:szCs w:val="20"/>
          <w:color w:val="auto"/>
        </w:rPr>
        <w:tab/>
      </w:r>
      <w:r>
        <w:rPr>
          <w:rFonts w:ascii="Arial" w:cs="Arial" w:eastAsia="Arial" w:hAnsi="Arial"/>
          <w:sz w:val="16"/>
          <w:szCs w:val="16"/>
          <w:color w:val="auto"/>
        </w:rPr>
        <w:t>Series A Preference Units</w:t>
      </w:r>
    </w:p>
    <w:p>
      <w:pPr>
        <w:spacing w:after="0" w:line="248" w:lineRule="exact"/>
        <w:rPr>
          <w:sz w:val="20"/>
          <w:szCs w:val="20"/>
          <w:color w:val="auto"/>
        </w:rPr>
      </w:pPr>
    </w:p>
    <w:p>
      <w:pPr>
        <w:jc w:val="both"/>
        <w:ind w:right="100" w:firstLine="1297"/>
        <w:spacing w:after="0" w:line="291" w:lineRule="auto"/>
        <w:rPr>
          <w:sz w:val="20"/>
          <w:szCs w:val="20"/>
          <w:color w:val="auto"/>
        </w:rPr>
      </w:pPr>
      <w:r>
        <w:rPr>
          <w:rFonts w:ascii="Arial" w:cs="Arial" w:eastAsia="Arial" w:hAnsi="Arial"/>
          <w:sz w:val="16"/>
          <w:szCs w:val="16"/>
          <w:color w:val="auto"/>
        </w:rPr>
        <w:t>In accordance with Section 4.1 of the Third Amended and Restated Agreement of Limited Partnership of GasLog Partners LP, as amended, supplemented or restated from time to time (the “</w:t>
      </w:r>
      <w:r>
        <w:rPr>
          <w:rFonts w:ascii="Arial" w:cs="Arial" w:eastAsia="Arial" w:hAnsi="Arial"/>
          <w:sz w:val="16"/>
          <w:szCs w:val="16"/>
          <w:b w:val="1"/>
          <w:bCs w:val="1"/>
          <w:i w:val="1"/>
          <w:iCs w:val="1"/>
          <w:color w:val="auto"/>
        </w:rPr>
        <w:t>Partnership Agreement</w:t>
      </w:r>
      <w:r>
        <w:rPr>
          <w:rFonts w:ascii="Arial" w:cs="Arial" w:eastAsia="Arial" w:hAnsi="Arial"/>
          <w:sz w:val="16"/>
          <w:szCs w:val="16"/>
          <w:color w:val="auto"/>
        </w:rPr>
        <w:t>”), GasLog Partners LP, a Marshall Islands limited partnership (the “</w:t>
      </w:r>
      <w:r>
        <w:rPr>
          <w:rFonts w:ascii="Arial" w:cs="Arial" w:eastAsia="Arial" w:hAnsi="Arial"/>
          <w:sz w:val="16"/>
          <w:szCs w:val="16"/>
          <w:b w:val="1"/>
          <w:bCs w:val="1"/>
          <w:i w:val="1"/>
          <w:iCs w:val="1"/>
          <w:color w:val="auto"/>
        </w:rPr>
        <w:t>Partnership</w:t>
      </w:r>
      <w:r>
        <w:rPr>
          <w:rFonts w:ascii="Arial" w:cs="Arial" w:eastAsia="Arial" w:hAnsi="Arial"/>
          <w:sz w:val="16"/>
          <w:szCs w:val="16"/>
          <w:color w:val="auto"/>
        </w:rPr>
        <w:t>”),</w:t>
      </w:r>
    </w:p>
    <w:p>
      <w:pPr>
        <w:ind w:right="60"/>
        <w:spacing w:after="0" w:line="269" w:lineRule="auto"/>
        <w:rPr>
          <w:sz w:val="20"/>
          <w:szCs w:val="20"/>
          <w:color w:val="auto"/>
        </w:rPr>
      </w:pPr>
      <w:r>
        <w:rPr>
          <w:rFonts w:ascii="Arial" w:cs="Arial" w:eastAsia="Arial" w:hAnsi="Arial"/>
          <w:sz w:val="17"/>
          <w:szCs w:val="17"/>
          <w:color w:val="auto"/>
        </w:rPr>
        <w:t>hereby certifies that (the “</w:t>
      </w:r>
      <w:r>
        <w:rPr>
          <w:rFonts w:ascii="Arial" w:cs="Arial" w:eastAsia="Arial" w:hAnsi="Arial"/>
          <w:sz w:val="17"/>
          <w:szCs w:val="17"/>
          <w:b w:val="1"/>
          <w:bCs w:val="1"/>
          <w:i w:val="1"/>
          <w:iCs w:val="1"/>
          <w:color w:val="auto"/>
        </w:rPr>
        <w:t>Holder</w:t>
      </w:r>
      <w:r>
        <w:rPr>
          <w:rFonts w:ascii="Arial" w:cs="Arial" w:eastAsia="Arial" w:hAnsi="Arial"/>
          <w:sz w:val="17"/>
          <w:szCs w:val="17"/>
          <w:color w:val="auto"/>
        </w:rPr>
        <w:t>”) is the registered owner of the above designated number of Series A Cumulative Redeemable Perpetual Fixed to Floating Rate Preference Units representing limited partner interests in the Partnership (the “</w:t>
      </w:r>
      <w:r>
        <w:rPr>
          <w:rFonts w:ascii="Arial" w:cs="Arial" w:eastAsia="Arial" w:hAnsi="Arial"/>
          <w:sz w:val="17"/>
          <w:szCs w:val="17"/>
          <w:b w:val="1"/>
          <w:bCs w:val="1"/>
          <w:i w:val="1"/>
          <w:iCs w:val="1"/>
          <w:color w:val="auto"/>
        </w:rPr>
        <w:t>Series A Preference Units</w:t>
      </w:r>
      <w:r>
        <w:rPr>
          <w:rFonts w:ascii="Arial" w:cs="Arial" w:eastAsia="Arial" w:hAnsi="Arial"/>
          <w:sz w:val="17"/>
          <w:szCs w:val="17"/>
          <w:color w:val="auto"/>
        </w:rPr>
        <w:t>”) transferable on the books of the Partnership, in person or by duly authorized attorney, upon surrender of this Certificate properly endorsed. The rights, preferences and limitations of the Series A Preference Units are set forth in, and this Certificate and the Series A Preference Units represented hereby are issued and shall in all respects be subject to the terms and provisions of, the Partnership Agreement. Copies of the Partnership Agreement are on file at, and will be furnished without charge on delivery of written request to the Partnership at, the principal office of the Partnership located at Gildo Pastor Center, 7 Rue du Gabian, MC 98000, Monaco. Capitalized terms used herein but not defined shall have the meanings given them in the Partnership Agreement.</w:t>
      </w:r>
    </w:p>
    <w:p>
      <w:pPr>
        <w:spacing w:after="0" w:line="181"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The Holder, by accepting this Certificate, is deemed to have (a) requested admission as, and agreed to become, a Limited Partner and to have agreed to comply with and be bound by and to have executed the Partnership Agreement, (b) represented and warranted that the Holder has all right, power and authority and, if an individual, the capacity necessary to enter into the Partnership Agreement and (c) made the waivers and given the consents and approvals contained in the Partnership Agreement.</w:t>
      </w:r>
    </w:p>
    <w:p>
      <w:pPr>
        <w:sectPr>
          <w:pgSz w:w="11900" w:h="16838" w:orient="portrait"/>
          <w:cols w:equalWidth="0" w:num="1">
            <w:col w:w="11420"/>
          </w:cols>
          <w:pgMar w:left="240" w:top="580" w:right="239" w:bottom="0" w:gutter="0" w:footer="0" w:header="0"/>
        </w:sectPr>
      </w:pPr>
    </w:p>
    <w:bookmarkStart w:id="54" w:name="page55"/>
    <w:bookmarkEnd w:id="54"/>
    <w:p>
      <w:pPr>
        <w:ind w:right="80" w:firstLine="1297"/>
        <w:spacing w:after="0" w:line="277" w:lineRule="auto"/>
        <w:rPr>
          <w:sz w:val="20"/>
          <w:szCs w:val="20"/>
          <w:color w:val="auto"/>
        </w:rPr>
      </w:pPr>
      <w:r>
        <w:rPr>
          <w:rFonts w:ascii="Arial" w:cs="Arial" w:eastAsia="Arial" w:hAnsi="Arial"/>
          <w:sz w:val="18"/>
          <w:szCs w:val="18"/>
          <w:color w:val="auto"/>
        </w:rPr>
        <w:t>This Certificate shall not be valid for any purpose unless it has been countersigned and registered by the Transfer Agent and Registrar. This Certificate shall be governed by and construed in accordance with the laws of the Marshall Islands.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gridSpan w:val="3"/>
          </w:tcPr>
          <w:p>
            <w:pPr>
              <w:spacing w:after="0"/>
              <w:rPr>
                <w:sz w:val="20"/>
                <w:szCs w:val="20"/>
                <w:color w:val="auto"/>
              </w:rPr>
            </w:pPr>
            <w:r>
              <w:rPr>
                <w:rFonts w:ascii="Arial" w:cs="Arial" w:eastAsia="Arial" w:hAnsi="Arial"/>
                <w:sz w:val="18"/>
                <w:szCs w:val="18"/>
                <w:color w:val="auto"/>
              </w:rPr>
              <w:t>Dated:</w:t>
            </w:r>
          </w:p>
        </w:tc>
        <w:tc>
          <w:tcPr>
            <w:tcW w:w="1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4020" w:type="dxa"/>
            <w:vAlign w:val="bottom"/>
            <w:gridSpan w:val="3"/>
          </w:tcPr>
          <w:p>
            <w:pPr>
              <w:spacing w:after="0"/>
              <w:rPr>
                <w:sz w:val="20"/>
                <w:szCs w:val="20"/>
                <w:color w:val="auto"/>
              </w:rPr>
            </w:pPr>
            <w:r>
              <w:rPr>
                <w:rFonts w:ascii="Arial" w:cs="Arial" w:eastAsia="Arial" w:hAnsi="Arial"/>
                <w:sz w:val="18"/>
                <w:szCs w:val="18"/>
                <w:color w:val="auto"/>
              </w:rPr>
              <w:t>Countersigned and Registered by:</w:t>
            </w:r>
          </w:p>
        </w:tc>
        <w:tc>
          <w:tcPr>
            <w:tcW w:w="1600" w:type="dxa"/>
            <w:vAlign w:val="bottom"/>
          </w:tcPr>
          <w:p>
            <w:pPr>
              <w:spacing w:after="0"/>
              <w:rPr>
                <w:sz w:val="24"/>
                <w:szCs w:val="24"/>
                <w:color w:val="auto"/>
              </w:rPr>
            </w:pPr>
          </w:p>
        </w:tc>
        <w:tc>
          <w:tcPr>
            <w:tcW w:w="5800" w:type="dxa"/>
            <w:vAlign w:val="bottom"/>
            <w:gridSpan w:val="2"/>
          </w:tcPr>
          <w:p>
            <w:pPr>
              <w:ind w:left="380"/>
              <w:spacing w:after="0"/>
              <w:rPr>
                <w:sz w:val="20"/>
                <w:szCs w:val="20"/>
                <w:color w:val="auto"/>
              </w:rPr>
            </w:pPr>
            <w:r>
              <w:rPr>
                <w:rFonts w:ascii="Arial" w:cs="Arial" w:eastAsia="Arial" w:hAnsi="Arial"/>
                <w:sz w:val="18"/>
                <w:szCs w:val="18"/>
                <w:color w:val="auto"/>
              </w:rPr>
              <w:t>GASLOG PARTNERS LP</w:t>
            </w:r>
          </w:p>
        </w:tc>
        <w:tc>
          <w:tcPr>
            <w:tcW w:w="40" w:type="dxa"/>
            <w:vAlign w:val="bottom"/>
          </w:tcPr>
          <w:p>
            <w:pPr>
              <w:spacing w:after="0"/>
              <w:rPr>
                <w:sz w:val="24"/>
                <w:szCs w:val="24"/>
                <w:color w:val="auto"/>
              </w:rPr>
            </w:pPr>
          </w:p>
        </w:tc>
      </w:tr>
      <w:tr>
        <w:trPr>
          <w:trHeight w:val="64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800" w:type="dxa"/>
            <w:vAlign w:val="bottom"/>
            <w:gridSpan w:val="2"/>
          </w:tcPr>
          <w:p>
            <w:pPr>
              <w:ind w:left="38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40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as Transfer Agent and Registrar</w:t>
            </w:r>
          </w:p>
        </w:tc>
        <w:tc>
          <w:tcPr>
            <w:tcW w:w="1600" w:type="dxa"/>
            <w:vAlign w:val="bottom"/>
            <w:tcBorders>
              <w:top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4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19"/>
                <w:szCs w:val="19"/>
                <w:color w:val="auto"/>
              </w:rPr>
            </w:pPr>
          </w:p>
        </w:tc>
      </w:tr>
      <w:tr>
        <w:trPr>
          <w:trHeight w:val="418"/>
        </w:trPr>
        <w:tc>
          <w:tcPr>
            <w:tcW w:w="4020" w:type="dxa"/>
            <w:vAlign w:val="bottom"/>
            <w:gridSpan w:val="3"/>
          </w:tcPr>
          <w:p>
            <w:pPr>
              <w:spacing w:after="0"/>
              <w:rPr>
                <w:sz w:val="20"/>
                <w:szCs w:val="20"/>
                <w:color w:val="auto"/>
              </w:rPr>
            </w:pPr>
            <w:r>
              <w:rPr>
                <w:rFonts w:ascii="Arial" w:cs="Arial" w:eastAsia="Arial" w:hAnsi="Arial"/>
                <w:sz w:val="18"/>
                <w:szCs w:val="18"/>
                <w:color w:val="auto"/>
              </w:rPr>
              <w:t>By:</w:t>
            </w:r>
          </w:p>
        </w:tc>
        <w:tc>
          <w:tcPr>
            <w:tcW w:w="1600" w:type="dxa"/>
            <w:vAlign w:val="bottom"/>
          </w:tcPr>
          <w:p>
            <w:pPr>
              <w:spacing w:after="0"/>
              <w:rPr>
                <w:sz w:val="24"/>
                <w:szCs w:val="24"/>
                <w:color w:val="auto"/>
              </w:rPr>
            </w:pPr>
          </w:p>
        </w:tc>
        <w:tc>
          <w:tcPr>
            <w:tcW w:w="5800" w:type="dxa"/>
            <w:vAlign w:val="bottom"/>
            <w:gridSpan w:val="2"/>
          </w:tcPr>
          <w:p>
            <w:pPr>
              <w:ind w:left="38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Authorized Signature</w:t>
            </w:r>
          </w:p>
        </w:tc>
        <w:tc>
          <w:tcPr>
            <w:tcW w:w="1600" w:type="dxa"/>
            <w:vAlign w:val="bottom"/>
            <w:tcBorders>
              <w:top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4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Secretary</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7400" w:type="dxa"/>
            <w:vAlign w:val="bottom"/>
            <w:gridSpan w:val="3"/>
          </w:tcPr>
          <w:p>
            <w:pPr>
              <w:ind w:left="1560"/>
              <w:spacing w:after="0"/>
              <w:rPr>
                <w:sz w:val="20"/>
                <w:szCs w:val="20"/>
                <w:color w:val="auto"/>
              </w:rPr>
            </w:pPr>
            <w:r>
              <w:rPr>
                <w:rFonts w:ascii="Arial" w:cs="Arial" w:eastAsia="Arial" w:hAnsi="Arial"/>
                <w:sz w:val="18"/>
                <w:szCs w:val="18"/>
                <w:color w:val="auto"/>
              </w:rPr>
              <w:t>B-1</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352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4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[Reverse of Certificate]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ABBREVIATIONS</w:t>
      </w:r>
    </w:p>
    <w:p>
      <w:pPr>
        <w:spacing w:after="0" w:line="211" w:lineRule="exact"/>
        <w:rPr>
          <w:sz w:val="20"/>
          <w:szCs w:val="20"/>
          <w:color w:val="auto"/>
        </w:rPr>
      </w:pPr>
    </w:p>
    <w:p>
      <w:pPr>
        <w:ind w:right="740" w:firstLine="1297"/>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follows according to applicable laws or regulations: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TEN COM</w:t>
            </w:r>
          </w:p>
        </w:tc>
        <w:tc>
          <w:tcPr>
            <w:tcW w:w="580" w:type="dxa"/>
            <w:vAlign w:val="bottom"/>
          </w:tcPr>
          <w:p>
            <w:pPr>
              <w:ind w:left="220"/>
              <w:spacing w:after="0"/>
              <w:rPr>
                <w:sz w:val="20"/>
                <w:szCs w:val="20"/>
                <w:color w:val="auto"/>
              </w:rPr>
            </w:pPr>
            <w:r>
              <w:rPr>
                <w:rFonts w:ascii="Arial" w:cs="Arial" w:eastAsia="Arial" w:hAnsi="Arial"/>
                <w:sz w:val="18"/>
                <w:szCs w:val="18"/>
                <w:color w:val="auto"/>
              </w:rPr>
              <w:t>—</w:t>
            </w:r>
          </w:p>
        </w:tc>
        <w:tc>
          <w:tcPr>
            <w:tcW w:w="4960" w:type="dxa"/>
            <w:vAlign w:val="bottom"/>
          </w:tcPr>
          <w:p>
            <w:pPr>
              <w:ind w:left="200"/>
              <w:spacing w:after="0"/>
              <w:rPr>
                <w:sz w:val="20"/>
                <w:szCs w:val="20"/>
                <w:color w:val="auto"/>
              </w:rPr>
            </w:pPr>
            <w:r>
              <w:rPr>
                <w:rFonts w:ascii="Arial" w:cs="Arial" w:eastAsia="Arial" w:hAnsi="Arial"/>
                <w:sz w:val="18"/>
                <w:szCs w:val="18"/>
                <w:color w:val="auto"/>
              </w:rPr>
              <w:t>as tenants in common</w:t>
            </w:r>
          </w:p>
        </w:tc>
        <w:tc>
          <w:tcPr>
            <w:tcW w:w="4120" w:type="dxa"/>
            <w:vAlign w:val="bottom"/>
            <w:gridSpan w:val="4"/>
          </w:tcPr>
          <w:p>
            <w:pPr>
              <w:spacing w:after="0"/>
              <w:rPr>
                <w:sz w:val="20"/>
                <w:szCs w:val="20"/>
                <w:color w:val="auto"/>
              </w:rPr>
            </w:pPr>
            <w:r>
              <w:rPr>
                <w:rFonts w:ascii="Arial" w:cs="Arial" w:eastAsia="Arial" w:hAnsi="Arial"/>
                <w:sz w:val="18"/>
                <w:szCs w:val="18"/>
                <w:color w:val="auto"/>
              </w:rPr>
              <w:t>UNIF GIFT/TRANSFERS MIN ACT</w:t>
            </w:r>
          </w:p>
        </w:tc>
        <w:tc>
          <w:tcPr>
            <w:tcW w:w="0" w:type="dxa"/>
            <w:vAlign w:val="bottom"/>
          </w:tcPr>
          <w:p>
            <w:pPr>
              <w:spacing w:after="0"/>
              <w:rPr>
                <w:sz w:val="1"/>
                <w:szCs w:val="1"/>
                <w:color w:val="auto"/>
              </w:rPr>
            </w:pPr>
          </w:p>
        </w:tc>
      </w:tr>
      <w:tr>
        <w:trPr>
          <w:trHeight w:val="190"/>
        </w:trPr>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20" w:type="dxa"/>
            <w:vAlign w:val="bottom"/>
            <w:gridSpan w:val="3"/>
          </w:tcPr>
          <w:p>
            <w:pPr>
              <w:spacing w:after="0" w:line="190" w:lineRule="exact"/>
              <w:rPr>
                <w:sz w:val="20"/>
                <w:szCs w:val="20"/>
                <w:color w:val="auto"/>
              </w:rPr>
            </w:pPr>
            <w:r>
              <w:rPr>
                <w:rFonts w:ascii="Arial" w:cs="Arial" w:eastAsia="Arial" w:hAnsi="Arial"/>
                <w:sz w:val="18"/>
                <w:szCs w:val="18"/>
                <w:color w:val="auto"/>
              </w:rPr>
              <w:t>Custodian</w:t>
            </w:r>
          </w:p>
        </w:tc>
        <w:tc>
          <w:tcPr>
            <w:tcW w:w="0" w:type="dxa"/>
            <w:vAlign w:val="bottom"/>
          </w:tcPr>
          <w:p>
            <w:pPr>
              <w:spacing w:after="0"/>
              <w:rPr>
                <w:sz w:val="1"/>
                <w:szCs w:val="1"/>
                <w:color w:val="auto"/>
              </w:rPr>
            </w:pPr>
          </w:p>
        </w:tc>
      </w:tr>
      <w:tr>
        <w:trPr>
          <w:trHeight w:val="237"/>
        </w:trPr>
        <w:tc>
          <w:tcPr>
            <w:tcW w:w="1040" w:type="dxa"/>
            <w:vAlign w:val="bottom"/>
            <w:vMerge w:val="restart"/>
          </w:tcPr>
          <w:p>
            <w:pPr>
              <w:spacing w:after="0"/>
              <w:rPr>
                <w:sz w:val="20"/>
                <w:szCs w:val="20"/>
                <w:color w:val="auto"/>
              </w:rPr>
            </w:pPr>
            <w:r>
              <w:rPr>
                <w:rFonts w:ascii="Arial" w:cs="Arial" w:eastAsia="Arial" w:hAnsi="Arial"/>
                <w:sz w:val="18"/>
                <w:szCs w:val="18"/>
                <w:color w:val="auto"/>
              </w:rPr>
              <w:t>TEN ENT</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auto"/>
              </w:rPr>
              <w:t>—</w:t>
            </w:r>
          </w:p>
        </w:tc>
        <w:tc>
          <w:tcPr>
            <w:tcW w:w="4960" w:type="dxa"/>
            <w:vAlign w:val="bottom"/>
            <w:vMerge w:val="restart"/>
          </w:tcPr>
          <w:p>
            <w:pPr>
              <w:ind w:left="200"/>
              <w:spacing w:after="0"/>
              <w:rPr>
                <w:sz w:val="20"/>
                <w:szCs w:val="20"/>
                <w:color w:val="auto"/>
              </w:rPr>
            </w:pPr>
            <w:r>
              <w:rPr>
                <w:rFonts w:ascii="Arial" w:cs="Arial" w:eastAsia="Arial" w:hAnsi="Arial"/>
                <w:sz w:val="18"/>
                <w:szCs w:val="18"/>
                <w:color w:val="auto"/>
              </w:rPr>
              <w:t>as tenants by the entireties</w:t>
            </w:r>
          </w:p>
        </w:tc>
        <w:tc>
          <w:tcPr>
            <w:tcW w:w="1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(Cust) (Minor)</w:t>
            </w:r>
          </w:p>
        </w:tc>
        <w:tc>
          <w:tcPr>
            <w:tcW w:w="72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4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496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JT TEN</w:t>
            </w:r>
          </w:p>
        </w:tc>
        <w:tc>
          <w:tcPr>
            <w:tcW w:w="580" w:type="dxa"/>
            <w:vAlign w:val="bottom"/>
          </w:tcPr>
          <w:p>
            <w:pPr>
              <w:ind w:left="220"/>
              <w:spacing w:after="0"/>
              <w:rPr>
                <w:sz w:val="20"/>
                <w:szCs w:val="20"/>
                <w:color w:val="auto"/>
              </w:rPr>
            </w:pPr>
            <w:r>
              <w:rPr>
                <w:rFonts w:ascii="Arial" w:cs="Arial" w:eastAsia="Arial" w:hAnsi="Arial"/>
                <w:sz w:val="18"/>
                <w:szCs w:val="18"/>
                <w:color w:val="auto"/>
              </w:rPr>
              <w:t>—</w:t>
            </w:r>
          </w:p>
        </w:tc>
        <w:tc>
          <w:tcPr>
            <w:tcW w:w="4960" w:type="dxa"/>
            <w:vAlign w:val="bottom"/>
          </w:tcPr>
          <w:p>
            <w:pPr>
              <w:ind w:left="200"/>
              <w:spacing w:after="0"/>
              <w:rPr>
                <w:sz w:val="20"/>
                <w:szCs w:val="20"/>
                <w:color w:val="auto"/>
              </w:rPr>
            </w:pPr>
            <w:r>
              <w:rPr>
                <w:rFonts w:ascii="Arial" w:cs="Arial" w:eastAsia="Arial" w:hAnsi="Arial"/>
                <w:sz w:val="18"/>
                <w:szCs w:val="18"/>
                <w:color w:val="auto"/>
                <w:w w:val="96"/>
              </w:rPr>
              <w:t>as joint tenants with right of survivorship and not as tenants in</w:t>
            </w:r>
          </w:p>
        </w:tc>
        <w:tc>
          <w:tcPr>
            <w:tcW w:w="4120" w:type="dxa"/>
            <w:vAlign w:val="bottom"/>
            <w:gridSpan w:val="4"/>
          </w:tcPr>
          <w:p>
            <w:pPr>
              <w:spacing w:after="0"/>
              <w:rPr>
                <w:sz w:val="20"/>
                <w:szCs w:val="20"/>
                <w:color w:val="auto"/>
              </w:rPr>
            </w:pPr>
            <w:r>
              <w:rPr>
                <w:rFonts w:ascii="Arial" w:cs="Arial" w:eastAsia="Arial" w:hAnsi="Arial"/>
                <w:sz w:val="18"/>
                <w:szCs w:val="18"/>
                <w:color w:val="auto"/>
                <w:w w:val="92"/>
              </w:rPr>
              <w:t>under Uniform Gifts /Transfers to CD Minors Act (State)</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common</w:t>
            </w:r>
          </w:p>
        </w:tc>
        <w:tc>
          <w:tcPr>
            <w:tcW w:w="1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Additional abbreviations, though not in the above list, may also be used.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ASSIGNMENT OF SERIES A PREFERENCE UNITS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GASLOG PARTNERS LP</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120" w:type="dxa"/>
            <w:vAlign w:val="bottom"/>
          </w:tcPr>
          <w:p>
            <w:pPr>
              <w:ind w:left="640"/>
              <w:spacing w:after="0"/>
              <w:rPr>
                <w:sz w:val="20"/>
                <w:szCs w:val="20"/>
                <w:color w:val="auto"/>
              </w:rPr>
            </w:pPr>
            <w:r>
              <w:rPr>
                <w:rFonts w:ascii="Arial" w:cs="Arial" w:eastAsia="Arial" w:hAnsi="Arial"/>
                <w:sz w:val="18"/>
                <w:szCs w:val="18"/>
                <w:color w:val="auto"/>
              </w:rPr>
              <w:t>FOR VALUE RECEIVED,</w:t>
            </w:r>
          </w:p>
        </w:tc>
        <w:tc>
          <w:tcPr>
            <w:tcW w:w="8300" w:type="dxa"/>
            <w:vAlign w:val="bottom"/>
            <w:gridSpan w:val="3"/>
          </w:tcPr>
          <w:p>
            <w:pPr>
              <w:ind w:left="520"/>
              <w:spacing w:after="0"/>
              <w:rPr>
                <w:sz w:val="20"/>
                <w:szCs w:val="20"/>
                <w:color w:val="auto"/>
              </w:rPr>
            </w:pPr>
            <w:r>
              <w:rPr>
                <w:rFonts w:ascii="Arial" w:cs="Arial" w:eastAsia="Arial" w:hAnsi="Arial"/>
                <w:sz w:val="18"/>
                <w:szCs w:val="18"/>
                <w:color w:val="auto"/>
              </w:rPr>
              <w:t>hereby assigns, conveys, sells and transfers unto</w:t>
            </w: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5600" w:type="dxa"/>
            <w:vAlign w:val="bottom"/>
            <w:tcBorders>
              <w:bottom w:val="single" w:sz="8" w:color="auto"/>
            </w:tcBorders>
            <w:gridSpan w:val="2"/>
          </w:tcPr>
          <w:p>
            <w:pPr>
              <w:spacing w:after="0"/>
              <w:rPr>
                <w:sz w:val="24"/>
                <w:szCs w:val="24"/>
                <w:color w:val="auto"/>
              </w:rPr>
            </w:pPr>
          </w:p>
        </w:tc>
        <w:tc>
          <w:tcPr>
            <w:tcW w:w="280" w:type="dxa"/>
            <w:vAlign w:val="bottom"/>
            <w:vMerge w:val="restart"/>
          </w:tcPr>
          <w:p>
            <w:pPr>
              <w:spacing w:after="0"/>
              <w:rPr>
                <w:sz w:val="24"/>
                <w:szCs w:val="24"/>
                <w:color w:val="auto"/>
              </w:rPr>
            </w:pPr>
          </w:p>
        </w:tc>
        <w:tc>
          <w:tcPr>
            <w:tcW w:w="5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(Please print or typewrite name and address of Assignee)</w:t>
            </w:r>
          </w:p>
        </w:tc>
        <w:tc>
          <w:tcPr>
            <w:tcW w:w="280" w:type="dxa"/>
            <w:vAlign w:val="bottom"/>
            <w:vMerge w:val="continue"/>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w w:val="98"/>
              </w:rPr>
              <w:t>(Please insert Social Security or other identifying number of Assignee)</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Series A Preference Units representing limited partner interests evidenced by this Certificate, subject to the Partnership Agreement, and</w:t>
      </w:r>
    </w:p>
    <w:p>
      <w:pPr>
        <w:spacing w:after="0" w:line="46"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does hereby irrevocably constitute and appoint as its attorney-in-fact with full power of substitution to transfer the same on the books of GasLog Partners LP.</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Date:</w:t>
            </w:r>
          </w:p>
        </w:tc>
        <w:tc>
          <w:tcPr>
            <w:tcW w:w="5700" w:type="dxa"/>
            <w:vAlign w:val="bottom"/>
            <w:gridSpan w:val="2"/>
          </w:tcPr>
          <w:p>
            <w:pPr>
              <w:ind w:left="180"/>
              <w:spacing w:after="0"/>
              <w:rPr>
                <w:sz w:val="20"/>
                <w:szCs w:val="20"/>
                <w:color w:val="auto"/>
              </w:rPr>
            </w:pPr>
            <w:r>
              <w:rPr>
                <w:rFonts w:ascii="Arial" w:cs="Arial" w:eastAsia="Arial" w:hAnsi="Arial"/>
                <w:sz w:val="18"/>
                <w:szCs w:val="18"/>
                <w:color w:val="auto"/>
                <w:w w:val="94"/>
              </w:rPr>
              <w:t>NOTE:   The signature to any endorsement hereon must correspond with</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18"/>
                <w:szCs w:val="18"/>
                <w:color w:val="auto"/>
              </w:rPr>
            </w:pPr>
          </w:p>
        </w:tc>
        <w:tc>
          <w:tcPr>
            <w:tcW w:w="5700" w:type="dxa"/>
            <w:vAlign w:val="bottom"/>
            <w:gridSpan w:val="2"/>
          </w:tcPr>
          <w:p>
            <w:pPr>
              <w:ind w:left="940"/>
              <w:spacing w:after="0"/>
              <w:rPr>
                <w:sz w:val="20"/>
                <w:szCs w:val="20"/>
                <w:color w:val="auto"/>
              </w:rPr>
            </w:pPr>
            <w:r>
              <w:rPr>
                <w:rFonts w:ascii="Arial" w:cs="Arial" w:eastAsia="Arial" w:hAnsi="Arial"/>
                <w:sz w:val="18"/>
                <w:szCs w:val="18"/>
                <w:color w:val="auto"/>
                <w:w w:val="99"/>
              </w:rPr>
              <w:t>the name as written upon the face of this Certificate in every</w:t>
            </w:r>
          </w:p>
        </w:tc>
        <w:tc>
          <w:tcPr>
            <w:tcW w:w="0" w:type="dxa"/>
            <w:vAlign w:val="bottom"/>
          </w:tcPr>
          <w:p>
            <w:pPr>
              <w:spacing w:after="0"/>
              <w:rPr>
                <w:sz w:val="1"/>
                <w:szCs w:val="1"/>
                <w:color w:val="auto"/>
              </w:rPr>
            </w:pPr>
          </w:p>
        </w:tc>
      </w:tr>
      <w:tr>
        <w:trPr>
          <w:trHeight w:val="230"/>
        </w:trPr>
        <w:tc>
          <w:tcPr>
            <w:tcW w:w="5720" w:type="dxa"/>
            <w:vAlign w:val="bottom"/>
            <w:vMerge w:val="restart"/>
          </w:tcPr>
          <w:p>
            <w:pPr>
              <w:spacing w:after="0"/>
              <w:rPr>
                <w:sz w:val="20"/>
                <w:szCs w:val="20"/>
                <w:color w:val="auto"/>
              </w:rPr>
            </w:pPr>
            <w:r>
              <w:rPr>
                <w:rFonts w:ascii="Arial" w:cs="Arial" w:eastAsia="Arial" w:hAnsi="Arial"/>
                <w:sz w:val="18"/>
                <w:szCs w:val="18"/>
                <w:b w:val="1"/>
                <w:bCs w:val="1"/>
                <w:color w:val="auto"/>
              </w:rPr>
              <w:t>THE SIGNATURE(S) MUST BE GUARANTEED BY AN</w:t>
            </w:r>
          </w:p>
        </w:tc>
        <w:tc>
          <w:tcPr>
            <w:tcW w:w="5700" w:type="dxa"/>
            <w:vAlign w:val="bottom"/>
            <w:gridSpan w:val="2"/>
          </w:tcPr>
          <w:p>
            <w:pPr>
              <w:ind w:left="940"/>
              <w:spacing w:after="0"/>
              <w:rPr>
                <w:sz w:val="20"/>
                <w:szCs w:val="20"/>
                <w:color w:val="auto"/>
              </w:rPr>
            </w:pPr>
            <w:r>
              <w:rPr>
                <w:rFonts w:ascii="Arial" w:cs="Arial" w:eastAsia="Arial" w:hAnsi="Arial"/>
                <w:sz w:val="18"/>
                <w:szCs w:val="18"/>
                <w:color w:val="auto"/>
              </w:rPr>
              <w:t>particular, without alteration, enlargement or change.</w:t>
            </w:r>
          </w:p>
        </w:tc>
        <w:tc>
          <w:tcPr>
            <w:tcW w:w="0" w:type="dxa"/>
            <w:vAlign w:val="bottom"/>
          </w:tcPr>
          <w:p>
            <w:pPr>
              <w:spacing w:after="0"/>
              <w:rPr>
                <w:sz w:val="1"/>
                <w:szCs w:val="1"/>
                <w:color w:val="auto"/>
              </w:rPr>
            </w:pPr>
          </w:p>
        </w:tc>
      </w:tr>
      <w:tr>
        <w:trPr>
          <w:trHeight w:val="216"/>
        </w:trPr>
        <w:tc>
          <w:tcPr>
            <w:tcW w:w="572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4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720" w:type="dxa"/>
            <w:vAlign w:val="bottom"/>
          </w:tcPr>
          <w:p>
            <w:pPr>
              <w:spacing w:after="0" w:line="178" w:lineRule="exact"/>
              <w:rPr>
                <w:sz w:val="20"/>
                <w:szCs w:val="20"/>
                <w:color w:val="auto"/>
              </w:rPr>
            </w:pPr>
            <w:r>
              <w:rPr>
                <w:rFonts w:ascii="Arial" w:cs="Arial" w:eastAsia="Arial" w:hAnsi="Arial"/>
                <w:sz w:val="18"/>
                <w:szCs w:val="18"/>
                <w:b w:val="1"/>
                <w:bCs w:val="1"/>
                <w:color w:val="auto"/>
              </w:rPr>
              <w:t>ELIGIBLE GUARANTOR INSTITUTION (BANKS,</w:t>
            </w:r>
          </w:p>
        </w:tc>
        <w:tc>
          <w:tcPr>
            <w:tcW w:w="940" w:type="dxa"/>
            <w:vAlign w:val="bottom"/>
          </w:tcPr>
          <w:p>
            <w:pPr>
              <w:spacing w:after="0"/>
              <w:rPr>
                <w:sz w:val="15"/>
                <w:szCs w:val="15"/>
                <w:color w:val="auto"/>
              </w:rPr>
            </w:pPr>
          </w:p>
        </w:tc>
        <w:tc>
          <w:tcPr>
            <w:tcW w:w="4760" w:type="dxa"/>
            <w:vAlign w:val="bottom"/>
          </w:tcPr>
          <w:p>
            <w:pPr>
              <w:ind w:left="80"/>
              <w:spacing w:after="0" w:line="178" w:lineRule="exact"/>
              <w:rPr>
                <w:sz w:val="20"/>
                <w:szCs w:val="20"/>
                <w:color w:val="auto"/>
              </w:rPr>
            </w:pPr>
            <w:r>
              <w:rPr>
                <w:rFonts w:ascii="Arial" w:cs="Arial" w:eastAsia="Arial" w:hAnsi="Arial"/>
                <w:sz w:val="18"/>
                <w:szCs w:val="18"/>
                <w:color w:val="auto"/>
              </w:rPr>
              <w:t>(Signature)</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b w:val="1"/>
                <w:bCs w:val="1"/>
                <w:color w:val="auto"/>
              </w:rPr>
              <w:t>STOCKBROKERS, SAVINGS AND LOAN ASSOCIATIONS AND</w:t>
            </w:r>
          </w:p>
        </w:tc>
        <w:tc>
          <w:tcPr>
            <w:tcW w:w="94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b w:val="1"/>
                <w:bCs w:val="1"/>
                <w:color w:val="auto"/>
              </w:rPr>
              <w:t>CREDIT UNIONS WITH MEMBERSHIP IN AN APPROVED</w:t>
            </w:r>
          </w:p>
        </w:tc>
        <w:tc>
          <w:tcPr>
            <w:tcW w:w="94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b w:val="1"/>
                <w:bCs w:val="1"/>
                <w:color w:val="auto"/>
              </w:rPr>
              <w:t>SIGNATURE GUARANTEE MEDALLION PROGRAM), PURSUANT</w:t>
            </w:r>
          </w:p>
        </w:tc>
        <w:tc>
          <w:tcPr>
            <w:tcW w:w="94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20" w:type="dxa"/>
            <w:vAlign w:val="bottom"/>
          </w:tcPr>
          <w:p>
            <w:pPr>
              <w:spacing w:after="0"/>
              <w:rPr>
                <w:sz w:val="20"/>
                <w:szCs w:val="20"/>
                <w:color w:val="auto"/>
              </w:rPr>
            </w:pPr>
            <w:r>
              <w:rPr>
                <w:rFonts w:ascii="Arial" w:cs="Arial" w:eastAsia="Arial" w:hAnsi="Arial"/>
                <w:sz w:val="18"/>
                <w:szCs w:val="18"/>
                <w:b w:val="1"/>
                <w:bCs w:val="1"/>
                <w:color w:val="auto"/>
              </w:rPr>
              <w:t>TO S.E.C. RULE 17Ad-15</w:t>
            </w:r>
          </w:p>
        </w:tc>
        <w:tc>
          <w:tcPr>
            <w:tcW w:w="940" w:type="dxa"/>
            <w:vAlign w:val="bottom"/>
          </w:tcPr>
          <w:p>
            <w:pPr>
              <w:spacing w:after="0"/>
              <w:rPr>
                <w:sz w:val="20"/>
                <w:szCs w:val="20"/>
                <w:color w:val="auto"/>
              </w:rPr>
            </w:pPr>
          </w:p>
        </w:tc>
        <w:tc>
          <w:tcPr>
            <w:tcW w:w="4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760" w:type="dxa"/>
            <w:vAlign w:val="bottom"/>
          </w:tcPr>
          <w:p>
            <w:pPr>
              <w:ind w:left="80"/>
              <w:spacing w:after="0"/>
              <w:rPr>
                <w:sz w:val="20"/>
                <w:szCs w:val="20"/>
                <w:color w:val="auto"/>
              </w:rPr>
            </w:pPr>
            <w:r>
              <w:rPr>
                <w:rFonts w:ascii="Arial" w:cs="Arial" w:eastAsia="Arial" w:hAnsi="Arial"/>
                <w:sz w:val="18"/>
                <w:szCs w:val="18"/>
                <w:color w:val="auto"/>
              </w:rPr>
              <w:t>(Signature)</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80" w:firstLine="1297"/>
        <w:spacing w:after="0" w:line="277" w:lineRule="auto"/>
        <w:rPr>
          <w:sz w:val="20"/>
          <w:szCs w:val="20"/>
          <w:color w:val="auto"/>
        </w:rPr>
      </w:pPr>
      <w:r>
        <w:rPr>
          <w:rFonts w:ascii="Arial" w:cs="Arial" w:eastAsia="Arial" w:hAnsi="Arial"/>
          <w:sz w:val="18"/>
          <w:szCs w:val="18"/>
          <w:color w:val="auto"/>
        </w:rPr>
        <w:t>No transfer of the Series A Preference Units evidenced hereby will be registered on the books of the Partnership, unless the Certificate evidencing the Series A Preference Units to be transferred is surrendered for registration or transfer.</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 the Third Amended and Restated Agreement of Limited Partnership of</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GASLOG PARTNERS LP</w:t>
      </w:r>
    </w:p>
    <w:p>
      <w:pPr>
        <w:spacing w:after="0" w:line="207"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Certificate Evidencing Series B Cumulative Redeemable Perpetual Fixed to Floating Rate Preference Units Representing Limited Partner Interests in GASLOG PARTNERS LP</w:t>
      </w:r>
    </w:p>
    <w:p>
      <w:pPr>
        <w:sectPr>
          <w:pgSz w:w="11900" w:h="16839" w:orient="portrait"/>
          <w:cols w:equalWidth="0" w:num="1">
            <w:col w:w="11460"/>
          </w:cols>
          <w:pgMar w:left="240" w:top="341" w:right="199" w:bottom="0" w:gutter="0" w:footer="0" w:header="0"/>
        </w:sectPr>
      </w:pPr>
    </w:p>
    <w:bookmarkStart w:id="55" w:name="page56"/>
    <w:bookmarkEnd w:id="55"/>
    <w:p>
      <w:pPr>
        <w:spacing w:after="0"/>
        <w:tabs>
          <w:tab w:leader="none" w:pos="9540" w:val="left"/>
        </w:tabs>
        <w:rPr>
          <w:sz w:val="20"/>
          <w:szCs w:val="20"/>
          <w:color w:val="auto"/>
        </w:rPr>
      </w:pPr>
      <w:r>
        <w:rPr>
          <w:rFonts w:ascii="Arial" w:cs="Arial" w:eastAsia="Arial" w:hAnsi="Arial"/>
          <w:sz w:val="16"/>
          <w:szCs w:val="16"/>
          <w:color w:val="auto"/>
        </w:rPr>
        <w:t>No.</w:t>
      </w:r>
      <w:r>
        <w:rPr>
          <w:sz w:val="20"/>
          <w:szCs w:val="20"/>
          <w:color w:val="auto"/>
        </w:rPr>
        <w:tab/>
      </w:r>
      <w:r>
        <w:rPr>
          <w:rFonts w:ascii="Arial" w:cs="Arial" w:eastAsia="Arial" w:hAnsi="Arial"/>
          <w:sz w:val="16"/>
          <w:szCs w:val="16"/>
          <w:color w:val="auto"/>
        </w:rPr>
        <w:t>Series B Preference Units</w:t>
      </w:r>
    </w:p>
    <w:p>
      <w:pPr>
        <w:spacing w:after="0" w:line="248" w:lineRule="exact"/>
        <w:rPr>
          <w:sz w:val="20"/>
          <w:szCs w:val="20"/>
          <w:color w:val="auto"/>
        </w:rPr>
      </w:pPr>
    </w:p>
    <w:p>
      <w:pPr>
        <w:jc w:val="both"/>
        <w:ind w:right="140" w:firstLine="1297"/>
        <w:spacing w:after="0" w:line="291" w:lineRule="auto"/>
        <w:rPr>
          <w:sz w:val="20"/>
          <w:szCs w:val="20"/>
          <w:color w:val="auto"/>
        </w:rPr>
      </w:pPr>
      <w:r>
        <w:rPr>
          <w:rFonts w:ascii="Arial" w:cs="Arial" w:eastAsia="Arial" w:hAnsi="Arial"/>
          <w:sz w:val="16"/>
          <w:szCs w:val="16"/>
          <w:color w:val="auto"/>
        </w:rPr>
        <w:t>In accordance with Section 4.1 of the Third Amended and Restated Agreement of Limited Partnership of GasLog Partners LP, as amended, supplemented or restated from time to time (the “</w:t>
      </w:r>
      <w:r>
        <w:rPr>
          <w:rFonts w:ascii="Arial" w:cs="Arial" w:eastAsia="Arial" w:hAnsi="Arial"/>
          <w:sz w:val="16"/>
          <w:szCs w:val="16"/>
          <w:b w:val="1"/>
          <w:bCs w:val="1"/>
          <w:i w:val="1"/>
          <w:iCs w:val="1"/>
          <w:color w:val="auto"/>
        </w:rPr>
        <w:t>Partnership Agreement</w:t>
      </w:r>
      <w:r>
        <w:rPr>
          <w:rFonts w:ascii="Arial" w:cs="Arial" w:eastAsia="Arial" w:hAnsi="Arial"/>
          <w:sz w:val="16"/>
          <w:szCs w:val="16"/>
          <w:color w:val="auto"/>
        </w:rPr>
        <w:t>”), GasLog Partners LP, a Marshall Islands limited partnership (the “</w:t>
      </w:r>
      <w:r>
        <w:rPr>
          <w:rFonts w:ascii="Arial" w:cs="Arial" w:eastAsia="Arial" w:hAnsi="Arial"/>
          <w:sz w:val="16"/>
          <w:szCs w:val="16"/>
          <w:b w:val="1"/>
          <w:bCs w:val="1"/>
          <w:i w:val="1"/>
          <w:iCs w:val="1"/>
          <w:color w:val="auto"/>
        </w:rPr>
        <w:t>Partnership</w:t>
      </w:r>
      <w:r>
        <w:rPr>
          <w:rFonts w:ascii="Arial" w:cs="Arial" w:eastAsia="Arial" w:hAnsi="Arial"/>
          <w:sz w:val="16"/>
          <w:szCs w:val="16"/>
          <w:color w:val="auto"/>
        </w:rPr>
        <w:t>”),</w:t>
      </w:r>
    </w:p>
    <w:p>
      <w:pPr>
        <w:ind w:right="100"/>
        <w:spacing w:after="0" w:line="269" w:lineRule="auto"/>
        <w:rPr>
          <w:sz w:val="20"/>
          <w:szCs w:val="20"/>
          <w:color w:val="auto"/>
        </w:rPr>
      </w:pPr>
      <w:r>
        <w:rPr>
          <w:rFonts w:ascii="Arial" w:cs="Arial" w:eastAsia="Arial" w:hAnsi="Arial"/>
          <w:sz w:val="17"/>
          <w:szCs w:val="17"/>
          <w:color w:val="auto"/>
        </w:rPr>
        <w:t>hereby certifies that (the “</w:t>
      </w:r>
      <w:r>
        <w:rPr>
          <w:rFonts w:ascii="Arial" w:cs="Arial" w:eastAsia="Arial" w:hAnsi="Arial"/>
          <w:sz w:val="17"/>
          <w:szCs w:val="17"/>
          <w:b w:val="1"/>
          <w:bCs w:val="1"/>
          <w:i w:val="1"/>
          <w:iCs w:val="1"/>
          <w:color w:val="auto"/>
        </w:rPr>
        <w:t>Holder</w:t>
      </w:r>
      <w:r>
        <w:rPr>
          <w:rFonts w:ascii="Arial" w:cs="Arial" w:eastAsia="Arial" w:hAnsi="Arial"/>
          <w:sz w:val="17"/>
          <w:szCs w:val="17"/>
          <w:color w:val="auto"/>
        </w:rPr>
        <w:t>”) is the registered owner of the above designated number of Series B Cumulative Redeemable Perpetual Fixed to Floating Rate Preference Units representing limited partner interests in the Partnership (the “</w:t>
      </w:r>
      <w:r>
        <w:rPr>
          <w:rFonts w:ascii="Arial" w:cs="Arial" w:eastAsia="Arial" w:hAnsi="Arial"/>
          <w:sz w:val="17"/>
          <w:szCs w:val="17"/>
          <w:b w:val="1"/>
          <w:bCs w:val="1"/>
          <w:i w:val="1"/>
          <w:iCs w:val="1"/>
          <w:color w:val="auto"/>
        </w:rPr>
        <w:t>Series B Preference Units</w:t>
      </w:r>
      <w:r>
        <w:rPr>
          <w:rFonts w:ascii="Arial" w:cs="Arial" w:eastAsia="Arial" w:hAnsi="Arial"/>
          <w:sz w:val="17"/>
          <w:szCs w:val="17"/>
          <w:color w:val="auto"/>
        </w:rPr>
        <w:t>”) transferable on the books of the Partnership, in person or by duly authorized attorney, upon surrender of this Certificate properly endorsed. The rights, preferences and limitations of the Series B Preference Units are set forth in, and this Certificate and the Series B Preference Units represented hereby are issued and shall in all respects be subject to the terms and provisions of, the Partnership Agreement. Copies of the Partnership Agreement are on file at, and will be furnished without charge on delivery of written request to the Partnership at, the principal office of the Partnership located at Gildo Pastor Center, 7 Rue du Gabian, MC 98000, Monaco. Capitalized terms used herein but not defined shall have the meanings given them in the Partnership Agreement.</w:t>
      </w:r>
    </w:p>
    <w:p>
      <w:pPr>
        <w:spacing w:after="0" w:line="181"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The Holder, by accepting this Certificate, is deemed to have (a) requested admission as, and agreed to become, a Limited Partner and to have agreed to comply with and be bound by and to have executed the Partnership Agreement, (b) represented and warranted that the Holder has all right, power and authority and, if an individual, the capacity necessary to enter into the Partnership Agreement and (c) made the waivers and given the consents and approvals contained in the Partnership Agreement.</w:t>
      </w:r>
    </w:p>
    <w:p>
      <w:pPr>
        <w:spacing w:after="0" w:line="187"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This Certificate shall not be valid for any purpose unless it has been countersigned and registered by the Transfer Agent and Registrar. This Certificate shall be governed by and construed in accordance with the laws of the Marshall Islands.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Dated:</w:t>
            </w:r>
          </w:p>
        </w:tc>
        <w:tc>
          <w:tcPr>
            <w:tcW w:w="1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4020" w:type="dxa"/>
            <w:vAlign w:val="bottom"/>
            <w:gridSpan w:val="3"/>
          </w:tcPr>
          <w:p>
            <w:pPr>
              <w:spacing w:after="0"/>
              <w:rPr>
                <w:sz w:val="20"/>
                <w:szCs w:val="20"/>
                <w:color w:val="auto"/>
              </w:rPr>
            </w:pPr>
            <w:r>
              <w:rPr>
                <w:rFonts w:ascii="Arial" w:cs="Arial" w:eastAsia="Arial" w:hAnsi="Arial"/>
                <w:sz w:val="18"/>
                <w:szCs w:val="18"/>
                <w:color w:val="auto"/>
              </w:rPr>
              <w:t>GASLOG PARTNERS LP</w:t>
            </w:r>
          </w:p>
        </w:tc>
        <w:tc>
          <w:tcPr>
            <w:tcW w:w="1700" w:type="dxa"/>
            <w:vAlign w:val="bottom"/>
          </w:tcPr>
          <w:p>
            <w:pPr>
              <w:spacing w:after="0"/>
              <w:rPr>
                <w:sz w:val="24"/>
                <w:szCs w:val="24"/>
                <w:color w:val="auto"/>
              </w:rPr>
            </w:pPr>
          </w:p>
        </w:tc>
        <w:tc>
          <w:tcPr>
            <w:tcW w:w="5700" w:type="dxa"/>
            <w:vAlign w:val="bottom"/>
            <w:gridSpan w:val="2"/>
          </w:tcPr>
          <w:p>
            <w:pPr>
              <w:ind w:left="280"/>
              <w:spacing w:after="0"/>
              <w:rPr>
                <w:sz w:val="20"/>
                <w:szCs w:val="20"/>
                <w:color w:val="auto"/>
              </w:rPr>
            </w:pPr>
            <w:r>
              <w:rPr>
                <w:rFonts w:ascii="Arial" w:cs="Arial" w:eastAsia="Arial" w:hAnsi="Arial"/>
                <w:sz w:val="18"/>
                <w:szCs w:val="18"/>
                <w:color w:val="auto"/>
              </w:rPr>
              <w:t>Countersigned and Registered by:</w:t>
            </w:r>
          </w:p>
        </w:tc>
        <w:tc>
          <w:tcPr>
            <w:tcW w:w="40" w:type="dxa"/>
            <w:vAlign w:val="bottom"/>
          </w:tcPr>
          <w:p>
            <w:pPr>
              <w:spacing w:after="0"/>
              <w:rPr>
                <w:sz w:val="24"/>
                <w:szCs w:val="24"/>
                <w:color w:val="auto"/>
              </w:rPr>
            </w:pP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700" w:type="dxa"/>
            <w:vAlign w:val="bottom"/>
            <w:gridSpan w:val="2"/>
          </w:tcPr>
          <w:p>
            <w:pPr>
              <w:ind w:left="280"/>
              <w:spacing w:after="0"/>
              <w:rPr>
                <w:sz w:val="20"/>
                <w:szCs w:val="20"/>
                <w:color w:val="auto"/>
              </w:rPr>
            </w:pPr>
            <w:r>
              <w:rPr>
                <w:rFonts w:ascii="Arial" w:cs="Arial" w:eastAsia="Arial" w:hAnsi="Arial"/>
                <w:sz w:val="18"/>
                <w:szCs w:val="18"/>
                <w:color w:val="auto"/>
              </w:rPr>
              <w:t>AMERICAN STOCK &amp; TRANSFER</w:t>
            </w:r>
          </w:p>
        </w:tc>
        <w:tc>
          <w:tcPr>
            <w:tcW w:w="40" w:type="dxa"/>
            <w:vAlign w:val="bottom"/>
          </w:tcPr>
          <w:p>
            <w:pPr>
              <w:spacing w:after="0"/>
              <w:rPr>
                <w:sz w:val="24"/>
                <w:szCs w:val="24"/>
                <w:color w:val="auto"/>
              </w:rPr>
            </w:pPr>
          </w:p>
        </w:tc>
      </w:tr>
      <w:tr>
        <w:trPr>
          <w:trHeight w:val="182"/>
        </w:trPr>
        <w:tc>
          <w:tcPr>
            <w:tcW w:w="64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1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5700" w:type="dxa"/>
            <w:vAlign w:val="bottom"/>
            <w:gridSpan w:val="2"/>
          </w:tcPr>
          <w:p>
            <w:pPr>
              <w:ind w:left="280"/>
              <w:spacing w:after="0" w:line="182" w:lineRule="exact"/>
              <w:rPr>
                <w:sz w:val="20"/>
                <w:szCs w:val="20"/>
                <w:color w:val="auto"/>
              </w:rPr>
            </w:pPr>
            <w:r>
              <w:rPr>
                <w:rFonts w:ascii="Arial" w:cs="Arial" w:eastAsia="Arial" w:hAnsi="Arial"/>
                <w:sz w:val="18"/>
                <w:szCs w:val="18"/>
                <w:color w:val="auto"/>
              </w:rPr>
              <w:t>&amp; TRUST COMPANY, LLC</w:t>
            </w:r>
          </w:p>
        </w:tc>
        <w:tc>
          <w:tcPr>
            <w:tcW w:w="40" w:type="dxa"/>
            <w:vAlign w:val="bottom"/>
          </w:tcPr>
          <w:p>
            <w:pPr>
              <w:spacing w:after="0"/>
              <w:rPr>
                <w:sz w:val="15"/>
                <w:szCs w:val="15"/>
                <w:color w:val="auto"/>
              </w:rPr>
            </w:pP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380" w:type="dxa"/>
            <w:vAlign w:val="bottom"/>
            <w:gridSpan w:val="2"/>
          </w:tcPr>
          <w:p>
            <w:pPr>
              <w:ind w:left="140"/>
              <w:spacing w:after="0"/>
              <w:rPr>
                <w:sz w:val="20"/>
                <w:szCs w:val="20"/>
                <w:color w:val="auto"/>
              </w:rPr>
            </w:pPr>
            <w:r>
              <w:rPr>
                <w:rFonts w:ascii="Arial" w:cs="Arial" w:eastAsia="Arial" w:hAnsi="Arial"/>
                <w:sz w:val="18"/>
                <w:szCs w:val="18"/>
                <w:color w:val="auto"/>
              </w:rPr>
              <w:t>Chief Financial Officer</w:t>
            </w:r>
          </w:p>
        </w:tc>
        <w:tc>
          <w:tcPr>
            <w:tcW w:w="1700" w:type="dxa"/>
            <w:vAlign w:val="bottom"/>
          </w:tcPr>
          <w:p>
            <w:pPr>
              <w:spacing w:after="0"/>
              <w:rPr>
                <w:sz w:val="20"/>
                <w:szCs w:val="20"/>
                <w:color w:val="auto"/>
              </w:rPr>
            </w:pPr>
          </w:p>
        </w:tc>
        <w:tc>
          <w:tcPr>
            <w:tcW w:w="5700" w:type="dxa"/>
            <w:vAlign w:val="bottom"/>
            <w:gridSpan w:val="2"/>
          </w:tcPr>
          <w:p>
            <w:pPr>
              <w:ind w:left="280"/>
              <w:spacing w:after="0"/>
              <w:rPr>
                <w:sz w:val="20"/>
                <w:szCs w:val="20"/>
                <w:color w:val="auto"/>
              </w:rPr>
            </w:pPr>
            <w:r>
              <w:rPr>
                <w:rFonts w:ascii="Arial" w:cs="Arial" w:eastAsia="Arial" w:hAnsi="Arial"/>
                <w:sz w:val="18"/>
                <w:szCs w:val="18"/>
                <w:color w:val="auto"/>
              </w:rPr>
              <w:t>as Transfer Agent and Registrar</w:t>
            </w:r>
          </w:p>
        </w:tc>
        <w:tc>
          <w:tcPr>
            <w:tcW w:w="40" w:type="dxa"/>
            <w:vAlign w:val="bottom"/>
          </w:tcPr>
          <w:p>
            <w:pPr>
              <w:spacing w:after="0"/>
              <w:rPr>
                <w:sz w:val="20"/>
                <w:szCs w:val="20"/>
                <w:color w:val="auto"/>
              </w:rPr>
            </w:pP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700" w:type="dxa"/>
            <w:vAlign w:val="bottom"/>
            <w:gridSpan w:val="2"/>
          </w:tcPr>
          <w:p>
            <w:pPr>
              <w:ind w:left="28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r>
      <w:tr>
        <w:trPr>
          <w:trHeight w:val="195"/>
        </w:trPr>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40" w:type="dxa"/>
            <w:vAlign w:val="bottom"/>
          </w:tcPr>
          <w:p>
            <w:pPr>
              <w:spacing w:after="0"/>
              <w:rPr>
                <w:sz w:val="16"/>
                <w:szCs w:val="16"/>
                <w:color w:val="auto"/>
              </w:rPr>
            </w:pPr>
          </w:p>
        </w:tc>
        <w:tc>
          <w:tcPr>
            <w:tcW w:w="324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4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Authorized Signature</w:t>
            </w:r>
          </w:p>
        </w:tc>
        <w:tc>
          <w:tcPr>
            <w:tcW w:w="40" w:type="dxa"/>
            <w:vAlign w:val="bottom"/>
          </w:tcPr>
          <w:p>
            <w:pPr>
              <w:spacing w:after="0"/>
              <w:rPr>
                <w:sz w:val="16"/>
                <w:szCs w:val="16"/>
                <w:color w:val="auto"/>
              </w:rPr>
            </w:pP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380" w:type="dxa"/>
            <w:vAlign w:val="bottom"/>
            <w:gridSpan w:val="2"/>
          </w:tcPr>
          <w:p>
            <w:pPr>
              <w:ind w:left="140"/>
              <w:spacing w:after="0"/>
              <w:rPr>
                <w:sz w:val="20"/>
                <w:szCs w:val="20"/>
                <w:color w:val="auto"/>
              </w:rPr>
            </w:pPr>
            <w:r>
              <w:rPr>
                <w:rFonts w:ascii="Arial" w:cs="Arial" w:eastAsia="Arial" w:hAnsi="Arial"/>
                <w:sz w:val="18"/>
                <w:szCs w:val="18"/>
                <w:color w:val="auto"/>
              </w:rPr>
              <w:t>Secretary</w:t>
            </w:r>
          </w:p>
        </w:tc>
        <w:tc>
          <w:tcPr>
            <w:tcW w:w="1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7400" w:type="dxa"/>
            <w:vAlign w:val="bottom"/>
            <w:gridSpan w:val="3"/>
          </w:tcPr>
          <w:p>
            <w:pPr>
              <w:ind w:left="1560"/>
              <w:spacing w:after="0"/>
              <w:rPr>
                <w:sz w:val="20"/>
                <w:szCs w:val="20"/>
                <w:color w:val="auto"/>
              </w:rPr>
            </w:pPr>
            <w:r>
              <w:rPr>
                <w:rFonts w:ascii="Arial" w:cs="Arial" w:eastAsia="Arial" w:hAnsi="Arial"/>
                <w:sz w:val="18"/>
                <w:szCs w:val="18"/>
                <w:color w:val="auto"/>
              </w:rPr>
              <w:t>C-1</w:t>
            </w:r>
          </w:p>
        </w:tc>
        <w:tc>
          <w:tcPr>
            <w:tcW w:w="40" w:type="dxa"/>
            <w:vAlign w:val="bottom"/>
          </w:tcPr>
          <w:p>
            <w:pPr>
              <w:spacing w:after="0"/>
              <w:rPr>
                <w:sz w:val="24"/>
                <w:szCs w:val="24"/>
                <w:color w:val="auto"/>
              </w:rPr>
            </w:pPr>
          </w:p>
        </w:tc>
      </w:tr>
      <w:tr>
        <w:trPr>
          <w:trHeight w:val="132"/>
        </w:trPr>
        <w:tc>
          <w:tcPr>
            <w:tcW w:w="6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24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[Reverse of Certificate]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ABBREVIATIONS</w:t>
      </w:r>
    </w:p>
    <w:p>
      <w:pPr>
        <w:spacing w:after="0" w:line="211" w:lineRule="exact"/>
        <w:rPr>
          <w:sz w:val="20"/>
          <w:szCs w:val="20"/>
          <w:color w:val="auto"/>
        </w:rPr>
      </w:pPr>
    </w:p>
    <w:p>
      <w:pPr>
        <w:ind w:right="740" w:firstLine="1297"/>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follows according to applicable laws or regulations: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TEN COM</w:t>
            </w:r>
          </w:p>
        </w:tc>
        <w:tc>
          <w:tcPr>
            <w:tcW w:w="580" w:type="dxa"/>
            <w:vAlign w:val="bottom"/>
          </w:tcPr>
          <w:p>
            <w:pPr>
              <w:ind w:left="220"/>
              <w:spacing w:after="0"/>
              <w:rPr>
                <w:sz w:val="20"/>
                <w:szCs w:val="20"/>
                <w:color w:val="auto"/>
              </w:rPr>
            </w:pPr>
            <w:r>
              <w:rPr>
                <w:rFonts w:ascii="Arial" w:cs="Arial" w:eastAsia="Arial" w:hAnsi="Arial"/>
                <w:sz w:val="18"/>
                <w:szCs w:val="18"/>
                <w:color w:val="auto"/>
              </w:rPr>
              <w:t>—</w:t>
            </w:r>
          </w:p>
        </w:tc>
        <w:tc>
          <w:tcPr>
            <w:tcW w:w="4960" w:type="dxa"/>
            <w:vAlign w:val="bottom"/>
          </w:tcPr>
          <w:p>
            <w:pPr>
              <w:ind w:left="200"/>
              <w:spacing w:after="0"/>
              <w:rPr>
                <w:sz w:val="20"/>
                <w:szCs w:val="20"/>
                <w:color w:val="auto"/>
              </w:rPr>
            </w:pPr>
            <w:r>
              <w:rPr>
                <w:rFonts w:ascii="Arial" w:cs="Arial" w:eastAsia="Arial" w:hAnsi="Arial"/>
                <w:sz w:val="18"/>
                <w:szCs w:val="18"/>
                <w:color w:val="auto"/>
              </w:rPr>
              <w:t>as tenants in common</w:t>
            </w:r>
          </w:p>
        </w:tc>
        <w:tc>
          <w:tcPr>
            <w:tcW w:w="4120" w:type="dxa"/>
            <w:vAlign w:val="bottom"/>
            <w:gridSpan w:val="4"/>
          </w:tcPr>
          <w:p>
            <w:pPr>
              <w:spacing w:after="0"/>
              <w:rPr>
                <w:sz w:val="20"/>
                <w:szCs w:val="20"/>
                <w:color w:val="auto"/>
              </w:rPr>
            </w:pPr>
            <w:r>
              <w:rPr>
                <w:rFonts w:ascii="Arial" w:cs="Arial" w:eastAsia="Arial" w:hAnsi="Arial"/>
                <w:sz w:val="18"/>
                <w:szCs w:val="18"/>
                <w:color w:val="auto"/>
              </w:rPr>
              <w:t>UNIF GIFT/TRANSFERS MIN ACT</w:t>
            </w:r>
          </w:p>
        </w:tc>
        <w:tc>
          <w:tcPr>
            <w:tcW w:w="0" w:type="dxa"/>
            <w:vAlign w:val="bottom"/>
          </w:tcPr>
          <w:p>
            <w:pPr>
              <w:spacing w:after="0"/>
              <w:rPr>
                <w:sz w:val="1"/>
                <w:szCs w:val="1"/>
                <w:color w:val="auto"/>
              </w:rPr>
            </w:pPr>
          </w:p>
        </w:tc>
      </w:tr>
      <w:tr>
        <w:trPr>
          <w:trHeight w:val="190"/>
        </w:trPr>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20" w:type="dxa"/>
            <w:vAlign w:val="bottom"/>
            <w:gridSpan w:val="3"/>
          </w:tcPr>
          <w:p>
            <w:pPr>
              <w:spacing w:after="0" w:line="190" w:lineRule="exact"/>
              <w:rPr>
                <w:sz w:val="20"/>
                <w:szCs w:val="20"/>
                <w:color w:val="auto"/>
              </w:rPr>
            </w:pPr>
            <w:r>
              <w:rPr>
                <w:rFonts w:ascii="Arial" w:cs="Arial" w:eastAsia="Arial" w:hAnsi="Arial"/>
                <w:sz w:val="18"/>
                <w:szCs w:val="18"/>
                <w:color w:val="auto"/>
              </w:rPr>
              <w:t>Custodian</w:t>
            </w:r>
          </w:p>
        </w:tc>
        <w:tc>
          <w:tcPr>
            <w:tcW w:w="0" w:type="dxa"/>
            <w:vAlign w:val="bottom"/>
          </w:tcPr>
          <w:p>
            <w:pPr>
              <w:spacing w:after="0"/>
              <w:rPr>
                <w:sz w:val="1"/>
                <w:szCs w:val="1"/>
                <w:color w:val="auto"/>
              </w:rPr>
            </w:pPr>
          </w:p>
        </w:tc>
      </w:tr>
      <w:tr>
        <w:trPr>
          <w:trHeight w:val="237"/>
        </w:trPr>
        <w:tc>
          <w:tcPr>
            <w:tcW w:w="1040" w:type="dxa"/>
            <w:vAlign w:val="bottom"/>
            <w:vMerge w:val="restart"/>
          </w:tcPr>
          <w:p>
            <w:pPr>
              <w:spacing w:after="0"/>
              <w:rPr>
                <w:sz w:val="20"/>
                <w:szCs w:val="20"/>
                <w:color w:val="auto"/>
              </w:rPr>
            </w:pPr>
            <w:r>
              <w:rPr>
                <w:rFonts w:ascii="Arial" w:cs="Arial" w:eastAsia="Arial" w:hAnsi="Arial"/>
                <w:sz w:val="18"/>
                <w:szCs w:val="18"/>
                <w:color w:val="auto"/>
              </w:rPr>
              <w:t>TEN ENT</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auto"/>
              </w:rPr>
              <w:t>—</w:t>
            </w:r>
          </w:p>
        </w:tc>
        <w:tc>
          <w:tcPr>
            <w:tcW w:w="4960" w:type="dxa"/>
            <w:vAlign w:val="bottom"/>
            <w:vMerge w:val="restart"/>
          </w:tcPr>
          <w:p>
            <w:pPr>
              <w:ind w:left="200"/>
              <w:spacing w:after="0"/>
              <w:rPr>
                <w:sz w:val="20"/>
                <w:szCs w:val="20"/>
                <w:color w:val="auto"/>
              </w:rPr>
            </w:pPr>
            <w:r>
              <w:rPr>
                <w:rFonts w:ascii="Arial" w:cs="Arial" w:eastAsia="Arial" w:hAnsi="Arial"/>
                <w:sz w:val="18"/>
                <w:szCs w:val="18"/>
                <w:color w:val="auto"/>
              </w:rPr>
              <w:t>as tenants by the entireties</w:t>
            </w:r>
          </w:p>
        </w:tc>
        <w:tc>
          <w:tcPr>
            <w:tcW w:w="1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(Cust) (Minor)</w:t>
            </w:r>
          </w:p>
        </w:tc>
        <w:tc>
          <w:tcPr>
            <w:tcW w:w="72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4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496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JT TEN</w:t>
            </w:r>
          </w:p>
        </w:tc>
        <w:tc>
          <w:tcPr>
            <w:tcW w:w="580" w:type="dxa"/>
            <w:vAlign w:val="bottom"/>
          </w:tcPr>
          <w:p>
            <w:pPr>
              <w:ind w:left="220"/>
              <w:spacing w:after="0"/>
              <w:rPr>
                <w:sz w:val="20"/>
                <w:szCs w:val="20"/>
                <w:color w:val="auto"/>
              </w:rPr>
            </w:pPr>
            <w:r>
              <w:rPr>
                <w:rFonts w:ascii="Arial" w:cs="Arial" w:eastAsia="Arial" w:hAnsi="Arial"/>
                <w:sz w:val="18"/>
                <w:szCs w:val="18"/>
                <w:color w:val="auto"/>
              </w:rPr>
              <w:t>—</w:t>
            </w:r>
          </w:p>
        </w:tc>
        <w:tc>
          <w:tcPr>
            <w:tcW w:w="4960" w:type="dxa"/>
            <w:vAlign w:val="bottom"/>
          </w:tcPr>
          <w:p>
            <w:pPr>
              <w:ind w:left="200"/>
              <w:spacing w:after="0"/>
              <w:rPr>
                <w:sz w:val="20"/>
                <w:szCs w:val="20"/>
                <w:color w:val="auto"/>
              </w:rPr>
            </w:pPr>
            <w:r>
              <w:rPr>
                <w:rFonts w:ascii="Arial" w:cs="Arial" w:eastAsia="Arial" w:hAnsi="Arial"/>
                <w:sz w:val="18"/>
                <w:szCs w:val="18"/>
                <w:color w:val="auto"/>
                <w:w w:val="96"/>
              </w:rPr>
              <w:t>as joint tenants with right of survivorship and not as tenants in</w:t>
            </w:r>
          </w:p>
        </w:tc>
        <w:tc>
          <w:tcPr>
            <w:tcW w:w="4120" w:type="dxa"/>
            <w:vAlign w:val="bottom"/>
            <w:gridSpan w:val="4"/>
          </w:tcPr>
          <w:p>
            <w:pPr>
              <w:spacing w:after="0"/>
              <w:rPr>
                <w:sz w:val="20"/>
                <w:szCs w:val="20"/>
                <w:color w:val="auto"/>
              </w:rPr>
            </w:pPr>
            <w:r>
              <w:rPr>
                <w:rFonts w:ascii="Arial" w:cs="Arial" w:eastAsia="Arial" w:hAnsi="Arial"/>
                <w:sz w:val="18"/>
                <w:szCs w:val="18"/>
                <w:color w:val="auto"/>
                <w:w w:val="92"/>
              </w:rPr>
              <w:t>under Uniform Gifts /Transfers to CD Minors Act (State)</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common</w:t>
            </w:r>
          </w:p>
        </w:tc>
        <w:tc>
          <w:tcPr>
            <w:tcW w:w="1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Additional abbreviations, though not in the above list, may also be used.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ASSIGNMENT OF SERIES B PREFERENCE UNITS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GASLOG PARTNERS LP</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120" w:type="dxa"/>
            <w:vAlign w:val="bottom"/>
          </w:tcPr>
          <w:p>
            <w:pPr>
              <w:ind w:left="640"/>
              <w:spacing w:after="0"/>
              <w:rPr>
                <w:sz w:val="20"/>
                <w:szCs w:val="20"/>
                <w:color w:val="auto"/>
              </w:rPr>
            </w:pPr>
            <w:r>
              <w:rPr>
                <w:rFonts w:ascii="Arial" w:cs="Arial" w:eastAsia="Arial" w:hAnsi="Arial"/>
                <w:sz w:val="18"/>
                <w:szCs w:val="18"/>
                <w:color w:val="auto"/>
              </w:rPr>
              <w:t>FOR VALUE RECEIVED,</w:t>
            </w:r>
          </w:p>
        </w:tc>
        <w:tc>
          <w:tcPr>
            <w:tcW w:w="8280" w:type="dxa"/>
            <w:vAlign w:val="bottom"/>
            <w:gridSpan w:val="3"/>
          </w:tcPr>
          <w:p>
            <w:pPr>
              <w:ind w:left="520"/>
              <w:spacing w:after="0"/>
              <w:rPr>
                <w:sz w:val="20"/>
                <w:szCs w:val="20"/>
                <w:color w:val="auto"/>
              </w:rPr>
            </w:pPr>
            <w:r>
              <w:rPr>
                <w:rFonts w:ascii="Arial" w:cs="Arial" w:eastAsia="Arial" w:hAnsi="Arial"/>
                <w:sz w:val="18"/>
                <w:szCs w:val="18"/>
                <w:color w:val="auto"/>
              </w:rPr>
              <w:t>hereby assigns, conveys, sells and transfers unto</w:t>
            </w: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5600" w:type="dxa"/>
            <w:vAlign w:val="bottom"/>
            <w:tcBorders>
              <w:bottom w:val="single" w:sz="8" w:color="auto"/>
            </w:tcBorders>
            <w:gridSpan w:val="2"/>
          </w:tcPr>
          <w:p>
            <w:pPr>
              <w:spacing w:after="0"/>
              <w:rPr>
                <w:sz w:val="24"/>
                <w:szCs w:val="24"/>
                <w:color w:val="auto"/>
              </w:rPr>
            </w:pPr>
          </w:p>
        </w:tc>
        <w:tc>
          <w:tcPr>
            <w:tcW w:w="280" w:type="dxa"/>
            <w:vAlign w:val="bottom"/>
            <w:vMerge w:val="restart"/>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(Please print or typewrite name and address of Assignee)</w:t>
            </w:r>
          </w:p>
        </w:tc>
        <w:tc>
          <w:tcPr>
            <w:tcW w:w="280" w:type="dxa"/>
            <w:vAlign w:val="bottom"/>
            <w:vMerge w:val="continue"/>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w w:val="98"/>
              </w:rPr>
              <w:t>(Please insert Social Security or other identifying number of Assignee)</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Series B Preference Units representing limited partner interests evidenced by this Certificate, subject to the Partnership Agreement, and</w:t>
      </w:r>
    </w:p>
    <w:p>
      <w:pPr>
        <w:spacing w:after="0" w:line="46"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does hereby irrevocably constitute and appoint as its attorney-in-fact with full power of substitution to transfer the same on the books of GasLog Partners LP.</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Date:</w:t>
            </w:r>
          </w:p>
        </w:tc>
        <w:tc>
          <w:tcPr>
            <w:tcW w:w="5860" w:type="dxa"/>
            <w:vAlign w:val="bottom"/>
            <w:gridSpan w:val="2"/>
          </w:tcPr>
          <w:p>
            <w:pPr>
              <w:ind w:left="340"/>
              <w:spacing w:after="0"/>
              <w:rPr>
                <w:sz w:val="20"/>
                <w:szCs w:val="20"/>
                <w:color w:val="auto"/>
              </w:rPr>
            </w:pPr>
            <w:r>
              <w:rPr>
                <w:rFonts w:ascii="Arial" w:cs="Arial" w:eastAsia="Arial" w:hAnsi="Arial"/>
                <w:sz w:val="18"/>
                <w:szCs w:val="18"/>
                <w:color w:val="auto"/>
                <w:w w:val="94"/>
              </w:rPr>
              <w:t>NOTE:   The signature to any endorsement hereon must correspond with</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5860" w:type="dxa"/>
            <w:vAlign w:val="bottom"/>
            <w:gridSpan w:val="2"/>
          </w:tcPr>
          <w:p>
            <w:pPr>
              <w:ind w:left="1100"/>
              <w:spacing w:after="0"/>
              <w:rPr>
                <w:sz w:val="20"/>
                <w:szCs w:val="20"/>
                <w:color w:val="auto"/>
              </w:rPr>
            </w:pPr>
            <w:r>
              <w:rPr>
                <w:rFonts w:ascii="Arial" w:cs="Arial" w:eastAsia="Arial" w:hAnsi="Arial"/>
                <w:sz w:val="18"/>
                <w:szCs w:val="18"/>
                <w:color w:val="auto"/>
                <w:w w:val="99"/>
              </w:rPr>
              <w:t>the name as written upon the face of this Certificate in every</w:t>
            </w:r>
          </w:p>
        </w:tc>
        <w:tc>
          <w:tcPr>
            <w:tcW w:w="0" w:type="dxa"/>
            <w:vAlign w:val="bottom"/>
          </w:tcPr>
          <w:p>
            <w:pPr>
              <w:spacing w:after="0"/>
              <w:rPr>
                <w:sz w:val="1"/>
                <w:szCs w:val="1"/>
                <w:color w:val="auto"/>
              </w:rPr>
            </w:pPr>
          </w:p>
        </w:tc>
      </w:tr>
      <w:tr>
        <w:trPr>
          <w:trHeight w:val="230"/>
        </w:trPr>
        <w:tc>
          <w:tcPr>
            <w:tcW w:w="5560" w:type="dxa"/>
            <w:vAlign w:val="bottom"/>
            <w:vMerge w:val="restart"/>
          </w:tcPr>
          <w:p>
            <w:pPr>
              <w:spacing w:after="0"/>
              <w:rPr>
                <w:sz w:val="20"/>
                <w:szCs w:val="20"/>
                <w:color w:val="auto"/>
              </w:rPr>
            </w:pPr>
            <w:r>
              <w:rPr>
                <w:rFonts w:ascii="Arial" w:cs="Arial" w:eastAsia="Arial" w:hAnsi="Arial"/>
                <w:sz w:val="18"/>
                <w:szCs w:val="18"/>
                <w:b w:val="1"/>
                <w:bCs w:val="1"/>
                <w:color w:val="auto"/>
              </w:rPr>
              <w:t>THE SIGNATURE(S) MUST BE GUARANTEED BY AN</w:t>
            </w:r>
          </w:p>
        </w:tc>
        <w:tc>
          <w:tcPr>
            <w:tcW w:w="5860" w:type="dxa"/>
            <w:vAlign w:val="bottom"/>
            <w:gridSpan w:val="2"/>
          </w:tcPr>
          <w:p>
            <w:pPr>
              <w:ind w:left="1100"/>
              <w:spacing w:after="0"/>
              <w:rPr>
                <w:sz w:val="20"/>
                <w:szCs w:val="20"/>
                <w:color w:val="auto"/>
              </w:rPr>
            </w:pPr>
            <w:r>
              <w:rPr>
                <w:rFonts w:ascii="Arial" w:cs="Arial" w:eastAsia="Arial" w:hAnsi="Arial"/>
                <w:sz w:val="18"/>
                <w:szCs w:val="18"/>
                <w:color w:val="auto"/>
              </w:rPr>
              <w:t>particular, without alteration, enlargement or change.</w:t>
            </w:r>
          </w:p>
        </w:tc>
        <w:tc>
          <w:tcPr>
            <w:tcW w:w="0" w:type="dxa"/>
            <w:vAlign w:val="bottom"/>
          </w:tcPr>
          <w:p>
            <w:pPr>
              <w:spacing w:after="0"/>
              <w:rPr>
                <w:sz w:val="1"/>
                <w:szCs w:val="1"/>
                <w:color w:val="auto"/>
              </w:rPr>
            </w:pPr>
          </w:p>
        </w:tc>
      </w:tr>
      <w:tr>
        <w:trPr>
          <w:trHeight w:val="216"/>
        </w:trPr>
        <w:tc>
          <w:tcPr>
            <w:tcW w:w="556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4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560" w:type="dxa"/>
            <w:vAlign w:val="bottom"/>
          </w:tcPr>
          <w:p>
            <w:pPr>
              <w:spacing w:after="0" w:line="178" w:lineRule="exact"/>
              <w:rPr>
                <w:sz w:val="20"/>
                <w:szCs w:val="20"/>
                <w:color w:val="auto"/>
              </w:rPr>
            </w:pPr>
            <w:r>
              <w:rPr>
                <w:rFonts w:ascii="Arial" w:cs="Arial" w:eastAsia="Arial" w:hAnsi="Arial"/>
                <w:sz w:val="18"/>
                <w:szCs w:val="18"/>
                <w:b w:val="1"/>
                <w:bCs w:val="1"/>
                <w:color w:val="auto"/>
              </w:rPr>
              <w:t>ELIGIBLE GUARANTOR INSTITUTION (BANKS,</w:t>
            </w:r>
          </w:p>
        </w:tc>
        <w:tc>
          <w:tcPr>
            <w:tcW w:w="1100" w:type="dxa"/>
            <w:vAlign w:val="bottom"/>
          </w:tcPr>
          <w:p>
            <w:pPr>
              <w:spacing w:after="0"/>
              <w:rPr>
                <w:sz w:val="15"/>
                <w:szCs w:val="15"/>
                <w:color w:val="auto"/>
              </w:rPr>
            </w:pPr>
          </w:p>
        </w:tc>
        <w:tc>
          <w:tcPr>
            <w:tcW w:w="4760" w:type="dxa"/>
            <w:vAlign w:val="bottom"/>
          </w:tcPr>
          <w:p>
            <w:pPr>
              <w:ind w:left="80"/>
              <w:spacing w:after="0" w:line="178" w:lineRule="exact"/>
              <w:rPr>
                <w:sz w:val="20"/>
                <w:szCs w:val="20"/>
                <w:color w:val="auto"/>
              </w:rPr>
            </w:pPr>
            <w:r>
              <w:rPr>
                <w:rFonts w:ascii="Arial" w:cs="Arial" w:eastAsia="Arial" w:hAnsi="Arial"/>
                <w:sz w:val="18"/>
                <w:szCs w:val="18"/>
                <w:color w:val="auto"/>
              </w:rPr>
              <w:t>(Signature)</w:t>
            </w:r>
          </w:p>
        </w:tc>
        <w:tc>
          <w:tcPr>
            <w:tcW w:w="0" w:type="dxa"/>
            <w:vAlign w:val="bottom"/>
          </w:tcPr>
          <w:p>
            <w:pPr>
              <w:spacing w:after="0"/>
              <w:rPr>
                <w:sz w:val="1"/>
                <w:szCs w:val="1"/>
                <w:color w:val="auto"/>
              </w:rPr>
            </w:pPr>
          </w:p>
        </w:tc>
      </w:tr>
      <w:tr>
        <w:trPr>
          <w:trHeight w:val="234"/>
        </w:trPr>
        <w:tc>
          <w:tcPr>
            <w:tcW w:w="5560" w:type="dxa"/>
            <w:vAlign w:val="bottom"/>
          </w:tcPr>
          <w:p>
            <w:pPr>
              <w:spacing w:after="0"/>
              <w:rPr>
                <w:sz w:val="20"/>
                <w:szCs w:val="20"/>
                <w:color w:val="auto"/>
              </w:rPr>
            </w:pPr>
            <w:r>
              <w:rPr>
                <w:rFonts w:ascii="Arial" w:cs="Arial" w:eastAsia="Arial" w:hAnsi="Arial"/>
                <w:sz w:val="18"/>
                <w:szCs w:val="18"/>
                <w:b w:val="1"/>
                <w:bCs w:val="1"/>
                <w:color w:val="auto"/>
              </w:rPr>
              <w:t>STOCKBROKERS, SAVINGS AND LOAN ASSOCIATIONS AND</w:t>
            </w:r>
          </w:p>
        </w:tc>
        <w:tc>
          <w:tcPr>
            <w:tcW w:w="110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341" w:right="199" w:bottom="0" w:gutter="0" w:footer="0" w:header="0"/>
        </w:sectPr>
      </w:pPr>
    </w:p>
    <w:bookmarkStart w:id="56" w:name="page57"/>
    <w:bookmarkEnd w:id="56"/>
    <w:p>
      <w:pPr>
        <w:ind w:right="5420"/>
        <w:spacing w:after="0" w:line="257" w:lineRule="auto"/>
        <w:rPr>
          <w:sz w:val="20"/>
          <w:szCs w:val="20"/>
          <w:color w:val="auto"/>
        </w:rPr>
      </w:pPr>
      <w:r>
        <w:rPr>
          <w:rFonts w:ascii="Arial" w:cs="Arial" w:eastAsia="Arial" w:hAnsi="Arial"/>
          <w:sz w:val="18"/>
          <w:szCs w:val="18"/>
          <w:b w:val="1"/>
          <w:bCs w:val="1"/>
          <w:color w:val="auto"/>
        </w:rPr>
        <w:t>CREDIT UNIONS WITH MEMBERSHIP IN AN APPROVED SIGNATURE GUARANTEE MEDALLION PROGRAM), PURSUANT TO S.E.C. RULE 17Ad-15</w:t>
      </w:r>
    </w:p>
    <w:p>
      <w:pPr>
        <w:spacing w:after="0" w:line="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-130810</wp:posOffset>
            </wp:positionV>
            <wp:extent cx="302704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204"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No transfer of the Series B Preference Units evidenced hereby will be registered on the books of the Partnership, unless the Certificate evidencing the Series B Preference Units to be transferred is surrendered for registration or transfer.</w:t>
      </w:r>
    </w:p>
    <w:p>
      <w:pPr>
        <w:spacing w:after="0" w:line="17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80"/>
          </w:cols>
          <w:pgMar w:left="240" w:top="121" w:right="67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Partners LP Announces Closing of its Public Offering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4,600,000 8.200% Series B Cumulative Redeemable Perpetual Fixed to Floating Rate Preference Units</w:t>
      </w:r>
    </w:p>
    <w:p>
      <w:pPr>
        <w:spacing w:after="0" w:line="21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MONACO, January 17, 2018 — GasLog Partners LP (“GasLog Partners”, the “Partnership” or “we”) (NYSE: GLOP) announced today the closing of its public offering of 4,600,000 8.200% Series B Cumulative Redeemable Perpetual Fixed to Floating Rate Preference Units, liquidation preference $25.00 per unit (the “Series B Preference Units”) at a price to the public of $25.00 per unit, including 600,000 units issued upon the exercise in full by the underwriters of their option to purchase additional Series B Preference Units. The net proceeds from the offering, after deducting underwriting discounts and other offering expenses, were approximately $111.0 million. The Series B Preference Units will be listed on the New York Stock Exchange under the symbol GLOP PR B.</w:t>
      </w:r>
    </w:p>
    <w:p>
      <w:pPr>
        <w:spacing w:after="0" w:line="19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Partnership plans to use the net proceeds from the public offering for general partnership purposes, which may include future acquisitions, debt repayment, capital expenditures and additions to working capital. We currently expect that this will include future acquisitions from GasLog Ltd., our parent (“GasLog”).</w:t>
      </w:r>
    </w:p>
    <w:p>
      <w:pPr>
        <w:spacing w:after="0" w:line="18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Morgan Stanley, UBS Investment Bank, Stifel and Citigroup acted as joint book-runners for the offering and Credit Suisse acted as co-manager for the offering.</w:t>
      </w:r>
    </w:p>
    <w:p>
      <w:pPr>
        <w:spacing w:after="0" w:line="170"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The offering was made only by means of a prospectus. A copy of the prospectus relating to the offering may be obtained from Morgan Stanley &amp; Co. LLC, Attention: Prospectus Department, 180 Varick Street, 2nd Floor, New York, New York 10014, telephone: 1-866-718-1649, UBS Securities LLC, Attention: Prospectus Specialist, 1285 Avenue of the Americas, New York, New York 10019, telephone: (888) 827-7275, Stifel, Nicolaus &amp; Company, Incorporated, Attention: Syndicate Department, One South Street, 15th Floor, Baltimore, MD 21202, telephone: (855) 300-7136, email: syndprospectus@stifel.com and Citigroup Global Markets Inc., c/o Broadridge Financial Solutions, 1155 Long Island Avenue, Edgewood, NY 11717, telephone: (800) 831-9146.</w:t>
      </w:r>
    </w:p>
    <w:p>
      <w:pPr>
        <w:spacing w:after="0" w:line="158"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 registration statement relating to these securities was declared effective by the U.S. Securities and Exchange Commission on October 10, 2017. This press release does not constitute an offer to sell or the solicitation of an offer to buy securities, and shall not constitute an offer, solicitation or sale in any jurisdiction in which such offer, solicitation or sale would be unlawful prior to registration or qualification under the securities laws of that jurisdiction.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GasLog Partners is a growth-oriented master limited partnership focused on owning, operating and acquiring LNG carriers under multi-year charters. GasLog Partners’ fleet consists of twelve LNG carriers with an average carrying capacity of approximately 154,000 cbm. GasLog Partners’ principal executive offices are located at Gildo Pastor Center, 7 Rue du Gabian, MC 98000, Monaco.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Securities and Exchange Commission, or the “SEC”, other information sent to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security holders, and other written materials.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520" w:right="300" w:hanging="188"/>
        <w:spacing w:after="0" w:line="277" w:lineRule="auto"/>
        <w:tabs>
          <w:tab w:leader="none" w:pos="479" w:val="left"/>
        </w:tabs>
        <w:numPr>
          <w:ilvl w:val="0"/>
          <w:numId w:val="132"/>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long-term charter rates, ship values, factors affecting supply and demand of LNG and LNG shipping, technological advancements and opportunities for the profitable operations of LNG carriers;</w:t>
      </w:r>
    </w:p>
    <w:p>
      <w:pPr>
        <w:spacing w:after="0" w:line="170" w:lineRule="exact"/>
        <w:rPr>
          <w:rFonts w:ascii="Arial" w:cs="Arial" w:eastAsia="Arial" w:hAnsi="Arial"/>
          <w:sz w:val="18"/>
          <w:szCs w:val="18"/>
          <w:color w:val="auto"/>
        </w:rPr>
      </w:pPr>
    </w:p>
    <w:p>
      <w:pPr>
        <w:ind w:left="480" w:hanging="148"/>
        <w:spacing w:after="0"/>
        <w:tabs>
          <w:tab w:leader="none" w:pos="4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fluctuations in charter hire rates and vessel values;</w:t>
      </w:r>
    </w:p>
    <w:p>
      <w:pPr>
        <w:spacing w:after="0" w:line="225" w:lineRule="exact"/>
        <w:rPr>
          <w:rFonts w:ascii="Arial" w:cs="Arial" w:eastAsia="Arial" w:hAnsi="Arial"/>
          <w:sz w:val="18"/>
          <w:szCs w:val="18"/>
          <w:color w:val="auto"/>
        </w:rPr>
      </w:pPr>
    </w:p>
    <w:p>
      <w:pPr>
        <w:ind w:left="480" w:hanging="148"/>
        <w:spacing w:after="0"/>
        <w:tabs>
          <w:tab w:leader="none" w:pos="4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dry-docking and insurance costs and bunkers costs;</w:t>
      </w:r>
    </w:p>
    <w:p>
      <w:pPr>
        <w:spacing w:after="0" w:line="225" w:lineRule="exact"/>
        <w:rPr>
          <w:rFonts w:ascii="Arial" w:cs="Arial" w:eastAsia="Arial" w:hAnsi="Arial"/>
          <w:sz w:val="18"/>
          <w:szCs w:val="18"/>
          <w:color w:val="auto"/>
        </w:rPr>
      </w:pPr>
    </w:p>
    <w:p>
      <w:pPr>
        <w:ind w:left="460" w:hanging="128"/>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number of off-hire days, dry-docking requirements;</w:t>
      </w:r>
    </w:p>
    <w:p>
      <w:pPr>
        <w:spacing w:after="0" w:line="225" w:lineRule="exact"/>
        <w:rPr>
          <w:rFonts w:ascii="Arial" w:cs="Arial" w:eastAsia="Arial" w:hAnsi="Arial"/>
          <w:sz w:val="18"/>
          <w:szCs w:val="18"/>
          <w:color w:val="auto"/>
        </w:rPr>
      </w:pPr>
    </w:p>
    <w:p>
      <w:pPr>
        <w:ind w:left="480" w:hanging="148"/>
        <w:spacing w:after="0"/>
        <w:tabs>
          <w:tab w:leader="none" w:pos="4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expenses;</w:t>
      </w:r>
    </w:p>
    <w:p>
      <w:pPr>
        <w:spacing w:after="0" w:line="225" w:lineRule="exact"/>
        <w:rPr>
          <w:rFonts w:ascii="Arial" w:cs="Arial" w:eastAsia="Arial" w:hAnsi="Arial"/>
          <w:sz w:val="18"/>
          <w:szCs w:val="18"/>
          <w:color w:val="auto"/>
        </w:rPr>
      </w:pPr>
    </w:p>
    <w:p>
      <w:pPr>
        <w:ind w:left="500" w:right="220" w:hanging="168"/>
        <w:spacing w:after="0" w:line="264" w:lineRule="auto"/>
        <w:tabs>
          <w:tab w:leader="none" w:pos="46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no longer under long-term charter commitments, including the risk that our vessels may no longer have the latest technology at such time which may impact the rate at which we can charter such vessels;</w:t>
      </w:r>
    </w:p>
    <w:p>
      <w:pPr>
        <w:spacing w:after="0" w:line="181" w:lineRule="exact"/>
        <w:rPr>
          <w:rFonts w:ascii="Arial" w:cs="Arial" w:eastAsia="Arial" w:hAnsi="Arial"/>
          <w:sz w:val="18"/>
          <w:szCs w:val="18"/>
          <w:color w:val="auto"/>
        </w:rPr>
      </w:pPr>
    </w:p>
    <w:p>
      <w:pPr>
        <w:ind w:left="460" w:hanging="128"/>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our ability to enter into time charters with new and existing customers;</w:t>
      </w:r>
    </w:p>
    <w:p>
      <w:pPr>
        <w:spacing w:after="0" w:line="225" w:lineRule="exact"/>
        <w:rPr>
          <w:rFonts w:ascii="Arial" w:cs="Arial" w:eastAsia="Arial" w:hAnsi="Arial"/>
          <w:sz w:val="18"/>
          <w:szCs w:val="18"/>
          <w:color w:val="auto"/>
        </w:rPr>
      </w:pPr>
    </w:p>
    <w:p>
      <w:pPr>
        <w:ind w:left="460" w:hanging="128"/>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continued low prices for crude oil and petroleum products and natural gas;</w:t>
      </w:r>
    </w:p>
    <w:p>
      <w:pPr>
        <w:spacing w:after="0" w:line="225" w:lineRule="exact"/>
        <w:rPr>
          <w:rFonts w:ascii="Arial" w:cs="Arial" w:eastAsia="Arial" w:hAnsi="Arial"/>
          <w:sz w:val="18"/>
          <w:szCs w:val="18"/>
          <w:color w:val="auto"/>
        </w:rPr>
      </w:pPr>
    </w:p>
    <w:p>
      <w:pPr>
        <w:ind w:left="460" w:hanging="128"/>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our ability to leverage GasLog’s relationships and reputation in the shipping industry;</w:t>
      </w:r>
    </w:p>
    <w:p>
      <w:pPr>
        <w:sectPr>
          <w:pgSz w:w="11900" w:h="16838" w:orient="portrait"/>
          <w:cols w:equalWidth="0" w:num="1">
            <w:col w:w="11420"/>
          </w:cols>
          <w:pgMar w:left="240" w:top="121" w:right="239" w:bottom="0" w:gutter="0" w:footer="0" w:header="0"/>
        </w:sectPr>
      </w:pPr>
    </w:p>
    <w:bookmarkStart w:id="58" w:name="page59"/>
    <w:bookmarkEnd w:id="58"/>
    <w:p>
      <w:pPr>
        <w:ind w:left="480" w:hanging="148"/>
        <w:spacing w:after="0"/>
        <w:tabs>
          <w:tab w:leader="none" w:pos="4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225" w:lineRule="exact"/>
        <w:rPr>
          <w:rFonts w:ascii="Arial" w:cs="Arial" w:eastAsia="Arial" w:hAnsi="Arial"/>
          <w:sz w:val="18"/>
          <w:szCs w:val="18"/>
          <w:color w:val="auto"/>
        </w:rPr>
      </w:pPr>
    </w:p>
    <w:p>
      <w:pPr>
        <w:ind w:left="480" w:hanging="148"/>
        <w:spacing w:after="0"/>
        <w:tabs>
          <w:tab w:leader="none" w:pos="4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225" w:lineRule="exact"/>
        <w:rPr>
          <w:rFonts w:ascii="Arial" w:cs="Arial" w:eastAsia="Arial" w:hAnsi="Arial"/>
          <w:sz w:val="18"/>
          <w:szCs w:val="18"/>
          <w:color w:val="auto"/>
        </w:rPr>
      </w:pPr>
    </w:p>
    <w:p>
      <w:pPr>
        <w:ind w:left="480" w:hanging="148"/>
        <w:spacing w:after="0"/>
        <w:tabs>
          <w:tab w:leader="none" w:pos="4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dividends and distributions;</w:t>
      </w:r>
    </w:p>
    <w:p>
      <w:pPr>
        <w:spacing w:after="0" w:line="225" w:lineRule="exact"/>
        <w:rPr>
          <w:rFonts w:ascii="Arial" w:cs="Arial" w:eastAsia="Arial" w:hAnsi="Arial"/>
          <w:sz w:val="18"/>
          <w:szCs w:val="18"/>
          <w:color w:val="auto"/>
        </w:rPr>
      </w:pPr>
    </w:p>
    <w:p>
      <w:pPr>
        <w:ind w:left="480" w:hanging="148"/>
        <w:spacing w:after="0"/>
        <w:tabs>
          <w:tab w:leader="none" w:pos="4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our ability to purchase vessels from GasLog in the future;</w:t>
      </w:r>
    </w:p>
    <w:p>
      <w:pPr>
        <w:spacing w:after="0" w:line="225" w:lineRule="exact"/>
        <w:rPr>
          <w:rFonts w:ascii="Arial" w:cs="Arial" w:eastAsia="Arial" w:hAnsi="Arial"/>
          <w:sz w:val="18"/>
          <w:szCs w:val="18"/>
          <w:color w:val="auto"/>
        </w:rPr>
      </w:pPr>
    </w:p>
    <w:p>
      <w:pPr>
        <w:ind w:left="520" w:right="360" w:hanging="188"/>
        <w:spacing w:after="0" w:line="264" w:lineRule="auto"/>
        <w:tabs>
          <w:tab w:leader="none" w:pos="47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funding by GasLog of the revolving credit facility with GasLog entered into on April 3, 2017 and our ability to meet our restrictive covenants and other obligations under our credit facilities;</w:t>
      </w:r>
    </w:p>
    <w:p>
      <w:pPr>
        <w:spacing w:after="0" w:line="181" w:lineRule="exact"/>
        <w:rPr>
          <w:rFonts w:ascii="Arial" w:cs="Arial" w:eastAsia="Arial" w:hAnsi="Arial"/>
          <w:sz w:val="18"/>
          <w:szCs w:val="18"/>
          <w:color w:val="auto"/>
        </w:rPr>
      </w:pPr>
    </w:p>
    <w:p>
      <w:pPr>
        <w:ind w:left="520" w:right="40" w:hanging="188"/>
        <w:spacing w:after="0" w:line="277" w:lineRule="auto"/>
        <w:tabs>
          <w:tab w:leader="none" w:pos="47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future, pending or recent acquisitions of ships or other assets, business strategy, areas of possible expansion and expected capital spending or operating expenses;</w:t>
      </w:r>
    </w:p>
    <w:p>
      <w:pPr>
        <w:spacing w:after="0" w:line="170" w:lineRule="exact"/>
        <w:rPr>
          <w:rFonts w:ascii="Arial" w:cs="Arial" w:eastAsia="Arial" w:hAnsi="Arial"/>
          <w:sz w:val="18"/>
          <w:szCs w:val="18"/>
          <w:color w:val="auto"/>
        </w:rPr>
      </w:pPr>
    </w:p>
    <w:p>
      <w:pPr>
        <w:ind w:left="520" w:hanging="188"/>
        <w:spacing w:after="0" w:line="342" w:lineRule="auto"/>
        <w:tabs>
          <w:tab w:leader="none" w:pos="479"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123" w:lineRule="exact"/>
        <w:rPr>
          <w:rFonts w:ascii="Arial" w:cs="Arial" w:eastAsia="Arial" w:hAnsi="Arial"/>
          <w:sz w:val="16"/>
          <w:szCs w:val="16"/>
          <w:color w:val="auto"/>
        </w:rPr>
      </w:pPr>
    </w:p>
    <w:p>
      <w:pPr>
        <w:ind w:left="480" w:hanging="148"/>
        <w:spacing w:after="0"/>
        <w:tabs>
          <w:tab w:leader="none" w:pos="4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225" w:lineRule="exact"/>
        <w:rPr>
          <w:rFonts w:ascii="Arial" w:cs="Arial" w:eastAsia="Arial" w:hAnsi="Arial"/>
          <w:sz w:val="18"/>
          <w:szCs w:val="18"/>
          <w:color w:val="auto"/>
        </w:rPr>
      </w:pPr>
    </w:p>
    <w:p>
      <w:pPr>
        <w:ind w:left="480" w:hanging="148"/>
        <w:spacing w:after="0"/>
        <w:tabs>
          <w:tab w:leader="none" w:pos="4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GasLog’s ability to retain key employees and provide services to us, and the availability of skilled labor, ship crews and management;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480" w:hanging="148"/>
        <w:spacing w:after="0"/>
        <w:tabs>
          <w:tab w:leader="none" w:pos="4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225" w:lineRule="exact"/>
        <w:rPr>
          <w:rFonts w:ascii="Arial" w:cs="Arial" w:eastAsia="Arial" w:hAnsi="Arial"/>
          <w:sz w:val="18"/>
          <w:szCs w:val="18"/>
          <w:color w:val="auto"/>
        </w:rPr>
      </w:pPr>
    </w:p>
    <w:p>
      <w:pPr>
        <w:ind w:left="480" w:hanging="148"/>
        <w:spacing w:after="0"/>
        <w:tabs>
          <w:tab w:leader="none" w:pos="4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25" w:lineRule="exact"/>
        <w:rPr>
          <w:rFonts w:ascii="Arial" w:cs="Arial" w:eastAsia="Arial" w:hAnsi="Arial"/>
          <w:sz w:val="18"/>
          <w:szCs w:val="18"/>
          <w:color w:val="auto"/>
        </w:rPr>
      </w:pPr>
    </w:p>
    <w:p>
      <w:pPr>
        <w:ind w:left="480" w:hanging="148"/>
        <w:spacing w:after="0"/>
        <w:tabs>
          <w:tab w:leader="none" w:pos="4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our business strategy and other plans and objectives for future operations;</w:t>
      </w:r>
    </w:p>
    <w:p>
      <w:pPr>
        <w:spacing w:after="0" w:line="225" w:lineRule="exact"/>
        <w:rPr>
          <w:rFonts w:ascii="Arial" w:cs="Arial" w:eastAsia="Arial" w:hAnsi="Arial"/>
          <w:sz w:val="18"/>
          <w:szCs w:val="18"/>
          <w:color w:val="auto"/>
        </w:rPr>
      </w:pPr>
    </w:p>
    <w:p>
      <w:pPr>
        <w:ind w:left="520" w:right="260" w:hanging="188"/>
        <w:spacing w:after="0" w:line="277" w:lineRule="auto"/>
        <w:tabs>
          <w:tab w:leader="none" w:pos="47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spacing w:after="0" w:line="170" w:lineRule="exact"/>
        <w:rPr>
          <w:rFonts w:ascii="Arial" w:cs="Arial" w:eastAsia="Arial" w:hAnsi="Arial"/>
          <w:sz w:val="18"/>
          <w:szCs w:val="18"/>
          <w:color w:val="auto"/>
        </w:rPr>
      </w:pPr>
    </w:p>
    <w:p>
      <w:pPr>
        <w:ind w:left="520" w:right="200" w:hanging="188"/>
        <w:spacing w:after="0" w:line="277" w:lineRule="auto"/>
        <w:tabs>
          <w:tab w:leader="none" w:pos="47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other risks and uncertainties described in the Partnership’s Annual Report on Form 20-F filed with the SEC on February 13, 2017 and the prospectus supplement filed with the SEC on January 9, 2018, both available at http://www.sec.gov.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-1916430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undertake no obligation to update or revise any forward-looking statements contained in this press release, whether as a result of new information, future events, a change in our views or 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Alastair Maxwell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+1-212-223-0643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34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48EAA1"/>
    <w:multiLevelType w:val="hybridMultilevel"/>
    <w:lvl w:ilvl="0">
      <w:lvlJc w:val="left"/>
      <w:lvlText w:val="(%1)"/>
      <w:numFmt w:val="lowerRoman"/>
      <w:start w:val="1"/>
    </w:lvl>
  </w:abstractNum>
  <w:abstractNum w:abstractNumId="1">
    <w:nsid w:val="1381823A"/>
    <w:multiLevelType w:val="hybridMultilevel"/>
    <w:lvl w:ilvl="0">
      <w:lvlJc w:val="left"/>
      <w:lvlText w:val="(%1)"/>
      <w:numFmt w:val="lowerLetter"/>
      <w:start w:val="1"/>
    </w:lvl>
  </w:abstractNum>
  <w:abstractNum w:abstractNumId="2">
    <w:nsid w:val="5DB70AE5"/>
    <w:multiLevelType w:val="hybridMultilevel"/>
    <w:lvl w:ilvl="0">
      <w:lvlJc w:val="left"/>
      <w:lvlText w:val="(%1)"/>
      <w:numFmt w:val="lowerLetter"/>
      <w:start w:val="2"/>
    </w:lvl>
  </w:abstractNum>
  <w:abstractNum w:abstractNumId="3">
    <w:nsid w:val="100F8FCA"/>
    <w:multiLevelType w:val="hybridMultilevel"/>
    <w:lvl w:ilvl="0">
      <w:lvlJc w:val="left"/>
      <w:lvlText w:val="(%1)"/>
      <w:numFmt w:val="lowerLetter"/>
      <w:start w:val="1"/>
    </w:lvl>
  </w:abstractNum>
  <w:abstractNum w:abstractNumId="4">
    <w:nsid w:val="6590700B"/>
    <w:multiLevelType w:val="hybridMultilevel"/>
    <w:lvl w:ilvl="0">
      <w:lvlJc w:val="left"/>
      <w:lvlText w:val="(%1)"/>
      <w:numFmt w:val="lowerLetter"/>
      <w:start w:val="2"/>
    </w:lvl>
  </w:abstractNum>
  <w:abstractNum w:abstractNumId="5">
    <w:nsid w:val="15014ACB"/>
    <w:multiLevelType w:val="hybridMultilevel"/>
    <w:lvl w:ilvl="0">
      <w:lvlJc w:val="left"/>
      <w:lvlText w:val="(%1)"/>
      <w:numFmt w:val="lowerLetter"/>
      <w:start w:val="1"/>
    </w:lvl>
  </w:abstractNum>
  <w:abstractNum w:abstractNumId="6">
    <w:nsid w:val="5F5E7FD0"/>
    <w:multiLevelType w:val="hybridMultilevel"/>
    <w:lvl w:ilvl="0">
      <w:lvlJc w:val="left"/>
      <w:lvlText w:val="(%1)"/>
      <w:numFmt w:val="lowerLetter"/>
      <w:start w:val="2"/>
    </w:lvl>
  </w:abstractNum>
  <w:abstractNum w:abstractNumId="7">
    <w:nsid w:val="98A3148"/>
    <w:multiLevelType w:val="hybridMultilevel"/>
    <w:lvl w:ilvl="0">
      <w:lvlJc w:val="left"/>
      <w:lvlText w:val="(%1)"/>
      <w:numFmt w:val="lowerLetter"/>
      <w:start w:val="4"/>
    </w:lvl>
  </w:abstractNum>
  <w:abstractNum w:abstractNumId="8">
    <w:nsid w:val="799D0247"/>
    <w:multiLevelType w:val="hybridMultilevel"/>
    <w:lvl w:ilvl="0">
      <w:lvlJc w:val="left"/>
      <w:lvlText w:val="(%1)"/>
      <w:numFmt w:val="lowerRoman"/>
      <w:start w:val="1"/>
    </w:lvl>
  </w:abstractNum>
  <w:abstractNum w:abstractNumId="9">
    <w:nsid w:val="6B94764"/>
    <w:multiLevelType w:val="hybridMultilevel"/>
    <w:lvl w:ilvl="0">
      <w:lvlJc w:val="left"/>
      <w:lvlText w:val="(%1)"/>
      <w:numFmt w:val="lowerRoman"/>
      <w:start w:val="2"/>
    </w:lvl>
  </w:abstractNum>
  <w:abstractNum w:abstractNumId="10">
    <w:nsid w:val="42C296BD"/>
    <w:multiLevelType w:val="hybridMultilevel"/>
    <w:lvl w:ilvl="0">
      <w:lvlJc w:val="left"/>
      <w:lvlText w:val="(%1)"/>
      <w:numFmt w:val="lowerLetter"/>
      <w:start w:val="2"/>
    </w:lvl>
  </w:abstractNum>
  <w:abstractNum w:abstractNumId="11">
    <w:nsid w:val="168E121F"/>
    <w:multiLevelType w:val="hybridMultilevel"/>
    <w:lvl w:ilvl="0">
      <w:lvlJc w:val="left"/>
      <w:lvlText w:val="(%1)"/>
      <w:numFmt w:val="lowerLetter"/>
      <w:start w:val="2"/>
    </w:lvl>
  </w:abstractNum>
  <w:abstractNum w:abstractNumId="12">
    <w:nsid w:val="1EBA5D23"/>
    <w:multiLevelType w:val="hybridMultilevel"/>
    <w:lvl w:ilvl="0">
      <w:lvlJc w:val="left"/>
      <w:lvlText w:val="(%1)"/>
      <w:numFmt w:val="lowerRoman"/>
      <w:start w:val="1"/>
    </w:lvl>
  </w:abstractNum>
  <w:abstractNum w:abstractNumId="13">
    <w:nsid w:val="661E3F1E"/>
    <w:multiLevelType w:val="hybridMultilevel"/>
    <w:lvl w:ilvl="0">
      <w:lvlJc w:val="left"/>
      <w:lvlText w:val="(%1)"/>
      <w:numFmt w:val="lowerLetter"/>
      <w:start w:val="3"/>
    </w:lvl>
  </w:abstractNum>
  <w:abstractNum w:abstractNumId="14">
    <w:nsid w:val="5DC79EA8"/>
    <w:multiLevelType w:val="hybridMultilevel"/>
    <w:lvl w:ilvl="0">
      <w:lvlJc w:val="left"/>
      <w:lvlText w:val="(%1)"/>
      <w:numFmt w:val="lowerLetter"/>
      <w:start w:val="2"/>
    </w:lvl>
  </w:abstractNum>
  <w:abstractNum w:abstractNumId="15">
    <w:nsid w:val="540A471C"/>
    <w:multiLevelType w:val="hybridMultilevel"/>
    <w:lvl w:ilvl="0">
      <w:lvlJc w:val="left"/>
      <w:lvlText w:val="(%1)"/>
      <w:numFmt w:val="lowerLetter"/>
      <w:start w:val="2"/>
    </w:lvl>
  </w:abstractNum>
  <w:abstractNum w:abstractNumId="16">
    <w:nsid w:val="7BD3EE7B"/>
    <w:multiLevelType w:val="hybridMultilevel"/>
    <w:lvl w:ilvl="0">
      <w:lvlJc w:val="left"/>
      <w:lvlText w:val="(%1)"/>
      <w:numFmt w:val="lowerLetter"/>
      <w:start w:val="2"/>
    </w:lvl>
  </w:abstractNum>
  <w:abstractNum w:abstractNumId="17">
    <w:nsid w:val="51D9C564"/>
    <w:multiLevelType w:val="hybridMultilevel"/>
    <w:lvl w:ilvl="0">
      <w:lvlJc w:val="left"/>
      <w:lvlText w:val="(%1)"/>
      <w:numFmt w:val="lowerLetter"/>
      <w:start w:val="2"/>
    </w:lvl>
  </w:abstractNum>
  <w:abstractNum w:abstractNumId="18">
    <w:nsid w:val="613EFDC5"/>
    <w:multiLevelType w:val="hybridMultilevel"/>
    <w:lvl w:ilvl="0">
      <w:lvlJc w:val="left"/>
      <w:lvlText w:val="(%1)"/>
      <w:numFmt w:val="lowerLetter"/>
      <w:start w:val="2"/>
    </w:lvl>
  </w:abstractNum>
  <w:abstractNum w:abstractNumId="19">
    <w:nsid w:val="BF72B14"/>
    <w:multiLevelType w:val="hybridMultilevel"/>
    <w:lvl w:ilvl="0">
      <w:lvlJc w:val="left"/>
      <w:lvlText w:val="(%1)"/>
      <w:numFmt w:val="lowerLetter"/>
      <w:start w:val="4"/>
    </w:lvl>
  </w:abstractNum>
  <w:abstractNum w:abstractNumId="20">
    <w:nsid w:val="11447B73"/>
    <w:multiLevelType w:val="hybridMultilevel"/>
    <w:lvl w:ilvl="0">
      <w:lvlJc w:val="left"/>
      <w:lvlText w:val="(%1)"/>
      <w:numFmt w:val="lowerLetter"/>
      <w:start w:val="2"/>
    </w:lvl>
  </w:abstractNum>
  <w:abstractNum w:abstractNumId="21">
    <w:nsid w:val="42963E5A"/>
    <w:multiLevelType w:val="hybridMultilevel"/>
    <w:lvl w:ilvl="0">
      <w:lvlJc w:val="left"/>
      <w:lvlText w:val="(%1)"/>
      <w:numFmt w:val="lowerLetter"/>
      <w:start w:val="3"/>
    </w:lvl>
  </w:abstractNum>
  <w:abstractNum w:abstractNumId="22">
    <w:nsid w:val="A0382C5"/>
    <w:multiLevelType w:val="hybridMultilevel"/>
    <w:lvl w:ilvl="0">
      <w:lvlJc w:val="left"/>
      <w:lvlText w:val="(%1)"/>
      <w:numFmt w:val="lowerRoman"/>
      <w:start w:val="3"/>
    </w:lvl>
  </w:abstractNum>
  <w:abstractNum w:abstractNumId="23">
    <w:nsid w:val="8F2B15E"/>
    <w:multiLevelType w:val="hybridMultilevel"/>
    <w:lvl w:ilvl="0">
      <w:lvlJc w:val="left"/>
      <w:lvlText w:val="(%1)"/>
      <w:numFmt w:val="lowerLetter"/>
      <w:start w:val="2"/>
    </w:lvl>
  </w:abstractNum>
  <w:abstractNum w:abstractNumId="24">
    <w:nsid w:val="1A32234B"/>
    <w:multiLevelType w:val="hybridMultilevel"/>
    <w:lvl w:ilvl="0">
      <w:lvlJc w:val="left"/>
      <w:lvlText w:val="(%1)"/>
      <w:numFmt w:val="lowerLetter"/>
      <w:start w:val="2"/>
    </w:lvl>
  </w:abstractNum>
  <w:abstractNum w:abstractNumId="25">
    <w:nsid w:val="3B0FD379"/>
    <w:multiLevelType w:val="hybridMultilevel"/>
    <w:lvl w:ilvl="0">
      <w:lvlJc w:val="left"/>
      <w:lvlText w:val="(%1)"/>
      <w:numFmt w:val="lowerLetter"/>
      <w:start w:val="2"/>
    </w:lvl>
  </w:abstractNum>
  <w:abstractNum w:abstractNumId="26">
    <w:nsid w:val="68EB2F63"/>
    <w:multiLevelType w:val="hybridMultilevel"/>
    <w:lvl w:ilvl="0">
      <w:lvlJc w:val="left"/>
      <w:lvlText w:val="(%1)"/>
      <w:numFmt w:val="lowerLetter"/>
      <w:start w:val="4"/>
    </w:lvl>
  </w:abstractNum>
  <w:abstractNum w:abstractNumId="27">
    <w:nsid w:val="4962813B"/>
    <w:multiLevelType w:val="hybridMultilevel"/>
    <w:lvl w:ilvl="0">
      <w:lvlJc w:val="left"/>
      <w:lvlText w:val="(%1)"/>
      <w:numFmt w:val="lowerLetter"/>
      <w:start w:val="2"/>
    </w:lvl>
  </w:abstractNum>
  <w:abstractNum w:abstractNumId="28">
    <w:nsid w:val="60B6DF70"/>
    <w:multiLevelType w:val="hybridMultilevel"/>
    <w:lvl w:ilvl="0">
      <w:lvlJc w:val="left"/>
      <w:lvlText w:val="(%1)"/>
      <w:numFmt w:val="lowerLetter"/>
      <w:start w:val="1"/>
    </w:lvl>
  </w:abstractNum>
  <w:abstractNum w:abstractNumId="29">
    <w:nsid w:val="6A5EE64"/>
    <w:multiLevelType w:val="hybridMultilevel"/>
    <w:lvl w:ilvl="0">
      <w:lvlJc w:val="left"/>
      <w:lvlText w:val="(%1)"/>
      <w:numFmt w:val="lowerLetter"/>
      <w:start w:val="2"/>
    </w:lvl>
  </w:abstractNum>
  <w:abstractNum w:abstractNumId="30">
    <w:nsid w:val="14330624"/>
    <w:multiLevelType w:val="hybridMultilevel"/>
    <w:lvl w:ilvl="0">
      <w:lvlJc w:val="left"/>
      <w:lvlText w:val="(%1)"/>
      <w:numFmt w:val="lowerRoman"/>
      <w:start w:val="1"/>
    </w:lvl>
  </w:abstractNum>
  <w:abstractNum w:abstractNumId="31">
    <w:nsid w:val="7FFFCA11"/>
    <w:multiLevelType w:val="hybridMultilevel"/>
    <w:lvl w:ilvl="0">
      <w:lvlJc w:val="left"/>
      <w:lvlText w:val="%1"/>
      <w:numFmt w:val="upperLetter"/>
      <w:start w:val="35"/>
    </w:lvl>
    <w:lvl w:ilvl="1">
      <w:lvlJc w:val="left"/>
      <w:lvlText w:val="(%2)"/>
      <w:numFmt w:val="lowerLetter"/>
      <w:start w:val="2"/>
    </w:lvl>
  </w:abstractNum>
  <w:abstractNum w:abstractNumId="32">
    <w:nsid w:val="1A27709E"/>
    <w:multiLevelType w:val="hybridMultilevel"/>
    <w:lvl w:ilvl="0">
      <w:lvlJc w:val="left"/>
      <w:lvlText w:val="%1"/>
      <w:numFmt w:val="lowerLetter"/>
      <w:start w:val="1"/>
    </w:lvl>
    <w:lvl w:ilvl="1">
      <w:lvlJc w:val="left"/>
      <w:lvlText w:val="(%2)"/>
      <w:numFmt w:val="lowerLetter"/>
      <w:start w:val="3"/>
    </w:lvl>
  </w:abstractNum>
  <w:abstractNum w:abstractNumId="33">
    <w:nsid w:val="71EA1109"/>
    <w:multiLevelType w:val="hybridMultilevel"/>
    <w:lvl w:ilvl="0">
      <w:lvlJc w:val="left"/>
      <w:lvlText w:val="(%1)"/>
      <w:numFmt w:val="lowerLetter"/>
      <w:start w:val="35"/>
    </w:lvl>
    <w:lvl w:ilvl="1">
      <w:lvlJc w:val="left"/>
      <w:lvlText w:val="(%2)"/>
      <w:numFmt w:val="lowerLetter"/>
      <w:start w:val="5"/>
    </w:lvl>
  </w:abstractNum>
  <w:abstractNum w:abstractNumId="34">
    <w:nsid w:val="100F59DC"/>
    <w:multiLevelType w:val="hybridMultilevel"/>
    <w:lvl w:ilvl="0">
      <w:lvlJc w:val="left"/>
      <w:lvlText w:val="(%1)"/>
      <w:numFmt w:val="lowerLetter"/>
      <w:start w:val="7"/>
    </w:lvl>
  </w:abstractNum>
  <w:abstractNum w:abstractNumId="35">
    <w:nsid w:val="7FB7E0AA"/>
    <w:multiLevelType w:val="hybridMultilevel"/>
    <w:lvl w:ilvl="0">
      <w:lvlJc w:val="left"/>
      <w:lvlText w:val="%1"/>
      <w:numFmt w:val="lowerLetter"/>
      <w:start w:val="1"/>
    </w:lvl>
    <w:lvl w:ilvl="1">
      <w:lvlJc w:val="left"/>
      <w:lvlText w:val="(%2)"/>
      <w:numFmt w:val="lowerLetter"/>
      <w:start w:val="1"/>
    </w:lvl>
  </w:abstractNum>
  <w:abstractNum w:abstractNumId="36">
    <w:nsid w:val="6EB5BD4"/>
    <w:multiLevelType w:val="hybridMultilevel"/>
    <w:lvl w:ilvl="0">
      <w:lvlJc w:val="left"/>
      <w:lvlText w:val="(%1)"/>
      <w:numFmt w:val="lowerLetter"/>
      <w:start w:val="24"/>
    </w:lvl>
    <w:lvl w:ilvl="1">
      <w:lvlJc w:val="left"/>
      <w:lvlText w:val="(%2)"/>
      <w:numFmt w:val="lowerLetter"/>
      <w:start w:val="2"/>
    </w:lvl>
  </w:abstractNum>
  <w:abstractNum w:abstractNumId="37">
    <w:nsid w:val="6F6DD9AC"/>
    <w:multiLevelType w:val="hybridMultilevel"/>
    <w:lvl w:ilvl="0">
      <w:lvlJc w:val="left"/>
      <w:lvlText w:val="(%1)"/>
      <w:numFmt w:val="lowerLetter"/>
      <w:start w:val="1"/>
    </w:lvl>
  </w:abstractNum>
  <w:abstractNum w:abstractNumId="38">
    <w:nsid w:val="94211F2"/>
    <w:multiLevelType w:val="hybridMultilevel"/>
    <w:lvl w:ilvl="0">
      <w:lvlJc w:val="left"/>
      <w:lvlText w:val="(%1)"/>
      <w:numFmt w:val="lowerLetter"/>
      <w:start w:val="2"/>
    </w:lvl>
  </w:abstractNum>
  <w:abstractNum w:abstractNumId="39">
    <w:nsid w:val="885E1B"/>
    <w:multiLevelType w:val="hybridMultilevel"/>
    <w:lvl w:ilvl="0">
      <w:lvlJc w:val="left"/>
      <w:lvlText w:val="(%1)"/>
      <w:numFmt w:val="lowerLetter"/>
      <w:start w:val="3"/>
    </w:lvl>
  </w:abstractNum>
  <w:abstractNum w:abstractNumId="40">
    <w:nsid w:val="76272110"/>
    <w:multiLevelType w:val="hybridMultilevel"/>
    <w:lvl w:ilvl="0">
      <w:lvlJc w:val="left"/>
      <w:lvlText w:val="(%1)"/>
      <w:numFmt w:val="lowerLetter"/>
      <w:start w:val="2"/>
    </w:lvl>
  </w:abstractNum>
  <w:abstractNum w:abstractNumId="41">
    <w:nsid w:val="4C04A8AF"/>
    <w:multiLevelType w:val="hybridMultilevel"/>
    <w:lvl w:ilvl="0">
      <w:lvlJc w:val="left"/>
      <w:lvlText w:val="(%1)"/>
      <w:numFmt w:val="lowerLetter"/>
      <w:start w:val="3"/>
    </w:lvl>
  </w:abstractNum>
  <w:abstractNum w:abstractNumId="42">
    <w:nsid w:val="1716703B"/>
    <w:multiLevelType w:val="hybridMultilevel"/>
    <w:lvl w:ilvl="0">
      <w:lvlJc w:val="left"/>
      <w:lvlText w:val="(%1)"/>
      <w:numFmt w:val="lowerLetter"/>
      <w:start w:val="2"/>
    </w:lvl>
  </w:abstractNum>
  <w:abstractNum w:abstractNumId="43">
    <w:nsid w:val="14E17E33"/>
    <w:multiLevelType w:val="hybridMultilevel"/>
    <w:lvl w:ilvl="0">
      <w:lvlJc w:val="left"/>
      <w:lvlText w:val="(%1)"/>
      <w:numFmt w:val="lowerLetter"/>
      <w:start w:val="2"/>
    </w:lvl>
  </w:abstractNum>
  <w:abstractNum w:abstractNumId="44">
    <w:nsid w:val="3222E7CD"/>
    <w:multiLevelType w:val="hybridMultilevel"/>
    <w:lvl w:ilvl="0">
      <w:lvlJc w:val="left"/>
      <w:lvlText w:val="(%1)"/>
      <w:numFmt w:val="lowerLetter"/>
      <w:start w:val="2"/>
    </w:lvl>
  </w:abstractNum>
  <w:abstractNum w:abstractNumId="45">
    <w:nsid w:val="74DE0EE3"/>
    <w:multiLevelType w:val="hybridMultilevel"/>
    <w:lvl w:ilvl="0">
      <w:lvlJc w:val="left"/>
      <w:lvlText w:val="(%1)"/>
      <w:numFmt w:val="lowerLetter"/>
      <w:start w:val="4"/>
    </w:lvl>
  </w:abstractNum>
  <w:abstractNum w:abstractNumId="46">
    <w:nsid w:val="68EBC550"/>
    <w:multiLevelType w:val="hybridMultilevel"/>
    <w:lvl w:ilvl="0">
      <w:lvlJc w:val="left"/>
      <w:lvlText w:val="(%1)"/>
      <w:numFmt w:val="lowerLetter"/>
      <w:start w:val="5"/>
    </w:lvl>
  </w:abstractNum>
  <w:abstractNum w:abstractNumId="47">
    <w:nsid w:val="2DF6D648"/>
    <w:multiLevelType w:val="hybridMultilevel"/>
    <w:lvl w:ilvl="0">
      <w:lvlJc w:val="left"/>
      <w:lvlText w:val="(%1)"/>
      <w:numFmt w:val="lowerLetter"/>
      <w:start w:val="2"/>
    </w:lvl>
  </w:abstractNum>
  <w:abstractNum w:abstractNumId="48">
    <w:nsid w:val="46B7D447"/>
    <w:multiLevelType w:val="hybridMultilevel"/>
    <w:lvl w:ilvl="0">
      <w:lvlJc w:val="left"/>
      <w:lvlText w:val="(%1)"/>
      <w:numFmt w:val="lowerLetter"/>
      <w:start w:val="2"/>
    </w:lvl>
  </w:abstractNum>
  <w:abstractNum w:abstractNumId="49">
    <w:nsid w:val="4A2AC315"/>
    <w:multiLevelType w:val="hybridMultilevel"/>
    <w:lvl w:ilvl="0">
      <w:lvlJc w:val="left"/>
      <w:lvlText w:val="(%1)"/>
      <w:numFmt w:val="lowerLetter"/>
      <w:start w:val="5"/>
    </w:lvl>
  </w:abstractNum>
  <w:abstractNum w:abstractNumId="50">
    <w:nsid w:val="39EE015C"/>
    <w:multiLevelType w:val="hybridMultilevel"/>
    <w:lvl w:ilvl="0">
      <w:lvlJc w:val="left"/>
      <w:lvlText w:val="(%1)"/>
      <w:numFmt w:val="lowerLetter"/>
      <w:start w:val="2"/>
    </w:lvl>
  </w:abstractNum>
  <w:abstractNum w:abstractNumId="51">
    <w:nsid w:val="57FC4FBB"/>
    <w:multiLevelType w:val="hybridMultilevel"/>
    <w:lvl w:ilvl="0">
      <w:lvlJc w:val="left"/>
      <w:lvlText w:val="(%1)"/>
      <w:numFmt w:val="lowerLetter"/>
      <w:start w:val="3"/>
    </w:lvl>
  </w:abstractNum>
  <w:abstractNum w:abstractNumId="52">
    <w:nsid w:val="CC1016F"/>
    <w:multiLevelType w:val="hybridMultilevel"/>
    <w:lvl w:ilvl="0">
      <w:lvlJc w:val="left"/>
      <w:lvlText w:val="(%1)"/>
      <w:numFmt w:val="lowerRoman"/>
      <w:start w:val="10"/>
    </w:lvl>
  </w:abstractNum>
  <w:abstractNum w:abstractNumId="53">
    <w:nsid w:val="43F18422"/>
    <w:multiLevelType w:val="hybridMultilevel"/>
    <w:lvl w:ilvl="0">
      <w:lvlJc w:val="left"/>
      <w:lvlText w:val="(%1)"/>
      <w:numFmt w:val="lowerLetter"/>
      <w:start w:val="2"/>
    </w:lvl>
  </w:abstractNum>
  <w:abstractNum w:abstractNumId="54">
    <w:nsid w:val="60EF0119"/>
    <w:multiLevelType w:val="hybridMultilevel"/>
    <w:lvl w:ilvl="0">
      <w:lvlJc w:val="left"/>
      <w:lvlText w:val="(%1)"/>
      <w:numFmt w:val="lowerLetter"/>
      <w:start w:val="5"/>
    </w:lvl>
  </w:abstractNum>
  <w:abstractNum w:abstractNumId="55">
    <w:nsid w:val="26F324BA"/>
    <w:multiLevelType w:val="hybridMultilevel"/>
    <w:lvl w:ilvl="0">
      <w:lvlJc w:val="left"/>
      <w:lvlText w:val="(%1)"/>
      <w:numFmt w:val="lowerLetter"/>
      <w:start w:val="2"/>
    </w:lvl>
  </w:abstractNum>
  <w:abstractNum w:abstractNumId="56">
    <w:nsid w:val="7F01579B"/>
    <w:multiLevelType w:val="hybridMultilevel"/>
    <w:lvl w:ilvl="0">
      <w:lvlJc w:val="left"/>
      <w:lvlText w:val="(%1)"/>
      <w:numFmt w:val="lowerLetter"/>
      <w:start w:val="3"/>
    </w:lvl>
  </w:abstractNum>
  <w:abstractNum w:abstractNumId="57">
    <w:nsid w:val="49DA307D"/>
    <w:multiLevelType w:val="hybridMultilevel"/>
    <w:lvl w:ilvl="0">
      <w:lvlJc w:val="left"/>
      <w:lvlText w:val="(%1)"/>
      <w:numFmt w:val="upperLetter"/>
      <w:start w:val="2"/>
    </w:lvl>
    <w:lvl w:ilvl="1">
      <w:lvlJc w:val="left"/>
      <w:lvlText w:val="(%2)"/>
      <w:numFmt w:val="lowerLetter"/>
      <w:start w:val="2"/>
    </w:lvl>
  </w:abstractNum>
  <w:abstractNum w:abstractNumId="58">
    <w:nsid w:val="7055A5F5"/>
    <w:multiLevelType w:val="hybridMultilevel"/>
    <w:lvl w:ilvl="0">
      <w:lvlJc w:val="left"/>
      <w:lvlText w:val="(%1)"/>
      <w:numFmt w:val="lowerLetter"/>
      <w:start w:val="4"/>
    </w:lvl>
  </w:abstractNum>
  <w:abstractNum w:abstractNumId="59">
    <w:nsid w:val="5FB8370B"/>
    <w:multiLevelType w:val="hybridMultilevel"/>
    <w:lvl w:ilvl="0">
      <w:lvlJc w:val="left"/>
      <w:lvlText w:val="(%1)"/>
      <w:numFmt w:val="lowerLetter"/>
      <w:start w:val="2"/>
    </w:lvl>
  </w:abstractNum>
  <w:abstractNum w:abstractNumId="60">
    <w:nsid w:val="50801EE1"/>
    <w:multiLevelType w:val="hybridMultilevel"/>
    <w:lvl w:ilvl="0">
      <w:lvlJc w:val="left"/>
      <w:lvlText w:val="(%1)"/>
      <w:numFmt w:val="lowerLetter"/>
      <w:start w:val="2"/>
    </w:lvl>
  </w:abstractNum>
  <w:abstractNum w:abstractNumId="61">
    <w:nsid w:val="488AC1A"/>
    <w:multiLevelType w:val="hybridMultilevel"/>
    <w:lvl w:ilvl="0">
      <w:lvlJc w:val="left"/>
      <w:lvlText w:val="(%1)"/>
      <w:numFmt w:val="lowerLetter"/>
      <w:start w:val="2"/>
    </w:lvl>
  </w:abstractNum>
  <w:abstractNum w:abstractNumId="62">
    <w:nsid w:val="5FB8011C"/>
    <w:multiLevelType w:val="hybridMultilevel"/>
    <w:lvl w:ilvl="0">
      <w:lvlJc w:val="left"/>
      <w:lvlText w:val="%1"/>
      <w:numFmt w:val="upperLetter"/>
      <w:start w:val="1"/>
    </w:lvl>
    <w:lvl w:ilvl="1">
      <w:lvlJc w:val="left"/>
      <w:lvlText w:val="(%2)"/>
      <w:numFmt w:val="lowerRoman"/>
      <w:start w:val="1"/>
    </w:lvl>
  </w:abstractNum>
  <w:abstractNum w:abstractNumId="63">
    <w:nsid w:val="6AA78F7F"/>
    <w:multiLevelType w:val="hybridMultilevel"/>
    <w:lvl w:ilvl="0">
      <w:lvlJc w:val="left"/>
      <w:lvlText w:val="(%1)"/>
      <w:numFmt w:val="upperLetter"/>
      <w:start w:val="3"/>
    </w:lvl>
    <w:lvl w:ilvl="1">
      <w:lvlJc w:val="left"/>
      <w:lvlText w:val="(%2)"/>
      <w:numFmt w:val="lowerRoman"/>
      <w:start w:val="5"/>
    </w:lvl>
  </w:abstractNum>
  <w:abstractNum w:abstractNumId="64">
    <w:nsid w:val="7672BD23"/>
    <w:multiLevelType w:val="hybridMultilevel"/>
    <w:lvl w:ilvl="0">
      <w:lvlJc w:val="left"/>
      <w:lvlText w:val="(%1)"/>
      <w:numFmt w:val="lowerLetter"/>
      <w:start w:val="2"/>
    </w:lvl>
  </w:abstractNum>
  <w:abstractNum w:abstractNumId="65">
    <w:nsid w:val="6FC75AF8"/>
    <w:multiLevelType w:val="hybridMultilevel"/>
    <w:lvl w:ilvl="0">
      <w:lvlJc w:val="left"/>
      <w:lvlText w:val="(%1)"/>
      <w:numFmt w:val="lowerRoman"/>
      <w:start w:val="1"/>
    </w:lvl>
  </w:abstractNum>
  <w:abstractNum w:abstractNumId="66">
    <w:nsid w:val="6A5F7029"/>
    <w:multiLevelType w:val="hybridMultilevel"/>
    <w:lvl w:ilvl="0">
      <w:lvlJc w:val="left"/>
      <w:lvlText w:val="(%1)"/>
      <w:numFmt w:val="upperLetter"/>
      <w:start w:val="2"/>
    </w:lvl>
  </w:abstractNum>
  <w:abstractNum w:abstractNumId="67">
    <w:nsid w:val="7D5E18F8"/>
    <w:multiLevelType w:val="hybridMultilevel"/>
    <w:lvl w:ilvl="0">
      <w:lvlJc w:val="left"/>
      <w:lvlText w:val="(%1)"/>
      <w:numFmt w:val="lowerLetter"/>
      <w:start w:val="2"/>
    </w:lvl>
  </w:abstractNum>
  <w:abstractNum w:abstractNumId="68">
    <w:nsid w:val="5F3534A4"/>
    <w:multiLevelType w:val="hybridMultilevel"/>
    <w:lvl w:ilvl="0">
      <w:lvlJc w:val="left"/>
      <w:lvlText w:val="%1"/>
      <w:numFmt w:val="lowerLetter"/>
      <w:start w:val="1"/>
    </w:lvl>
    <w:lvl w:ilvl="1">
      <w:lvlJc w:val="left"/>
      <w:lvlText w:val="(%2)"/>
      <w:numFmt w:val="lowerLetter"/>
      <w:start w:val="3"/>
    </w:lvl>
  </w:abstractNum>
  <w:abstractNum w:abstractNumId="69">
    <w:nsid w:val="73A1821B"/>
    <w:multiLevelType w:val="hybridMultilevel"/>
    <w:lvl w:ilvl="0">
      <w:lvlJc w:val="left"/>
      <w:lvlText w:val="(%1)"/>
      <w:numFmt w:val="lowerLetter"/>
      <w:start w:val="35"/>
    </w:lvl>
    <w:lvl w:ilvl="1">
      <w:lvlJc w:val="left"/>
      <w:lvlText w:val="%2"/>
      <w:numFmt w:val="lowerLetter"/>
      <w:start w:val="1"/>
    </w:lvl>
  </w:abstractNum>
  <w:abstractNum w:abstractNumId="70">
    <w:nsid w:val="7DE67713"/>
    <w:multiLevelType w:val="hybridMultilevel"/>
    <w:lvl w:ilvl="0">
      <w:lvlJc w:val="left"/>
      <w:lvlText w:val="(%1)"/>
      <w:numFmt w:val="lowerLetter"/>
      <w:start w:val="1"/>
    </w:lvl>
  </w:abstractNum>
  <w:abstractNum w:abstractNumId="71">
    <w:nsid w:val="555C55B5"/>
    <w:multiLevelType w:val="hybridMultilevel"/>
    <w:lvl w:ilvl="0">
      <w:lvlJc w:val="left"/>
      <w:lvlText w:val="(%1)"/>
      <w:numFmt w:val="lowerRoman"/>
      <w:start w:val="1"/>
    </w:lvl>
  </w:abstractNum>
  <w:abstractNum w:abstractNumId="72">
    <w:nsid w:val="3FA62ACA"/>
    <w:multiLevelType w:val="hybridMultilevel"/>
    <w:lvl w:ilvl="0">
      <w:lvlJc w:val="left"/>
      <w:lvlText w:val="(%1)"/>
      <w:numFmt w:val="lowerLetter"/>
      <w:start w:val="1"/>
    </w:lvl>
  </w:abstractNum>
  <w:abstractNum w:abstractNumId="73">
    <w:nsid w:val="14FCE74E"/>
    <w:multiLevelType w:val="hybridMultilevel"/>
    <w:lvl w:ilvl="0">
      <w:lvlJc w:val="left"/>
      <w:lvlText w:val="(%1)"/>
      <w:numFmt w:val="lowerLetter"/>
      <w:start w:val="2"/>
    </w:lvl>
  </w:abstractNum>
  <w:abstractNum w:abstractNumId="74">
    <w:nsid w:val="6A3DD3E8"/>
    <w:multiLevelType w:val="hybridMultilevel"/>
    <w:lvl w:ilvl="0">
      <w:lvlJc w:val="left"/>
      <w:lvlText w:val="(%1)"/>
      <w:numFmt w:val="lowerRoman"/>
      <w:start w:val="1"/>
    </w:lvl>
    <w:lvl w:ilvl="1">
      <w:lvlJc w:val="left"/>
      <w:lvlText w:val="(%2)"/>
      <w:numFmt w:val="upperLetter"/>
      <w:start w:val="1"/>
    </w:lvl>
  </w:abstractNum>
  <w:abstractNum w:abstractNumId="75">
    <w:nsid w:val="71C91298"/>
    <w:multiLevelType w:val="hybridMultilevel"/>
    <w:lvl w:ilvl="0">
      <w:lvlJc w:val="left"/>
      <w:lvlText w:val="%1"/>
      <w:numFmt w:val="lowerRoman"/>
      <w:start w:val="1"/>
    </w:lvl>
    <w:lvl w:ilvl="1">
      <w:lvlJc w:val="left"/>
      <w:lvlText w:val="(%2)"/>
      <w:numFmt w:val="upperLetter"/>
      <w:start w:val="2"/>
    </w:lvl>
  </w:abstractNum>
  <w:abstractNum w:abstractNumId="76">
    <w:nsid w:val="9DAF632"/>
    <w:multiLevelType w:val="hybridMultilevel"/>
    <w:lvl w:ilvl="0">
      <w:lvlJc w:val="left"/>
      <w:lvlText w:val="(%1)"/>
      <w:numFmt w:val="lowerRoman"/>
      <w:start w:val="2"/>
    </w:lvl>
    <w:lvl w:ilvl="1">
      <w:lvlJc w:val="left"/>
      <w:lvlText w:val="(%2)"/>
      <w:numFmt w:val="upperLetter"/>
      <w:start w:val="1"/>
    </w:lvl>
  </w:abstractNum>
  <w:abstractNum w:abstractNumId="77">
    <w:nsid w:val="53299938"/>
    <w:multiLevelType w:val="hybridMultilevel"/>
    <w:lvl w:ilvl="0">
      <w:lvlJc w:val="left"/>
      <w:lvlText w:val="(%1)"/>
      <w:numFmt w:val="lowerLetter"/>
      <w:start w:val="1"/>
    </w:lvl>
  </w:abstractNum>
  <w:abstractNum w:abstractNumId="78">
    <w:nsid w:val="1FBFE8E0"/>
    <w:multiLevelType w:val="hybridMultilevel"/>
    <w:lvl w:ilvl="0">
      <w:lvlJc w:val="left"/>
      <w:lvlText w:val="(%1)"/>
      <w:numFmt w:val="lowerLetter"/>
      <w:start w:val="4"/>
    </w:lvl>
  </w:abstractNum>
  <w:abstractNum w:abstractNumId="79">
    <w:nsid w:val="5092CA79"/>
    <w:multiLevelType w:val="hybridMultilevel"/>
    <w:lvl w:ilvl="0">
      <w:lvlJc w:val="left"/>
      <w:lvlText w:val="(%1)"/>
      <w:numFmt w:val="lowerLetter"/>
      <w:start w:val="7"/>
    </w:lvl>
    <w:lvl w:ilvl="1">
      <w:lvlJc w:val="left"/>
      <w:lvlText w:val="(%2)"/>
      <w:numFmt w:val="lowerRoman"/>
      <w:start w:val="1"/>
    </w:lvl>
  </w:abstractNum>
  <w:abstractNum w:abstractNumId="80">
    <w:nsid w:val="1D545C4D"/>
    <w:multiLevelType w:val="hybridMultilevel"/>
    <w:lvl w:ilvl="0">
      <w:lvlJc w:val="left"/>
      <w:lvlText w:val="%1"/>
      <w:numFmt w:val="lowerLetter"/>
      <w:start w:val="1"/>
    </w:lvl>
    <w:lvl w:ilvl="1">
      <w:lvlJc w:val="left"/>
      <w:lvlText w:val="(%2)"/>
      <w:numFmt w:val="lowerLetter"/>
      <w:start w:val="2"/>
    </w:lvl>
  </w:abstractNum>
  <w:abstractNum w:abstractNumId="81">
    <w:nsid w:val="59ADEA3D"/>
    <w:multiLevelType w:val="hybridMultilevel"/>
    <w:lvl w:ilvl="0">
      <w:lvlJc w:val="left"/>
      <w:lvlText w:val="(%1)"/>
      <w:numFmt w:val="lowerLetter"/>
      <w:start w:val="9"/>
    </w:lvl>
    <w:lvl w:ilvl="1">
      <w:lvlJc w:val="left"/>
      <w:lvlText w:val="%2"/>
      <w:numFmt w:val="lowerLetter"/>
      <w:start w:val="1"/>
    </w:lvl>
  </w:abstractNum>
  <w:abstractNum w:abstractNumId="82">
    <w:nsid w:val="288F1A34"/>
    <w:multiLevelType w:val="hybridMultilevel"/>
    <w:lvl w:ilvl="0">
      <w:lvlJc w:val="left"/>
      <w:lvlText w:val="(%1)"/>
      <w:numFmt w:val="lowerLetter"/>
      <w:start w:val="4"/>
    </w:lvl>
  </w:abstractNum>
  <w:abstractNum w:abstractNumId="83">
    <w:nsid w:val="2A155DBC"/>
    <w:multiLevelType w:val="hybridMultilevel"/>
    <w:lvl w:ilvl="0">
      <w:lvlJc w:val="left"/>
      <w:lvlText w:val="(%1)"/>
      <w:numFmt w:val="lowerLetter"/>
      <w:start w:val="2"/>
    </w:lvl>
  </w:abstractNum>
  <w:abstractNum w:abstractNumId="84">
    <w:nsid w:val="1D9F6E5F"/>
    <w:multiLevelType w:val="hybridMultilevel"/>
    <w:lvl w:ilvl="0">
      <w:lvlJc w:val="left"/>
      <w:lvlText w:val="(%1)"/>
      <w:numFmt w:val="lowerLetter"/>
      <w:start w:val="2"/>
    </w:lvl>
  </w:abstractNum>
  <w:abstractNum w:abstractNumId="85">
    <w:nsid w:val="97E1B4E"/>
    <w:multiLevelType w:val="hybridMultilevel"/>
    <w:lvl w:ilvl="0">
      <w:lvlJc w:val="left"/>
      <w:lvlText w:val="(%1)"/>
      <w:numFmt w:val="lowerRoman"/>
      <w:start w:val="1"/>
    </w:lvl>
  </w:abstractNum>
  <w:abstractNum w:abstractNumId="86">
    <w:nsid w:val="51088277"/>
    <w:multiLevelType w:val="hybridMultilevel"/>
    <w:lvl w:ilvl="0">
      <w:lvlJc w:val="left"/>
      <w:lvlText w:val="(%1)"/>
      <w:numFmt w:val="lowerLetter"/>
      <w:start w:val="3"/>
    </w:lvl>
  </w:abstractNum>
  <w:abstractNum w:abstractNumId="87">
    <w:nsid w:val="1CA0C5FA"/>
    <w:multiLevelType w:val="hybridMultilevel"/>
    <w:lvl w:ilvl="0">
      <w:lvlJc w:val="left"/>
      <w:lvlText w:val="(%1)"/>
      <w:numFmt w:val="lowerRoman"/>
      <w:start w:val="1"/>
    </w:lvl>
  </w:abstractNum>
  <w:abstractNum w:abstractNumId="88">
    <w:nsid w:val="53584BCB"/>
    <w:multiLevelType w:val="hybridMultilevel"/>
    <w:lvl w:ilvl="0">
      <w:lvlJc w:val="left"/>
      <w:lvlText w:val="(%1)"/>
      <w:numFmt w:val="lowerLetter"/>
      <w:start w:val="2"/>
    </w:lvl>
  </w:abstractNum>
  <w:abstractNum w:abstractNumId="89">
    <w:nsid w:val="415E286C"/>
    <w:multiLevelType w:val="hybridMultilevel"/>
    <w:lvl w:ilvl="0">
      <w:lvlJc w:val="left"/>
      <w:lvlText w:val="%1"/>
      <w:numFmt w:val="lowerLetter"/>
      <w:start w:val="1"/>
    </w:lvl>
    <w:lvl w:ilvl="1">
      <w:lvlJc w:val="left"/>
      <w:lvlText w:val="(%2)"/>
      <w:numFmt w:val="lowerLetter"/>
      <w:start w:val="3"/>
    </w:lvl>
  </w:abstractNum>
  <w:abstractNum w:abstractNumId="90">
    <w:nsid w:val="7C58FD05"/>
    <w:multiLevelType w:val="hybridMultilevel"/>
    <w:lvl w:ilvl="0">
      <w:lvlJc w:val="left"/>
      <w:lvlText w:val="(%1)"/>
      <w:numFmt w:val="lowerLetter"/>
      <w:start w:val="9"/>
    </w:lvl>
    <w:lvl w:ilvl="1">
      <w:lvlJc w:val="left"/>
      <w:lvlText w:val="%2"/>
      <w:numFmt w:val="lowerLetter"/>
      <w:start w:val="1"/>
    </w:lvl>
  </w:abstractNum>
  <w:abstractNum w:abstractNumId="91">
    <w:nsid w:val="23D86AAC"/>
    <w:multiLevelType w:val="hybridMultilevel"/>
    <w:lvl w:ilvl="0">
      <w:lvlJc w:val="left"/>
      <w:lvlText w:val="(%1)"/>
      <w:numFmt w:val="lowerRoman"/>
      <w:start w:val="1"/>
    </w:lvl>
  </w:abstractNum>
  <w:abstractNum w:abstractNumId="92">
    <w:nsid w:val="45E6D486"/>
    <w:multiLevelType w:val="hybridMultilevel"/>
    <w:lvl w:ilvl="0">
      <w:lvlJc w:val="left"/>
      <w:lvlText w:val="(%1)"/>
      <w:numFmt w:val="lowerLetter"/>
      <w:start w:val="2"/>
    </w:lvl>
  </w:abstractNum>
  <w:abstractNum w:abstractNumId="93">
    <w:nsid w:val="5C10FE21"/>
    <w:multiLevelType w:val="hybridMultilevel"/>
    <w:lvl w:ilvl="0">
      <w:lvlJc w:val="left"/>
      <w:lvlText w:val="(%1)"/>
      <w:numFmt w:val="lowerRoman"/>
      <w:start w:val="1"/>
    </w:lvl>
  </w:abstractNum>
  <w:abstractNum w:abstractNumId="94">
    <w:nsid w:val="E7FFA2B"/>
    <w:multiLevelType w:val="hybridMultilevel"/>
    <w:lvl w:ilvl="0">
      <w:lvlJc w:val="left"/>
      <w:lvlText w:val="(%1)"/>
      <w:numFmt w:val="lowerRoman"/>
      <w:start w:val="5"/>
    </w:lvl>
  </w:abstractNum>
  <w:abstractNum w:abstractNumId="95">
    <w:nsid w:val="3C5991AA"/>
    <w:multiLevelType w:val="hybridMultilevel"/>
    <w:lvl w:ilvl="0">
      <w:lvlJc w:val="left"/>
      <w:lvlText w:val="(%1)"/>
      <w:numFmt w:val="lowerLetter"/>
      <w:start w:val="24"/>
    </w:lvl>
    <w:lvl w:ilvl="1">
      <w:lvlJc w:val="left"/>
      <w:lvlText w:val="(%2)"/>
      <w:numFmt w:val="lowerLetter"/>
      <w:start w:val="2"/>
    </w:lvl>
  </w:abstractNum>
  <w:abstractNum w:abstractNumId="96">
    <w:nsid w:val="4BD8591A"/>
    <w:multiLevelType w:val="hybridMultilevel"/>
    <w:lvl w:ilvl="0">
      <w:lvlJc w:val="left"/>
      <w:lvlText w:val="(%1)"/>
      <w:numFmt w:val="lowerLetter"/>
      <w:start w:val="3"/>
    </w:lvl>
  </w:abstractNum>
  <w:abstractNum w:abstractNumId="97">
    <w:nsid w:val="78DF6A55"/>
    <w:multiLevelType w:val="hybridMultilevel"/>
    <w:lvl w:ilvl="0">
      <w:lvlJc w:val="left"/>
      <w:lvlText w:val="(%1)"/>
      <w:numFmt w:val="lowerLetter"/>
      <w:start w:val="1"/>
    </w:lvl>
  </w:abstractNum>
  <w:abstractNum w:abstractNumId="98">
    <w:nsid w:val="39B7AAA2"/>
    <w:multiLevelType w:val="hybridMultilevel"/>
    <w:lvl w:ilvl="0">
      <w:lvlJc w:val="left"/>
      <w:lvlText w:val="(%1)"/>
      <w:numFmt w:val="lowerLetter"/>
      <w:start w:val="1"/>
    </w:lvl>
  </w:abstractNum>
  <w:abstractNum w:abstractNumId="99">
    <w:nsid w:val="2B0D8DBE"/>
    <w:multiLevelType w:val="hybridMultilevel"/>
    <w:lvl w:ilvl="0">
      <w:lvlJc w:val="left"/>
      <w:lvlText w:val="(%1)"/>
      <w:numFmt w:val="lowerRoman"/>
      <w:start w:val="1"/>
    </w:lvl>
  </w:abstractNum>
  <w:abstractNum w:abstractNumId="100">
    <w:nsid w:val="6C80EC70"/>
    <w:multiLevelType w:val="hybridMultilevel"/>
    <w:lvl w:ilvl="0">
      <w:lvlJc w:val="left"/>
      <w:lvlText w:val="(%1)"/>
      <w:numFmt w:val="lowerRoman"/>
      <w:start w:val="2"/>
    </w:lvl>
  </w:abstractNum>
  <w:abstractNum w:abstractNumId="101">
    <w:nsid w:val="379E21B5"/>
    <w:multiLevelType w:val="hybridMultilevel"/>
    <w:lvl w:ilvl="0">
      <w:lvlJc w:val="left"/>
      <w:lvlText w:val="(%1)"/>
      <w:numFmt w:val="lowerLetter"/>
      <w:start w:val="3"/>
    </w:lvl>
  </w:abstractNum>
  <w:abstractNum w:abstractNumId="102">
    <w:nsid w:val="69E373"/>
    <w:multiLevelType w:val="hybridMultilevel"/>
    <w:lvl w:ilvl="0">
      <w:lvlJc w:val="left"/>
      <w:lvlText w:val="(%1)"/>
      <w:numFmt w:val="lowerLetter"/>
      <w:start w:val="1"/>
    </w:lvl>
  </w:abstractNum>
  <w:abstractNum w:abstractNumId="103">
    <w:nsid w:val="2C27173B"/>
    <w:multiLevelType w:val="hybridMultilevel"/>
    <w:lvl w:ilvl="0">
      <w:lvlJc w:val="left"/>
      <w:lvlText w:val="(%1)"/>
      <w:numFmt w:val="lowerLetter"/>
      <w:start w:val="2"/>
    </w:lvl>
  </w:abstractNum>
  <w:abstractNum w:abstractNumId="104">
    <w:nsid w:val="4C9B0904"/>
    <w:multiLevelType w:val="hybridMultilevel"/>
    <w:lvl w:ilvl="0">
      <w:lvlJc w:val="left"/>
      <w:lvlText w:val="(%1)"/>
      <w:numFmt w:val="lowerLetter"/>
      <w:start w:val="1"/>
    </w:lvl>
  </w:abstractNum>
  <w:abstractNum w:abstractNumId="105">
    <w:nsid w:val="6AA7B75C"/>
    <w:multiLevelType w:val="hybridMultilevel"/>
    <w:lvl w:ilvl="0">
      <w:lvlJc w:val="left"/>
      <w:lvlText w:val="(%1)"/>
      <w:numFmt w:val="lowerLetter"/>
      <w:start w:val="3"/>
    </w:lvl>
  </w:abstractNum>
  <w:abstractNum w:abstractNumId="106">
    <w:nsid w:val="1DF029D3"/>
    <w:multiLevelType w:val="hybridMultilevel"/>
    <w:lvl w:ilvl="0">
      <w:lvlJc w:val="left"/>
      <w:lvlText w:val="(%1)"/>
      <w:numFmt w:val="lowerRoman"/>
      <w:start w:val="2"/>
    </w:lvl>
  </w:abstractNum>
  <w:abstractNum w:abstractNumId="107">
    <w:nsid w:val="5675FF36"/>
    <w:multiLevelType w:val="hybridMultilevel"/>
    <w:lvl w:ilvl="0">
      <w:lvlJc w:val="left"/>
      <w:lvlText w:val="(%1)"/>
      <w:numFmt w:val="lowerLetter"/>
      <w:start w:val="4"/>
    </w:lvl>
  </w:abstractNum>
  <w:abstractNum w:abstractNumId="108">
    <w:nsid w:val="3DD15094"/>
    <w:multiLevelType w:val="hybridMultilevel"/>
    <w:lvl w:ilvl="0">
      <w:lvlJc w:val="left"/>
      <w:lvlText w:val="(%1)"/>
      <w:numFmt w:val="lowerLetter"/>
      <w:start w:val="1"/>
    </w:lvl>
  </w:abstractNum>
  <w:abstractNum w:abstractNumId="109">
    <w:nsid w:val="3DB012B3"/>
    <w:multiLevelType w:val="hybridMultilevel"/>
    <w:lvl w:ilvl="0">
      <w:lvlJc w:val="left"/>
      <w:lvlText w:val="(%1)"/>
      <w:numFmt w:val="lowerLetter"/>
      <w:start w:val="3"/>
    </w:lvl>
  </w:abstractNum>
  <w:abstractNum w:abstractNumId="110">
    <w:nsid w:val="2708C9AF"/>
    <w:multiLevelType w:val="hybridMultilevel"/>
    <w:lvl w:ilvl="0">
      <w:lvlJc w:val="left"/>
      <w:lvlText w:val="(%1)"/>
      <w:numFmt w:val="lowerLetter"/>
      <w:start w:val="5"/>
    </w:lvl>
  </w:abstractNum>
  <w:abstractNum w:abstractNumId="111">
    <w:nsid w:val="5B25ACE2"/>
    <w:multiLevelType w:val="hybridMultilevel"/>
    <w:lvl w:ilvl="0">
      <w:lvlJc w:val="left"/>
      <w:lvlText w:val="(%1)"/>
      <w:numFmt w:val="lowerLetter"/>
      <w:start w:val="1"/>
    </w:lvl>
  </w:abstractNum>
  <w:abstractNum w:abstractNumId="112">
    <w:nsid w:val="175DFCF0"/>
    <w:multiLevelType w:val="hybridMultilevel"/>
    <w:lvl w:ilvl="0">
      <w:lvlJc w:val="left"/>
      <w:lvlText w:val="(%1)"/>
      <w:numFmt w:val="lowerLetter"/>
      <w:start w:val="1"/>
    </w:lvl>
  </w:abstractNum>
  <w:abstractNum w:abstractNumId="113">
    <w:nsid w:val="4F97E3E4"/>
    <w:multiLevelType w:val="hybridMultilevel"/>
    <w:lvl w:ilvl="0">
      <w:lvlJc w:val="left"/>
      <w:lvlText w:val="(%1)"/>
      <w:numFmt w:val="lowerLetter"/>
      <w:start w:val="1"/>
    </w:lvl>
  </w:abstractNum>
  <w:abstractNum w:abstractNumId="114">
    <w:nsid w:val="53B0A9E"/>
    <w:multiLevelType w:val="hybridMultilevel"/>
    <w:lvl w:ilvl="0">
      <w:lvlJc w:val="left"/>
      <w:lvlText w:val="(%1)"/>
      <w:numFmt w:val="lowerLetter"/>
      <w:start w:val="2"/>
    </w:lvl>
  </w:abstractNum>
  <w:abstractNum w:abstractNumId="115">
    <w:nsid w:val="34FD6B4F"/>
    <w:multiLevelType w:val="hybridMultilevel"/>
    <w:lvl w:ilvl="0">
      <w:lvlJc w:val="left"/>
      <w:lvlText w:val="(%1)"/>
      <w:numFmt w:val="lowerRoman"/>
      <w:start w:val="1"/>
    </w:lvl>
  </w:abstractNum>
  <w:abstractNum w:abstractNumId="116">
    <w:nsid w:val="5915FF32"/>
    <w:multiLevelType w:val="hybridMultilevel"/>
    <w:lvl w:ilvl="0">
      <w:lvlJc w:val="left"/>
      <w:lvlText w:val="(%1)"/>
      <w:numFmt w:val="lowerRoman"/>
      <w:start w:val="3"/>
    </w:lvl>
  </w:abstractNum>
  <w:abstractNum w:abstractNumId="117">
    <w:nsid w:val="56438D15"/>
    <w:multiLevelType w:val="hybridMultilevel"/>
    <w:lvl w:ilvl="0">
      <w:lvlJc w:val="left"/>
      <w:lvlText w:val="(%1)"/>
      <w:numFmt w:val="lowerLetter"/>
      <w:start w:val="3"/>
    </w:lvl>
  </w:abstractNum>
  <w:abstractNum w:abstractNumId="118">
    <w:nsid w:val="519E3149"/>
    <w:multiLevelType w:val="hybridMultilevel"/>
    <w:lvl w:ilvl="0">
      <w:lvlJc w:val="left"/>
      <w:lvlText w:val="(%1)"/>
      <w:numFmt w:val="lowerLetter"/>
      <w:start w:val="1"/>
    </w:lvl>
  </w:abstractNum>
  <w:abstractNum w:abstractNumId="119">
    <w:nsid w:val="2C6E4AFD"/>
    <w:multiLevelType w:val="hybridMultilevel"/>
    <w:lvl w:ilvl="0">
      <w:lvlJc w:val="left"/>
      <w:lvlText w:val="(%1)"/>
      <w:numFmt w:val="lowerLetter"/>
      <w:start w:val="2"/>
    </w:lvl>
  </w:abstractNum>
  <w:abstractNum w:abstractNumId="120">
    <w:nsid w:val="17A1B582"/>
    <w:multiLevelType w:val="hybridMultilevel"/>
    <w:lvl w:ilvl="0">
      <w:lvlJc w:val="left"/>
      <w:lvlText w:val="(%1)"/>
      <w:numFmt w:val="lowerLetter"/>
      <w:start w:val="1"/>
    </w:lvl>
  </w:abstractNum>
  <w:abstractNum w:abstractNumId="121">
    <w:nsid w:val="4DF72E4E"/>
    <w:multiLevelType w:val="hybridMultilevel"/>
    <w:lvl w:ilvl="0">
      <w:lvlJc w:val="left"/>
      <w:lvlText w:val="(%1)"/>
      <w:numFmt w:val="lowerLetter"/>
      <w:start w:val="3"/>
    </w:lvl>
  </w:abstractNum>
  <w:abstractNum w:abstractNumId="122">
    <w:nsid w:val="5046B5A9"/>
    <w:multiLevelType w:val="hybridMultilevel"/>
    <w:lvl w:ilvl="0">
      <w:lvlJc w:val="left"/>
      <w:lvlText w:val="(%1)"/>
      <w:numFmt w:val="lowerRoman"/>
      <w:start w:val="1"/>
    </w:lvl>
  </w:abstractNum>
  <w:abstractNum w:abstractNumId="123">
    <w:nsid w:val="5D888A08"/>
    <w:multiLevelType w:val="hybridMultilevel"/>
    <w:lvl w:ilvl="0">
      <w:lvlJc w:val="left"/>
      <w:lvlText w:val="(%1)"/>
      <w:numFmt w:val="lowerLetter"/>
      <w:start w:val="4"/>
    </w:lvl>
  </w:abstractNum>
  <w:abstractNum w:abstractNumId="124">
    <w:nsid w:val="2A082C70"/>
    <w:multiLevelType w:val="hybridMultilevel"/>
    <w:lvl w:ilvl="0">
      <w:lvlJc w:val="left"/>
      <w:lvlText w:val="(%1)"/>
      <w:numFmt w:val="lowerLetter"/>
      <w:start w:val="1"/>
    </w:lvl>
  </w:abstractNum>
  <w:abstractNum w:abstractNumId="125">
    <w:nsid w:val="5EC6AFD4"/>
    <w:multiLevelType w:val="hybridMultilevel"/>
    <w:lvl w:ilvl="0">
      <w:lvlJc w:val="left"/>
      <w:lvlText w:val="(%1)"/>
      <w:numFmt w:val="lowerLetter"/>
      <w:start w:val="5"/>
    </w:lvl>
  </w:abstractNum>
  <w:abstractNum w:abstractNumId="126">
    <w:nsid w:val="19E21BB2"/>
    <w:multiLevelType w:val="hybridMultilevel"/>
    <w:lvl w:ilvl="0">
      <w:lvlJc w:val="left"/>
      <w:lvlText w:val="(%1)"/>
      <w:numFmt w:val="lowerLetter"/>
      <w:start w:val="1"/>
    </w:lvl>
  </w:abstractNum>
  <w:abstractNum w:abstractNumId="127">
    <w:nsid w:val="75E0858A"/>
    <w:multiLevelType w:val="hybridMultilevel"/>
    <w:lvl w:ilvl="0">
      <w:lvlJc w:val="left"/>
      <w:lvlText w:val="(%1)"/>
      <w:numFmt w:val="lowerLetter"/>
      <w:start w:val="3"/>
    </w:lvl>
  </w:abstractNum>
  <w:abstractNum w:abstractNumId="128">
    <w:nsid w:val="57A61A29"/>
    <w:multiLevelType w:val="hybridMultilevel"/>
    <w:lvl w:ilvl="0">
      <w:lvlJc w:val="left"/>
      <w:lvlText w:val="(%1)"/>
      <w:numFmt w:val="lowerLetter"/>
      <w:start w:val="2"/>
    </w:lvl>
  </w:abstractNum>
  <w:abstractNum w:abstractNumId="129">
    <w:nsid w:val="5399C654"/>
    <w:multiLevelType w:val="hybridMultilevel"/>
    <w:lvl w:ilvl="0">
      <w:lvlJc w:val="left"/>
      <w:lvlText w:val="(%1)"/>
      <w:numFmt w:val="lowerLetter"/>
      <w:start w:val="2"/>
    </w:lvl>
  </w:abstractNum>
  <w:abstractNum w:abstractNumId="130">
    <w:nsid w:val="20EE1348"/>
    <w:multiLevelType w:val="hybridMultilevel"/>
    <w:lvl w:ilvl="0">
      <w:lvlJc w:val="left"/>
      <w:lvlText w:val="(%1)"/>
      <w:numFmt w:val="lowerRoman"/>
      <w:start w:val="1"/>
    </w:lvl>
  </w:abstractNum>
  <w:abstractNum w:abstractNumId="131">
    <w:nsid w:val="4427069A"/>
    <w:multiLevelType w:val="hybridMultilevel"/>
    <w:lvl w:ilvl="0">
      <w:lvlJc w:val="left"/>
      <w:lvlText w:val="·"/>
      <w:numFmt w:val="bullet"/>
      <w:start w:val="1"/>
    </w:lvl>
  </w:abstractNum>
  <w:abstractNum w:abstractNumId="132">
    <w:nsid w:val="B37E80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2019-12-08T10:35:04Z</dcterms:created>
  <dcterms:modified xsi:type="dcterms:W3CDTF">2019-12-08T10:35:04Z</dcterms:modified>
</cp:coreProperties>
</file>