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6"/>
                <w:szCs w:val="16"/>
                <w:color w:val="auto"/>
              </w:rPr>
              <w:t>July</w:t>
            </w:r>
            <w:r>
              <w:rPr>
                <w:rFonts w:ascii="Arial" w:cs="Arial" w:eastAsia="Arial" w:hAnsi="Arial"/>
                <w:sz w:val="18"/>
                <w:szCs w:val="18"/>
                <w:color w:val="auto"/>
              </w:rPr>
              <w:t xml:space="preserve"> 2019</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80" w:type="dxa"/>
            <w:vAlign w:val="bottom"/>
          </w:tcPr>
          <w:p>
            <w:pPr>
              <w:spacing w:after="0"/>
              <w:rPr>
                <w:sz w:val="24"/>
                <w:szCs w:val="24"/>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GasLog Partners LP</w:t>
            </w:r>
          </w:p>
        </w:tc>
        <w:tc>
          <w:tcPr>
            <w:tcW w:w="2280" w:type="dxa"/>
            <w:vAlign w:val="bottom"/>
          </w:tcPr>
          <w:p>
            <w:pPr>
              <w:spacing w:after="0"/>
              <w:rPr>
                <w:sz w:val="24"/>
                <w:szCs w:val="24"/>
                <w:color w:val="auto"/>
              </w:rPr>
            </w:pPr>
          </w:p>
        </w:tc>
      </w:tr>
      <w:tr>
        <w:trPr>
          <w:trHeight w:val="230"/>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1"/>
              </w:rPr>
              <w:t>(Translation of registrant’s name into English)</w:t>
            </w:r>
          </w:p>
        </w:tc>
        <w:tc>
          <w:tcPr>
            <w:tcW w:w="2280" w:type="dxa"/>
            <w:vAlign w:val="bottom"/>
          </w:tcPr>
          <w:p>
            <w:pPr>
              <w:spacing w:after="0"/>
              <w:rPr>
                <w:sz w:val="20"/>
                <w:szCs w:val="20"/>
                <w:color w:val="auto"/>
              </w:rPr>
            </w:pPr>
          </w:p>
        </w:tc>
      </w:tr>
      <w:tr>
        <w:trPr>
          <w:trHeight w:val="418"/>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2"/>
              </w:rPr>
              <w:t>c/o GasLog Monaco S.A.M.</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Gildo Pastor Center</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MC 98000, Monaco</w:t>
            </w:r>
          </w:p>
        </w:tc>
        <w:tc>
          <w:tcPr>
            <w:tcW w:w="2280" w:type="dxa"/>
            <w:vAlign w:val="bottom"/>
          </w:tcPr>
          <w:p>
            <w:pPr>
              <w:spacing w:after="0"/>
              <w:rPr>
                <w:sz w:val="18"/>
                <w:szCs w:val="18"/>
                <w:color w:val="auto"/>
              </w:rPr>
            </w:pPr>
          </w:p>
        </w:tc>
      </w:tr>
      <w:tr>
        <w:trPr>
          <w:trHeight w:val="230"/>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80" w:type="dxa"/>
            <w:vAlign w:val="bottom"/>
          </w:tcPr>
          <w:p>
            <w:pPr>
              <w:spacing w:after="0"/>
              <w:rPr>
                <w:sz w:val="24"/>
                <w:szCs w:val="24"/>
                <w:color w:val="auto"/>
              </w:rPr>
            </w:pPr>
          </w:p>
        </w:tc>
      </w:tr>
      <w:tr>
        <w:trPr>
          <w:trHeight w:val="41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80" w:firstLine="376"/>
        <w:spacing w:after="0" w:line="293" w:lineRule="auto"/>
        <w:rPr>
          <w:sz w:val="20"/>
          <w:szCs w:val="20"/>
          <w:color w:val="auto"/>
        </w:rPr>
      </w:pPr>
      <w:r>
        <w:rPr>
          <w:rFonts w:ascii="Arial" w:cs="Arial" w:eastAsia="Arial" w:hAnsi="Arial"/>
          <w:sz w:val="16"/>
          <w:szCs w:val="16"/>
          <w:color w:val="auto"/>
        </w:rPr>
        <w:t>The press release issued by GasLog Partners LP on July 25, 2019 relating to its results for the three-month period ended June 30, 2019 and the related financial report are attached hereto as Exhibits 99.1 and 99.2, respectively.</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right="80" w:firstLine="376"/>
        <w:spacing w:after="0" w:line="297" w:lineRule="auto"/>
        <w:rPr>
          <w:sz w:val="20"/>
          <w:szCs w:val="20"/>
          <w:color w:val="auto"/>
        </w:rPr>
      </w:pPr>
      <w:r>
        <w:rPr>
          <w:rFonts w:ascii="Arial" w:cs="Arial" w:eastAsia="Arial" w:hAnsi="Arial"/>
          <w:sz w:val="15"/>
          <w:szCs w:val="15"/>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100" w:type="dxa"/>
            <w:vAlign w:val="bottom"/>
            <w:gridSpan w:val="2"/>
          </w:tcPr>
          <w:p>
            <w:pPr>
              <w:ind w:left="1840"/>
              <w:spacing w:after="0"/>
              <w:rPr>
                <w:sz w:val="20"/>
                <w:szCs w:val="20"/>
                <w:color w:val="auto"/>
              </w:rPr>
            </w:pPr>
            <w:r>
              <w:rPr>
                <w:rFonts w:ascii="Arial" w:cs="Arial" w:eastAsia="Arial" w:hAnsi="Arial"/>
                <w:sz w:val="16"/>
                <w:szCs w:val="16"/>
                <w:color w:val="auto"/>
              </w:rPr>
              <w:t>EXHIBIT LIST</w:t>
            </w:r>
          </w:p>
        </w:tc>
      </w:tr>
      <w:tr>
        <w:trPr>
          <w:trHeight w:val="419"/>
        </w:trPr>
        <w:tc>
          <w:tcPr>
            <w:tcW w:w="1160" w:type="dxa"/>
            <w:vAlign w:val="bottom"/>
          </w:tcPr>
          <w:p>
            <w:pPr>
              <w:spacing w:after="0"/>
              <w:rPr>
                <w:sz w:val="20"/>
                <w:szCs w:val="20"/>
                <w:color w:val="auto"/>
              </w:rPr>
            </w:pPr>
            <w:r>
              <w:rPr>
                <w:rFonts w:ascii="Arial" w:cs="Arial" w:eastAsia="Arial" w:hAnsi="Arial"/>
                <w:sz w:val="16"/>
                <w:szCs w:val="16"/>
                <w:color w:val="auto"/>
              </w:rPr>
              <w:t>Exhibit</w:t>
            </w:r>
          </w:p>
        </w:tc>
        <w:tc>
          <w:tcPr>
            <w:tcW w:w="1030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371"/>
        </w:trPr>
        <w:tc>
          <w:tcPr>
            <w:tcW w:w="1160" w:type="dxa"/>
            <w:vAlign w:val="bottom"/>
          </w:tcPr>
          <w:p>
            <w:pPr>
              <w:spacing w:after="0"/>
              <w:rPr>
                <w:sz w:val="20"/>
                <w:szCs w:val="20"/>
                <w:color w:val="auto"/>
              </w:rPr>
            </w:pPr>
            <w:r>
              <w:rPr>
                <w:rFonts w:ascii="Arial" w:cs="Arial" w:eastAsia="Arial" w:hAnsi="Arial"/>
                <w:sz w:val="16"/>
                <w:szCs w:val="16"/>
                <w:color w:val="auto"/>
              </w:rPr>
              <w:t>99.1</w:t>
            </w:r>
          </w:p>
        </w:tc>
        <w:tc>
          <w:tcPr>
            <w:tcW w:w="2200" w:type="dxa"/>
            <w:vAlign w:val="bottom"/>
            <w:tcBorders>
              <w:bottom w:val="single" w:sz="8" w:color="0000EE"/>
            </w:tcBorders>
          </w:tcPr>
          <w:p>
            <w:pPr>
              <w:spacing w:after="0"/>
              <w:rPr>
                <w:rFonts w:ascii="Arial" w:cs="Arial" w:eastAsia="Arial" w:hAnsi="Arial"/>
                <w:sz w:val="16"/>
                <w:szCs w:val="16"/>
                <w:color w:val="0000EE"/>
                <w:w w:val="87"/>
              </w:rPr>
            </w:pPr>
            <w:hyperlink r:id="rId10">
              <w:r>
                <w:rPr>
                  <w:rFonts w:ascii="Arial" w:cs="Arial" w:eastAsia="Arial" w:hAnsi="Arial"/>
                  <w:sz w:val="16"/>
                  <w:szCs w:val="16"/>
                  <w:color w:val="0000EE"/>
                  <w:w w:val="87"/>
                </w:rPr>
                <w:t>Press Release dated July 25, 2019</w:t>
              </w:r>
            </w:hyperlink>
          </w:p>
        </w:tc>
        <w:tc>
          <w:tcPr>
            <w:tcW w:w="8100" w:type="dxa"/>
            <w:vAlign w:val="bottom"/>
            <w:gridSpan w:val="2"/>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4440" w:type="dxa"/>
            <w:vAlign w:val="bottom"/>
            <w:tcBorders>
              <w:bottom w:val="single" w:sz="8" w:color="0000EE"/>
            </w:tcBorders>
            <w:gridSpan w:val="2"/>
          </w:tcPr>
          <w:p>
            <w:pPr>
              <w:spacing w:after="0"/>
              <w:rPr>
                <w:rFonts w:ascii="Arial" w:cs="Arial" w:eastAsia="Arial" w:hAnsi="Arial"/>
                <w:sz w:val="16"/>
                <w:szCs w:val="16"/>
                <w:color w:val="0000EE"/>
                <w:w w:val="91"/>
              </w:rPr>
            </w:pPr>
            <w:hyperlink r:id="rId11">
              <w:r>
                <w:rPr>
                  <w:rFonts w:ascii="Arial" w:cs="Arial" w:eastAsia="Arial" w:hAnsi="Arial"/>
                  <w:sz w:val="16"/>
                  <w:szCs w:val="16"/>
                  <w:color w:val="0000EE"/>
                  <w:w w:val="91"/>
                </w:rPr>
                <w:t>Financial Report for the Three and Six Months Ended June 30, 2019</w:t>
              </w:r>
            </w:hyperlink>
          </w:p>
        </w:tc>
        <w:tc>
          <w:tcPr>
            <w:tcW w:w="5860" w:type="dxa"/>
            <w:vAlign w:val="bottom"/>
          </w:tcPr>
          <w:p>
            <w:pPr>
              <w:spacing w:after="0"/>
              <w:rPr>
                <w:sz w:val="24"/>
                <w:szCs w:val="24"/>
                <w:color w:val="auto"/>
              </w:rPr>
            </w:pPr>
          </w:p>
        </w:tc>
      </w:tr>
      <w:tr>
        <w:trPr>
          <w:trHeight w:val="420"/>
        </w:trPr>
        <w:tc>
          <w:tcPr>
            <w:tcW w:w="116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w:t>
            </w:r>
          </w:p>
        </w:tc>
      </w:tr>
      <w:tr>
        <w:trPr>
          <w:trHeight w:val="405"/>
        </w:trPr>
        <w:tc>
          <w:tcPr>
            <w:tcW w:w="116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Unaudited Condensed Consolidated Financial Statements</w:t>
            </w:r>
          </w:p>
        </w:tc>
      </w:tr>
      <w:tr>
        <w:trPr>
          <w:trHeight w:val="405"/>
        </w:trPr>
        <w:tc>
          <w:tcPr>
            <w:tcW w:w="116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Appendix A: Supplemental Non-GAAP Partnership Performance Information and Reconciliation Tables</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Scheme Calculation Linkbase</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Scheme Definition Linkbase</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Scheme Label Linkbase</w:t>
            </w:r>
          </w:p>
        </w:tc>
      </w:tr>
      <w:tr>
        <w:trPr>
          <w:trHeight w:val="405"/>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Scheme Presentation Linkbase</w:t>
            </w:r>
          </w:p>
        </w:tc>
      </w:tr>
      <w:tr>
        <w:trPr>
          <w:trHeight w:val="438"/>
        </w:trPr>
        <w:tc>
          <w:tcPr>
            <w:tcW w:w="1160" w:type="dxa"/>
            <w:vAlign w:val="bottom"/>
          </w:tcPr>
          <w:p>
            <w:pPr>
              <w:spacing w:after="0"/>
              <w:rPr>
                <w:sz w:val="24"/>
                <w:szCs w:val="24"/>
                <w:color w:val="auto"/>
              </w:rPr>
            </w:pPr>
          </w:p>
        </w:tc>
        <w:tc>
          <w:tcPr>
            <w:tcW w:w="10300" w:type="dxa"/>
            <w:vAlign w:val="bottom"/>
            <w:gridSpan w:val="3"/>
          </w:tcPr>
          <w:p>
            <w:pPr>
              <w:ind w:left="4500"/>
              <w:spacing w:after="0"/>
              <w:rPr>
                <w:sz w:val="20"/>
                <w:szCs w:val="20"/>
                <w:color w:val="auto"/>
              </w:rPr>
            </w:pPr>
            <w:r>
              <w:rPr>
                <w:rFonts w:ascii="Arial" w:cs="Arial" w:eastAsia="Arial" w:hAnsi="Arial"/>
                <w:sz w:val="18"/>
                <w:szCs w:val="18"/>
                <w:color w:val="auto"/>
              </w:rPr>
              <w:t>2</w:t>
            </w:r>
          </w:p>
        </w:tc>
      </w:tr>
      <w:tr>
        <w:trPr>
          <w:trHeight w:val="132"/>
        </w:trPr>
        <w:tc>
          <w:tcPr>
            <w:tcW w:w="116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5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July 25, 2019</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100" w:type="dxa"/>
        <w:tblCellMar>
          <w:top w:w="0" w:type="dxa"/>
          <w:left w:w="0" w:type="dxa"/>
          <w:bottom w:w="0" w:type="dxa"/>
          <w:right w:w="0" w:type="dxa"/>
        </w:tblCellMar>
      </w:tblPr>
      <w:tr>
        <w:trPr>
          <w:trHeight w:val="20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Andrew Orekar</w:t>
            </w:r>
          </w:p>
        </w:tc>
      </w:tr>
      <w:tr>
        <w:trPr>
          <w:trHeight w:val="189"/>
        </w:trPr>
        <w:tc>
          <w:tcPr>
            <w:tcW w:w="48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4260" w:type="dxa"/>
            <w:vAlign w:val="bottom"/>
          </w:tcPr>
          <w:p>
            <w:pPr>
              <w:ind w:left="140"/>
              <w:spacing w:after="0"/>
              <w:rPr>
                <w:sz w:val="20"/>
                <w:szCs w:val="20"/>
                <w:color w:val="auto"/>
              </w:rPr>
            </w:pPr>
            <w:r>
              <w:rPr>
                <w:rFonts w:ascii="Arial" w:cs="Arial" w:eastAsia="Arial" w:hAnsi="Arial"/>
                <w:sz w:val="16"/>
                <w:szCs w:val="16"/>
                <w:color w:val="auto"/>
              </w:rPr>
              <w:t>Andrew Orekar</w:t>
            </w:r>
          </w:p>
        </w:tc>
      </w:tr>
      <w:tr>
        <w:trPr>
          <w:trHeight w:val="206"/>
        </w:trPr>
        <w:tc>
          <w:tcPr>
            <w:tcW w:w="48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260" w:type="dxa"/>
            <w:vAlign w:val="bottom"/>
          </w:tcPr>
          <w:p>
            <w:pPr>
              <w:ind w:left="140"/>
              <w:spacing w:after="0"/>
              <w:rPr>
                <w:sz w:val="20"/>
                <w:szCs w:val="20"/>
                <w:color w:val="auto"/>
              </w:rPr>
            </w:pPr>
            <w:r>
              <w:rPr>
                <w:rFonts w:ascii="Arial" w:cs="Arial" w:eastAsia="Arial" w:hAnsi="Arial"/>
                <w:sz w:val="16"/>
                <w:szCs w:val="16"/>
                <w:color w:val="auto"/>
              </w:rPr>
              <w:t>Chief Executive Officer</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June 30, 2019 and Declares Cash Distribution</w:t>
      </w:r>
    </w:p>
    <w:p>
      <w:pPr>
        <w:spacing w:after="0" w:line="23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b w:val="1"/>
          <w:bCs w:val="1"/>
          <w:color w:val="auto"/>
        </w:rPr>
        <w:t xml:space="preserve">Monaco, July 25, 2019, GasLog Partners LP (“GasLog Partners” or the “Partnership”) (NYSE: GLOP), </w:t>
      </w:r>
      <w:r>
        <w:rPr>
          <w:rFonts w:ascii="Arial" w:cs="Arial" w:eastAsia="Arial" w:hAnsi="Arial"/>
          <w:sz w:val="16"/>
          <w:szCs w:val="16"/>
          <w:color w:val="auto"/>
        </w:rPr>
        <w:t>an international owner and operator of liquefied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(“LNG”) carriers, today reported its financial results for the three-month period ended June 30,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52" w:lineRule="exact"/>
        <w:rPr>
          <w:sz w:val="20"/>
          <w:szCs w:val="20"/>
          <w:color w:val="auto"/>
        </w:rPr>
      </w:pPr>
    </w:p>
    <w:p>
      <w:pPr>
        <w:ind w:left="340" w:right="40" w:hanging="332"/>
        <w:spacing w:after="0" w:line="251"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Completed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Ltd. (“GasLog”) for $214.0 million, with attached multi-year charter to a subsidiary of Royal Dutch Shell plc (“Shell”).</w:t>
      </w:r>
    </w:p>
    <w:p>
      <w:pPr>
        <w:spacing w:after="0" w:line="9" w:lineRule="exact"/>
        <w:rPr>
          <w:rFonts w:ascii="Arial" w:cs="Arial" w:eastAsia="Arial" w:hAnsi="Arial"/>
          <w:sz w:val="18"/>
          <w:szCs w:val="18"/>
          <w:color w:val="auto"/>
        </w:rPr>
      </w:pPr>
    </w:p>
    <w:p>
      <w:pPr>
        <w:ind w:left="340" w:right="120" w:hanging="332"/>
        <w:spacing w:after="0" w:line="251"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Successfully re-chartered the </w:t>
      </w:r>
      <w:r>
        <w:rPr>
          <w:rFonts w:ascii="Arial" w:cs="Arial" w:eastAsia="Arial" w:hAnsi="Arial"/>
          <w:sz w:val="16"/>
          <w:szCs w:val="16"/>
          <w:i w:val="1"/>
          <w:iCs w:val="1"/>
          <w:color w:val="auto"/>
        </w:rPr>
        <w:t>GasLog Shanghai</w:t>
      </w:r>
      <w:r>
        <w:rPr>
          <w:rFonts w:ascii="Arial" w:cs="Arial" w:eastAsia="Arial" w:hAnsi="Arial"/>
          <w:sz w:val="16"/>
          <w:szCs w:val="16"/>
          <w:color w:val="auto"/>
        </w:rPr>
        <w:t>, previously operating in the LNG carrier spot market through The Cool Pool (the “Cool Pool”), to a subsidiary of Gunvor Group Ltd. (“Gunvor”) for a period of approximately three and a half years.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Agreed to eliminate GasLog’s incentive distribution rights (“IDRs”), effective June 30, 2019.</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5"/>
          <w:szCs w:val="15"/>
          <w:color w:val="auto"/>
        </w:rPr>
        <w:t>Repurchased 476,351 of the Partnership’s common units under its unit repurchase programme of up to $25.0 million, authorized in January 2019, for a total amount of</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$9.9 million.</w:t>
      </w:r>
    </w:p>
    <w:p>
      <w:pPr>
        <w:spacing w:after="0" w:line="22" w:lineRule="exact"/>
        <w:rPr>
          <w:sz w:val="20"/>
          <w:szCs w:val="20"/>
          <w:color w:val="auto"/>
        </w:rPr>
      </w:pPr>
    </w:p>
    <w:p>
      <w:pPr>
        <w:ind w:left="340" w:right="40" w:hanging="332"/>
        <w:spacing w:after="0" w:line="230"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6"/>
          <w:szCs w:val="16"/>
          <w:color w:val="auto"/>
        </w:rPr>
        <w:t>Quarterly IFRS (as defined below) Reported Results and Partnership Performance Results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Revenues, Profit, 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$91.8 million, $19.1 million, $27.8 million and $67.5 million, respectively.</w:t>
      </w:r>
    </w:p>
    <w:p>
      <w:pPr>
        <w:spacing w:after="0" w:line="1" w:lineRule="exact"/>
        <w:rPr>
          <w:rFonts w:ascii="Arial" w:cs="Arial" w:eastAsia="Arial" w:hAnsi="Arial"/>
          <w:sz w:val="18"/>
          <w:szCs w:val="18"/>
          <w:color w:val="auto"/>
        </w:rPr>
      </w:pPr>
    </w:p>
    <w:p>
      <w:pPr>
        <w:ind w:left="300" w:hanging="292"/>
        <w:spacing w:after="0" w:line="238"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6"/>
          <w:szCs w:val="16"/>
          <w:color w:val="auto"/>
        </w:rPr>
        <w:t>Highest-ever Partnership Performance Results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Revenues and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$91.8 million and $67.5 million, respectively.</w:t>
      </w:r>
    </w:p>
    <w:p>
      <w:pPr>
        <w:ind w:left="300" w:hanging="292"/>
        <w:spacing w:after="0" w:line="236"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5"/>
          <w:szCs w:val="15"/>
          <w:color w:val="auto"/>
        </w:rPr>
        <w:t>Cash distribution of $0.55 per common unit for the second quarter of 2019, unchanged from the first quarter of 2019 and 3.8% higher than the second quarter of 2018.</w:t>
      </w:r>
    </w:p>
    <w:p>
      <w:pPr>
        <w:spacing w:after="0" w:line="9" w:lineRule="exact"/>
        <w:rPr>
          <w:rFonts w:ascii="Arial" w:cs="Arial" w:eastAsia="Arial" w:hAnsi="Arial"/>
          <w:sz w:val="17"/>
          <w:szCs w:val="17"/>
          <w:color w:val="auto"/>
        </w:rPr>
      </w:pPr>
    </w:p>
    <w:p>
      <w:pPr>
        <w:ind w:left="300" w:hanging="292"/>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5"/>
          <w:szCs w:val="15"/>
          <w:color w:val="auto"/>
        </w:rPr>
        <w:t>Distribution coverage ratio</w:t>
      </w:r>
      <w:r>
        <w:rPr>
          <w:rFonts w:ascii="Arial" w:cs="Arial" w:eastAsia="Arial" w:hAnsi="Arial"/>
          <w:sz w:val="20"/>
          <w:szCs w:val="20"/>
          <w:color w:val="auto"/>
          <w:vertAlign w:val="superscript"/>
        </w:rPr>
        <w:t>(3)</w:t>
      </w:r>
      <w:r>
        <w:rPr>
          <w:rFonts w:ascii="Arial" w:cs="Arial" w:eastAsia="Arial" w:hAnsi="Arial"/>
          <w:sz w:val="15"/>
          <w:szCs w:val="15"/>
          <w:color w:val="auto"/>
        </w:rPr>
        <w:t xml:space="preserve"> of 1.10x, or adjusted distribution coverage ratio</w:t>
      </w:r>
      <w:r>
        <w:rPr>
          <w:rFonts w:ascii="Arial" w:cs="Arial" w:eastAsia="Arial" w:hAnsi="Arial"/>
          <w:sz w:val="20"/>
          <w:szCs w:val="20"/>
          <w:color w:val="auto"/>
          <w:vertAlign w:val="superscript"/>
        </w:rPr>
        <w:t>(4)</w:t>
      </w:r>
      <w:r>
        <w:rPr>
          <w:rFonts w:ascii="Arial" w:cs="Arial" w:eastAsia="Arial" w:hAnsi="Arial"/>
          <w:sz w:val="15"/>
          <w:szCs w:val="15"/>
          <w:color w:val="auto"/>
        </w:rPr>
        <w:t xml:space="preserve"> of 1.16x to reflect the impact on revenues of the scheduled dry-docking of the </w:t>
      </w:r>
      <w:r>
        <w:rPr>
          <w:rFonts w:ascii="Arial" w:cs="Arial" w:eastAsia="Arial" w:hAnsi="Arial"/>
          <w:sz w:val="15"/>
          <w:szCs w:val="15"/>
          <w:i w:val="1"/>
          <w:iCs w:val="1"/>
          <w:color w:val="auto"/>
        </w:rPr>
        <w:t>Solaris</w:t>
      </w:r>
      <w:r>
        <w:rPr>
          <w:rFonts w:ascii="Arial" w:cs="Arial" w:eastAsia="Arial" w:hAnsi="Arial"/>
          <w:sz w:val="15"/>
          <w:szCs w:val="15"/>
          <w:color w:val="auto"/>
        </w:rPr>
        <w:t>.</w:t>
      </w:r>
    </w:p>
    <w:p>
      <w:pPr>
        <w:spacing w:after="0" w:line="180" w:lineRule="exact"/>
        <w:rPr>
          <w:sz w:val="20"/>
          <w:szCs w:val="20"/>
          <w:color w:val="auto"/>
        </w:rPr>
      </w:pPr>
    </w:p>
    <w:p>
      <w:pPr>
        <w:ind w:left="340" w:right="120" w:hanging="332"/>
        <w:spacing w:after="0" w:line="187"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ind w:left="340" w:right="60" w:hanging="332"/>
        <w:spacing w:after="0" w:line="182"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ind w:left="340" w:right="180" w:hanging="332"/>
        <w:spacing w:after="0" w:line="182"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jc w:val="both"/>
        <w:ind w:left="340" w:right="180" w:hanging="332"/>
        <w:spacing w:after="0" w:line="207"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 xml:space="preserve">Adjusted distribution coverage ratio represents the ratio of Adjusted distributable cash flow to the cash distribution declared. Adjusted distributable cash flow is defined as Distributable cash flow after adjusting for the $1.5 million negative impact on revenues of the scheduled dry-docking of the </w:t>
      </w:r>
      <w:r>
        <w:rPr>
          <w:rFonts w:ascii="Arial" w:cs="Arial" w:eastAsia="Arial" w:hAnsi="Arial"/>
          <w:sz w:val="13"/>
          <w:szCs w:val="13"/>
          <w:i w:val="1"/>
          <w:iCs w:val="1"/>
          <w:color w:val="auto"/>
        </w:rPr>
        <w:t>Solaris</w:t>
      </w:r>
      <w:r>
        <w:rPr>
          <w:rFonts w:ascii="Arial" w:cs="Arial" w:eastAsia="Arial" w:hAnsi="Arial"/>
          <w:sz w:val="13"/>
          <w:szCs w:val="13"/>
          <w:color w:val="auto"/>
        </w:rPr>
        <w:t>. For the definition and reconciliation of Distributable cash flow to the most directly comparable financial measure calculated and presented in accordance with IFRS, please refer to Exhibit III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 xml:space="preserve">Mr. Andrew Orekar, Chief Executive Officer, commented: “I am pleased to announce a strong quarterly operating and financial performance by GasLog Partners, as demonstrated by our highest-ever quarterly Partnership Performance Results for Revenues and EBITDA. The Partnership continued to execute our strategy in the quarter, closing the accretive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securing a three-and-a-half-year charter with Gunvor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which increases our contracted revenue days to 99% in the second half of 2019 and 81% in 2020.</w:t>
      </w:r>
    </w:p>
    <w:p>
      <w:pPr>
        <w:spacing w:after="0" w:line="189"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During the second quarter, the Partnership and its general partner, GasLog, announced an agreement to eliminate GasLog’s IDRs, reducing our cost of capital through a transaction structure that is immediately accretive to Distributable cash flow per unit.</w:t>
      </w:r>
    </w:p>
    <w:p>
      <w:pPr>
        <w:spacing w:after="0" w:line="17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addition, while we expect distributions to continue serving as our primary means of returning capital to unitholders, in keeping with our focus on total unitholder returns, GasLog Partners repurchased $9.9 million of common units in the second quarter. With no future IDR obligations, we are reiterating our distribution growth guidance of 2% to 4% for 2019. This guidance reflects our positive outlook for the LNG shipping market and our recently completed commercial and strategic transactions, while also considering our one scheduled dry-docking and one vessel coming off charter later this year.”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Acquisition of the </w:t>
      </w:r>
      <w:r>
        <w:rPr>
          <w:rFonts w:ascii="Arial" w:cs="Arial" w:eastAsia="Arial" w:hAnsi="Arial"/>
          <w:sz w:val="16"/>
          <w:szCs w:val="16"/>
          <w:b w:val="1"/>
          <w:bCs w:val="1"/>
          <w:i w:val="1"/>
          <w:iCs w:val="1"/>
          <w:u w:val="single" w:color="auto"/>
          <w:color w:val="auto"/>
        </w:rPr>
        <w:t>GasLog Glasgow</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On April 1, 2019, GasLog Partners acquired from GasLog 100% of the shares in the entity that owns and charters to Shell the </w:t>
      </w:r>
      <w:r>
        <w:rPr>
          <w:rFonts w:ascii="Arial" w:cs="Arial" w:eastAsia="Arial" w:hAnsi="Arial"/>
          <w:sz w:val="16"/>
          <w:szCs w:val="16"/>
          <w:i w:val="1"/>
          <w:iCs w:val="1"/>
          <w:color w:val="auto"/>
        </w:rPr>
        <w:t>GasLog Glasgow</w:t>
      </w:r>
      <w:r>
        <w:rPr>
          <w:rFonts w:ascii="Arial" w:cs="Arial" w:eastAsia="Arial" w:hAnsi="Arial"/>
          <w:sz w:val="16"/>
          <w:szCs w:val="16"/>
          <w:color w:val="auto"/>
        </w:rPr>
        <w:t>, a 174,000 cubic meter (“cbm”) tri-fuel diesel electric (“TFDE”) LNG carrier built in 2016 and operated by GasLog since delivery. The vessel is currently on a multi-year time charter with Shell through June 2026 and Shell has an option to extend the charter for a period of five years.</w:t>
      </w:r>
    </w:p>
    <w:p>
      <w:pPr>
        <w:spacing w:after="0" w:line="184" w:lineRule="exact"/>
        <w:rPr>
          <w:sz w:val="20"/>
          <w:szCs w:val="20"/>
          <w:color w:val="auto"/>
        </w:rPr>
      </w:pPr>
    </w:p>
    <w:p>
      <w:pPr>
        <w:jc w:val="both"/>
        <w:ind w:right="80"/>
        <w:spacing w:after="0" w:line="335" w:lineRule="auto"/>
        <w:rPr>
          <w:sz w:val="20"/>
          <w:szCs w:val="20"/>
          <w:color w:val="auto"/>
        </w:rPr>
      </w:pPr>
      <w:r>
        <w:rPr>
          <w:rFonts w:ascii="Arial" w:cs="Arial" w:eastAsia="Arial" w:hAnsi="Arial"/>
          <w:sz w:val="14"/>
          <w:szCs w:val="14"/>
          <w:color w:val="auto"/>
        </w:rPr>
        <w:t xml:space="preserve">The aggregate purchase price for the acquisition was $214.0 million, which included $1.0 million for positive net working capital balances transferred with the vessel. GasLog Partners financed the acquisition with cash on hand, including proceeds from the 8.500% Series C Cumulative Redeemable Perpetual Fixed to Floating Rate Preference Units (the “Series C Preference Units”) public offering in November 2018, and the assumption of the </w:t>
      </w:r>
      <w:r>
        <w:rPr>
          <w:rFonts w:ascii="Arial" w:cs="Arial" w:eastAsia="Arial" w:hAnsi="Arial"/>
          <w:sz w:val="14"/>
          <w:szCs w:val="14"/>
          <w:i w:val="1"/>
          <w:iCs w:val="1"/>
          <w:color w:val="auto"/>
        </w:rPr>
        <w:t>GasLog Glasgow’s</w:t>
      </w:r>
      <w:r>
        <w:rPr>
          <w:rFonts w:ascii="Arial" w:cs="Arial" w:eastAsia="Arial" w:hAnsi="Arial"/>
          <w:sz w:val="14"/>
          <w:szCs w:val="14"/>
          <w:color w:val="auto"/>
        </w:rPr>
        <w:t xml:space="preserve"> outstanding indebtedness of $134.1 million.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u w:val="single" w:color="auto"/>
          <w:color w:val="auto"/>
        </w:rPr>
        <w:t xml:space="preserve">GasLog Shanghai </w:t>
      </w:r>
      <w:r>
        <w:rPr>
          <w:rFonts w:ascii="Arial" w:cs="Arial" w:eastAsia="Arial" w:hAnsi="Arial"/>
          <w:sz w:val="16"/>
          <w:szCs w:val="16"/>
          <w:b w:val="1"/>
          <w:bCs w:val="1"/>
          <w:u w:val="single" w:color="auto"/>
          <w:color w:val="auto"/>
        </w:rPr>
        <w:t>New Charter Agreement</w:t>
      </w:r>
    </w:p>
    <w:p>
      <w:pPr>
        <w:spacing w:after="0" w:line="23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 xml:space="preserve">On June 14, 2019, GasLog Partners entered into a three-and-a-half-year time charter agreement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 155,000 cbm TFDE LNG carrier built in 2013, with a subsidiary of Gunvor. The charter commenced on June 24, 2019 and has a variable rate of hire within an agreed range during the charter period. On June 23, 2019,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exited the Cool Pool, an LNG carrier pooling arrangement operated by GasLog and Golar LNG Ltd. (“Golar”), following a termination agreement dated</w:t>
      </w:r>
      <w:r>
        <w:rPr>
          <w:rFonts w:ascii="Arial" w:cs="Arial" w:eastAsia="Arial" w:hAnsi="Arial"/>
          <w:sz w:val="16"/>
          <w:szCs w:val="16"/>
          <w:i w:val="1"/>
          <w:iCs w:val="1"/>
          <w:color w:val="auto"/>
        </w:rPr>
        <w:t xml:space="preserve"> </w:t>
      </w:r>
      <w:r>
        <w:rPr>
          <w:rFonts w:ascii="Arial" w:cs="Arial" w:eastAsia="Arial" w:hAnsi="Arial"/>
          <w:sz w:val="16"/>
          <w:szCs w:val="16"/>
          <w:color w:val="auto"/>
        </w:rPr>
        <w:t>June 6, 2019 which GasLog and GasLog Partners entered into with the Cool Pool and Golar in order to assume commercial control of GasLog’s and GasLog Partners’ vessels operating in the spot market.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IDRs Elimination</w:t>
      </w:r>
    </w:p>
    <w:p>
      <w:pPr>
        <w:spacing w:after="0" w:line="23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On June 24, 2019, GasLog and GasLog Partners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39"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three months ended June 30, 2019, GasLog Partners repurchased and cancelled 476,351 of the Partnership’s common units, at a weighted average price of $20.81 per common unit for a total amount of $9.9 million, including commissions. Since the authorization of the unit repurchase programme and through July 25, 2019, GasLog Partners has repurchased and cancelled a total of 541,541 units at a weighted average price of $20.85 per common unit for a total amount of $11.3 million, including commissions, representing a discount of 0.1% to the volume weighted average trading price of GasLog Partners’ common units on the days on which common units were repurchased.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 On February 26, 2019, the size of the ATM Programme was further increased from $144.0 million to $250.0 million.</w:t>
      </w:r>
    </w:p>
    <w:p>
      <w:pPr>
        <w:spacing w:after="0" w:line="190"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No issuances of common units were made under the ATM Programme in the first six months of 2019. Since the commencement of the ATM Programme through June 30, 2019,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ectPr>
          <w:pgSz w:w="11900" w:h="16838" w:orient="portrait"/>
          <w:cols w:equalWidth="0" w:num="1">
            <w:col w:w="11420"/>
          </w:cols>
          <w:pgMar w:left="240" w:top="342"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Summary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Profit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IFRS Common Control Reported Results</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210"/>
        </w:trPr>
        <w:tc>
          <w:tcPr>
            <w:tcW w:w="2940" w:type="dxa"/>
            <w:vAlign w:val="bottom"/>
            <w:tcBorders>
              <w:top w:val="single" w:sz="8" w:color="auto"/>
              <w:bottom w:val="single" w:sz="8" w:color="auto"/>
            </w:tcBorders>
            <w:gridSpan w:val="5"/>
          </w:tcPr>
          <w:p>
            <w:pPr>
              <w:jc w:val="center"/>
              <w:ind w:left="839"/>
              <w:spacing w:after="0"/>
              <w:rPr>
                <w:sz w:val="20"/>
                <w:szCs w:val="20"/>
                <w:color w:val="auto"/>
              </w:rPr>
            </w:pPr>
            <w:r>
              <w:rPr>
                <w:rFonts w:ascii="Arial" w:cs="Arial" w:eastAsia="Arial" w:hAnsi="Arial"/>
                <w:sz w:val="16"/>
                <w:szCs w:val="16"/>
                <w:b w:val="1"/>
                <w:bCs w:val="1"/>
                <w:color w:val="auto"/>
                <w:w w:val="89"/>
              </w:rPr>
              <w:t>For the three months ended</w:t>
            </w: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 Change from</w:t>
            </w:r>
          </w:p>
        </w:tc>
        <w:tc>
          <w:tcPr>
            <w:tcW w:w="60" w:type="dxa"/>
            <w:vAlign w:val="bottom"/>
          </w:tcPr>
          <w:p>
            <w:pPr>
              <w:spacing w:after="0"/>
              <w:rPr>
                <w:sz w:val="18"/>
                <w:szCs w:val="18"/>
                <w:color w:val="auto"/>
              </w:rPr>
            </w:pPr>
          </w:p>
        </w:tc>
      </w:tr>
      <w:tr>
        <w:trPr>
          <w:trHeight w:val="182"/>
        </w:trPr>
        <w:tc>
          <w:tcPr>
            <w:tcW w:w="1360" w:type="dxa"/>
            <w:vAlign w:val="bottom"/>
            <w:gridSpan w:val="2"/>
          </w:tcPr>
          <w:p>
            <w:pPr>
              <w:ind w:left="280"/>
              <w:spacing w:after="0" w:line="182" w:lineRule="exact"/>
              <w:rPr>
                <w:sz w:val="20"/>
                <w:szCs w:val="20"/>
                <w:color w:val="auto"/>
              </w:rPr>
            </w:pPr>
            <w:r>
              <w:rPr>
                <w:rFonts w:ascii="Arial" w:cs="Arial" w:eastAsia="Arial" w:hAnsi="Arial"/>
                <w:sz w:val="16"/>
                <w:szCs w:val="16"/>
                <w:b w:val="1"/>
                <w:bCs w:val="1"/>
                <w:color w:val="auto"/>
              </w:rPr>
              <w:t>June 30,</w:t>
            </w:r>
          </w:p>
        </w:tc>
        <w:tc>
          <w:tcPr>
            <w:tcW w:w="1580" w:type="dxa"/>
            <w:vAlign w:val="bottom"/>
            <w:gridSpan w:val="3"/>
          </w:tcPr>
          <w:p>
            <w:pPr>
              <w:jc w:val="center"/>
              <w:ind w:right="460"/>
              <w:spacing w:after="0" w:line="182" w:lineRule="exact"/>
              <w:rPr>
                <w:sz w:val="20"/>
                <w:szCs w:val="20"/>
                <w:color w:val="auto"/>
              </w:rPr>
            </w:pPr>
            <w:r>
              <w:rPr>
                <w:rFonts w:ascii="Arial" w:cs="Arial" w:eastAsia="Arial" w:hAnsi="Arial"/>
                <w:sz w:val="16"/>
                <w:szCs w:val="16"/>
                <w:b w:val="1"/>
                <w:bCs w:val="1"/>
                <w:color w:val="auto"/>
                <w:w w:val="97"/>
              </w:rPr>
              <w:t>March 31,</w:t>
            </w:r>
          </w:p>
        </w:tc>
        <w:tc>
          <w:tcPr>
            <w:tcW w:w="920" w:type="dxa"/>
            <w:vAlign w:val="bottom"/>
          </w:tcPr>
          <w:p>
            <w:pPr>
              <w:jc w:val="right"/>
              <w:ind w:right="219"/>
              <w:spacing w:after="0" w:line="182" w:lineRule="exact"/>
              <w:rPr>
                <w:sz w:val="20"/>
                <w:szCs w:val="20"/>
                <w:color w:val="auto"/>
              </w:rPr>
            </w:pPr>
            <w:r>
              <w:rPr>
                <w:rFonts w:ascii="Arial" w:cs="Arial" w:eastAsia="Arial" w:hAnsi="Arial"/>
                <w:sz w:val="16"/>
                <w:szCs w:val="16"/>
                <w:b w:val="1"/>
                <w:bCs w:val="1"/>
                <w:color w:val="auto"/>
                <w:w w:val="93"/>
              </w:rPr>
              <w:t>June 30,</w:t>
            </w:r>
          </w:p>
        </w:tc>
        <w:tc>
          <w:tcPr>
            <w:tcW w:w="200" w:type="dxa"/>
            <w:vAlign w:val="bottom"/>
          </w:tcPr>
          <w:p>
            <w:pPr>
              <w:spacing w:after="0"/>
              <w:rPr>
                <w:sz w:val="15"/>
                <w:szCs w:val="15"/>
                <w:color w:val="auto"/>
              </w:rPr>
            </w:pPr>
          </w:p>
        </w:tc>
        <w:tc>
          <w:tcPr>
            <w:tcW w:w="1380" w:type="dxa"/>
            <w:vAlign w:val="bottom"/>
            <w:gridSpan w:val="2"/>
          </w:tcPr>
          <w:p>
            <w:pPr>
              <w:jc w:val="right"/>
              <w:ind w:right="500"/>
              <w:spacing w:after="0" w:line="182" w:lineRule="exact"/>
              <w:rPr>
                <w:sz w:val="20"/>
                <w:szCs w:val="20"/>
                <w:color w:val="auto"/>
              </w:rPr>
            </w:pPr>
            <w:r>
              <w:rPr>
                <w:rFonts w:ascii="Arial" w:cs="Arial" w:eastAsia="Arial" w:hAnsi="Arial"/>
                <w:sz w:val="16"/>
                <w:szCs w:val="16"/>
                <w:b w:val="1"/>
                <w:bCs w:val="1"/>
                <w:color w:val="auto"/>
              </w:rPr>
              <w:t>June 30,</w:t>
            </w: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March 31,</w:t>
            </w:r>
          </w:p>
        </w:tc>
        <w:tc>
          <w:tcPr>
            <w:tcW w:w="60" w:type="dxa"/>
            <w:vAlign w:val="bottom"/>
          </w:tcPr>
          <w:p>
            <w:pPr>
              <w:spacing w:after="0"/>
              <w:rPr>
                <w:sz w:val="15"/>
                <w:szCs w:val="15"/>
                <w:color w:val="auto"/>
              </w:rPr>
            </w:pPr>
          </w:p>
        </w:tc>
      </w:tr>
      <w:tr>
        <w:trPr>
          <w:trHeight w:val="213"/>
        </w:trPr>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r>
      <w:tr>
        <w:trPr>
          <w:trHeight w:val="207"/>
        </w:trPr>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92,085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93,885</w:t>
            </w: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91,805</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(0.3%)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29,602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23,016</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19,143</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28,601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29,611</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27,789</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66,901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68,757</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67,503</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-578485</wp:posOffset>
            </wp:positionV>
            <wp:extent cx="673227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32270"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-287020</wp:posOffset>
            </wp:positionV>
            <wp:extent cx="673227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200" w:space="720"/>
            <w:col w:w="7500"/>
          </w:cols>
          <w:pgMar w:left="240" w:top="342" w:right="239" w:bottom="1440" w:gutter="0" w:footer="0" w:header="0"/>
          <w:type w:val="continuous"/>
        </w:sectPr>
      </w:pPr>
    </w:p>
    <w:p>
      <w:pPr>
        <w:ind w:left="660" w:right="160" w:hanging="328"/>
        <w:spacing w:after="0" w:line="201"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5" w:name="page6"/>
    <w:bookmarkEnd w:id="5"/>
    <w:p>
      <w:pPr>
        <w:ind w:left="660" w:right="60" w:hanging="328"/>
        <w:spacing w:after="0" w:line="186"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There were 1,340 operating days for the quarter ended June 30, 2019 as compared to 1,344 operating days for the quarter ended March 31, 2019 and 1,280 operating days for the quarter ended June 30, 2018.</w:t>
      </w:r>
    </w:p>
    <w:p>
      <w:pPr>
        <w:spacing w:after="0" w:line="17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decrease in profit in the second quarter of 2019 as compared to the same period in 2018 is mainly attributable to a $9.7 million decrease in gain from the mark-to-market valuation of derivatives.</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decrease in profit in the second quarter of 2019 as compared to the first quarter of 2019 is mainly attributable to a $3.0 million increase in loss from the mark-to-market valuation of derivatives.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6"/>
                <w:szCs w:val="16"/>
                <w:b w:val="1"/>
                <w:bCs w:val="1"/>
                <w:color w:val="auto"/>
                <w:w w:val="90"/>
              </w:rPr>
              <w:t>Partnership Performance Results</w:t>
            </w:r>
            <w:r>
              <w:rPr>
                <w:rFonts w:ascii="Arial" w:cs="Arial" w:eastAsia="Arial" w:hAnsi="Arial"/>
                <w:sz w:val="21"/>
                <w:szCs w:val="21"/>
                <w:b w:val="1"/>
                <w:bCs w:val="1"/>
                <w:color w:val="auto"/>
                <w:w w:val="90"/>
                <w:vertAlign w:val="superscript"/>
              </w:rPr>
              <w:t>(1)</w:t>
            </w: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4"/>
        </w:trPr>
        <w:tc>
          <w:tcPr>
            <w:tcW w:w="3920" w:type="dxa"/>
            <w:vAlign w:val="bottom"/>
          </w:tcPr>
          <w:p>
            <w:pPr>
              <w:spacing w:after="0"/>
              <w:rPr>
                <w:sz w:val="17"/>
                <w:szCs w:val="17"/>
                <w:color w:val="auto"/>
              </w:rPr>
            </w:pPr>
          </w:p>
        </w:tc>
        <w:tc>
          <w:tcPr>
            <w:tcW w:w="2920" w:type="dxa"/>
            <w:vAlign w:val="bottom"/>
            <w:tcBorders>
              <w:bottom w:val="single" w:sz="8" w:color="auto"/>
            </w:tcBorders>
            <w:gridSpan w:val="5"/>
          </w:tcPr>
          <w:p>
            <w:pPr>
              <w:jc w:val="center"/>
              <w:ind w:left="839"/>
              <w:spacing w:after="0"/>
              <w:rPr>
                <w:sz w:val="20"/>
                <w:szCs w:val="20"/>
                <w:color w:val="auto"/>
              </w:rPr>
            </w:pPr>
            <w:r>
              <w:rPr>
                <w:rFonts w:ascii="Arial" w:cs="Arial" w:eastAsia="Arial" w:hAnsi="Arial"/>
                <w:sz w:val="16"/>
                <w:szCs w:val="16"/>
                <w:b w:val="1"/>
                <w:bCs w:val="1"/>
                <w:color w:val="auto"/>
                <w:w w:val="90"/>
              </w:rPr>
              <w:t>For the three months ended</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 Change from</w:t>
            </w:r>
          </w:p>
        </w:tc>
        <w:tc>
          <w:tcPr>
            <w:tcW w:w="120" w:type="dxa"/>
            <w:vAlign w:val="bottom"/>
          </w:tcPr>
          <w:p>
            <w:pPr>
              <w:spacing w:after="0"/>
              <w:rPr>
                <w:sz w:val="17"/>
                <w:szCs w:val="17"/>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5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4"/>
              </w:rPr>
              <w:t>March 31,</w:t>
            </w: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6"/>
                <w:szCs w:val="16"/>
                <w:color w:val="auto"/>
              </w:rPr>
            </w:pPr>
          </w:p>
        </w:tc>
      </w:tr>
      <w:tr>
        <w:trPr>
          <w:trHeight w:val="213"/>
        </w:trPr>
        <w:tc>
          <w:tcPr>
            <w:tcW w:w="39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E5FFFF"/>
            </w:tcBorders>
          </w:tcPr>
          <w:p>
            <w:pPr>
              <w:spacing w:after="0"/>
              <w:rPr>
                <w:sz w:val="18"/>
                <w:szCs w:val="18"/>
                <w:color w:val="auto"/>
              </w:rPr>
            </w:pPr>
          </w:p>
        </w:tc>
      </w:tr>
      <w:tr>
        <w:trPr>
          <w:trHeight w:val="213"/>
        </w:trPr>
        <w:tc>
          <w:tcPr>
            <w:tcW w:w="39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220" w:type="dxa"/>
            <w:vAlign w:val="bottom"/>
            <w:shd w:val="clear" w:color="auto" w:fill="E5FFFF"/>
          </w:tcPr>
          <w:p>
            <w:pPr>
              <w:spacing w:after="0"/>
              <w:rPr>
                <w:sz w:val="18"/>
                <w:szCs w:val="18"/>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23%</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w:t>
            </w:r>
          </w:p>
        </w:tc>
      </w:tr>
      <w:tr>
        <w:trPr>
          <w:trHeight w:val="227"/>
        </w:trPr>
        <w:tc>
          <w:tcPr>
            <w:tcW w:w="3920" w:type="dxa"/>
            <w:vAlign w:val="bottom"/>
          </w:tcPr>
          <w:p>
            <w:pPr>
              <w:spacing w:after="0"/>
              <w:rPr>
                <w:sz w:val="20"/>
                <w:szCs w:val="20"/>
                <w:color w:val="auto"/>
              </w:rPr>
            </w:pPr>
            <w:r>
              <w:rPr>
                <w:rFonts w:ascii="Arial" w:cs="Arial" w:eastAsia="Arial" w:hAnsi="Arial"/>
                <w:sz w:val="16"/>
                <w:szCs w:val="16"/>
                <w:color w:val="auto"/>
              </w:rPr>
              <w:t>Profit</w:t>
            </w:r>
          </w:p>
        </w:tc>
        <w:tc>
          <w:tcPr>
            <w:tcW w:w="1120" w:type="dxa"/>
            <w:vAlign w:val="bottom"/>
          </w:tcPr>
          <w:p>
            <w:pPr>
              <w:jc w:val="right"/>
              <w:spacing w:after="0"/>
              <w:rPr>
                <w:sz w:val="20"/>
                <w:szCs w:val="20"/>
                <w:color w:val="auto"/>
              </w:rPr>
            </w:pPr>
            <w:r>
              <w:rPr>
                <w:rFonts w:ascii="Arial" w:cs="Arial" w:eastAsia="Arial" w:hAnsi="Arial"/>
                <w:sz w:val="16"/>
                <w:szCs w:val="16"/>
                <w:color w:val="auto"/>
              </w:rPr>
              <w:t>22,901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19,143</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33"/>
        </w:trPr>
        <w:tc>
          <w:tcPr>
            <w:tcW w:w="3920" w:type="dxa"/>
            <w:vAlign w:val="bottom"/>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21,900</w:t>
            </w:r>
          </w:p>
        </w:tc>
        <w:tc>
          <w:tcPr>
            <w:tcW w:w="220" w:type="dxa"/>
            <w:vAlign w:val="bottom"/>
            <w:shd w:val="clear" w:color="auto" w:fill="E5FFFF"/>
          </w:tcPr>
          <w:p>
            <w:pPr>
              <w:spacing w:after="0"/>
              <w:rPr>
                <w:sz w:val="20"/>
                <w:szCs w:val="20"/>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26,961</w:t>
            </w: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27,789</w:t>
            </w:r>
          </w:p>
        </w:tc>
        <w:tc>
          <w:tcPr>
            <w:tcW w:w="220" w:type="dxa"/>
            <w:vAlign w:val="bottom"/>
            <w:shd w:val="clear" w:color="auto" w:fill="E5FFFF"/>
          </w:tcPr>
          <w:p>
            <w:pPr>
              <w:spacing w:after="0"/>
              <w:rPr>
                <w:sz w:val="20"/>
                <w:szCs w:val="20"/>
                <w:color w:val="auto"/>
              </w:rPr>
            </w:pP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27%</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w:t>
            </w:r>
          </w:p>
        </w:tc>
      </w:tr>
      <w:tr>
        <w:trPr>
          <w:trHeight w:val="230"/>
        </w:trPr>
        <w:tc>
          <w:tcPr>
            <w:tcW w:w="3920" w:type="dxa"/>
            <w:vAlign w:val="bottom"/>
          </w:tcPr>
          <w:p>
            <w:pPr>
              <w:spacing w:after="0" w:line="230"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53,260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67,503</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r>
      <w:tr>
        <w:trPr>
          <w:trHeight w:val="230"/>
        </w:trPr>
        <w:tc>
          <w:tcPr>
            <w:tcW w:w="3920" w:type="dxa"/>
            <w:vAlign w:val="bottom"/>
            <w:shd w:val="clear" w:color="auto" w:fill="E5FFFF"/>
          </w:tcPr>
          <w:p>
            <w:pPr>
              <w:spacing w:after="0" w:line="230"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22,915</w:t>
            </w:r>
          </w:p>
        </w:tc>
        <w:tc>
          <w:tcPr>
            <w:tcW w:w="220" w:type="dxa"/>
            <w:vAlign w:val="bottom"/>
            <w:shd w:val="clear" w:color="auto" w:fill="E5FFFF"/>
          </w:tcPr>
          <w:p>
            <w:pPr>
              <w:spacing w:after="0"/>
              <w:rPr>
                <w:sz w:val="19"/>
                <w:szCs w:val="19"/>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27,608</w:t>
            </w:r>
          </w:p>
        </w:tc>
        <w:tc>
          <w:tcPr>
            <w:tcW w:w="2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29,399</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28%</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w:t>
            </w: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Cash distributions declared</w:t>
            </w:r>
          </w:p>
        </w:tc>
        <w:tc>
          <w:tcPr>
            <w:tcW w:w="1120" w:type="dxa"/>
            <w:vAlign w:val="bottom"/>
          </w:tcPr>
          <w:p>
            <w:pPr>
              <w:jc w:val="right"/>
              <w:spacing w:after="0"/>
              <w:rPr>
                <w:sz w:val="20"/>
                <w:szCs w:val="20"/>
                <w:color w:val="auto"/>
              </w:rPr>
            </w:pPr>
            <w:r>
              <w:rPr>
                <w:rFonts w:ascii="Arial" w:cs="Arial" w:eastAsia="Arial" w:hAnsi="Arial"/>
                <w:sz w:val="16"/>
                <w:szCs w:val="16"/>
                <w:color w:val="auto"/>
              </w:rPr>
              <w:t>24,272</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26,911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26,689</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bl>
    <w:p>
      <w:pPr>
        <w:spacing w:after="0" w:line="298" w:lineRule="exact"/>
        <w:rPr>
          <w:sz w:val="20"/>
          <w:szCs w:val="20"/>
          <w:color w:val="auto"/>
        </w:rPr>
      </w:pPr>
    </w:p>
    <w:p>
      <w:pPr>
        <w:ind w:left="660" w:hanging="328"/>
        <w:spacing w:after="0" w:line="228"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7" w:lineRule="exact"/>
        <w:rPr>
          <w:rFonts w:ascii="Arial" w:cs="Arial" w:eastAsia="Arial" w:hAnsi="Arial"/>
          <w:sz w:val="21"/>
          <w:szCs w:val="21"/>
          <w:color w:val="auto"/>
          <w:vertAlign w:val="superscript"/>
        </w:rPr>
      </w:pPr>
    </w:p>
    <w:p>
      <w:pPr>
        <w:ind w:left="660" w:right="140" w:hanging="328"/>
        <w:spacing w:after="0" w:line="196"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2" w:lineRule="exact"/>
        <w:rPr>
          <w:sz w:val="20"/>
          <w:szCs w:val="20"/>
          <w:color w:val="auto"/>
        </w:rPr>
      </w:pPr>
    </w:p>
    <w:p>
      <w:pPr>
        <w:jc w:val="both"/>
        <w:ind w:right="280"/>
        <w:spacing w:after="0" w:line="335" w:lineRule="auto"/>
        <w:rPr>
          <w:sz w:val="20"/>
          <w:szCs w:val="20"/>
          <w:color w:val="auto"/>
        </w:rPr>
      </w:pPr>
      <w:r>
        <w:rPr>
          <w:rFonts w:ascii="Arial" w:cs="Arial" w:eastAsia="Arial" w:hAnsi="Arial"/>
          <w:sz w:val="14"/>
          <w:szCs w:val="14"/>
          <w:color w:val="auto"/>
        </w:rPr>
        <w:t xml:space="preserve">With respect to the Partnership Performance Results, there were 1,340 operating days for the quarter ended June 30, 2019 compared to 1,254 operating days for the quarter ended March 31, 2019 and 1,073 operating days for the quarter ended June 30, 2018. The increase in operating days is mainly attributable to the vessel drop-downs during 2018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April 26, 2018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on November 14, 2018) and the drop-down of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on April 1, 2019.</w:t>
      </w:r>
    </w:p>
    <w:p>
      <w:pPr>
        <w:spacing w:after="0" w:line="150"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 xml:space="preserve">The decrease in profit in the second quarter of 2019 as compared to the same period in 2018 is mainly attributable to a $9.7 million decrease in gain from the mark-to-market valuation of the derivatives attributable to the Partnership which were carried at fair value through profit or loss, partially offset by the incremental EBITDA, depreciation and financial costs from the vessel drop-downs during 2018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 26, 2018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 November 14, 2018) and the drop-down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April 1, 2019.</w:t>
      </w:r>
    </w:p>
    <w:p>
      <w:pPr>
        <w:spacing w:after="0" w:line="189"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 xml:space="preserve">The decrease in profit in the second quarter of 2019 as compared to the first quarter of 2019 is mainly attributable to the increase of $3.0 million in mark-to-market loss on derivatives and a decrease in revenues from the Cool Pool, partially offset by the incremental EBITDA and depreciation from the drop-down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April 1, 2019.</w:t>
      </w:r>
    </w:p>
    <w:p>
      <w:pPr>
        <w:spacing w:after="0" w:line="184"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decrease in total cash distributions declared in the second quarter of 2019 as compared to the first quarter of 2019 is attributable to the decrease in the number of outstanding common units due to the repurchases of common units by GasLog Partners during the second quarter of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On May 10, 2019,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Series C Preference Units of $0.53125 per preference unit. The cash distributions were paid on June 17, 2019 to all unitholders of record as of June 10, 2019.</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On July 24, 2019, the board of directors of GasLog Partners approved and declared a quarterly cash distribution of $0.55 per common unit for the quarter ended June 30, 2019.</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cash distribution is payable on August 9, 2019 to all unitholders of record as of August 5, 2019.</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As of June 30, 2019, we had $69.0 million of cash and cash equivalents, of which $25.7 million was held in current accounts and $43.3 million was held in time deposits with an original duration of less than three months. An additional amount of $19.0 million of time deposits with an original duration greater than three months was classified as short-term investments.</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On April 1, 2019, in connection with the acquisition of GAS-twelve Ltd., the entity that owns the </w:t>
      </w:r>
      <w:r>
        <w:rPr>
          <w:rFonts w:ascii="Arial" w:cs="Arial" w:eastAsia="Arial" w:hAnsi="Arial"/>
          <w:sz w:val="16"/>
          <w:szCs w:val="16"/>
          <w:i w:val="1"/>
          <w:iCs w:val="1"/>
          <w:color w:val="auto"/>
        </w:rPr>
        <w:t>GasLog Glasgow</w:t>
      </w:r>
      <w:r>
        <w:rPr>
          <w:rFonts w:ascii="Arial" w:cs="Arial" w:eastAsia="Arial" w:hAnsi="Arial"/>
          <w:sz w:val="16"/>
          <w:szCs w:val="16"/>
          <w:color w:val="auto"/>
        </w:rPr>
        <w:t>, the Partnership paid to GasLog $93.6 million, representing the $214.0 million aggregate purchase price less the $134.1 million of outstanding indebtedness of the acquired entity assumed by GasLog Partners, plus an adjustment of $13.7 million in order to maintain the agreed working capital position in the acquired entity of $1.0 million.</w:t>
      </w:r>
    </w:p>
    <w:p>
      <w:pPr>
        <w:spacing w:after="0" w:line="184"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In the three months ended June 30, 2019, GasLog Partners repurchased and cancelled 476,351 common units at a weighted average price of $20.81 under its unit repurchase programme authorized in January 2019, for a total amount of $9.9 million, including commissions. Since the authorization of the unit repurchase programme and through July 25, 2019, GasLog Partners has repurchased and cancelled a total of 541,541 units at a weighted average price of $20.85 per common unit for a total amount of $11.3 million, including commissions. As of July 25, 2019, the unutilized portion of the unit repurchase programme was $13.7 million.</w:t>
      </w:r>
    </w:p>
    <w:p>
      <w:pPr>
        <w:spacing w:after="0" w:line="17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June 30, 2019, we had an aggregate of $1,396.5 million of borrowings outstanding under our credit facilities, of which $105.5 million is repayable within one year. In addition, as of June 30, 2019, we had unused availability under our revolving credit facilities of $63.6 million.</w:t>
      </w:r>
    </w:p>
    <w:p>
      <w:pPr>
        <w:spacing w:after="0" w:line="172" w:lineRule="exact"/>
        <w:rPr>
          <w:sz w:val="20"/>
          <w:szCs w:val="20"/>
          <w:color w:val="auto"/>
        </w:rPr>
      </w:pPr>
    </w:p>
    <w:p>
      <w:pPr>
        <w:jc w:val="both"/>
        <w:ind w:right="36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44.1% of its floating interest rate exposure on its outstanding debt as of June 30, 2019, at a weighted average interest rate of approximately 2.1% (excluding margin).</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Furthermore, the Partnership has in place three forward foreign exchange contracts with GasLog with a notional value of €6.0 million and staggered maturities during the third quarter of 2019 to mitigate its foreign exchange transaction exposure in its operating expenses.</w:t>
      </w:r>
    </w:p>
    <w:p>
      <w:pPr>
        <w:spacing w:after="0" w:line="172"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As of June 30, 2019, our current assets totaled $107.9 million and current liabilities totaled $148.1 million, resulting in a negative working capital position of $40.2 million. 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Global LNG demand was 86 million tonnes (“mt”) in the second quarter, compared with 74 mt in the second quarter of 2018, an increase of 16%. Higher European imports (up 110% year-on-year) accounted for most of the growth, while demand from Northeast Asia (Japan, China, South Korea and Taiwan) was flat year-on-year, according to Poten. Natural gas prices were at multi-year lows in the second quarter of 2019 as the leveling off in demand growth from key LNG consumers in Northeast Asia coupled with elevated inventories and new LNG supply depressed LNG prices in Asia and Europe. However, low European gas prices and rising carbon prices have incentivized coal-to-gas switching in power generation, with Platts reporting that Germany’s and Italy’s gas-fired power generation has increased 54% and 37%, respectively, in 2019 to date. Global LNG demand for 2019 is estimated at 351 mt, an increase of over 37 mt, or 12%, over 2018, according to Wood Mackenzie.</w:t>
      </w:r>
    </w:p>
    <w:p>
      <w:pPr>
        <w:spacing w:after="0" w:line="177" w:lineRule="exact"/>
        <w:rPr>
          <w:sz w:val="20"/>
          <w:szCs w:val="20"/>
          <w:color w:val="auto"/>
        </w:rPr>
      </w:pPr>
    </w:p>
    <w:p>
      <w:pPr>
        <w:spacing w:after="0" w:line="318" w:lineRule="auto"/>
        <w:rPr>
          <w:sz w:val="20"/>
          <w:szCs w:val="20"/>
          <w:color w:val="auto"/>
        </w:rPr>
      </w:pPr>
      <w:r>
        <w:rPr>
          <w:rFonts w:ascii="Arial" w:cs="Arial" w:eastAsia="Arial" w:hAnsi="Arial"/>
          <w:sz w:val="14"/>
          <w:szCs w:val="14"/>
          <w:color w:val="auto"/>
        </w:rPr>
        <w:t>Global LNG supply totaled 87 mt in the second quarter of 2019, an increase of 13 mt or 17% over the second quarter of 2018, principally driven by new supply additions in the U.S., Australia and Russia, according to Poten. Wood Mackenzie estimates that 2019 supply will be 365 mt, or 38 mt (12%), higher year-on-year as 2018’s supply additions continue to ramp up production and new projects begin production in the U.S. and Australia. The second quarter also saw significant additions to future supply growth as Cheniere Energy Inc. (“Cheniere”) reached a final investment decision (“FID”) on Sabine Pass Train 6, while Anadarko Petroleum took FID on Mozambique LNG (Area 1), in aggregate representing 17 mt of new liquefaction capacity according to Wood Mackenzie. In 2019 to date, nearly 34 mt of new liquefaction capacity has reached FID.</w:t>
      </w:r>
    </w:p>
    <w:p>
      <w:pPr>
        <w:spacing w:after="0" w:line="162"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Headline spot rates for TFDE LNG carriers (“LNGCs”) averaged approximately $49,000 per day in the second quarter of 2019, compared to $58,000 per day in the second quarter of 2018, as reported by Clarksons. The year-over-year decline in headline TFDE spot rates is primarily attributed to the low global natural gas prices referenced above, which limited opportunities for inter-basin LNG trading, start-up delays of new liquefaction projects, particularly in the U.S., as well as fleet growth. Despite these headwinds, 18 charters greater than six months in duration were fixed during the second quarter of 2019, compared with 20 in the first quarter and 24 in the second quarter of 2018. Poten currently estimates the one-year time charter rate for TFDE LNGCs at $85,000 per day as compared with their headline spot rates of $57,500 per day, which may indicate a potentially tightening shipping market in the quarters ahead as customers look to secure their shipping ahead of the seasonally strong winter months and through 2020.</w:t>
      </w:r>
    </w:p>
    <w:p>
      <w:pPr>
        <w:spacing w:after="0" w:line="164"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We expect multi-month and multi-year chartering activity and shipping rates to increase from current levels during the second half of 2019 and into 2020, with the magnitude and duration dependent on the pace and location of demand growth, the continued ramp-up in new LNG supply additions and cooling and heating demand during the Northern Hemisphere summer and winter, respectively. In 2021 and beyond, we continue to see a balanced market for LNG shipping relative to supply and demand for the LNG commodity, but caution that additional ordering of new LNGCs beyond those in the orderbook could dampen shipping rates, particularly from 2022 onwards.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7" w:name="page8"/>
    <w:bookmarkEnd w:id="7"/>
    <w:p>
      <w:pPr>
        <w:ind w:right="160"/>
        <w:spacing w:after="0" w:line="305" w:lineRule="auto"/>
        <w:rPr>
          <w:sz w:val="20"/>
          <w:szCs w:val="20"/>
          <w:color w:val="auto"/>
        </w:rPr>
      </w:pPr>
      <w:r>
        <w:rPr>
          <w:rFonts w:ascii="Arial" w:cs="Arial" w:eastAsia="Arial" w:hAnsi="Arial"/>
          <w:sz w:val="15"/>
          <w:szCs w:val="15"/>
          <w:color w:val="auto"/>
        </w:rPr>
        <w:t>As of July 11, 2019, the LNG fleet and orderbook (excluding floating storage and regasification units (“FSRUs”) and vessels with capacity below 100,000 cbm) stood at 498 and 109 vessels respectively, as estimated by Poten. Of the LNGCs in the orderbook, 63, or 58%, are chartered on multi-year contracts. There have been 25 vessels ordered thus far in 2019, including nine during the second quarter, and against a total of 63 for all of 2018, suggesting the pace of newbuild ordering has declined.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GasLog Partners will host a conference call to discuss its results for the second quarter of 2019 at 8:30 a.m. EDT (1:30 p.m. BST) on Thursday, July 25, 2019. Andrew Orekar, Chief Executive Officer, and Alastair Maxwell, Chief Financial Officer, will review the Partnership’s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8859733</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live webcast of the conference call will also be available on the Investor Relations page of the Partnership’s website at </w:t>
      </w:r>
      <w:r>
        <w:rPr>
          <w:rFonts w:ascii="Arial" w:cs="Arial" w:eastAsia="Arial" w:hAnsi="Arial"/>
          <w:sz w:val="15"/>
          <w:szCs w:val="15"/>
          <w:u w:val="single" w:color="auto"/>
          <w:color w:val="0000FF"/>
        </w:rPr>
        <w:t>http://www.gaslogmlp.com/investor-relations</w:t>
      </w:r>
      <w:r>
        <w:rPr>
          <w:rFonts w:ascii="Arial" w:cs="Arial" w:eastAsia="Arial" w:hAnsi="Arial"/>
          <w:sz w:val="15"/>
          <w:szCs w:val="15"/>
          <w:color w:val="auto"/>
        </w:rPr>
        <w:t>.</w:t>
      </w:r>
    </w:p>
    <w:p>
      <w:pPr>
        <w:spacing w:after="0" w:line="246" w:lineRule="exact"/>
        <w:rPr>
          <w:sz w:val="20"/>
          <w:szCs w:val="20"/>
          <w:color w:val="auto"/>
        </w:rPr>
      </w:pPr>
    </w:p>
    <w:p>
      <w:pPr>
        <w:ind w:right="130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Partnership’s website at </w:t>
      </w: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140" w:hanging="328"/>
        <w:spacing w:after="0" w:line="25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220" w:hanging="328"/>
        <w:spacing w:after="0" w:line="266" w:lineRule="auto"/>
        <w:tabs>
          <w:tab w:leader="none" w:pos="624" w:val="left"/>
        </w:tabs>
        <w:numPr>
          <w:ilvl w:val="0"/>
          <w:numId w:val="7"/>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340" w:hanging="328"/>
        <w:spacing w:after="0" w:line="263"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8" w:name="page9"/>
    <w:bookmarkEnd w:id="8"/>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140" w:hanging="328"/>
        <w:spacing w:after="0" w:line="251"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hanging="328"/>
        <w:spacing w:after="0" w:line="251"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5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0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b w:val="1"/>
                <w:bCs w:val="1"/>
                <w:color w:val="auto"/>
              </w:rPr>
              <w:t>As of December 31, 2018 and June 30, 2019</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080" w:type="dxa"/>
            <w:vAlign w:val="bottom"/>
          </w:tcPr>
          <w:p>
            <w:pPr>
              <w:spacing w:after="0"/>
              <w:rPr>
                <w:sz w:val="24"/>
                <w:szCs w:val="24"/>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9"/>
        </w:trPr>
        <w:tc>
          <w:tcPr>
            <w:tcW w:w="8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5,116</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2,464,098</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Right-of-use assets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196"/>
        </w:trPr>
        <w:tc>
          <w:tcPr>
            <w:tcW w:w="8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2,515,249</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2,465,603</w:t>
            </w:r>
          </w:p>
        </w:tc>
        <w:tc>
          <w:tcPr>
            <w:tcW w:w="0" w:type="dxa"/>
            <w:vAlign w:val="bottom"/>
          </w:tcPr>
          <w:p>
            <w:pPr>
              <w:spacing w:after="0"/>
              <w:rPr>
                <w:sz w:val="1"/>
                <w:szCs w:val="1"/>
                <w:color w:val="auto"/>
              </w:rPr>
            </w:pP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13,811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Inventories</w:t>
            </w:r>
          </w:p>
        </w:tc>
        <w:tc>
          <w:tcPr>
            <w:tcW w:w="1480" w:type="dxa"/>
            <w:vAlign w:val="bottom"/>
          </w:tcPr>
          <w:p>
            <w:pPr>
              <w:jc w:val="right"/>
              <w:spacing w:after="0"/>
              <w:rPr>
                <w:sz w:val="20"/>
                <w:szCs w:val="20"/>
                <w:color w:val="auto"/>
              </w:rPr>
            </w:pPr>
            <w:r>
              <w:rPr>
                <w:rFonts w:ascii="Arial" w:cs="Arial" w:eastAsia="Arial" w:hAnsi="Arial"/>
                <w:sz w:val="16"/>
                <w:szCs w:val="16"/>
                <w:color w:val="auto"/>
              </w:rPr>
              <w:t>3,379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14,540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80" w:type="dxa"/>
            <w:vAlign w:val="bottom"/>
          </w:tcPr>
          <w:p>
            <w:pPr>
              <w:jc w:val="right"/>
              <w:spacing w:after="0"/>
              <w:rPr>
                <w:sz w:val="20"/>
                <w:szCs w:val="20"/>
                <w:color w:val="auto"/>
              </w:rPr>
            </w:pPr>
            <w:r>
              <w:rPr>
                <w:rFonts w:ascii="Arial" w:cs="Arial" w:eastAsia="Arial" w:hAnsi="Arial"/>
                <w:sz w:val="16"/>
                <w:szCs w:val="16"/>
                <w:color w:val="auto"/>
              </w:rPr>
              <w:t>1,245</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Short-term investments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19,000</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69,009</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180,960</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107,920</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2,573,523</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Owners’ capital</w:t>
            </w:r>
          </w:p>
        </w:tc>
        <w:tc>
          <w:tcPr>
            <w:tcW w:w="1480" w:type="dxa"/>
            <w:vAlign w:val="bottom"/>
          </w:tcPr>
          <w:p>
            <w:pPr>
              <w:jc w:val="right"/>
              <w:spacing w:after="0"/>
              <w:rPr>
                <w:sz w:val="20"/>
                <w:szCs w:val="20"/>
                <w:color w:val="auto"/>
              </w:rPr>
            </w:pPr>
            <w:r>
              <w:rPr>
                <w:rFonts w:ascii="Arial" w:cs="Arial" w:eastAsia="Arial" w:hAnsi="Arial"/>
                <w:sz w:val="16"/>
                <w:szCs w:val="16"/>
                <w:color w:val="auto"/>
              </w:rPr>
              <w:t>73,134</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w w:val="96"/>
              </w:rPr>
              <w:t>Common unitholders (45,448,993 units issued and outstanding as of December 31, 2018 and 47,555,403 units issued</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and outstanding as of June 30,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812,863</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761,491</w:t>
            </w:r>
          </w:p>
        </w:tc>
        <w:tc>
          <w:tcPr>
            <w:tcW w:w="0" w:type="dxa"/>
            <w:vAlign w:val="bottom"/>
          </w:tcPr>
          <w:p>
            <w:pPr>
              <w:spacing w:after="0"/>
              <w:rPr>
                <w:sz w:val="1"/>
                <w:szCs w:val="1"/>
                <w:color w:val="auto"/>
              </w:rPr>
            </w:pPr>
          </w:p>
        </w:tc>
      </w:tr>
      <w:tr>
        <w:trPr>
          <w:trHeight w:val="193"/>
        </w:trPr>
        <w:tc>
          <w:tcPr>
            <w:tcW w:w="8080" w:type="dxa"/>
            <w:vAlign w:val="bottom"/>
          </w:tcPr>
          <w:p>
            <w:pPr>
              <w:spacing w:after="0"/>
              <w:rPr>
                <w:sz w:val="20"/>
                <w:szCs w:val="20"/>
                <w:color w:val="auto"/>
              </w:rPr>
            </w:pPr>
            <w:r>
              <w:rPr>
                <w:rFonts w:ascii="Arial" w:cs="Arial" w:eastAsia="Arial" w:hAnsi="Arial"/>
                <w:sz w:val="16"/>
                <w:szCs w:val="16"/>
                <w:color w:val="auto"/>
              </w:rPr>
              <w:t>Class B unitholders (nil units issued and outstanding as of December 31, 2018 and 2,490,000 units issued and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80" w:type="dxa"/>
            <w:vAlign w:val="bottom"/>
          </w:tcPr>
          <w:p>
            <w:pPr>
              <w:ind w:left="160"/>
              <w:spacing w:after="0"/>
              <w:rPr>
                <w:sz w:val="20"/>
                <w:szCs w:val="20"/>
                <w:color w:val="auto"/>
              </w:rPr>
            </w:pPr>
            <w:r>
              <w:rPr>
                <w:rFonts w:ascii="Arial" w:cs="Arial" w:eastAsia="Arial" w:hAnsi="Arial"/>
                <w:sz w:val="16"/>
                <w:szCs w:val="16"/>
                <w:color w:val="auto"/>
              </w:rPr>
              <w:t>outstanding as of June 30, 2019)</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(927,532 units issued and outstanding as of December 31, 2018 and 1,021,336 units issued and</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outstanding as of June 30,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13,289</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14,349</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Incentive distribution rights (“IDR”)</w:t>
            </w:r>
          </w:p>
        </w:tc>
        <w:tc>
          <w:tcPr>
            <w:tcW w:w="1480" w:type="dxa"/>
            <w:vAlign w:val="bottom"/>
          </w:tcPr>
          <w:p>
            <w:pPr>
              <w:jc w:val="right"/>
              <w:spacing w:after="0"/>
              <w:rPr>
                <w:sz w:val="20"/>
                <w:szCs w:val="20"/>
                <w:color w:val="auto"/>
              </w:rPr>
            </w:pPr>
            <w:r>
              <w:rPr>
                <w:rFonts w:ascii="Arial" w:cs="Arial" w:eastAsia="Arial" w:hAnsi="Arial"/>
                <w:sz w:val="16"/>
                <w:szCs w:val="16"/>
                <w:color w:val="auto"/>
              </w:rPr>
              <w:t>5,176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Preference unitholders (5,750,000 Series A Preference Units, 4,600,000 Series B Preference Units and 4,000,000</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Series C Preference Units issued and outstanding as of December 31, 2018 and June 30, 2019)</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348,331</w:t>
            </w:r>
          </w:p>
        </w:tc>
        <w:tc>
          <w:tcPr>
            <w:tcW w:w="28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347,889</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1,252,793</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1,123,729</w:t>
            </w:r>
          </w:p>
        </w:tc>
        <w:tc>
          <w:tcPr>
            <w:tcW w:w="0" w:type="dxa"/>
            <w:vAlign w:val="bottom"/>
          </w:tcPr>
          <w:p>
            <w:pPr>
              <w:spacing w:after="0"/>
              <w:rPr>
                <w:sz w:val="1"/>
                <w:szCs w:val="1"/>
                <w:color w:val="auto"/>
              </w:rPr>
            </w:pPr>
          </w:p>
        </w:tc>
      </w:tr>
      <w:tr>
        <w:trPr>
          <w:trHeight w:val="183"/>
        </w:trPr>
        <w:tc>
          <w:tcPr>
            <w:tcW w:w="80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480" w:type="dxa"/>
            <w:vAlign w:val="bottom"/>
          </w:tcPr>
          <w:p>
            <w:pPr>
              <w:jc w:val="right"/>
              <w:spacing w:after="0"/>
              <w:rPr>
                <w:sz w:val="20"/>
                <w:szCs w:val="20"/>
                <w:color w:val="auto"/>
              </w:rPr>
            </w:pPr>
            <w:r>
              <w:rPr>
                <w:rFonts w:ascii="Arial" w:cs="Arial" w:eastAsia="Arial" w:hAnsi="Arial"/>
                <w:sz w:val="16"/>
                <w:szCs w:val="16"/>
                <w:color w:val="auto"/>
              </w:rPr>
              <w:t>7,626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11,030</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2,623</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1,253</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60,671</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25,026</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480" w:type="dxa"/>
            <w:vAlign w:val="bottom"/>
          </w:tcPr>
          <w:p>
            <w:pPr>
              <w:jc w:val="right"/>
              <w:spacing w:after="0"/>
              <w:rPr>
                <w:sz w:val="20"/>
                <w:szCs w:val="20"/>
                <w:color w:val="auto"/>
              </w:rPr>
            </w:pPr>
            <w:r>
              <w:rPr>
                <w:rFonts w:ascii="Arial" w:cs="Arial" w:eastAsia="Arial" w:hAnsi="Arial"/>
                <w:sz w:val="16"/>
                <w:szCs w:val="16"/>
                <w:color w:val="auto"/>
              </w:rPr>
              <w:t>440,389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105,540</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512,562</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148,123</w:t>
            </w:r>
          </w:p>
        </w:tc>
        <w:tc>
          <w:tcPr>
            <w:tcW w:w="0" w:type="dxa"/>
            <w:vAlign w:val="bottom"/>
          </w:tcPr>
          <w:p>
            <w:pPr>
              <w:spacing w:after="0"/>
              <w:rPr>
                <w:sz w:val="1"/>
                <w:szCs w:val="1"/>
                <w:color w:val="auto"/>
              </w:rPr>
            </w:pPr>
          </w:p>
        </w:tc>
      </w:tr>
      <w:tr>
        <w:trPr>
          <w:trHeight w:val="183"/>
        </w:trPr>
        <w:tc>
          <w:tcPr>
            <w:tcW w:w="80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3,543</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8,526</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925,411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1,290,969</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1,900</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930,854</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1,301,671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2,573,523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2018 and June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16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3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2018</w:t>
            </w: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2019</w:t>
            </w: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2018</w:t>
            </w:r>
          </w:p>
        </w:tc>
        <w:tc>
          <w:tcPr>
            <w:tcW w:w="15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92,085</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191,421</w:t>
            </w: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185,690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Net pool allocation</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(357)</w:t>
            </w:r>
          </w:p>
        </w:tc>
        <w:tc>
          <w:tcPr>
            <w:tcW w:w="146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(357)</w:t>
            </w:r>
          </w:p>
        </w:tc>
        <w:tc>
          <w:tcPr>
            <w:tcW w:w="1500" w:type="dxa"/>
            <w:vAlign w:val="bottom"/>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(1,725)</w:t>
            </w:r>
          </w:p>
        </w:tc>
        <w:tc>
          <w:tcPr>
            <w:tcW w:w="15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(2,037)</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(3,059)</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(18,208)</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(18,548)</w:t>
            </w: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(38,333)</w:t>
            </w:r>
          </w:p>
        </w:tc>
        <w:tc>
          <w:tcPr>
            <w:tcW w:w="1500" w:type="dxa"/>
            <w:vAlign w:val="bottom"/>
          </w:tcPr>
          <w:p>
            <w:pPr>
              <w:jc w:val="right"/>
              <w:spacing w:after="0"/>
              <w:rPr>
                <w:sz w:val="20"/>
                <w:szCs w:val="20"/>
                <w:color w:val="auto"/>
              </w:rPr>
            </w:pPr>
            <w:r>
              <w:rPr>
                <w:rFonts w:ascii="Arial" w:cs="Arial" w:eastAsia="Arial" w:hAnsi="Arial"/>
                <w:sz w:val="16"/>
                <w:szCs w:val="16"/>
                <w:color w:val="auto"/>
              </w:rPr>
              <w:t>(37,179)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(21,758)</w:t>
            </w:r>
          </w:p>
        </w:tc>
        <w:tc>
          <w:tcPr>
            <w:tcW w:w="15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(22,137)</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(43,325)</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(4,894</w:t>
            </w:r>
            <w:r>
              <w:rPr>
                <w:rFonts w:ascii="Arial" w:cs="Arial" w:eastAsia="Arial" w:hAnsi="Arial"/>
                <w:sz w:val="16"/>
                <w:szCs w:val="16"/>
                <w:b w:val="1"/>
                <w:bCs w:val="1"/>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(4,741</w:t>
            </w:r>
            <w:r>
              <w:rPr>
                <w:rFonts w:ascii="Arial" w:cs="Arial" w:eastAsia="Arial" w:hAnsi="Arial"/>
                <w:sz w:val="16"/>
                <w:szCs w:val="16"/>
                <w:b w:val="1"/>
                <w:bCs w:val="1"/>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(9,786</w:t>
            </w: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(9,435)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45,143</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96,561</w:t>
            </w: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92,253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Financial costs</w:t>
            </w:r>
          </w:p>
        </w:tc>
        <w:tc>
          <w:tcPr>
            <w:tcW w:w="1460" w:type="dxa"/>
            <w:vAlign w:val="bottom"/>
          </w:tcPr>
          <w:p>
            <w:pPr>
              <w:jc w:val="right"/>
              <w:spacing w:after="0"/>
              <w:rPr>
                <w:sz w:val="20"/>
                <w:szCs w:val="20"/>
                <w:color w:val="auto"/>
              </w:rPr>
            </w:pPr>
            <w:r>
              <w:rPr>
                <w:rFonts w:ascii="Arial" w:cs="Arial" w:eastAsia="Arial" w:hAnsi="Arial"/>
                <w:sz w:val="16"/>
                <w:szCs w:val="16"/>
                <w:color w:val="auto"/>
              </w:rPr>
              <w:t>(17,721)</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(18,484)</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(35,643)</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(38,116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592</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1,588</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(8,266)</w:t>
            </w:r>
          </w:p>
        </w:tc>
        <w:tc>
          <w:tcPr>
            <w:tcW w:w="1480" w:type="dxa"/>
            <w:vAlign w:val="bottom"/>
          </w:tcPr>
          <w:p>
            <w:pPr>
              <w:jc w:val="right"/>
              <w:spacing w:after="0"/>
              <w:rPr>
                <w:sz w:val="20"/>
                <w:szCs w:val="20"/>
                <w:color w:val="auto"/>
              </w:rPr>
            </w:pPr>
            <w:r>
              <w:rPr>
                <w:rFonts w:ascii="Arial" w:cs="Arial" w:eastAsia="Arial" w:hAnsi="Arial"/>
                <w:sz w:val="16"/>
                <w:szCs w:val="16"/>
                <w:color w:val="auto"/>
              </w:rPr>
              <w:t>7,915</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(13,143)</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(15,541)</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(26,603)</w:t>
            </w: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(50,094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29,602</w:t>
            </w:r>
          </w:p>
        </w:tc>
        <w:tc>
          <w:tcPr>
            <w:tcW w:w="120" w:type="dxa"/>
            <w:vAlign w:val="bottom"/>
            <w:tcBorders>
              <w:bottom w:val="single" w:sz="8" w:color="E5FF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2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69,958</w:t>
            </w:r>
          </w:p>
        </w:tc>
        <w:tc>
          <w:tcPr>
            <w:tcW w:w="1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Less:</w:t>
            </w:r>
          </w:p>
        </w:tc>
        <w:tc>
          <w:tcPr>
            <w:tcW w:w="146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46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50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Profit attributable to GasLog’s operations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(6,701)</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(15,055)</w:t>
            </w:r>
          </w:p>
        </w:tc>
        <w:tc>
          <w:tcPr>
            <w:tcW w:w="1500" w:type="dxa"/>
            <w:vAlign w:val="bottom"/>
          </w:tcPr>
          <w:p>
            <w:pPr>
              <w:jc w:val="right"/>
              <w:spacing w:after="0"/>
              <w:rPr>
                <w:sz w:val="20"/>
                <w:szCs w:val="20"/>
                <w:color w:val="auto"/>
              </w:rPr>
            </w:pPr>
            <w:r>
              <w:rPr>
                <w:rFonts w:ascii="Arial" w:cs="Arial" w:eastAsia="Arial" w:hAnsi="Arial"/>
                <w:sz w:val="16"/>
                <w:szCs w:val="16"/>
                <w:color w:val="auto"/>
              </w:rPr>
              <w:t>(2,650)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22,901</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54,903</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17,095</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11,329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41,152</w:t>
            </w: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349</w:t>
            </w:r>
          </w:p>
        </w:tc>
        <w:tc>
          <w:tcPr>
            <w:tcW w:w="14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2,368</w:t>
            </w: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Preference units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5,457</w:t>
            </w:r>
          </w:p>
        </w:tc>
        <w:tc>
          <w:tcPr>
            <w:tcW w:w="1460" w:type="dxa"/>
            <w:vAlign w:val="bottom"/>
          </w:tcPr>
          <w:p>
            <w:pPr>
              <w:jc w:val="right"/>
              <w:spacing w:after="0"/>
              <w:rPr>
                <w:sz w:val="20"/>
                <w:szCs w:val="20"/>
                <w:color w:val="auto"/>
              </w:rPr>
            </w:pPr>
            <w:r>
              <w:rPr>
                <w:rFonts w:ascii="Arial" w:cs="Arial" w:eastAsia="Arial" w:hAnsi="Arial"/>
                <w:sz w:val="16"/>
                <w:szCs w:val="16"/>
                <w:color w:val="auto"/>
              </w:rPr>
              <w:t>7,582</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10,495</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15,164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4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Common unit (basic)</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0.40</w:t>
            </w:r>
          </w:p>
        </w:tc>
        <w:tc>
          <w:tcPr>
            <w:tcW w:w="146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0.40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General partner unit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0.40</w:t>
            </w:r>
          </w:p>
        </w:tc>
        <w:tc>
          <w:tcPr>
            <w:tcW w:w="146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2018 and June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38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86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June 30,</w:t>
            </w:r>
          </w:p>
        </w:tc>
        <w:tc>
          <w:tcPr>
            <w:tcW w:w="152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69,958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42,159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Adjustments for:</w:t>
            </w: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43,325</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Financial costs</w:t>
            </w:r>
          </w:p>
        </w:tc>
        <w:tc>
          <w:tcPr>
            <w:tcW w:w="1860" w:type="dxa"/>
            <w:vAlign w:val="bottom"/>
            <w:gridSpan w:val="2"/>
          </w:tcPr>
          <w:p>
            <w:pPr>
              <w:jc w:val="right"/>
              <w:ind w:right="319"/>
              <w:spacing w:after="0"/>
              <w:rPr>
                <w:sz w:val="20"/>
                <w:szCs w:val="20"/>
                <w:color w:val="auto"/>
              </w:rPr>
            </w:pPr>
            <w:r>
              <w:rPr>
                <w:rFonts w:ascii="Arial" w:cs="Arial" w:eastAsia="Arial" w:hAnsi="Arial"/>
                <w:sz w:val="16"/>
                <w:szCs w:val="16"/>
                <w:color w:val="auto"/>
              </w:rPr>
              <w:t>35,643</w:t>
            </w:r>
          </w:p>
        </w:tc>
        <w:tc>
          <w:tcPr>
            <w:tcW w:w="1480" w:type="dxa"/>
            <w:vAlign w:val="bottom"/>
          </w:tcPr>
          <w:p>
            <w:pPr>
              <w:jc w:val="right"/>
              <w:spacing w:after="0"/>
              <w:rPr>
                <w:sz w:val="20"/>
                <w:szCs w:val="20"/>
                <w:color w:val="auto"/>
              </w:rPr>
            </w:pPr>
            <w:r>
              <w:rPr>
                <w:rFonts w:ascii="Arial" w:cs="Arial" w:eastAsia="Arial" w:hAnsi="Arial"/>
                <w:sz w:val="16"/>
                <w:szCs w:val="16"/>
                <w:color w:val="auto"/>
              </w:rPr>
              <w:t>38,116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86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(1,125)</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Unrealized (gain)/loss on derivatives held for trading</w:t>
            </w:r>
          </w:p>
        </w:tc>
        <w:tc>
          <w:tcPr>
            <w:tcW w:w="1860" w:type="dxa"/>
            <w:vAlign w:val="bottom"/>
            <w:gridSpan w:val="2"/>
          </w:tcPr>
          <w:p>
            <w:pPr>
              <w:jc w:val="right"/>
              <w:ind w:right="259"/>
              <w:spacing w:after="0"/>
              <w:rPr>
                <w:sz w:val="20"/>
                <w:szCs w:val="20"/>
                <w:color w:val="auto"/>
              </w:rPr>
            </w:pPr>
            <w:r>
              <w:rPr>
                <w:rFonts w:ascii="Arial" w:cs="Arial" w:eastAsia="Arial" w:hAnsi="Arial"/>
                <w:sz w:val="16"/>
                <w:szCs w:val="16"/>
                <w:color w:val="auto"/>
              </w:rPr>
              <w:t>(7,371)</w:t>
            </w:r>
          </w:p>
        </w:tc>
        <w:tc>
          <w:tcPr>
            <w:tcW w:w="1480" w:type="dxa"/>
            <w:vAlign w:val="bottom"/>
          </w:tcPr>
          <w:p>
            <w:pPr>
              <w:jc w:val="right"/>
              <w:spacing w:after="0"/>
              <w:rPr>
                <w:sz w:val="20"/>
                <w:szCs w:val="20"/>
                <w:color w:val="auto"/>
              </w:rPr>
            </w:pPr>
            <w:r>
              <w:rPr>
                <w:rFonts w:ascii="Arial" w:cs="Arial" w:eastAsia="Arial" w:hAnsi="Arial"/>
                <w:sz w:val="16"/>
                <w:szCs w:val="16"/>
                <w:color w:val="auto"/>
              </w:rPr>
              <w:t>14,253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498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140,928</w:t>
            </w:r>
          </w:p>
        </w:tc>
        <w:tc>
          <w:tcPr>
            <w:tcW w:w="4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137,879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86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(3,717)</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137,211</w:t>
            </w:r>
          </w:p>
        </w:tc>
        <w:tc>
          <w:tcPr>
            <w:tcW w:w="40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125,997</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(30,101</w:t>
            </w:r>
          </w:p>
        </w:tc>
        <w:tc>
          <w:tcPr>
            <w:tcW w:w="40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(34,308</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107,110</w:t>
            </w:r>
          </w:p>
        </w:tc>
        <w:tc>
          <w:tcPr>
            <w:tcW w:w="40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91,689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6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1860" w:type="dxa"/>
            <w:vAlign w:val="bottom"/>
            <w:gridSpan w:val="2"/>
          </w:tcPr>
          <w:p>
            <w:pPr>
              <w:jc w:val="right"/>
              <w:ind w:right="259"/>
              <w:spacing w:after="0"/>
              <w:rPr>
                <w:sz w:val="20"/>
                <w:szCs w:val="20"/>
                <w:color w:val="auto"/>
              </w:rPr>
            </w:pPr>
            <w:r>
              <w:rPr>
                <w:rFonts w:ascii="Arial" w:cs="Arial" w:eastAsia="Arial" w:hAnsi="Arial"/>
                <w:sz w:val="16"/>
                <w:szCs w:val="16"/>
                <w:color w:val="auto"/>
              </w:rPr>
              <w:t>(13,613)</w:t>
            </w:r>
          </w:p>
        </w:tc>
        <w:tc>
          <w:tcPr>
            <w:tcW w:w="1480" w:type="dxa"/>
            <w:vAlign w:val="bottom"/>
          </w:tcPr>
          <w:p>
            <w:pPr>
              <w:jc w:val="right"/>
              <w:spacing w:after="0"/>
              <w:rPr>
                <w:sz w:val="20"/>
                <w:szCs w:val="20"/>
                <w:color w:val="auto"/>
              </w:rPr>
            </w:pPr>
            <w:r>
              <w:rPr>
                <w:rFonts w:ascii="Arial" w:cs="Arial" w:eastAsia="Arial" w:hAnsi="Arial"/>
                <w:sz w:val="16"/>
                <w:szCs w:val="16"/>
                <w:color w:val="auto"/>
              </w:rPr>
              <w:t>(6,737)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860" w:type="dxa"/>
            <w:vAlign w:val="bottom"/>
            <w:gridSpan w:val="2"/>
          </w:tcPr>
          <w:p>
            <w:pPr>
              <w:jc w:val="right"/>
              <w:ind w:right="319"/>
              <w:spacing w:after="0"/>
              <w:rPr>
                <w:sz w:val="20"/>
                <w:szCs w:val="20"/>
                <w:color w:val="auto"/>
              </w:rPr>
            </w:pPr>
            <w:r>
              <w:rPr>
                <w:rFonts w:ascii="Arial" w:cs="Arial" w:eastAsia="Arial" w:hAnsi="Arial"/>
                <w:sz w:val="16"/>
                <w:szCs w:val="16"/>
                <w:color w:val="auto"/>
              </w:rPr>
              <w:t>948</w:t>
            </w:r>
          </w:p>
        </w:tc>
        <w:tc>
          <w:tcPr>
            <w:tcW w:w="1480" w:type="dxa"/>
            <w:vAlign w:val="bottom"/>
          </w:tcPr>
          <w:p>
            <w:pPr>
              <w:jc w:val="right"/>
              <w:spacing w:after="0"/>
              <w:rPr>
                <w:sz w:val="20"/>
                <w:szCs w:val="20"/>
                <w:color w:val="auto"/>
              </w:rPr>
            </w:pPr>
            <w:r>
              <w:rPr>
                <w:rFonts w:ascii="Arial" w:cs="Arial" w:eastAsia="Arial" w:hAnsi="Arial"/>
                <w:sz w:val="16"/>
                <w:szCs w:val="16"/>
                <w:color w:val="auto"/>
              </w:rPr>
              <w:t>1,130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5,000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860" w:type="dxa"/>
            <w:vAlign w:val="bottom"/>
            <w:gridSpan w:val="2"/>
          </w:tcPr>
          <w:p>
            <w:pPr>
              <w:jc w:val="right"/>
              <w:ind w:right="259"/>
              <w:spacing w:after="0"/>
              <w:rPr>
                <w:sz w:val="20"/>
                <w:szCs w:val="20"/>
                <w:color w:val="auto"/>
              </w:rPr>
            </w:pPr>
            <w:r>
              <w:rPr>
                <w:rFonts w:ascii="Arial" w:cs="Arial" w:eastAsia="Arial" w:hAnsi="Arial"/>
                <w:sz w:val="16"/>
                <w:szCs w:val="16"/>
                <w:color w:val="auto"/>
              </w:rPr>
              <w:t>(18,000)</w:t>
            </w:r>
          </w:p>
        </w:tc>
        <w:tc>
          <w:tcPr>
            <w:tcW w:w="1480" w:type="dxa"/>
            <w:vAlign w:val="bottom"/>
          </w:tcPr>
          <w:p>
            <w:pPr>
              <w:jc w:val="right"/>
              <w:spacing w:after="0"/>
              <w:rPr>
                <w:sz w:val="20"/>
                <w:szCs w:val="20"/>
                <w:color w:val="auto"/>
              </w:rPr>
            </w:pPr>
            <w:r>
              <w:rPr>
                <w:rFonts w:ascii="Arial" w:cs="Arial" w:eastAsia="Arial" w:hAnsi="Arial"/>
                <w:sz w:val="16"/>
                <w:szCs w:val="16"/>
                <w:color w:val="auto"/>
              </w:rPr>
              <w:t>(24,000)</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(25,665</w:t>
            </w:r>
          </w:p>
        </w:tc>
        <w:tc>
          <w:tcPr>
            <w:tcW w:w="400" w:type="dxa"/>
            <w:vAlign w:val="bottom"/>
            <w:tcBorders>
              <w:top w:val="single" w:sz="8" w:color="E5FFFF"/>
            </w:tcBorders>
            <w:shd w:val="clear" w:color="auto" w:fill="E5FFFF"/>
          </w:tcPr>
          <w:p>
            <w:pPr>
              <w:jc w:val="right"/>
              <w:ind w:right="259"/>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(10,586</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Borrowings repayments</w:t>
            </w:r>
          </w:p>
        </w:tc>
        <w:tc>
          <w:tcPr>
            <w:tcW w:w="1860" w:type="dxa"/>
            <w:vAlign w:val="bottom"/>
            <w:gridSpan w:val="2"/>
          </w:tcPr>
          <w:p>
            <w:pPr>
              <w:jc w:val="right"/>
              <w:ind w:right="259"/>
              <w:spacing w:after="0"/>
              <w:rPr>
                <w:sz w:val="20"/>
                <w:szCs w:val="20"/>
                <w:color w:val="auto"/>
              </w:rPr>
            </w:pPr>
            <w:r>
              <w:rPr>
                <w:rFonts w:ascii="Arial" w:cs="Arial" w:eastAsia="Arial" w:hAnsi="Arial"/>
                <w:sz w:val="16"/>
                <w:szCs w:val="16"/>
                <w:color w:val="auto"/>
              </w:rPr>
              <w:t>(129,072)</w:t>
            </w:r>
          </w:p>
        </w:tc>
        <w:tc>
          <w:tcPr>
            <w:tcW w:w="1480" w:type="dxa"/>
            <w:vAlign w:val="bottom"/>
          </w:tcPr>
          <w:p>
            <w:pPr>
              <w:jc w:val="right"/>
              <w:spacing w:after="0"/>
              <w:rPr>
                <w:sz w:val="20"/>
                <w:szCs w:val="20"/>
                <w:color w:val="auto"/>
              </w:rPr>
            </w:pPr>
            <w:r>
              <w:rPr>
                <w:rFonts w:ascii="Arial" w:cs="Arial" w:eastAsia="Arial" w:hAnsi="Arial"/>
                <w:sz w:val="16"/>
                <w:szCs w:val="16"/>
                <w:color w:val="auto"/>
              </w:rPr>
              <w:t>(403,072)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86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(68)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Proceeds from public offerings and issuances of common units and general partner units (net of underwriting</w:t>
            </w: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discounts and commissions)</w:t>
            </w:r>
          </w:p>
        </w:tc>
        <w:tc>
          <w:tcPr>
            <w:tcW w:w="1860" w:type="dxa"/>
            <w:vAlign w:val="bottom"/>
            <w:gridSpan w:val="2"/>
          </w:tcPr>
          <w:p>
            <w:pPr>
              <w:jc w:val="right"/>
              <w:ind w:right="319"/>
              <w:spacing w:after="0"/>
              <w:rPr>
                <w:sz w:val="20"/>
                <w:szCs w:val="20"/>
                <w:color w:val="auto"/>
              </w:rPr>
            </w:pPr>
            <w:r>
              <w:rPr>
                <w:rFonts w:ascii="Arial" w:cs="Arial" w:eastAsia="Arial" w:hAnsi="Arial"/>
                <w:sz w:val="16"/>
                <w:szCs w:val="16"/>
                <w:color w:val="auto"/>
              </w:rPr>
              <w:t>960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issuance of preference units (net of underwriting discounts and commissions)</w:t>
            </w:r>
          </w:p>
        </w:tc>
        <w:tc>
          <w:tcPr>
            <w:tcW w:w="186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111,544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86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(9,921)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86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(662)</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1860" w:type="dxa"/>
            <w:vAlign w:val="bottom"/>
            <w:gridSpan w:val="2"/>
          </w:tcPr>
          <w:p>
            <w:pPr>
              <w:jc w:val="right"/>
              <w:ind w:right="259"/>
              <w:spacing w:after="0"/>
              <w:rPr>
                <w:sz w:val="20"/>
                <w:szCs w:val="20"/>
                <w:color w:val="auto"/>
              </w:rPr>
            </w:pPr>
            <w:r>
              <w:rPr>
                <w:rFonts w:ascii="Arial" w:cs="Arial" w:eastAsia="Arial" w:hAnsi="Arial"/>
                <w:sz w:val="16"/>
                <w:szCs w:val="16"/>
                <w:color w:val="auto"/>
              </w:rPr>
              <w:t>(19,086)</w:t>
            </w:r>
          </w:p>
        </w:tc>
        <w:tc>
          <w:tcPr>
            <w:tcW w:w="1480" w:type="dxa"/>
            <w:vAlign w:val="bottom"/>
          </w:tcPr>
          <w:p>
            <w:pPr>
              <w:jc w:val="right"/>
              <w:spacing w:after="0"/>
              <w:rPr>
                <w:sz w:val="20"/>
                <w:szCs w:val="20"/>
                <w:color w:val="auto"/>
              </w:rPr>
            </w:pPr>
            <w:r>
              <w:rPr>
                <w:rFonts w:ascii="Arial" w:cs="Arial" w:eastAsia="Arial" w:hAnsi="Arial"/>
                <w:sz w:val="16"/>
                <w:szCs w:val="16"/>
                <w:color w:val="auto"/>
              </w:rPr>
              <w:t>(93,646)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186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(57,193)</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(69,712)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86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(247)</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(93,577)</w:t>
            </w:r>
          </w:p>
        </w:tc>
        <w:tc>
          <w:tcPr>
            <w:tcW w:w="40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(145,464</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(12,132)</w:t>
            </w:r>
          </w:p>
        </w:tc>
        <w:tc>
          <w:tcPr>
            <w:tcW w:w="40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(64,361</w:t>
            </w:r>
          </w:p>
        </w:tc>
        <w:tc>
          <w:tcPr>
            <w:tcW w:w="4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153,675</w:t>
            </w:r>
          </w:p>
        </w:tc>
        <w:tc>
          <w:tcPr>
            <w:tcW w:w="40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141,543</w:t>
            </w:r>
          </w:p>
        </w:tc>
        <w:tc>
          <w:tcPr>
            <w:tcW w:w="4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69,009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 xml:space="preserve">Our Partnership Performance Results presented below are non-GAAP measures and exclude amounts related to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GAS-twenty seven Ltd. (the owner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 Partnership on April 26, 2018, November 14, 2018 and April 1, 2019, respectively, and accordingly the Partnership was not entitled to the cash or results generated in the periods prior to such transfers.</w:t>
      </w:r>
    </w:p>
    <w:p>
      <w:pPr>
        <w:spacing w:after="0" w:line="177" w:lineRule="exact"/>
        <w:rPr>
          <w:sz w:val="20"/>
          <w:szCs w:val="20"/>
          <w:color w:val="auto"/>
        </w:rPr>
      </w:pPr>
    </w:p>
    <w:p>
      <w:pPr>
        <w:ind w:right="160" w:firstLine="41"/>
        <w:spacing w:after="0" w:line="278"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jc w:val="right"/>
              <w:ind w:right="835"/>
              <w:spacing w:after="0"/>
              <w:rPr>
                <w:sz w:val="20"/>
                <w:szCs w:val="20"/>
                <w:color w:val="auto"/>
              </w:rPr>
            </w:pPr>
            <w:r>
              <w:rPr>
                <w:rFonts w:ascii="Arial" w:cs="Arial" w:eastAsia="Arial" w:hAnsi="Arial"/>
                <w:sz w:val="16"/>
                <w:szCs w:val="16"/>
                <w:b w:val="1"/>
                <w:bCs w:val="1"/>
                <w:color w:val="auto"/>
              </w:rPr>
              <w:t>For the three months ended June 30, 2018</w:t>
            </w: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Results</w:t>
            </w:r>
          </w:p>
        </w:tc>
        <w:tc>
          <w:tcPr>
            <w:tcW w:w="15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Partnership</w:t>
            </w:r>
          </w:p>
        </w:tc>
        <w:tc>
          <w:tcPr>
            <w:tcW w:w="1480" w:type="dxa"/>
            <w:vAlign w:val="bottom"/>
            <w:gridSpan w:val="3"/>
          </w:tcPr>
          <w:p>
            <w:pPr>
              <w:jc w:val="center"/>
              <w:ind w:right="55"/>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5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attributable to</w:t>
            </w:r>
          </w:p>
        </w:tc>
        <w:tc>
          <w:tcPr>
            <w:tcW w:w="15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Performance</w:t>
            </w:r>
          </w:p>
        </w:tc>
        <w:tc>
          <w:tcPr>
            <w:tcW w:w="1480" w:type="dxa"/>
            <w:vAlign w:val="bottom"/>
            <w:gridSpan w:val="3"/>
          </w:tcPr>
          <w:p>
            <w:pPr>
              <w:jc w:val="center"/>
              <w:ind w:right="55"/>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75"/>
        </w:trPr>
        <w:tc>
          <w:tcPr>
            <w:tcW w:w="6080" w:type="dxa"/>
            <w:vAlign w:val="bottom"/>
            <w:gridSpan w:val="2"/>
            <w:vMerge w:val="continue"/>
          </w:tcPr>
          <w:p>
            <w:pPr>
              <w:spacing w:after="0"/>
              <w:rPr>
                <w:sz w:val="6"/>
                <w:szCs w:val="6"/>
                <w:color w:val="auto"/>
              </w:rPr>
            </w:pPr>
          </w:p>
        </w:tc>
        <w:tc>
          <w:tcPr>
            <w:tcW w:w="152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0"/>
              </w:rPr>
              <w:t>GasLog</w:t>
            </w: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86"/>
              </w:rPr>
              <w:t>Results</w:t>
            </w:r>
          </w:p>
        </w:tc>
        <w:tc>
          <w:tcPr>
            <w:tcW w:w="1480" w:type="dxa"/>
            <w:vAlign w:val="bottom"/>
            <w:gridSpan w:val="3"/>
            <w:vMerge w:val="restart"/>
          </w:tcPr>
          <w:p>
            <w:pPr>
              <w:jc w:val="center"/>
              <w:ind w:right="55"/>
              <w:spacing w:after="0"/>
              <w:rPr>
                <w:sz w:val="20"/>
                <w:szCs w:val="20"/>
                <w:color w:val="auto"/>
              </w:rPr>
            </w:pPr>
            <w:r>
              <w:rPr>
                <w:rFonts w:ascii="Arial" w:cs="Arial" w:eastAsia="Arial" w:hAnsi="Arial"/>
                <w:sz w:val="16"/>
                <w:szCs w:val="16"/>
                <w:b w:val="1"/>
                <w:bCs w:val="1"/>
                <w:color w:val="auto"/>
                <w:w w:val="89"/>
              </w:rPr>
              <w:t>Reported Results</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4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17,176</w:t>
            </w: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92,085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52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(214)</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(1,511)</w:t>
            </w:r>
          </w:p>
        </w:tc>
        <w:tc>
          <w:tcPr>
            <w:tcW w:w="20" w:type="dxa"/>
            <w:vAlign w:val="bottom"/>
            <w:shd w:val="clear" w:color="auto" w:fill="E5FFFF"/>
          </w:tcPr>
          <w:p>
            <w:pPr>
              <w:spacing w:after="0"/>
              <w:rPr>
                <w:sz w:val="17"/>
                <w:szCs w:val="17"/>
                <w:color w:val="auto"/>
              </w:rPr>
            </w:pPr>
          </w:p>
        </w:tc>
        <w:tc>
          <w:tcPr>
            <w:tcW w:w="1460" w:type="dxa"/>
            <w:vAlign w:val="bottom"/>
            <w:tcBorders>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(3,098)</w:t>
            </w:r>
          </w:p>
        </w:tc>
        <w:tc>
          <w:tcPr>
            <w:tcW w:w="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(15,110)</w:t>
            </w:r>
          </w:p>
        </w:tc>
        <w:tc>
          <w:tcPr>
            <w:tcW w:w="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(18,208)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(3,784)</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(17,974)</w:t>
            </w:r>
          </w:p>
        </w:tc>
        <w:tc>
          <w:tcPr>
            <w:tcW w:w="20" w:type="dxa"/>
            <w:vAlign w:val="bottom"/>
            <w:shd w:val="clear" w:color="auto" w:fill="E5FFFF"/>
          </w:tcPr>
          <w:p>
            <w:pPr>
              <w:spacing w:after="0"/>
              <w:rPr>
                <w:sz w:val="17"/>
                <w:szCs w:val="17"/>
                <w:color w:val="auto"/>
              </w:rPr>
            </w:pPr>
          </w:p>
        </w:tc>
        <w:tc>
          <w:tcPr>
            <w:tcW w:w="1460" w:type="dxa"/>
            <w:vAlign w:val="bottom"/>
            <w:tcBorders>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(21,758)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(4,671)</w:t>
            </w:r>
          </w:p>
        </w:tc>
        <w:tc>
          <w:tcPr>
            <w:tcW w:w="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(4,894)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9,857</w:t>
            </w: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35,286</w:t>
            </w: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45,143</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96"/>
        </w:trPr>
        <w:tc>
          <w:tcPr>
            <w:tcW w:w="608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(3,169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(14,552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(17,721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3"/>
            <w:shd w:val="clear" w:color="auto" w:fill="E5FFFF"/>
          </w:tcPr>
          <w:p>
            <w:pPr>
              <w:jc w:val="right"/>
              <w:ind w:right="39"/>
              <w:spacing w:after="0"/>
              <w:rPr>
                <w:sz w:val="20"/>
                <w:szCs w:val="20"/>
                <w:color w:val="auto"/>
              </w:rPr>
            </w:pPr>
            <w:r>
              <w:rPr>
                <w:rFonts w:ascii="Arial" w:cs="Arial" w:eastAsia="Arial" w:hAnsi="Arial"/>
                <w:sz w:val="16"/>
                <w:szCs w:val="16"/>
                <w:color w:val="auto"/>
              </w:rPr>
              <w:t>13</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579</w:t>
            </w:r>
          </w:p>
        </w:tc>
        <w:tc>
          <w:tcPr>
            <w:tcW w:w="20" w:type="dxa"/>
            <w:vAlign w:val="bottom"/>
            <w:shd w:val="clear" w:color="auto" w:fill="E5FFFF"/>
          </w:tcPr>
          <w:p>
            <w:pPr>
              <w:spacing w:after="0"/>
              <w:rPr>
                <w:sz w:val="17"/>
                <w:szCs w:val="17"/>
                <w:color w:val="auto"/>
              </w:rPr>
            </w:pPr>
          </w:p>
        </w:tc>
        <w:tc>
          <w:tcPr>
            <w:tcW w:w="1460" w:type="dxa"/>
            <w:vAlign w:val="bottom"/>
            <w:tcBorders>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Gain on derivatives</w:t>
            </w:r>
          </w:p>
        </w:tc>
        <w:tc>
          <w:tcPr>
            <w:tcW w:w="152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1,588</w:t>
            </w:r>
          </w:p>
        </w:tc>
        <w:tc>
          <w:tcPr>
            <w:tcW w:w="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1,588</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6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(3,156</w:t>
            </w:r>
          </w:p>
        </w:tc>
        <w:tc>
          <w:tcPr>
            <w:tcW w:w="8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(12,385</w:t>
            </w:r>
          </w:p>
        </w:tc>
        <w:tc>
          <w:tcPr>
            <w:tcW w:w="8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right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(15,541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Profit for the period</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6,701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22,901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29,602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11"/>
          </w:tcPr>
          <w:p>
            <w:pPr>
              <w:jc w:val="center"/>
              <w:ind w:right="75"/>
              <w:spacing w:after="0"/>
              <w:rPr>
                <w:sz w:val="20"/>
                <w:szCs w:val="20"/>
                <w:color w:val="auto"/>
              </w:rPr>
            </w:pPr>
            <w:r>
              <w:rPr>
                <w:rFonts w:ascii="Arial" w:cs="Arial" w:eastAsia="Arial" w:hAnsi="Arial"/>
                <w:sz w:val="16"/>
                <w:szCs w:val="16"/>
                <w:b w:val="1"/>
                <w:bCs w:val="1"/>
                <w:color w:val="auto"/>
                <w:w w:val="91"/>
              </w:rPr>
              <w:t>For the three months ended March 31, 2019</w:t>
            </w: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6"/>
              </w:rPr>
              <w:t>Results</w:t>
            </w:r>
          </w:p>
        </w:tc>
        <w:tc>
          <w:tcPr>
            <w:tcW w:w="15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Partnership</w:t>
            </w:r>
          </w:p>
        </w:tc>
        <w:tc>
          <w:tcPr>
            <w:tcW w:w="1480" w:type="dxa"/>
            <w:vAlign w:val="bottom"/>
            <w:gridSpan w:val="3"/>
          </w:tcPr>
          <w:p>
            <w:pPr>
              <w:jc w:val="center"/>
              <w:ind w:right="75"/>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5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3"/>
              </w:rPr>
              <w:t>attributable to</w:t>
            </w:r>
          </w:p>
        </w:tc>
        <w:tc>
          <w:tcPr>
            <w:tcW w:w="15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Performance</w:t>
            </w:r>
          </w:p>
        </w:tc>
        <w:tc>
          <w:tcPr>
            <w:tcW w:w="1480" w:type="dxa"/>
            <w:vAlign w:val="bottom"/>
            <w:gridSpan w:val="3"/>
          </w:tcPr>
          <w:p>
            <w:pPr>
              <w:jc w:val="center"/>
              <w:ind w:right="75"/>
              <w:spacing w:after="0"/>
              <w:rPr>
                <w:sz w:val="20"/>
                <w:szCs w:val="20"/>
                <w:color w:val="auto"/>
              </w:rPr>
            </w:pPr>
            <w:r>
              <w:rPr>
                <w:rFonts w:ascii="Arial" w:cs="Arial" w:eastAsia="Arial" w:hAnsi="Arial"/>
                <w:sz w:val="16"/>
                <w:szCs w:val="16"/>
                <w:b w:val="1"/>
                <w:bCs w:val="1"/>
                <w:color w:val="auto"/>
                <w:w w:val="91"/>
              </w:rPr>
              <w:t>Control</w:t>
            </w:r>
          </w:p>
        </w:tc>
        <w:tc>
          <w:tcPr>
            <w:tcW w:w="0" w:type="dxa"/>
            <w:vAlign w:val="bottom"/>
          </w:tcPr>
          <w:p>
            <w:pPr>
              <w:spacing w:after="0"/>
              <w:rPr>
                <w:sz w:val="1"/>
                <w:szCs w:val="1"/>
                <w:color w:val="auto"/>
              </w:rPr>
            </w:pPr>
          </w:p>
        </w:tc>
      </w:tr>
      <w:tr>
        <w:trPr>
          <w:trHeight w:val="75"/>
        </w:trPr>
        <w:tc>
          <w:tcPr>
            <w:tcW w:w="6080" w:type="dxa"/>
            <w:vAlign w:val="bottom"/>
            <w:gridSpan w:val="2"/>
            <w:vMerge w:val="continue"/>
          </w:tcPr>
          <w:p>
            <w:pPr>
              <w:spacing w:after="0"/>
              <w:rPr>
                <w:sz w:val="6"/>
                <w:szCs w:val="6"/>
                <w:color w:val="auto"/>
              </w:rPr>
            </w:pPr>
          </w:p>
        </w:tc>
        <w:tc>
          <w:tcPr>
            <w:tcW w:w="152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w w:val="90"/>
              </w:rPr>
              <w:t>GasLog</w:t>
            </w:r>
          </w:p>
        </w:tc>
        <w:tc>
          <w:tcPr>
            <w:tcW w:w="150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w w:val="89"/>
              </w:rPr>
              <w:t>Results</w:t>
            </w:r>
          </w:p>
        </w:tc>
        <w:tc>
          <w:tcPr>
            <w:tcW w:w="1480" w:type="dxa"/>
            <w:vAlign w:val="bottom"/>
            <w:gridSpan w:val="3"/>
            <w:vMerge w:val="restart"/>
          </w:tcPr>
          <w:p>
            <w:pPr>
              <w:jc w:val="center"/>
              <w:ind w:right="75"/>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7,560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93,885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(95)</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(1,742)</w:t>
            </w:r>
          </w:p>
        </w:tc>
        <w:tc>
          <w:tcPr>
            <w:tcW w:w="2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(1,837)</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(1,513)</w:t>
            </w:r>
          </w:p>
        </w:tc>
        <w:tc>
          <w:tcPr>
            <w:tcW w:w="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(17,118)</w:t>
            </w:r>
          </w:p>
        </w:tc>
        <w:tc>
          <w:tcPr>
            <w:tcW w:w="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(18,631)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(1,490)</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2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(21,870)</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(4,598)</w:t>
            </w:r>
          </w:p>
        </w:tc>
        <w:tc>
          <w:tcPr>
            <w:tcW w:w="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(4,694)</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4,366</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46,887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Financial costs</w:t>
            </w:r>
          </w:p>
        </w:tc>
        <w:tc>
          <w:tcPr>
            <w:tcW w:w="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(1,730)</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(17,902)</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(19,632)</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Loss on derivatives</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(4,877)</w:t>
            </w:r>
          </w:p>
        </w:tc>
        <w:tc>
          <w:tcPr>
            <w:tcW w:w="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(4,877)</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(1,716</w:t>
            </w:r>
          </w:p>
        </w:tc>
        <w:tc>
          <w:tcPr>
            <w:tcW w:w="100" w:type="dxa"/>
            <w:vAlign w:val="bottom"/>
            <w:tcBorders>
              <w:top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(23,871)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23,016</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50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 June 30, 2019</w:t>
            </w: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1240" w:type="dxa"/>
            <w:vAlign w:val="bottom"/>
          </w:tcPr>
          <w:p>
            <w:pPr>
              <w:jc w:val="center"/>
              <w:ind w:left="99"/>
              <w:spacing w:after="0"/>
              <w:rPr>
                <w:sz w:val="20"/>
                <w:szCs w:val="20"/>
                <w:color w:val="auto"/>
              </w:rPr>
            </w:pPr>
            <w:r>
              <w:rPr>
                <w:rFonts w:ascii="Arial" w:cs="Arial" w:eastAsia="Arial" w:hAnsi="Arial"/>
                <w:sz w:val="16"/>
                <w:szCs w:val="16"/>
                <w:b w:val="1"/>
                <w:bCs w:val="1"/>
                <w:color w:val="auto"/>
                <w:w w:val="86"/>
              </w:rPr>
              <w:t>Results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Partnership</w:t>
            </w:r>
          </w:p>
        </w:tc>
        <w:tc>
          <w:tcPr>
            <w:tcW w:w="14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24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attributable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Performance</w:t>
            </w:r>
          </w:p>
        </w:tc>
        <w:tc>
          <w:tcPr>
            <w:tcW w:w="14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Control</w:t>
            </w:r>
          </w:p>
        </w:tc>
        <w:tc>
          <w:tcPr>
            <w:tcW w:w="0" w:type="dxa"/>
            <w:vAlign w:val="bottom"/>
          </w:tcPr>
          <w:p>
            <w:pPr>
              <w:spacing w:after="0"/>
              <w:rPr>
                <w:sz w:val="1"/>
                <w:szCs w:val="1"/>
                <w:color w:val="auto"/>
              </w:rPr>
            </w:pPr>
          </w:p>
        </w:tc>
      </w:tr>
      <w:tr>
        <w:trPr>
          <w:trHeight w:val="75"/>
        </w:trPr>
        <w:tc>
          <w:tcPr>
            <w:tcW w:w="6060" w:type="dxa"/>
            <w:vAlign w:val="bottom"/>
            <w:vMerge w:val="continue"/>
          </w:tcPr>
          <w:p>
            <w:pPr>
              <w:spacing w:after="0"/>
              <w:rPr>
                <w:sz w:val="6"/>
                <w:szCs w:val="6"/>
                <w:color w:val="auto"/>
              </w:rPr>
            </w:pPr>
          </w:p>
        </w:tc>
        <w:tc>
          <w:tcPr>
            <w:tcW w:w="12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w w:val="90"/>
              </w:rPr>
              <w:t>GasLog</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w w:val="89"/>
              </w:rPr>
              <w:t>Results</w:t>
            </w:r>
          </w:p>
        </w:tc>
        <w:tc>
          <w:tcPr>
            <w:tcW w:w="148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4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Net pool allocation</w:t>
            </w:r>
          </w:p>
        </w:tc>
        <w:tc>
          <w:tcPr>
            <w:tcW w:w="124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240" w:type="dxa"/>
            <w:vAlign w:val="bottom"/>
            <w:shd w:val="clear" w:color="auto" w:fill="E5FFFF"/>
          </w:tcPr>
          <w:p>
            <w:pPr>
              <w:spacing w:after="0"/>
              <w:rPr>
                <w:sz w:val="17"/>
                <w:szCs w:val="17"/>
                <w:color w:val="auto"/>
              </w:rPr>
            </w:pPr>
          </w:p>
        </w:tc>
        <w:tc>
          <w:tcPr>
            <w:tcW w:w="2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(2,037)</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24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(18,548)</w:t>
            </w:r>
          </w:p>
        </w:tc>
        <w:tc>
          <w:tcPr>
            <w:tcW w:w="1440" w:type="dxa"/>
            <w:vAlign w:val="bottom"/>
          </w:tcPr>
          <w:p>
            <w:pPr>
              <w:jc w:val="right"/>
              <w:spacing w:after="0"/>
              <w:rPr>
                <w:sz w:val="20"/>
                <w:szCs w:val="20"/>
                <w:color w:val="auto"/>
              </w:rPr>
            </w:pPr>
            <w:r>
              <w:rPr>
                <w:rFonts w:ascii="Arial" w:cs="Arial" w:eastAsia="Arial" w:hAnsi="Arial"/>
                <w:sz w:val="16"/>
                <w:szCs w:val="16"/>
                <w:color w:val="auto"/>
              </w:rPr>
              <w:t>(18,548)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240" w:type="dxa"/>
            <w:vAlign w:val="bottom"/>
            <w:shd w:val="clear" w:color="auto" w:fill="E5FFFF"/>
          </w:tcPr>
          <w:p>
            <w:pPr>
              <w:spacing w:after="0"/>
              <w:rPr>
                <w:sz w:val="17"/>
                <w:szCs w:val="17"/>
                <w:color w:val="auto"/>
              </w:rPr>
            </w:pPr>
          </w:p>
        </w:tc>
        <w:tc>
          <w:tcPr>
            <w:tcW w:w="2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(22,137)</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24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(4,741)</w:t>
            </w:r>
          </w:p>
        </w:tc>
        <w:tc>
          <w:tcPr>
            <w:tcW w:w="1440" w:type="dxa"/>
            <w:vAlign w:val="bottom"/>
          </w:tcPr>
          <w:p>
            <w:pPr>
              <w:jc w:val="right"/>
              <w:spacing w:after="0"/>
              <w:rPr>
                <w:sz w:val="20"/>
                <w:szCs w:val="20"/>
                <w:color w:val="auto"/>
              </w:rPr>
            </w:pPr>
            <w:r>
              <w:rPr>
                <w:rFonts w:ascii="Arial" w:cs="Arial" w:eastAsia="Arial" w:hAnsi="Arial"/>
                <w:sz w:val="16"/>
                <w:szCs w:val="16"/>
                <w:color w:val="auto"/>
              </w:rPr>
              <w:t>(4,741)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240" w:type="dxa"/>
            <w:vAlign w:val="bottom"/>
            <w:tcBorders>
              <w:top w:val="single" w:sz="8" w:color="auto"/>
              <w:bottom w:val="single" w:sz="8" w:color="auto"/>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1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Financial costs</w:t>
            </w:r>
          </w:p>
        </w:tc>
        <w:tc>
          <w:tcPr>
            <w:tcW w:w="12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(18,484)</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240" w:type="dxa"/>
            <w:vAlign w:val="bottom"/>
            <w:shd w:val="clear" w:color="auto" w:fill="E5FFFF"/>
          </w:tcPr>
          <w:p>
            <w:pPr>
              <w:spacing w:after="0"/>
              <w:rPr>
                <w:sz w:val="17"/>
                <w:szCs w:val="17"/>
                <w:color w:val="auto"/>
              </w:rPr>
            </w:pPr>
          </w:p>
        </w:tc>
        <w:tc>
          <w:tcPr>
            <w:tcW w:w="2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Loss on derivatives</w:t>
            </w:r>
          </w:p>
        </w:tc>
        <w:tc>
          <w:tcPr>
            <w:tcW w:w="124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(8,266)</w:t>
            </w:r>
          </w:p>
        </w:tc>
        <w:tc>
          <w:tcPr>
            <w:tcW w:w="1440" w:type="dxa"/>
            <w:vAlign w:val="bottom"/>
          </w:tcPr>
          <w:p>
            <w:pPr>
              <w:jc w:val="right"/>
              <w:spacing w:after="0"/>
              <w:rPr>
                <w:sz w:val="20"/>
                <w:szCs w:val="20"/>
                <w:color w:val="auto"/>
              </w:rPr>
            </w:pPr>
            <w:r>
              <w:rPr>
                <w:rFonts w:ascii="Arial" w:cs="Arial" w:eastAsia="Arial" w:hAnsi="Arial"/>
                <w:sz w:val="16"/>
                <w:szCs w:val="16"/>
                <w:color w:val="auto"/>
              </w:rPr>
              <w:t>(8,266)</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240" w:type="dxa"/>
            <w:vAlign w:val="bottom"/>
            <w:tcBorders>
              <w:top w:val="single" w:sz="8" w:color="auto"/>
              <w:bottom w:val="single" w:sz="8" w:color="auto"/>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60"/>
          </w:cols>
          <w:pgMar w:left="240" w:top="558" w:right="10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EXHIBIT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EBITDA is defined as earnings before interest income and expense, gain/loss on derivatives, taxes, depreciation and amortization. Adjusted Profit represents earnings before</w:t>
      </w:r>
    </w:p>
    <w:p>
      <w:pPr>
        <w:spacing w:after="0" w:line="45" w:lineRule="exact"/>
        <w:rPr>
          <w:sz w:val="20"/>
          <w:szCs w:val="20"/>
          <w:color w:val="auto"/>
        </w:rPr>
      </w:pPr>
    </w:p>
    <w:p>
      <w:pPr>
        <w:ind w:firstLine="8"/>
        <w:spacing w:after="0" w:line="286"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non-cash gain/loss on derivatives that includes unrealized gain/loss on derivatives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4700" w:type="dxa"/>
            <w:vAlign w:val="bottom"/>
          </w:tcPr>
          <w:p>
            <w:pPr>
              <w:spacing w:after="0"/>
              <w:rPr>
                <w:sz w:val="24"/>
                <w:szCs w:val="24"/>
                <w:color w:val="auto"/>
              </w:rPr>
            </w:pPr>
          </w:p>
        </w:tc>
        <w:tc>
          <w:tcPr>
            <w:tcW w:w="4620" w:type="dxa"/>
            <w:vAlign w:val="bottom"/>
            <w:gridSpan w:val="6"/>
          </w:tcPr>
          <w:p>
            <w:pPr>
              <w:jc w:val="center"/>
              <w:ind w:left="14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470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20"/>
                <w:szCs w:val="20"/>
                <w:color w:val="auto"/>
              </w:rPr>
            </w:pPr>
          </w:p>
        </w:tc>
        <w:tc>
          <w:tcPr>
            <w:tcW w:w="266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31, 2019</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7"/>
              </w:rPr>
              <w:t>June 30, 2019</w:t>
            </w:r>
          </w:p>
        </w:tc>
      </w:tr>
      <w:tr>
        <w:trPr>
          <w:trHeight w:val="199"/>
        </w:trPr>
        <w:tc>
          <w:tcPr>
            <w:tcW w:w="4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29,602</w:t>
            </w:r>
          </w:p>
        </w:tc>
        <w:tc>
          <w:tcPr>
            <w:tcW w:w="1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60" w:type="dxa"/>
            <w:vAlign w:val="bottom"/>
          </w:tcPr>
          <w:p>
            <w:pPr>
              <w:spacing w:after="0"/>
              <w:rPr>
                <w:sz w:val="17"/>
                <w:szCs w:val="17"/>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Depreciation</w:t>
            </w:r>
          </w:p>
        </w:tc>
        <w:tc>
          <w:tcPr>
            <w:tcW w:w="1800" w:type="dxa"/>
            <w:vAlign w:val="bottom"/>
          </w:tcPr>
          <w:p>
            <w:pPr>
              <w:jc w:val="right"/>
              <w:spacing w:after="0"/>
              <w:rPr>
                <w:sz w:val="20"/>
                <w:szCs w:val="20"/>
                <w:color w:val="auto"/>
              </w:rPr>
            </w:pPr>
            <w:r>
              <w:rPr>
                <w:rFonts w:ascii="Arial" w:cs="Arial" w:eastAsia="Arial" w:hAnsi="Arial"/>
                <w:sz w:val="16"/>
                <w:szCs w:val="16"/>
                <w:color w:val="auto"/>
              </w:rPr>
              <w:t>21,758</w:t>
            </w:r>
          </w:p>
        </w:tc>
        <w:tc>
          <w:tcPr>
            <w:tcW w:w="10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21,870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22,137</w:t>
            </w:r>
          </w:p>
        </w:tc>
        <w:tc>
          <w:tcPr>
            <w:tcW w:w="60" w:type="dxa"/>
            <w:vAlign w:val="bottom"/>
          </w:tcPr>
          <w:p>
            <w:pPr>
              <w:spacing w:after="0"/>
              <w:rPr>
                <w:sz w:val="19"/>
                <w:szCs w:val="19"/>
                <w:color w:val="auto"/>
              </w:rPr>
            </w:pP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17,721</w:t>
            </w:r>
          </w:p>
        </w:tc>
        <w:tc>
          <w:tcPr>
            <w:tcW w:w="100" w:type="dxa"/>
            <w:vAlign w:val="bottom"/>
            <w:shd w:val="clear" w:color="auto" w:fill="E5FFFF"/>
          </w:tcPr>
          <w:p>
            <w:pPr>
              <w:spacing w:after="0"/>
              <w:rPr>
                <w:sz w:val="20"/>
                <w:szCs w:val="20"/>
                <w:color w:val="auto"/>
              </w:rPr>
            </w:pP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19,632</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60" w:type="dxa"/>
            <w:vAlign w:val="bottom"/>
          </w:tcPr>
          <w:p>
            <w:pPr>
              <w:spacing w:after="0"/>
              <w:rPr>
                <w:sz w:val="20"/>
                <w:szCs w:val="20"/>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Financial income</w:t>
            </w: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(592)</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(638)</w:t>
            </w:r>
          </w:p>
        </w:tc>
        <w:tc>
          <w:tcPr>
            <w:tcW w:w="4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(527)</w:t>
            </w: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(1,588)</w:t>
            </w: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60" w:type="dxa"/>
            <w:vAlign w:val="bottom"/>
          </w:tcPr>
          <w:p>
            <w:pPr>
              <w:spacing w:after="0"/>
              <w:rPr>
                <w:sz w:val="20"/>
                <w:szCs w:val="20"/>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68,757</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5"/>
        </w:trPr>
        <w:tc>
          <w:tcPr>
            <w:tcW w:w="4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Partnership Performance Results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470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20"/>
                <w:szCs w:val="20"/>
                <w:color w:val="auto"/>
              </w:rPr>
            </w:pPr>
          </w:p>
        </w:tc>
        <w:tc>
          <w:tcPr>
            <w:tcW w:w="266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31, 2019</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7"/>
              </w:rPr>
              <w:t>June 30, 2019</w:t>
            </w:r>
          </w:p>
        </w:tc>
      </w:tr>
      <w:tr>
        <w:trPr>
          <w:trHeight w:val="199"/>
        </w:trPr>
        <w:tc>
          <w:tcPr>
            <w:tcW w:w="4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1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60" w:type="dxa"/>
            <w:vAlign w:val="bottom"/>
          </w:tcPr>
          <w:p>
            <w:pPr>
              <w:spacing w:after="0"/>
              <w:rPr>
                <w:sz w:val="17"/>
                <w:szCs w:val="17"/>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Depreciation</w:t>
            </w:r>
          </w:p>
        </w:tc>
        <w:tc>
          <w:tcPr>
            <w:tcW w:w="1800" w:type="dxa"/>
            <w:vAlign w:val="bottom"/>
          </w:tcPr>
          <w:p>
            <w:pPr>
              <w:jc w:val="right"/>
              <w:spacing w:after="0"/>
              <w:rPr>
                <w:sz w:val="20"/>
                <w:szCs w:val="20"/>
                <w:color w:val="auto"/>
              </w:rPr>
            </w:pPr>
            <w:r>
              <w:rPr>
                <w:rFonts w:ascii="Arial" w:cs="Arial" w:eastAsia="Arial" w:hAnsi="Arial"/>
                <w:sz w:val="16"/>
                <w:szCs w:val="16"/>
                <w:color w:val="auto"/>
              </w:rPr>
              <w:t>17,974</w:t>
            </w:r>
          </w:p>
        </w:tc>
        <w:tc>
          <w:tcPr>
            <w:tcW w:w="10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20,380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22,137</w:t>
            </w:r>
          </w:p>
        </w:tc>
        <w:tc>
          <w:tcPr>
            <w:tcW w:w="60" w:type="dxa"/>
            <w:vAlign w:val="bottom"/>
          </w:tcPr>
          <w:p>
            <w:pPr>
              <w:spacing w:after="0"/>
              <w:rPr>
                <w:sz w:val="19"/>
                <w:szCs w:val="19"/>
                <w:color w:val="auto"/>
              </w:rPr>
            </w:pP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14,552</w:t>
            </w:r>
          </w:p>
        </w:tc>
        <w:tc>
          <w:tcPr>
            <w:tcW w:w="100" w:type="dxa"/>
            <w:vAlign w:val="bottom"/>
            <w:shd w:val="clear" w:color="auto" w:fill="E5FFFF"/>
          </w:tcPr>
          <w:p>
            <w:pPr>
              <w:spacing w:after="0"/>
              <w:rPr>
                <w:sz w:val="20"/>
                <w:szCs w:val="20"/>
                <w:color w:val="auto"/>
              </w:rPr>
            </w:pP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60" w:type="dxa"/>
            <w:vAlign w:val="bottom"/>
          </w:tcPr>
          <w:p>
            <w:pPr>
              <w:spacing w:after="0"/>
              <w:rPr>
                <w:sz w:val="20"/>
                <w:szCs w:val="20"/>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Financial income</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(579)</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(624)</w:t>
            </w:r>
          </w:p>
        </w:tc>
        <w:tc>
          <w:tcPr>
            <w:tcW w:w="4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(527)</w:t>
            </w: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(1,588)</w:t>
            </w: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60" w:type="dxa"/>
            <w:vAlign w:val="bottom"/>
          </w:tcPr>
          <w:p>
            <w:pPr>
              <w:spacing w:after="0"/>
              <w:rPr>
                <w:sz w:val="20"/>
                <w:szCs w:val="20"/>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6"/>
        </w:trPr>
        <w:tc>
          <w:tcPr>
            <w:tcW w:w="4700" w:type="dxa"/>
            <w:vAlign w:val="bottom"/>
          </w:tcPr>
          <w:p>
            <w:pPr>
              <w:spacing w:after="0"/>
              <w:rPr>
                <w:sz w:val="24"/>
                <w:szCs w:val="24"/>
                <w:color w:val="auto"/>
              </w:rPr>
            </w:pPr>
          </w:p>
        </w:tc>
        <w:tc>
          <w:tcPr>
            <w:tcW w:w="4620" w:type="dxa"/>
            <w:vAlign w:val="bottom"/>
            <w:gridSpan w:val="6"/>
          </w:tcPr>
          <w:p>
            <w:pPr>
              <w:jc w:val="center"/>
              <w:ind w:left="14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560" w:type="dxa"/>
            <w:vAlign w:val="bottom"/>
          </w:tcPr>
          <w:p>
            <w:pPr>
              <w:spacing w:after="0"/>
              <w:rPr>
                <w:sz w:val="24"/>
                <w:szCs w:val="24"/>
                <w:color w:val="auto"/>
              </w:rPr>
            </w:pPr>
          </w:p>
        </w:tc>
      </w:tr>
      <w:tr>
        <w:trPr>
          <w:trHeight w:val="230"/>
        </w:trPr>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19"/>
                <w:szCs w:val="19"/>
                <w:color w:val="auto"/>
              </w:rPr>
            </w:pPr>
          </w:p>
        </w:tc>
      </w:tr>
      <w:tr>
        <w:trPr>
          <w:trHeight w:val="233"/>
        </w:trPr>
        <w:tc>
          <w:tcPr>
            <w:tcW w:w="470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20"/>
                <w:szCs w:val="20"/>
                <w:color w:val="auto"/>
              </w:rPr>
            </w:pPr>
          </w:p>
        </w:tc>
        <w:tc>
          <w:tcPr>
            <w:tcW w:w="266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31, 2019</w:t>
            </w:r>
          </w:p>
        </w:tc>
        <w:tc>
          <w:tcPr>
            <w:tcW w:w="1560" w:type="dxa"/>
            <w:vAlign w:val="bottom"/>
          </w:tcPr>
          <w:p>
            <w:pPr>
              <w:jc w:val="right"/>
              <w:ind w:right="439"/>
              <w:spacing w:after="0"/>
              <w:rPr>
                <w:sz w:val="20"/>
                <w:szCs w:val="20"/>
                <w:color w:val="auto"/>
              </w:rPr>
            </w:pPr>
            <w:r>
              <w:rPr>
                <w:rFonts w:ascii="Arial" w:cs="Arial" w:eastAsia="Arial" w:hAnsi="Arial"/>
                <w:sz w:val="16"/>
                <w:szCs w:val="16"/>
                <w:b w:val="1"/>
                <w:bCs w:val="1"/>
                <w:color w:val="auto"/>
                <w:w w:val="97"/>
              </w:rPr>
              <w:t>June 30, 2019</w:t>
            </w:r>
          </w:p>
        </w:tc>
      </w:tr>
      <w:tr>
        <w:trPr>
          <w:trHeight w:val="199"/>
        </w:trPr>
        <w:tc>
          <w:tcPr>
            <w:tcW w:w="4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29,602</w:t>
            </w:r>
          </w:p>
        </w:tc>
        <w:tc>
          <w:tcPr>
            <w:tcW w:w="1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(1,001)</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5,607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8,646</w:t>
            </w: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70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29,611</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27,789</w:t>
            </w:r>
          </w:p>
        </w:tc>
      </w:tr>
      <w:tr>
        <w:trPr>
          <w:trHeight w:val="20"/>
        </w:trPr>
        <w:tc>
          <w:tcPr>
            <w:tcW w:w="4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Partnership Performance Results</w:t>
            </w:r>
          </w:p>
        </w:tc>
        <w:tc>
          <w:tcPr>
            <w:tcW w:w="1560" w:type="dxa"/>
            <w:vAlign w:val="bottom"/>
          </w:tcPr>
          <w:p>
            <w:pPr>
              <w:spacing w:after="0"/>
              <w:rPr>
                <w:sz w:val="24"/>
                <w:szCs w:val="24"/>
                <w:color w:val="auto"/>
              </w:rPr>
            </w:pPr>
          </w:p>
        </w:tc>
      </w:tr>
      <w:tr>
        <w:trPr>
          <w:trHeight w:val="230"/>
        </w:trPr>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19"/>
                <w:szCs w:val="19"/>
                <w:color w:val="auto"/>
              </w:rPr>
            </w:pPr>
          </w:p>
        </w:tc>
      </w:tr>
      <w:tr>
        <w:trPr>
          <w:trHeight w:val="233"/>
        </w:trPr>
        <w:tc>
          <w:tcPr>
            <w:tcW w:w="470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20"/>
                <w:szCs w:val="20"/>
                <w:color w:val="auto"/>
              </w:rPr>
            </w:pPr>
          </w:p>
        </w:tc>
        <w:tc>
          <w:tcPr>
            <w:tcW w:w="266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31, 2019</w:t>
            </w:r>
          </w:p>
        </w:tc>
        <w:tc>
          <w:tcPr>
            <w:tcW w:w="1560" w:type="dxa"/>
            <w:vAlign w:val="bottom"/>
          </w:tcPr>
          <w:p>
            <w:pPr>
              <w:jc w:val="right"/>
              <w:ind w:right="439"/>
              <w:spacing w:after="0"/>
              <w:rPr>
                <w:sz w:val="20"/>
                <w:szCs w:val="20"/>
                <w:color w:val="auto"/>
              </w:rPr>
            </w:pPr>
            <w:r>
              <w:rPr>
                <w:rFonts w:ascii="Arial" w:cs="Arial" w:eastAsia="Arial" w:hAnsi="Arial"/>
                <w:sz w:val="16"/>
                <w:szCs w:val="16"/>
                <w:b w:val="1"/>
                <w:bCs w:val="1"/>
                <w:color w:val="auto"/>
                <w:w w:val="97"/>
              </w:rPr>
              <w:t>June 30, 2019</w:t>
            </w:r>
          </w:p>
        </w:tc>
      </w:tr>
      <w:tr>
        <w:trPr>
          <w:trHeight w:val="199"/>
        </w:trPr>
        <w:tc>
          <w:tcPr>
            <w:tcW w:w="4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1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r>
      <w:tr>
        <w:trPr>
          <w:trHeight w:val="227"/>
        </w:trPr>
        <w:tc>
          <w:tcPr>
            <w:tcW w:w="47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(1,001)</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5,607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8,646</w:t>
            </w:r>
          </w:p>
        </w:tc>
      </w:tr>
      <w:tr>
        <w:trPr>
          <w:trHeight w:val="233"/>
        </w:trPr>
        <w:tc>
          <w:tcPr>
            <w:tcW w:w="470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70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26,961</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27,789</w:t>
            </w:r>
          </w:p>
        </w:tc>
      </w:tr>
      <w:tr>
        <w:trPr>
          <w:trHeight w:val="20"/>
        </w:trPr>
        <w:tc>
          <w:tcPr>
            <w:tcW w:w="4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3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20"/>
                <w:szCs w:val="20"/>
                <w:color w:val="auto"/>
              </w:rPr>
            </w:pPr>
            <w:r>
              <w:rPr>
                <w:rFonts w:ascii="Arial" w:cs="Arial" w:eastAsia="Arial" w:hAnsi="Arial"/>
                <w:sz w:val="16"/>
                <w:szCs w:val="16"/>
                <w:b w:val="1"/>
                <w:bCs w:val="1"/>
                <w:color w:val="auto"/>
                <w:w w:val="91"/>
              </w:rPr>
              <w:t>Reconciliation of Distributable Cash Flow to Partnership’s Profit:</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5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4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5"/>
              </w:rPr>
              <w:t>For the three months ended</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4560" w:type="dxa"/>
            <w:vAlign w:val="bottom"/>
          </w:tcPr>
          <w:p>
            <w:pPr>
              <w:spacing w:after="0"/>
              <w:rPr>
                <w:sz w:val="20"/>
                <w:szCs w:val="20"/>
                <w:color w:val="auto"/>
              </w:rPr>
            </w:pPr>
          </w:p>
        </w:tc>
        <w:tc>
          <w:tcPr>
            <w:tcW w:w="1980" w:type="dxa"/>
            <w:vAlign w:val="bottom"/>
            <w:gridSpan w:val="2"/>
          </w:tcPr>
          <w:p>
            <w:pPr>
              <w:jc w:val="right"/>
              <w:ind w:right="540"/>
              <w:spacing w:after="0" w:line="236" w:lineRule="exact"/>
              <w:rPr>
                <w:sz w:val="20"/>
                <w:szCs w:val="20"/>
                <w:color w:val="auto"/>
              </w:rPr>
            </w:pPr>
            <w:r>
              <w:rPr>
                <w:rFonts w:ascii="Arial" w:cs="Arial" w:eastAsia="Arial" w:hAnsi="Arial"/>
                <w:sz w:val="16"/>
                <w:szCs w:val="16"/>
                <w:b w:val="1"/>
                <w:bCs w:val="1"/>
                <w:color w:val="auto"/>
              </w:rPr>
              <w:t xml:space="preserve">June 30, 2018 </w:t>
            </w:r>
            <w:r>
              <w:rPr>
                <w:rFonts w:ascii="Arial" w:cs="Arial" w:eastAsia="Arial" w:hAnsi="Arial"/>
                <w:sz w:val="21"/>
                <w:szCs w:val="21"/>
                <w:b w:val="1"/>
                <w:bCs w:val="1"/>
                <w:color w:val="auto"/>
                <w:vertAlign w:val="superscript"/>
              </w:rPr>
              <w:t>(1)</w:t>
            </w:r>
          </w:p>
        </w:tc>
        <w:tc>
          <w:tcPr>
            <w:tcW w:w="2240" w:type="dxa"/>
            <w:vAlign w:val="bottom"/>
            <w:gridSpan w:val="2"/>
          </w:tcPr>
          <w:p>
            <w:pPr>
              <w:jc w:val="right"/>
              <w:ind w:right="600"/>
              <w:spacing w:after="0" w:line="236" w:lineRule="exact"/>
              <w:rPr>
                <w:sz w:val="20"/>
                <w:szCs w:val="20"/>
                <w:color w:val="auto"/>
              </w:rPr>
            </w:pPr>
            <w:r>
              <w:rPr>
                <w:rFonts w:ascii="Arial" w:cs="Arial" w:eastAsia="Arial" w:hAnsi="Arial"/>
                <w:sz w:val="16"/>
                <w:szCs w:val="16"/>
                <w:b w:val="1"/>
                <w:bCs w:val="1"/>
                <w:color w:val="auto"/>
              </w:rPr>
              <w:t xml:space="preserve">March 31, 2019 </w:t>
            </w:r>
            <w:r>
              <w:rPr>
                <w:rFonts w:ascii="Arial" w:cs="Arial" w:eastAsia="Arial" w:hAnsi="Arial"/>
                <w:sz w:val="21"/>
                <w:szCs w:val="21"/>
                <w:b w:val="1"/>
                <w:bCs w:val="1"/>
                <w:color w:val="auto"/>
                <w:vertAlign w:val="superscript"/>
              </w:rPr>
              <w:t>(1)</w:t>
            </w:r>
          </w:p>
        </w:tc>
        <w:tc>
          <w:tcPr>
            <w:tcW w:w="1980" w:type="dxa"/>
            <w:vAlign w:val="bottom"/>
            <w:gridSpan w:val="2"/>
          </w:tcPr>
          <w:p>
            <w:pPr>
              <w:jc w:val="right"/>
              <w:ind w:right="460"/>
              <w:spacing w:after="0" w:line="236" w:lineRule="exact"/>
              <w:rPr>
                <w:sz w:val="20"/>
                <w:szCs w:val="20"/>
                <w:color w:val="auto"/>
              </w:rPr>
            </w:pPr>
            <w:r>
              <w:rPr>
                <w:rFonts w:ascii="Arial" w:cs="Arial" w:eastAsia="Arial" w:hAnsi="Arial"/>
                <w:sz w:val="16"/>
                <w:szCs w:val="16"/>
                <w:b w:val="1"/>
                <w:bCs w:val="1"/>
                <w:color w:val="auto"/>
              </w:rPr>
              <w:t xml:space="preserve">June 30, 2019 </w:t>
            </w:r>
            <w:r>
              <w:rPr>
                <w:rFonts w:ascii="Arial" w:cs="Arial" w:eastAsia="Arial" w:hAnsi="Arial"/>
                <w:sz w:val="21"/>
                <w:szCs w:val="21"/>
                <w:b w:val="1"/>
                <w:bCs w:val="1"/>
                <w:color w:val="auto"/>
                <w:vertAlign w:val="superscript"/>
              </w:rPr>
              <w:t>(4)</w:t>
            </w:r>
          </w:p>
        </w:tc>
      </w:tr>
      <w:tr>
        <w:trPr>
          <w:trHeight w:val="196"/>
        </w:trPr>
        <w:tc>
          <w:tcPr>
            <w:tcW w:w="4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 for the period</w:t>
            </w: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22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20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60" w:type="dxa"/>
            <w:vAlign w:val="bottom"/>
          </w:tcPr>
          <w:p>
            <w:pPr>
              <w:spacing w:after="0"/>
              <w:rPr>
                <w:sz w:val="17"/>
                <w:szCs w:val="17"/>
                <w:color w:val="auto"/>
              </w:rPr>
            </w:pPr>
          </w:p>
        </w:tc>
      </w:tr>
      <w:tr>
        <w:trPr>
          <w:trHeight w:val="227"/>
        </w:trPr>
        <w:tc>
          <w:tcPr>
            <w:tcW w:w="4560" w:type="dxa"/>
            <w:vAlign w:val="bottom"/>
          </w:tcPr>
          <w:p>
            <w:pPr>
              <w:spacing w:after="0"/>
              <w:rPr>
                <w:sz w:val="20"/>
                <w:szCs w:val="20"/>
                <w:color w:val="auto"/>
              </w:rPr>
            </w:pPr>
            <w:r>
              <w:rPr>
                <w:rFonts w:ascii="Arial" w:cs="Arial" w:eastAsia="Arial" w:hAnsi="Arial"/>
                <w:sz w:val="16"/>
                <w:szCs w:val="16"/>
                <w:color w:val="auto"/>
              </w:rPr>
              <w:t>Depreciation</w:t>
            </w:r>
          </w:p>
        </w:tc>
        <w:tc>
          <w:tcPr>
            <w:tcW w:w="1760" w:type="dxa"/>
            <w:vAlign w:val="bottom"/>
          </w:tcPr>
          <w:p>
            <w:pPr>
              <w:jc w:val="right"/>
              <w:spacing w:after="0"/>
              <w:rPr>
                <w:sz w:val="20"/>
                <w:szCs w:val="20"/>
                <w:color w:val="auto"/>
              </w:rPr>
            </w:pPr>
            <w:r>
              <w:rPr>
                <w:rFonts w:ascii="Arial" w:cs="Arial" w:eastAsia="Arial" w:hAnsi="Arial"/>
                <w:sz w:val="16"/>
                <w:szCs w:val="16"/>
                <w:color w:val="auto"/>
              </w:rPr>
              <w:t>17,974</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20,380</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22,137</w:t>
            </w:r>
          </w:p>
        </w:tc>
      </w:tr>
      <w:tr>
        <w:trPr>
          <w:trHeight w:val="23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14,552</w:t>
            </w:r>
          </w:p>
        </w:tc>
        <w:tc>
          <w:tcPr>
            <w:tcW w:w="220" w:type="dxa"/>
            <w:vAlign w:val="bottom"/>
            <w:shd w:val="clear" w:color="auto" w:fill="E5FFFF"/>
          </w:tcPr>
          <w:p>
            <w:pPr>
              <w:spacing w:after="0"/>
              <w:rPr>
                <w:sz w:val="20"/>
                <w:szCs w:val="20"/>
                <w:color w:val="auto"/>
              </w:rPr>
            </w:pP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20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60" w:type="dxa"/>
            <w:vAlign w:val="bottom"/>
          </w:tcPr>
          <w:p>
            <w:pPr>
              <w:spacing w:after="0"/>
              <w:rPr>
                <w:sz w:val="20"/>
                <w:szCs w:val="20"/>
                <w:color w:val="auto"/>
              </w:rPr>
            </w:pPr>
          </w:p>
        </w:tc>
      </w:tr>
      <w:tr>
        <w:trPr>
          <w:trHeight w:val="227"/>
        </w:trPr>
        <w:tc>
          <w:tcPr>
            <w:tcW w:w="4560" w:type="dxa"/>
            <w:vAlign w:val="bottom"/>
          </w:tcPr>
          <w:p>
            <w:pPr>
              <w:spacing w:after="0"/>
              <w:rPr>
                <w:sz w:val="20"/>
                <w:szCs w:val="20"/>
                <w:color w:val="auto"/>
              </w:rPr>
            </w:pPr>
            <w:r>
              <w:rPr>
                <w:rFonts w:ascii="Arial" w:cs="Arial" w:eastAsia="Arial" w:hAnsi="Arial"/>
                <w:sz w:val="16"/>
                <w:szCs w:val="16"/>
                <w:color w:val="auto"/>
              </w:rPr>
              <w:t>Financial income</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(579)</w:t>
            </w:r>
          </w:p>
        </w:tc>
        <w:tc>
          <w:tcPr>
            <w:tcW w:w="2240" w:type="dxa"/>
            <w:vAlign w:val="bottom"/>
            <w:gridSpan w:val="2"/>
          </w:tcPr>
          <w:p>
            <w:pPr>
              <w:jc w:val="right"/>
              <w:ind w:right="140"/>
              <w:spacing w:after="0"/>
              <w:rPr>
                <w:sz w:val="20"/>
                <w:szCs w:val="20"/>
                <w:color w:val="auto"/>
              </w:rPr>
            </w:pPr>
            <w:r>
              <w:rPr>
                <w:rFonts w:ascii="Arial" w:cs="Arial" w:eastAsia="Arial" w:hAnsi="Arial"/>
                <w:sz w:val="16"/>
                <w:szCs w:val="16"/>
                <w:color w:val="auto"/>
              </w:rPr>
              <w:t>(624)</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(527)</w:t>
            </w:r>
          </w:p>
        </w:tc>
      </w:tr>
      <w:tr>
        <w:trPr>
          <w:trHeight w:val="23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(1,588)</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20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60" w:type="dxa"/>
            <w:vAlign w:val="bottom"/>
          </w:tcPr>
          <w:p>
            <w:pPr>
              <w:spacing w:after="0"/>
              <w:rPr>
                <w:sz w:val="20"/>
                <w:szCs w:val="20"/>
                <w:color w:val="auto"/>
              </w:rPr>
            </w:pPr>
          </w:p>
        </w:tc>
      </w:tr>
      <w:tr>
        <w:trPr>
          <w:trHeight w:val="204"/>
        </w:trPr>
        <w:tc>
          <w:tcPr>
            <w:tcW w:w="45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53,260</w:t>
            </w:r>
          </w:p>
        </w:tc>
        <w:tc>
          <w:tcPr>
            <w:tcW w:w="220" w:type="dxa"/>
            <w:vAlign w:val="bottom"/>
            <w:tcBorders>
              <w:bottom w:val="single" w:sz="8" w:color="E5FFFF"/>
            </w:tcBorders>
          </w:tcPr>
          <w:p>
            <w:pPr>
              <w:spacing w:after="0"/>
              <w:rPr>
                <w:sz w:val="17"/>
                <w:szCs w:val="17"/>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200" w:type="dxa"/>
            <w:vAlign w:val="bottom"/>
            <w:tcBorders>
              <w:bottom w:val="single" w:sz="8" w:color="E5FFFF"/>
            </w:tcBorders>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60" w:type="dxa"/>
            <w:vAlign w:val="bottom"/>
          </w:tcPr>
          <w:p>
            <w:pPr>
              <w:spacing w:after="0"/>
              <w:rPr>
                <w:sz w:val="17"/>
                <w:szCs w:val="17"/>
                <w:color w:val="auto"/>
              </w:rPr>
            </w:pPr>
          </w:p>
        </w:tc>
      </w:tr>
      <w:tr>
        <w:trPr>
          <w:trHeight w:val="178"/>
        </w:trPr>
        <w:tc>
          <w:tcPr>
            <w:tcW w:w="4560" w:type="dxa"/>
            <w:vAlign w:val="bottom"/>
            <w:shd w:val="clear" w:color="auto" w:fill="E5FFFF"/>
          </w:tcPr>
          <w:p>
            <w:pPr>
              <w:spacing w:after="0" w:line="178" w:lineRule="exact"/>
              <w:rPr>
                <w:sz w:val="20"/>
                <w:szCs w:val="20"/>
                <w:color w:val="auto"/>
              </w:rPr>
            </w:pPr>
            <w:r>
              <w:rPr>
                <w:rFonts w:ascii="Arial" w:cs="Arial" w:eastAsia="Arial" w:hAnsi="Arial"/>
                <w:sz w:val="16"/>
                <w:szCs w:val="16"/>
                <w:color w:val="auto"/>
              </w:rPr>
              <w:t>Financial costs (excluding amortization of loan fees and lease</w:t>
            </w:r>
          </w:p>
        </w:tc>
        <w:tc>
          <w:tcPr>
            <w:tcW w:w="1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92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4560" w:type="dxa"/>
            <w:vAlign w:val="bottom"/>
            <w:shd w:val="clear" w:color="auto" w:fill="E5FFFF"/>
          </w:tcPr>
          <w:p>
            <w:pPr>
              <w:ind w:left="200"/>
              <w:spacing w:after="0"/>
              <w:rPr>
                <w:sz w:val="20"/>
                <w:szCs w:val="20"/>
                <w:color w:val="auto"/>
              </w:rPr>
            </w:pPr>
            <w:r>
              <w:rPr>
                <w:rFonts w:ascii="Arial" w:cs="Arial" w:eastAsia="Arial" w:hAnsi="Arial"/>
                <w:sz w:val="16"/>
                <w:szCs w:val="16"/>
                <w:color w:val="auto"/>
              </w:rPr>
              <w:t>expense) and realized loss on derivatives</w:t>
            </w:r>
          </w:p>
        </w:tc>
        <w:tc>
          <w:tcPr>
            <w:tcW w:w="19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(12,674)</w:t>
            </w:r>
          </w:p>
        </w:tc>
        <w:tc>
          <w:tcPr>
            <w:tcW w:w="22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(14,784)</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(16,666)</w:t>
            </w:r>
          </w:p>
        </w:tc>
        <w:tc>
          <w:tcPr>
            <w:tcW w:w="60" w:type="dxa"/>
            <w:vAlign w:val="bottom"/>
          </w:tcPr>
          <w:p>
            <w:pPr>
              <w:spacing w:after="0"/>
              <w:rPr>
                <w:sz w:val="18"/>
                <w:szCs w:val="18"/>
                <w:color w:val="auto"/>
              </w:rPr>
            </w:pPr>
          </w:p>
        </w:tc>
      </w:tr>
      <w:tr>
        <w:trPr>
          <w:trHeight w:val="230"/>
        </w:trPr>
        <w:tc>
          <w:tcPr>
            <w:tcW w:w="4560" w:type="dxa"/>
            <w:vAlign w:val="bottom"/>
          </w:tcPr>
          <w:p>
            <w:pPr>
              <w:spacing w:after="0" w:line="230" w:lineRule="exact"/>
              <w:rPr>
                <w:sz w:val="20"/>
                <w:szCs w:val="20"/>
                <w:color w:val="auto"/>
              </w:rPr>
            </w:pPr>
            <w:r>
              <w:rPr>
                <w:rFonts w:ascii="Arial" w:cs="Arial" w:eastAsia="Arial" w:hAnsi="Arial"/>
                <w:sz w:val="16"/>
                <w:szCs w:val="16"/>
                <w:color w:val="auto"/>
              </w:rPr>
              <w:t xml:space="preserve">Dry-docking capital reserve </w:t>
            </w:r>
            <w:r>
              <w:rPr>
                <w:rFonts w:ascii="Arial" w:cs="Arial" w:eastAsia="Arial" w:hAnsi="Arial"/>
                <w:sz w:val="21"/>
                <w:szCs w:val="21"/>
                <w:color w:val="auto"/>
                <w:vertAlign w:val="superscript"/>
              </w:rPr>
              <w:t>(2)</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(3,447)</w:t>
            </w:r>
          </w:p>
        </w:tc>
        <w:tc>
          <w:tcPr>
            <w:tcW w:w="2240" w:type="dxa"/>
            <w:vAlign w:val="bottom"/>
            <w:gridSpan w:val="2"/>
          </w:tcPr>
          <w:p>
            <w:pPr>
              <w:jc w:val="right"/>
              <w:ind w:right="140"/>
              <w:spacing w:after="0"/>
              <w:rPr>
                <w:sz w:val="20"/>
                <w:szCs w:val="20"/>
                <w:color w:val="auto"/>
              </w:rPr>
            </w:pPr>
            <w:r>
              <w:rPr>
                <w:rFonts w:ascii="Arial" w:cs="Arial" w:eastAsia="Arial" w:hAnsi="Arial"/>
                <w:sz w:val="16"/>
                <w:szCs w:val="16"/>
                <w:color w:val="auto"/>
              </w:rPr>
              <w:t>(3,882)</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(4,170)</w:t>
            </w:r>
          </w:p>
        </w:tc>
      </w:tr>
      <w:tr>
        <w:trPr>
          <w:trHeight w:val="230"/>
        </w:trPr>
        <w:tc>
          <w:tcPr>
            <w:tcW w:w="4560" w:type="dxa"/>
            <w:vAlign w:val="bottom"/>
            <w:shd w:val="clear" w:color="auto" w:fill="E5FFFF"/>
          </w:tcPr>
          <w:p>
            <w:pPr>
              <w:spacing w:after="0" w:line="230" w:lineRule="exact"/>
              <w:rPr>
                <w:sz w:val="20"/>
                <w:szCs w:val="20"/>
                <w:color w:val="auto"/>
              </w:rPr>
            </w:pPr>
            <w:r>
              <w:rPr>
                <w:rFonts w:ascii="Arial" w:cs="Arial" w:eastAsia="Arial" w:hAnsi="Arial"/>
                <w:sz w:val="16"/>
                <w:szCs w:val="16"/>
                <w:color w:val="auto"/>
              </w:rPr>
              <w:t xml:space="preserve">Replacement capital reserve </w:t>
            </w:r>
            <w:r>
              <w:rPr>
                <w:rFonts w:ascii="Arial" w:cs="Arial" w:eastAsia="Arial" w:hAnsi="Arial"/>
                <w:sz w:val="21"/>
                <w:szCs w:val="21"/>
                <w:color w:val="auto"/>
                <w:vertAlign w:val="superscript"/>
              </w:rPr>
              <w:t>(2)</w:t>
            </w:r>
          </w:p>
        </w:tc>
        <w:tc>
          <w:tcPr>
            <w:tcW w:w="19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(8,767)</w:t>
            </w:r>
          </w:p>
        </w:tc>
        <w:tc>
          <w:tcPr>
            <w:tcW w:w="22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(9,045)</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(9,686)</w:t>
            </w:r>
          </w:p>
        </w:tc>
        <w:tc>
          <w:tcPr>
            <w:tcW w:w="60" w:type="dxa"/>
            <w:vAlign w:val="bottom"/>
          </w:tcPr>
          <w:p>
            <w:pPr>
              <w:spacing w:after="0"/>
              <w:rPr>
                <w:sz w:val="19"/>
                <w:szCs w:val="19"/>
                <w:color w:val="auto"/>
              </w:rPr>
            </w:pPr>
          </w:p>
        </w:tc>
      </w:tr>
      <w:tr>
        <w:trPr>
          <w:trHeight w:val="227"/>
        </w:trPr>
        <w:tc>
          <w:tcPr>
            <w:tcW w:w="456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(5,457)</w:t>
            </w:r>
          </w:p>
        </w:tc>
        <w:tc>
          <w:tcPr>
            <w:tcW w:w="2240" w:type="dxa"/>
            <w:vAlign w:val="bottom"/>
            <w:gridSpan w:val="2"/>
          </w:tcPr>
          <w:p>
            <w:pPr>
              <w:jc w:val="right"/>
              <w:ind w:right="140"/>
              <w:spacing w:after="0"/>
              <w:rPr>
                <w:sz w:val="20"/>
                <w:szCs w:val="20"/>
                <w:color w:val="auto"/>
              </w:rPr>
            </w:pPr>
            <w:r>
              <w:rPr>
                <w:rFonts w:ascii="Arial" w:cs="Arial" w:eastAsia="Arial" w:hAnsi="Arial"/>
                <w:sz w:val="16"/>
                <w:szCs w:val="16"/>
                <w:color w:val="auto"/>
              </w:rPr>
              <w:t>(7,582)</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(7,582)</w:t>
            </w:r>
          </w:p>
        </w:tc>
      </w:tr>
      <w:tr>
        <w:trPr>
          <w:trHeight w:val="213"/>
        </w:trPr>
        <w:tc>
          <w:tcPr>
            <w:tcW w:w="4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22,915</w:t>
            </w:r>
          </w:p>
        </w:tc>
        <w:tc>
          <w:tcPr>
            <w:tcW w:w="22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27,608</w:t>
            </w:r>
          </w:p>
        </w:tc>
        <w:tc>
          <w:tcPr>
            <w:tcW w:w="20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29,399</w:t>
            </w:r>
          </w:p>
        </w:tc>
        <w:tc>
          <w:tcPr>
            <w:tcW w:w="60" w:type="dxa"/>
            <w:vAlign w:val="bottom"/>
          </w:tcPr>
          <w:p>
            <w:pPr>
              <w:spacing w:after="0"/>
              <w:rPr>
                <w:sz w:val="18"/>
                <w:szCs w:val="18"/>
                <w:color w:val="auto"/>
              </w:rPr>
            </w:pPr>
          </w:p>
        </w:tc>
      </w:tr>
      <w:tr>
        <w:trPr>
          <w:trHeight w:val="210"/>
        </w:trPr>
        <w:tc>
          <w:tcPr>
            <w:tcW w:w="4560" w:type="dxa"/>
            <w:vAlign w:val="bottom"/>
          </w:tcPr>
          <w:p>
            <w:pPr>
              <w:spacing w:after="0" w:line="210"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(3)</w:t>
            </w:r>
          </w:p>
        </w:tc>
        <w:tc>
          <w:tcPr>
            <w:tcW w:w="1760" w:type="dxa"/>
            <w:vAlign w:val="bottom"/>
          </w:tcPr>
          <w:p>
            <w:pPr>
              <w:jc w:val="right"/>
              <w:spacing w:after="0"/>
              <w:rPr>
                <w:sz w:val="20"/>
                <w:szCs w:val="20"/>
                <w:color w:val="auto"/>
              </w:rPr>
            </w:pPr>
            <w:r>
              <w:rPr>
                <w:rFonts w:ascii="Arial" w:cs="Arial" w:eastAsia="Arial" w:hAnsi="Arial"/>
                <w:sz w:val="16"/>
                <w:szCs w:val="16"/>
                <w:color w:val="auto"/>
              </w:rPr>
              <w:t>1,357</w:t>
            </w:r>
          </w:p>
        </w:tc>
        <w:tc>
          <w:tcPr>
            <w:tcW w:w="220" w:type="dxa"/>
            <w:vAlign w:val="bottom"/>
          </w:tcPr>
          <w:p>
            <w:pPr>
              <w:spacing w:after="0"/>
              <w:rPr>
                <w:sz w:val="18"/>
                <w:szCs w:val="18"/>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6"/>
                <w:szCs w:val="16"/>
                <w:color w:val="auto"/>
              </w:rPr>
              <w:t>(697)</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(2,710)</w:t>
            </w:r>
          </w:p>
        </w:tc>
      </w:tr>
      <w:tr>
        <w:trPr>
          <w:trHeight w:val="196"/>
        </w:trPr>
        <w:tc>
          <w:tcPr>
            <w:tcW w:w="4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distribution declared</w:t>
            </w: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24,272</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26,911</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26,689</w:t>
            </w:r>
          </w:p>
        </w:tc>
        <w:tc>
          <w:tcPr>
            <w:tcW w:w="6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 xml:space="preserve">Excludes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GAS-twenty seven Ltd., the owner of the </w:t>
      </w:r>
      <w:r>
        <w:rPr>
          <w:rFonts w:ascii="Arial" w:cs="Arial" w:eastAsia="Arial" w:hAnsi="Arial"/>
          <w:sz w:val="16"/>
          <w:szCs w:val="16"/>
          <w:i w:val="1"/>
          <w:iCs w:val="1"/>
          <w:color w:val="auto"/>
        </w:rPr>
        <w:t>Methane Becki</w:t>
      </w:r>
    </w:p>
    <w:p>
      <w:pPr>
        <w:spacing w:after="0" w:line="207"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6" w:name="page17"/>
    <w:bookmarkEnd w:id="16"/>
    <w:p>
      <w:pPr>
        <w:ind w:left="332" w:right="120"/>
        <w:spacing w:after="0" w:line="293" w:lineRule="auto"/>
        <w:rPr>
          <w:sz w:val="20"/>
          <w:szCs w:val="20"/>
          <w:color w:val="auto"/>
        </w:rPr>
      </w:pPr>
      <w:r>
        <w:rPr>
          <w:rFonts w:ascii="Arial" w:cs="Arial" w:eastAsia="Arial" w:hAnsi="Arial"/>
          <w:sz w:val="15"/>
          <w:szCs w:val="15"/>
          <w:i w:val="1"/>
          <w:iCs w:val="1"/>
          <w:color w:val="auto"/>
        </w:rPr>
        <w:t xml:space="preserve">Anne </w:t>
      </w:r>
      <w:r>
        <w:rPr>
          <w:rFonts w:ascii="Arial" w:cs="Arial" w:eastAsia="Arial" w:hAnsi="Arial"/>
          <w:sz w:val="15"/>
          <w:szCs w:val="15"/>
          <w:color w:val="auto"/>
        </w:rPr>
        <w:t>and GAS-twelve Ltd., the owner of the</w:t>
      </w:r>
      <w:r>
        <w:rPr>
          <w:rFonts w:ascii="Arial" w:cs="Arial" w:eastAsia="Arial" w:hAnsi="Arial"/>
          <w:sz w:val="15"/>
          <w:szCs w:val="15"/>
          <w:i w:val="1"/>
          <w:iCs w:val="1"/>
          <w:color w:val="auto"/>
        </w:rPr>
        <w:t xml:space="preserve"> GasLog Glasgow</w:t>
      </w:r>
      <w:r>
        <w:rPr>
          <w:rFonts w:ascii="Arial" w:cs="Arial" w:eastAsia="Arial" w:hAnsi="Arial"/>
          <w:sz w:val="15"/>
          <w:szCs w:val="15"/>
          <w:color w:val="auto"/>
        </w:rPr>
        <w:t>, for the periods prior to their transfers to the Partnership on April 26, 2018, November 14, 2018 and</w:t>
      </w:r>
      <w:r>
        <w:rPr>
          <w:rFonts w:ascii="Arial" w:cs="Arial" w:eastAsia="Arial" w:hAnsi="Arial"/>
          <w:sz w:val="15"/>
          <w:szCs w:val="15"/>
          <w:i w:val="1"/>
          <w:iCs w:val="1"/>
          <w:color w:val="auto"/>
        </w:rPr>
        <w:t xml:space="preserve"> </w:t>
      </w:r>
      <w:r>
        <w:rPr>
          <w:rFonts w:ascii="Arial" w:cs="Arial" w:eastAsia="Arial" w:hAnsi="Arial"/>
          <w:sz w:val="15"/>
          <w:szCs w:val="15"/>
          <w:color w:val="auto"/>
        </w:rPr>
        <w:t>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 Partnership on April 26, 2018, November 14, 2018 and April 1, 2019, respectively, and accordingly the Partnership was not entitled to the cash or results generated in the period prior to such transfers.</w:t>
      </w:r>
    </w:p>
    <w:p>
      <w:pPr>
        <w:spacing w:after="0" w:line="109" w:lineRule="exact"/>
        <w:rPr>
          <w:sz w:val="20"/>
          <w:szCs w:val="20"/>
          <w:color w:val="auto"/>
        </w:rPr>
      </w:pPr>
    </w:p>
    <w:p>
      <w:pPr>
        <w:ind w:left="332" w:right="20" w:hanging="332"/>
        <w:spacing w:after="0" w:line="218"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Effective January 1, 2019, the Partnership revised the assumed re-investment rate used in calculating the dry-docking capital reserve and the replacement capital reserve to reflect the upward movement of the USD LIBOR rates.</w:t>
      </w:r>
    </w:p>
    <w:p>
      <w:pPr>
        <w:spacing w:after="0" w:line="146" w:lineRule="exact"/>
        <w:rPr>
          <w:rFonts w:ascii="Arial" w:cs="Arial" w:eastAsia="Arial" w:hAnsi="Arial"/>
          <w:sz w:val="23"/>
          <w:szCs w:val="23"/>
          <w:color w:val="auto"/>
          <w:vertAlign w:val="superscript"/>
        </w:rPr>
      </w:pPr>
    </w:p>
    <w:p>
      <w:pPr>
        <w:ind w:left="332" w:right="820" w:hanging="332"/>
        <w:spacing w:after="0" w:line="218"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146" w:lineRule="exact"/>
        <w:rPr>
          <w:rFonts w:ascii="Arial" w:cs="Arial" w:eastAsia="Arial" w:hAnsi="Arial"/>
          <w:sz w:val="23"/>
          <w:szCs w:val="23"/>
          <w:color w:val="auto"/>
          <w:vertAlign w:val="superscript"/>
        </w:rPr>
      </w:pPr>
    </w:p>
    <w:p>
      <w:pPr>
        <w:jc w:val="both"/>
        <w:ind w:left="332" w:hanging="332"/>
        <w:spacing w:after="0" w:line="254" w:lineRule="auto"/>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For the three months ended June 30, 2019, the cash distributions declared and the other reserves have been calculated based on the number of units issued and outstanding as of June 30, 2019. The decrease in total cash distributions declared in the second quarter of 2019 as compared to the first quarter of 2019 is attributable to the decrease in the number of outstanding common units due to the repurchases of common units by GasLog Partners during the second quarter of 2019.</w:t>
      </w:r>
    </w:p>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6"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Six Months Ended June 30,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2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six-month periods ended June 30, 2019 and June 30, 2018.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26,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the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16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300" w:hanging="328"/>
        <w:spacing w:after="0" w:line="266"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5"/>
          <w:szCs w:val="15"/>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5"/>
          <w:szCs w:val="15"/>
          <w:color w:val="auto"/>
        </w:rPr>
        <w:t>our ability to expand our portfolio by acquiring vessels through our drop-down pipeline with GasLog Ltd. (“GasLog”) or by acquiring other assets from third parties;</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360" w:hanging="328"/>
        <w:spacing w:after="0" w:line="251"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200" w:hanging="328"/>
        <w:spacing w:after="0" w:line="251"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right="60" w:hanging="328"/>
        <w:spacing w:after="0" w:line="251"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30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On July 24, 2019, the board of directors of GasLog Partners approved and declared a quarterly cash distribution of $0.55 per common unit for the quarter ended June 30,</w:t>
      </w:r>
    </w:p>
    <w:p>
      <w:pPr>
        <w:spacing w:after="0" w:line="45"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2019. The cash distribution is payable on August 9, 2019 to all unitholders of record as of August 5, 2019. The aggregate amount of the declared distribution will be $26.7 million based on the number of units issued and outstanding on June 30,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ind w:right="40" w:firstLine="510"/>
        <w:spacing w:after="0" w:line="291" w:lineRule="auto"/>
        <w:rPr>
          <w:sz w:val="20"/>
          <w:szCs w:val="20"/>
          <w:color w:val="auto"/>
        </w:rPr>
      </w:pPr>
      <w:r>
        <w:rPr>
          <w:rFonts w:ascii="Arial" w:cs="Arial" w:eastAsia="Arial" w:hAnsi="Arial"/>
          <w:sz w:val="15"/>
          <w:szCs w:val="15"/>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During the three months ended June 30, 2019, GasLog Partners repurchased and cancelled 476,351 of the Partnership’s common units at a weighted average price of $20.81 per common unit, for a total amount of $9.9 million, including commissions. Since the authorization of the unit repurchase programme and through July 25, 2019, GasLog Partners has repurchased and cancelled a total of 541,541 units at a weighted average price of $20.85 per common unit for a total amount of $11.3 million, including commissions. As of July 25, 2019, the unutilized portion of the unit repurchase programme was $13.7 million.</w:t>
      </w:r>
    </w:p>
    <w:p>
      <w:pPr>
        <w:spacing w:after="0" w:line="177" w:lineRule="exact"/>
        <w:rPr>
          <w:sz w:val="20"/>
          <w:szCs w:val="20"/>
          <w:color w:val="auto"/>
        </w:rPr>
      </w:pPr>
    </w:p>
    <w:p>
      <w:pPr>
        <w:ind w:right="360" w:firstLine="510"/>
        <w:spacing w:after="0" w:line="278" w:lineRule="auto"/>
        <w:rPr>
          <w:sz w:val="20"/>
          <w:szCs w:val="20"/>
          <w:color w:val="auto"/>
        </w:rPr>
      </w:pPr>
      <w:r>
        <w:rPr>
          <w:rFonts w:ascii="Arial" w:cs="Arial" w:eastAsia="Arial" w:hAnsi="Arial"/>
          <w:sz w:val="16"/>
          <w:szCs w:val="16"/>
          <w:color w:val="auto"/>
        </w:rPr>
        <w:t xml:space="preserve">On April 1, 2019, in connection with the acquisition of GAS-twelve Ltd., the entity that owns the </w:t>
      </w:r>
      <w:r>
        <w:rPr>
          <w:rFonts w:ascii="Arial" w:cs="Arial" w:eastAsia="Arial" w:hAnsi="Arial"/>
          <w:sz w:val="16"/>
          <w:szCs w:val="16"/>
          <w:i w:val="1"/>
          <w:iCs w:val="1"/>
          <w:color w:val="auto"/>
        </w:rPr>
        <w:t>GasLog Glasgow</w:t>
      </w:r>
      <w:r>
        <w:rPr>
          <w:rFonts w:ascii="Arial" w:cs="Arial" w:eastAsia="Arial" w:hAnsi="Arial"/>
          <w:sz w:val="16"/>
          <w:szCs w:val="16"/>
          <w:color w:val="auto"/>
        </w:rPr>
        <w:t>, the Partnership paid to GasLog $93.6 million, representing the $214.0 million aggregate purchase price less the $134.1 million of outstanding indebtedness of the acquired entity assumed by GasLog Partners, plus an adjustment of $13.7 million in order to maintain the agreed working capital position in the acquired entity of $1.0 million.</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5"/>
          <w:szCs w:val="15"/>
          <w:color w:val="auto"/>
        </w:rPr>
        <w:t xml:space="preserve">On June 14, 2019, GasLog Partners entered into a three-and-a-half-year time charter agreement for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a 155,000 cubic meter (“cbm”) tri-fuel diesel electric (“TFDE”) LNG carrier built in 2013, with a subsidiary of Gunvor Group Ltd. (“Gunvor”). The charter commenced on June 24, 2019 and has a variable rate of hire within an agreed range during the charter period. On June 23, 2019,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exited the Cool Pool, an LNG carrier pooling arrangement operated by GasLog and Golar LNG Ltd. (“Golar”) (the “Cool Pool”) following a termination agreement dated June 6, 2019 which GasLog and GasLog Partners entered into with the Cool Pool and Golar in order to assume commercial control of GasLog’s and GasLog Partners’ vessels operating in the spot market.</w:t>
      </w:r>
    </w:p>
    <w:p>
      <w:pPr>
        <w:spacing w:after="0" w:line="176" w:lineRule="exact"/>
        <w:rPr>
          <w:sz w:val="20"/>
          <w:szCs w:val="20"/>
          <w:color w:val="auto"/>
        </w:rPr>
      </w:pPr>
    </w:p>
    <w:p>
      <w:pPr>
        <w:ind w:right="60" w:firstLine="510"/>
        <w:spacing w:after="0" w:line="287" w:lineRule="auto"/>
        <w:rPr>
          <w:sz w:val="20"/>
          <w:szCs w:val="20"/>
          <w:color w:val="auto"/>
        </w:rPr>
      </w:pPr>
      <w:r>
        <w:rPr>
          <w:rFonts w:ascii="Arial" w:cs="Arial" w:eastAsia="Arial" w:hAnsi="Arial"/>
          <w:sz w:val="15"/>
          <w:szCs w:val="15"/>
          <w:color w:val="auto"/>
        </w:rPr>
        <w:t>On June 24, 2019, GasLog and GasLog Partners entered into an agreement, effective as of June 30, 2019, to modify the Partnership Agreement, thereby eliminating GasLog’s incentive distribution rights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one-to-one basis into common units at GasLog’s option on July 1, 2020, July 1, 2021, July 1, 2022, July 1, 2023, July 1, 2024 and July 1, 2025 for the Class B-1 units, Class B-2 units, Class B-3 units, Class B-4 units, Class B-5 units and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83" w:lineRule="exact"/>
        <w:rPr>
          <w:sz w:val="20"/>
          <w:szCs w:val="20"/>
          <w:color w:val="auto"/>
        </w:rPr>
      </w:pPr>
    </w:p>
    <w:p>
      <w:pPr>
        <w:ind w:firstLine="383"/>
        <w:spacing w:after="0" w:line="278" w:lineRule="auto"/>
        <w:rPr>
          <w:sz w:val="20"/>
          <w:szCs w:val="20"/>
          <w:color w:val="auto"/>
        </w:rPr>
      </w:pPr>
      <w:r>
        <w:rPr>
          <w:rFonts w:ascii="Arial" w:cs="Arial" w:eastAsia="Arial" w:hAnsi="Arial"/>
          <w:sz w:val="16"/>
          <w:szCs w:val="16"/>
          <w:color w:val="auto"/>
        </w:rPr>
        <w:t>As of June 30, 2019, GasLog held a 35.0% ownership interest in the Partnership (including 2.0% through general partner units) and a 31.7% voting and economic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w:t>
      </w:r>
    </w:p>
    <w:p>
      <w:pPr>
        <w:spacing w:after="0" w:line="235" w:lineRule="exact"/>
        <w:rPr>
          <w:sz w:val="20"/>
          <w:szCs w:val="20"/>
          <w:color w:val="auto"/>
        </w:rPr>
      </w:pPr>
    </w:p>
    <w:p>
      <w:pPr>
        <w:ind w:right="100" w:firstLine="428"/>
        <w:spacing w:after="0" w:line="305" w:lineRule="auto"/>
        <w:rPr>
          <w:sz w:val="20"/>
          <w:szCs w:val="20"/>
          <w:color w:val="auto"/>
        </w:rPr>
      </w:pPr>
      <w:r>
        <w:rPr>
          <w:rFonts w:ascii="Arial" w:cs="Arial" w:eastAsia="Arial" w:hAnsi="Arial"/>
          <w:sz w:val="15"/>
          <w:szCs w:val="15"/>
          <w:color w:val="auto"/>
        </w:rPr>
        <w:t>As of June 30, 2019, our fleet consisted of 15 LNG carriers, including 10 vessels with TFDE propulsion and five modern steam turbine propulsion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66" w:lineRule="exact"/>
        <w:rPr>
          <w:sz w:val="20"/>
          <w:szCs w:val="20"/>
          <w:color w:val="auto"/>
        </w:rPr>
      </w:pPr>
    </w:p>
    <w:p>
      <w:pPr>
        <w:ind w:right="40" w:firstLine="428"/>
        <w:spacing w:after="0" w:line="273"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One of our vessels currently operates under a three-and-a-half-year time charter with a market-linked daily hire rate determined on a per voyage basis. We intend to grow our portfolio through further acquisitions of LNG carriers or other LNG infrastructure assets from GasLog and/ or third parties. However, we cannot assure you that we will make any particular acquisition or that, as a consequence, we will successfully grow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9" w:name="page20"/>
    <w:bookmarkEnd w:id="19"/>
    <w:p>
      <w:pPr>
        <w:ind w:right="20"/>
        <w:spacing w:after="0" w:line="293" w:lineRule="auto"/>
        <w:rPr>
          <w:sz w:val="20"/>
          <w:szCs w:val="20"/>
          <w:color w:val="auto"/>
        </w:rPr>
      </w:pPr>
      <w:r>
        <w:rPr>
          <w:rFonts w:ascii="Arial" w:cs="Arial" w:eastAsia="Arial" w:hAnsi="Arial"/>
          <w:sz w:val="16"/>
          <w:szCs w:val="16"/>
          <w:color w:val="auto"/>
        </w:rPr>
        <w:t>distributions per common unit. Among other things, our ability to acquire additional LNG carriers or other LNG infrastructure assets will be dependent upon our ability to raise additional equity and debt financing.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Cargo</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Charter</w:t>
            </w: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0"/>
        </w:trPr>
        <w:tc>
          <w:tcPr>
            <w:tcW w:w="27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Built</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(cbm)</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Charterer</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Propulsion</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Expiration</w:t>
            </w:r>
          </w:p>
        </w:tc>
        <w:tc>
          <w:tcPr>
            <w:tcW w:w="1400" w:type="dxa"/>
            <w:vAlign w:val="bottom"/>
            <w:gridSpan w:val="2"/>
          </w:tcPr>
          <w:p>
            <w:pPr>
              <w:jc w:val="right"/>
              <w:ind w:right="86"/>
              <w:spacing w:after="0"/>
              <w:rPr>
                <w:sz w:val="20"/>
                <w:szCs w:val="20"/>
                <w:color w:val="auto"/>
              </w:rPr>
            </w:pPr>
            <w:r>
              <w:rPr>
                <w:rFonts w:ascii="Arial" w:cs="Arial" w:eastAsia="Arial" w:hAnsi="Arial"/>
                <w:sz w:val="16"/>
                <w:szCs w:val="16"/>
                <w:b w:val="1"/>
                <w:bCs w:val="1"/>
                <w:color w:val="auto"/>
              </w:rPr>
              <w:t>Optional Period</w:t>
            </w: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w:t>
            </w:r>
          </w:p>
        </w:tc>
        <w:tc>
          <w:tcPr>
            <w:tcW w:w="2180" w:type="dxa"/>
            <w:vAlign w:val="bottom"/>
            <w:tcBorders>
              <w:top w:val="single" w:sz="8" w:color="auto"/>
            </w:tcBorders>
          </w:tcPr>
          <w:p>
            <w:pPr>
              <w:ind w:left="60"/>
              <w:spacing w:after="0"/>
              <w:rPr>
                <w:sz w:val="20"/>
                <w:szCs w:val="20"/>
                <w:color w:val="auto"/>
              </w:rPr>
            </w:pPr>
            <w:r>
              <w:rPr>
                <w:rFonts w:ascii="Arial" w:cs="Arial" w:eastAsia="Arial" w:hAnsi="Arial"/>
                <w:sz w:val="16"/>
                <w:szCs w:val="16"/>
                <w:i w:val="1"/>
                <w:iCs w:val="1"/>
                <w:color w:val="auto"/>
              </w:rPr>
              <w:t>Methane Jane Elizabeth</w:t>
            </w:r>
          </w:p>
        </w:tc>
        <w:tc>
          <w:tcPr>
            <w:tcW w:w="18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2006</w:t>
            </w:r>
          </w:p>
        </w:tc>
        <w:tc>
          <w:tcPr>
            <w:tcW w:w="16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Shell</w:t>
            </w:r>
          </w:p>
        </w:tc>
        <w:tc>
          <w:tcPr>
            <w:tcW w:w="16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Steam</w:t>
            </w:r>
          </w:p>
        </w:tc>
        <w:tc>
          <w:tcPr>
            <w:tcW w:w="160" w:type="dxa"/>
            <w:vAlign w:val="bottom"/>
          </w:tcPr>
          <w:p>
            <w:pPr>
              <w:spacing w:after="0"/>
              <w:rPr>
                <w:sz w:val="17"/>
                <w:szCs w:val="17"/>
                <w:color w:val="auto"/>
              </w:rPr>
            </w:pPr>
          </w:p>
        </w:tc>
        <w:tc>
          <w:tcPr>
            <w:tcW w:w="17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6"/>
                <w:szCs w:val="16"/>
                <w:color w:val="auto"/>
                <w:w w:val="89"/>
              </w:rPr>
              <w:t xml:space="preserve">October 2019 </w:t>
            </w:r>
            <w:r>
              <w:rPr>
                <w:rFonts w:ascii="Arial" w:cs="Arial" w:eastAsia="Arial" w:hAnsi="Arial"/>
                <w:sz w:val="21"/>
                <w:szCs w:val="21"/>
                <w:color w:val="auto"/>
                <w:w w:val="89"/>
                <w:vertAlign w:val="superscript"/>
              </w:rPr>
              <w:t>(1)</w:t>
            </w:r>
          </w:p>
        </w:tc>
        <w:tc>
          <w:tcPr>
            <w:tcW w:w="160" w:type="dxa"/>
            <w:vAlign w:val="bottom"/>
          </w:tcPr>
          <w:p>
            <w:pPr>
              <w:spacing w:after="0"/>
              <w:rPr>
                <w:sz w:val="17"/>
                <w:szCs w:val="17"/>
                <w:color w:val="auto"/>
              </w:rPr>
            </w:pPr>
          </w:p>
        </w:tc>
        <w:tc>
          <w:tcPr>
            <w:tcW w:w="800" w:type="dxa"/>
            <w:vAlign w:val="bottom"/>
            <w:tcBorders>
              <w:top w:val="single" w:sz="8" w:color="auto"/>
            </w:tcBorders>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2</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Methane Alison Victoria</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6"/>
              </w:rPr>
              <w:t>Steam</w:t>
            </w:r>
          </w:p>
        </w:tc>
        <w:tc>
          <w:tcPr>
            <w:tcW w:w="1940" w:type="dxa"/>
            <w:vAlign w:val="bottom"/>
            <w:gridSpan w:val="2"/>
            <w:shd w:val="clear" w:color="auto" w:fill="E5FFFF"/>
          </w:tcPr>
          <w:p>
            <w:pPr>
              <w:jc w:val="center"/>
              <w:ind w:right="140"/>
              <w:spacing w:after="0" w:line="203" w:lineRule="exact"/>
              <w:rPr>
                <w:sz w:val="20"/>
                <w:szCs w:val="20"/>
                <w:color w:val="auto"/>
              </w:rPr>
            </w:pPr>
            <w:r>
              <w:rPr>
                <w:rFonts w:ascii="Arial" w:cs="Arial" w:eastAsia="Arial" w:hAnsi="Arial"/>
                <w:sz w:val="16"/>
                <w:szCs w:val="16"/>
                <w:color w:val="auto"/>
                <w:w w:val="88"/>
              </w:rPr>
              <w:t xml:space="preserve">December 2019 </w:t>
            </w:r>
            <w:r>
              <w:rPr>
                <w:rFonts w:ascii="Arial" w:cs="Arial" w:eastAsia="Arial" w:hAnsi="Arial"/>
                <w:sz w:val="21"/>
                <w:szCs w:val="21"/>
                <w:color w:val="auto"/>
                <w:w w:val="88"/>
                <w:vertAlign w:val="superscript"/>
              </w:rPr>
              <w:t>(1)</w:t>
            </w:r>
          </w:p>
        </w:tc>
        <w:tc>
          <w:tcPr>
            <w:tcW w:w="800" w:type="dxa"/>
            <w:vAlign w:val="bottom"/>
            <w:shd w:val="clear" w:color="auto" w:fill="E5FFFF"/>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E5FF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Methane Jane Elizabeth </w:t>
            </w:r>
            <w:r>
              <w:rPr>
                <w:rFonts w:ascii="Arial" w:cs="Arial" w:eastAsia="Arial" w:hAnsi="Arial"/>
                <w:sz w:val="16"/>
                <w:szCs w:val="16"/>
                <w:color w:val="auto"/>
              </w:rPr>
              <w:t>or</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2006/2007</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tcPr>
          <w:p>
            <w:pPr>
              <w:spacing w:after="0"/>
              <w:rPr>
                <w:sz w:val="16"/>
                <w:szCs w:val="16"/>
                <w:color w:val="auto"/>
              </w:rPr>
            </w:pPr>
          </w:p>
        </w:tc>
        <w:tc>
          <w:tcPr>
            <w:tcW w:w="1520" w:type="dxa"/>
            <w:vAlign w:val="bottom"/>
            <w:gridSpan w:val="2"/>
          </w:tcPr>
          <w:p>
            <w:pPr>
              <w:jc w:val="center"/>
              <w:ind w:right="160"/>
              <w:spacing w:after="0" w:line="193" w:lineRule="exact"/>
              <w:rPr>
                <w:sz w:val="20"/>
                <w:szCs w:val="20"/>
                <w:color w:val="auto"/>
              </w:rPr>
            </w:pPr>
            <w:r>
              <w:rPr>
                <w:rFonts w:ascii="Arial" w:cs="Arial" w:eastAsia="Arial" w:hAnsi="Arial"/>
                <w:sz w:val="16"/>
                <w:szCs w:val="16"/>
                <w:color w:val="auto"/>
                <w:w w:val="88"/>
              </w:rPr>
              <w:t xml:space="preserve">Trafigura </w:t>
            </w:r>
            <w:r>
              <w:rPr>
                <w:rFonts w:ascii="Arial" w:cs="Arial" w:eastAsia="Arial" w:hAnsi="Arial"/>
                <w:sz w:val="21"/>
                <w:szCs w:val="21"/>
                <w:color w:val="auto"/>
                <w:w w:val="88"/>
                <w:vertAlign w:val="superscript"/>
              </w:rPr>
              <w:t>(1)</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Steam</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November or</w:t>
            </w:r>
          </w:p>
        </w:tc>
        <w:tc>
          <w:tcPr>
            <w:tcW w:w="1400" w:type="dxa"/>
            <w:vAlign w:val="bottom"/>
            <w:gridSpan w:val="2"/>
          </w:tcPr>
          <w:p>
            <w:pPr>
              <w:jc w:val="center"/>
              <w:spacing w:after="0" w:line="193" w:lineRule="exact"/>
              <w:rPr>
                <w:sz w:val="20"/>
                <w:szCs w:val="20"/>
                <w:color w:val="auto"/>
              </w:rPr>
            </w:pPr>
            <w:r>
              <w:rPr>
                <w:rFonts w:ascii="Arial" w:cs="Arial" w:eastAsia="Arial" w:hAnsi="Arial"/>
                <w:sz w:val="16"/>
                <w:szCs w:val="16"/>
                <w:color w:val="auto"/>
                <w:w w:val="88"/>
              </w:rPr>
              <w:t xml:space="preserve">2021–2024 </w:t>
            </w:r>
            <w:r>
              <w:rPr>
                <w:rFonts w:ascii="Arial" w:cs="Arial" w:eastAsia="Arial" w:hAnsi="Arial"/>
                <w:sz w:val="21"/>
                <w:szCs w:val="21"/>
                <w:color w:val="auto"/>
                <w:w w:val="88"/>
                <w:vertAlign w:val="superscript"/>
              </w:rPr>
              <w:t>(2)</w:t>
            </w:r>
          </w:p>
        </w:tc>
      </w:t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2"/>
          </w:tcPr>
          <w:p>
            <w:pPr>
              <w:ind w:left="60"/>
              <w:spacing w:after="0" w:line="213" w:lineRule="exact"/>
              <w:rPr>
                <w:sz w:val="20"/>
                <w:szCs w:val="20"/>
                <w:color w:val="auto"/>
              </w:rPr>
            </w:pPr>
            <w:r>
              <w:rPr>
                <w:rFonts w:ascii="Arial" w:cs="Arial" w:eastAsia="Arial" w:hAnsi="Arial"/>
                <w:sz w:val="16"/>
                <w:szCs w:val="16"/>
                <w:i w:val="1"/>
                <w:iCs w:val="1"/>
                <w:color w:val="auto"/>
              </w:rPr>
              <w:t xml:space="preserve">Methane Alison Victoria </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December 2020</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3</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Methane Rita Andrea</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6"/>
              </w:rPr>
              <w:t>Steam</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7"/>
              </w:rPr>
              <w:t>April 2020</w:t>
            </w:r>
          </w:p>
        </w:tc>
        <w:tc>
          <w:tcPr>
            <w:tcW w:w="800" w:type="dxa"/>
            <w:vAlign w:val="bottom"/>
            <w:shd w:val="clear" w:color="auto" w:fill="E5FFFF"/>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Shirley Elisabeth</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Steam</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June 2020</w:t>
            </w:r>
          </w:p>
        </w:tc>
        <w:tc>
          <w:tcPr>
            <w:tcW w:w="800" w:type="dxa"/>
            <w:vAlign w:val="bottom"/>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5</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Sydney</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shd w:val="clear" w:color="auto" w:fill="E5FFFF"/>
          </w:tcPr>
          <w:p>
            <w:pPr>
              <w:spacing w:after="0"/>
              <w:rPr>
                <w:sz w:val="16"/>
                <w:szCs w:val="16"/>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shd w:val="clear" w:color="auto" w:fill="E5FFFF"/>
          </w:tcPr>
          <w:p>
            <w:pPr>
              <w:spacing w:after="0"/>
              <w:rPr>
                <w:sz w:val="16"/>
                <w:szCs w:val="16"/>
                <w:color w:val="auto"/>
              </w:rPr>
            </w:pPr>
          </w:p>
        </w:tc>
        <w:tc>
          <w:tcPr>
            <w:tcW w:w="15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Cheniere Energy</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June 2020</w:t>
            </w:r>
          </w:p>
        </w:tc>
        <w:tc>
          <w:tcPr>
            <w:tcW w:w="1400" w:type="dxa"/>
            <w:vAlign w:val="bottom"/>
            <w:gridSpan w:val="2"/>
            <w:shd w:val="clear" w:color="auto" w:fill="E5FFFF"/>
          </w:tcPr>
          <w:p>
            <w:pPr>
              <w:jc w:val="center"/>
              <w:spacing w:after="0" w:line="193" w:lineRule="exact"/>
              <w:rPr>
                <w:sz w:val="20"/>
                <w:szCs w:val="20"/>
                <w:color w:val="auto"/>
              </w:rPr>
            </w:pPr>
            <w:r>
              <w:rPr>
                <w:rFonts w:ascii="Arial" w:cs="Arial" w:eastAsia="Arial" w:hAnsi="Arial"/>
                <w:sz w:val="16"/>
                <w:szCs w:val="16"/>
                <w:color w:val="auto"/>
                <w:w w:val="87"/>
              </w:rPr>
              <w:t xml:space="preserve">2020-2021 </w:t>
            </w:r>
            <w:r>
              <w:rPr>
                <w:rFonts w:ascii="Arial" w:cs="Arial" w:eastAsia="Arial" w:hAnsi="Arial"/>
                <w:sz w:val="21"/>
                <w:szCs w:val="21"/>
                <w:color w:val="auto"/>
                <w:w w:val="87"/>
                <w:vertAlign w:val="superscript"/>
              </w:rPr>
              <w:t>(3)</w:t>
            </w:r>
          </w:p>
        </w:tc>
      </w:tr>
      <w:tr>
        <w:trPr>
          <w:trHeight w:val="212"/>
        </w:trPr>
        <w:tc>
          <w:tcPr>
            <w:tcW w:w="20" w:type="dxa"/>
            <w:vAlign w:val="bottom"/>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6"/>
              </w:rPr>
              <w:t>Inc. (“Cheniere”)</w:t>
            </w:r>
          </w:p>
        </w:tc>
        <w:tc>
          <w:tcPr>
            <w:tcW w:w="1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7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Heather Sally</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Steam</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December 2020</w:t>
            </w:r>
          </w:p>
        </w:tc>
        <w:tc>
          <w:tcPr>
            <w:tcW w:w="800" w:type="dxa"/>
            <w:vAlign w:val="bottom"/>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7</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Seattle</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June 2021</w:t>
            </w:r>
          </w:p>
        </w:tc>
        <w:tc>
          <w:tcPr>
            <w:tcW w:w="800" w:type="dxa"/>
            <w:vAlign w:val="bottom"/>
            <w:shd w:val="clear" w:color="auto" w:fill="E5FFFF"/>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Solaris</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June 2021</w:t>
            </w:r>
          </w:p>
        </w:tc>
        <w:tc>
          <w:tcPr>
            <w:tcW w:w="800" w:type="dxa"/>
            <w:vAlign w:val="bottom"/>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9</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Santiago</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Trafigura</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1"/>
              </w:rPr>
              <w:t>December 2021</w:t>
            </w:r>
          </w:p>
        </w:tc>
        <w:tc>
          <w:tcPr>
            <w:tcW w:w="140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2022-2028 </w:t>
            </w:r>
            <w:r>
              <w:rPr>
                <w:rFonts w:ascii="Arial" w:cs="Arial" w:eastAsia="Arial" w:hAnsi="Arial"/>
                <w:sz w:val="21"/>
                <w:szCs w:val="21"/>
                <w:color w:val="auto"/>
                <w:w w:val="87"/>
                <w:vertAlign w:val="superscript"/>
              </w:rPr>
              <w:t>(4)</w:t>
            </w: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rPr>
              <w:t>10</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Shanghai</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tcPr>
          <w:p>
            <w:pPr>
              <w:spacing w:after="0"/>
              <w:rPr>
                <w:sz w:val="17"/>
                <w:szCs w:val="17"/>
                <w:color w:val="auto"/>
              </w:rPr>
            </w:pPr>
          </w:p>
        </w:tc>
        <w:tc>
          <w:tcPr>
            <w:tcW w:w="152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1"/>
                <w:szCs w:val="21"/>
                <w:color w:val="auto"/>
                <w:w w:val="86"/>
                <w:vertAlign w:val="superscript"/>
              </w:rPr>
              <w:t>(5)</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2022</w:t>
            </w:r>
          </w:p>
        </w:tc>
        <w:tc>
          <w:tcPr>
            <w:tcW w:w="800" w:type="dxa"/>
            <w:vAlign w:val="bottom"/>
          </w:tcPr>
          <w:p>
            <w:pPr>
              <w:jc w:val="center"/>
              <w:ind w:left="51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78"/>
              </w:rPr>
              <w:t>11</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Geneva</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September 2023</w:t>
            </w:r>
          </w:p>
        </w:tc>
        <w:tc>
          <w:tcPr>
            <w:tcW w:w="140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Gibraltar</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October 2023</w:t>
            </w:r>
          </w:p>
        </w:tc>
        <w:tc>
          <w:tcPr>
            <w:tcW w:w="140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13</w:t>
            </w:r>
          </w:p>
        </w:tc>
        <w:tc>
          <w:tcPr>
            <w:tcW w:w="23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Methane Becki Anne</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2"/>
              </w:rPr>
              <w:t>March 2024</w:t>
            </w:r>
          </w:p>
        </w:tc>
        <w:tc>
          <w:tcPr>
            <w:tcW w:w="140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1"/>
                <w:szCs w:val="21"/>
                <w:color w:val="auto"/>
                <w:w w:val="87"/>
                <w:vertAlign w:val="superscript"/>
              </w:rPr>
              <w:t>(7)</w:t>
            </w:r>
          </w:p>
        </w:tc>
      </w:tr>
      <w:tr>
        <w:trPr>
          <w:trHeight w:val="203"/>
        </w:trPr>
        <w:tc>
          <w:tcPr>
            <w:tcW w:w="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23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Greece</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March 2026</w:t>
            </w:r>
          </w:p>
        </w:tc>
        <w:tc>
          <w:tcPr>
            <w:tcW w:w="800" w:type="dxa"/>
            <w:vAlign w:val="bottom"/>
          </w:tcPr>
          <w:p>
            <w:pPr>
              <w:jc w:val="right"/>
              <w:spacing w:after="0"/>
              <w:rPr>
                <w:sz w:val="20"/>
                <w:szCs w:val="20"/>
                <w:color w:val="auto"/>
              </w:rPr>
            </w:pPr>
            <w:r>
              <w:rPr>
                <w:rFonts w:ascii="Arial" w:cs="Arial" w:eastAsia="Arial" w:hAnsi="Arial"/>
                <w:sz w:val="16"/>
                <w:szCs w:val="16"/>
                <w:color w:val="auto"/>
              </w:rPr>
              <w:t>2031</w:t>
            </w:r>
          </w:p>
        </w:tc>
        <w:tc>
          <w:tcPr>
            <w:tcW w:w="600" w:type="dxa"/>
            <w:vAlign w:val="bottom"/>
          </w:tcPr>
          <w:p>
            <w:pPr>
              <w:jc w:val="right"/>
              <w:ind w:right="406"/>
              <w:spacing w:after="0"/>
              <w:rPr>
                <w:sz w:val="20"/>
                <w:szCs w:val="20"/>
                <w:color w:val="auto"/>
              </w:rPr>
            </w:pPr>
            <w:r>
              <w:rPr>
                <w:rFonts w:ascii="Arial" w:cs="Arial" w:eastAsia="Arial" w:hAnsi="Arial"/>
                <w:sz w:val="11"/>
                <w:szCs w:val="11"/>
                <w:color w:val="auto"/>
                <w:w w:val="88"/>
              </w:rPr>
              <w:t>(8)</w:t>
            </w:r>
          </w:p>
        </w:tc>
      </w:tr>
      <w:tr>
        <w:trPr>
          <w:trHeight w:val="203"/>
        </w:trPr>
        <w:tc>
          <w:tcPr>
            <w:tcW w:w="20" w:type="dxa"/>
            <w:vAlign w:val="bottom"/>
          </w:tcPr>
          <w:p>
            <w:pPr>
              <w:spacing w:after="0"/>
              <w:rPr>
                <w:sz w:val="17"/>
                <w:szCs w:val="17"/>
                <w:color w:val="auto"/>
              </w:rPr>
            </w:pP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15</w:t>
            </w:r>
          </w:p>
        </w:tc>
        <w:tc>
          <w:tcPr>
            <w:tcW w:w="2360" w:type="dxa"/>
            <w:vAlign w:val="bottom"/>
            <w:gridSpan w:val="2"/>
            <w:shd w:val="clear" w:color="auto" w:fill="E5FFFF"/>
          </w:tcPr>
          <w:p>
            <w:pPr>
              <w:ind w:left="60"/>
              <w:spacing w:after="0" w:line="203" w:lineRule="exact"/>
              <w:rPr>
                <w:sz w:val="20"/>
                <w:szCs w:val="20"/>
                <w:color w:val="auto"/>
              </w:rPr>
            </w:pPr>
            <w:r>
              <w:rPr>
                <w:rFonts w:ascii="Arial" w:cs="Arial" w:eastAsia="Arial" w:hAnsi="Arial"/>
                <w:sz w:val="16"/>
                <w:szCs w:val="16"/>
                <w:i w:val="1"/>
                <w:iCs w:val="1"/>
                <w:color w:val="auto"/>
              </w:rPr>
              <w:t xml:space="preserve">GasLog Glasgow </w:t>
            </w:r>
            <w:r>
              <w:rPr>
                <w:rFonts w:ascii="Arial" w:cs="Arial" w:eastAsia="Arial" w:hAnsi="Arial"/>
                <w:sz w:val="21"/>
                <w:szCs w:val="21"/>
                <w:color w:val="auto"/>
                <w:vertAlign w:val="superscript"/>
              </w:rPr>
              <w:t>(9)</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5"/>
              </w:rPr>
              <w:t>TFDE</w:t>
            </w:r>
          </w:p>
        </w:tc>
        <w:tc>
          <w:tcPr>
            <w:tcW w:w="19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June 2026</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600" w:type="dxa"/>
            <w:vAlign w:val="bottom"/>
            <w:shd w:val="clear" w:color="auto" w:fill="E5FFFF"/>
          </w:tcPr>
          <w:p>
            <w:pPr>
              <w:jc w:val="right"/>
              <w:ind w:right="406"/>
              <w:spacing w:after="0"/>
              <w:rPr>
                <w:sz w:val="20"/>
                <w:szCs w:val="20"/>
                <w:color w:val="auto"/>
              </w:rPr>
            </w:pPr>
            <w:r>
              <w:rPr>
                <w:rFonts w:ascii="Arial" w:cs="Arial" w:eastAsia="Arial" w:hAnsi="Arial"/>
                <w:sz w:val="11"/>
                <w:szCs w:val="11"/>
                <w:color w:val="auto"/>
                <w:w w:val="88"/>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128905</wp:posOffset>
            </wp:positionV>
            <wp:extent cx="1355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99" w:lineRule="exact"/>
        <w:rPr>
          <w:sz w:val="20"/>
          <w:szCs w:val="20"/>
          <w:color w:val="auto"/>
        </w:rPr>
      </w:pPr>
    </w:p>
    <w:p>
      <w:pPr>
        <w:jc w:val="both"/>
        <w:ind w:left="340" w:right="100" w:hanging="332"/>
        <w:spacing w:after="0" w:line="207"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GasLog Partners has secured a one-year charter with Trafigura Maritime Logistics PTE Ltd. (“Trafigura”)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4"/>
          <w:szCs w:val="14"/>
          <w:i w:val="1"/>
          <w:iCs w:val="1"/>
          <w:color w:val="auto"/>
        </w:rPr>
        <w:t xml:space="preserve">Methane Jane Elizabeth </w:t>
      </w:r>
      <w:r>
        <w:rPr>
          <w:rFonts w:ascii="Arial" w:cs="Arial" w:eastAsia="Arial" w:hAnsi="Arial"/>
          <w:sz w:val="14"/>
          <w:szCs w:val="14"/>
          <w:color w:val="auto"/>
        </w:rPr>
        <w:t>or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w:t>
      </w:r>
    </w:p>
    <w:p>
      <w:pPr>
        <w:spacing w:after="0" w:line="1" w:lineRule="exact"/>
        <w:rPr>
          <w:rFonts w:ascii="Arial" w:cs="Arial" w:eastAsia="Arial" w:hAnsi="Arial"/>
          <w:sz w:val="18"/>
          <w:szCs w:val="18"/>
          <w:color w:val="auto"/>
          <w:vertAlign w:val="superscript"/>
        </w:rPr>
      </w:pPr>
    </w:p>
    <w:p>
      <w:pPr>
        <w:ind w:left="340" w:right="100" w:hanging="332"/>
        <w:spacing w:after="0" w:line="193"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80" w:hanging="332"/>
        <w:spacing w:after="0" w:line="193"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hanging="332"/>
        <w:spacing w:after="0" w:line="193"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Clearlake Shipping Pte. Ltd., a subsidiary of Gunvor.</w:t>
      </w:r>
    </w:p>
    <w:p>
      <w:pPr>
        <w:ind w:left="340" w:right="80" w:hanging="332"/>
        <w:spacing w:after="0" w:line="193"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180" w:hanging="332"/>
        <w:spacing w:after="0" w:line="193" w:lineRule="auto"/>
        <w:tabs>
          <w:tab w:leader="none" w:pos="33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ind w:left="320" w:hanging="312"/>
        <w:spacing w:after="0" w:line="197" w:lineRule="auto"/>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On April 1, 2019, GasLog Partners acquired from GasLog 100% of the shares in the entity that owns and charters the </w:t>
      </w:r>
      <w:r>
        <w:rPr>
          <w:rFonts w:ascii="Arial" w:cs="Arial" w:eastAsia="Arial" w:hAnsi="Arial"/>
          <w:sz w:val="14"/>
          <w:szCs w:val="14"/>
          <w:i w:val="1"/>
          <w:iCs w:val="1"/>
          <w:color w:val="auto"/>
        </w:rPr>
        <w:t>GasLog Glasgow.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60" w:firstLine="428"/>
        <w:spacing w:after="0" w:line="291"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are due to come off charter in October 2019, December 2019, April 2020, June 2020, June 2020 and December 2020, respectively, each plus or minus 30 days. GasLog Partners has secured a one-year charter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Existing Vessel Interests Purchase Options</w:t>
      </w:r>
    </w:p>
    <w:p>
      <w:pPr>
        <w:spacing w:after="0" w:line="235" w:lineRule="exact"/>
        <w:rPr>
          <w:sz w:val="20"/>
          <w:szCs w:val="20"/>
          <w:color w:val="auto"/>
        </w:rPr>
      </w:pPr>
    </w:p>
    <w:p>
      <w:pPr>
        <w:ind w:right="280" w:firstLine="428"/>
        <w:spacing w:after="0" w:line="369" w:lineRule="auto"/>
        <w:rPr>
          <w:sz w:val="20"/>
          <w:szCs w:val="20"/>
          <w:color w:val="auto"/>
        </w:rPr>
      </w:pPr>
      <w:r>
        <w:rPr>
          <w:rFonts w:ascii="Arial" w:cs="Arial" w:eastAsia="Arial" w:hAnsi="Arial"/>
          <w:sz w:val="14"/>
          <w:szCs w:val="14"/>
          <w:color w:val="auto"/>
        </w:rPr>
        <w:t xml:space="preserve">We currently have the option to purchase from GasLog: (i)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(ii) the </w:t>
      </w:r>
      <w:r>
        <w:rPr>
          <w:rFonts w:ascii="Arial" w:cs="Arial" w:eastAsia="Arial" w:hAnsi="Arial"/>
          <w:sz w:val="14"/>
          <w:szCs w:val="14"/>
          <w:i w:val="1"/>
          <w:iCs w:val="1"/>
          <w:color w:val="auto"/>
        </w:rPr>
        <w:t>GasLog Gladstone</w:t>
      </w:r>
      <w:r>
        <w:rPr>
          <w:rFonts w:ascii="Arial" w:cs="Arial" w:eastAsia="Arial" w:hAnsi="Arial"/>
          <w:sz w:val="14"/>
          <w:szCs w:val="14"/>
          <w:color w:val="auto"/>
        </w:rPr>
        <w:t>, each within 30 days after GasLog notifies us that the vessel has commenced its multi-year charter with Shell. In each case, our option to purchase is at fair market value as determined pursuant to the omnibus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Cargo</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Capacity</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Year Built</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(cbm)</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280" w:type="dxa"/>
            <w:vAlign w:val="bottom"/>
            <w:gridSpan w:val="2"/>
          </w:tcPr>
          <w:p>
            <w:pPr>
              <w:jc w:val="center"/>
              <w:ind w:right="16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13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2520" w:type="dxa"/>
            <w:vAlign w:val="bottom"/>
            <w:tcBorders>
              <w:top w:val="single" w:sz="8" w:color="auto"/>
            </w:tcBorders>
            <w:shd w:val="clear" w:color="auto" w:fill="E4FFFF"/>
          </w:tcPr>
          <w:p>
            <w:pPr>
              <w:ind w:left="12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GasLog Houston</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right"/>
              <w:ind w:right="319"/>
              <w:spacing w:after="0"/>
              <w:rPr>
                <w:sz w:val="20"/>
                <w:szCs w:val="20"/>
                <w:color w:val="auto"/>
              </w:rPr>
            </w:pPr>
            <w:r>
              <w:rPr>
                <w:rFonts w:ascii="Arial" w:cs="Arial" w:eastAsia="Arial" w:hAnsi="Arial"/>
                <w:sz w:val="16"/>
                <w:szCs w:val="16"/>
                <w:color w:val="auto"/>
              </w:rPr>
              <w:t>2018</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Borders>
              <w:top w:val="single" w:sz="8" w:color="E4FFFF"/>
            </w:tcBorders>
            <w:shd w:val="clear" w:color="auto" w:fill="E4FFFF"/>
          </w:tcPr>
          <w:p>
            <w:pPr>
              <w:spacing w:after="0"/>
              <w:rPr>
                <w:sz w:val="17"/>
                <w:szCs w:val="17"/>
                <w:color w:val="auto"/>
              </w:rPr>
            </w:pPr>
          </w:p>
        </w:tc>
        <w:tc>
          <w:tcPr>
            <w:tcW w:w="116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Shell</w:t>
            </w:r>
          </w:p>
        </w:tc>
        <w:tc>
          <w:tcPr>
            <w:tcW w:w="160" w:type="dxa"/>
            <w:vAlign w:val="bottom"/>
            <w:tcBorders>
              <w:top w:val="single" w:sz="8" w:color="E4FFFF"/>
            </w:tcBorders>
            <w:shd w:val="clear" w:color="auto" w:fill="E4FFFF"/>
          </w:tcPr>
          <w:p>
            <w:pPr>
              <w:spacing w:after="0"/>
              <w:rPr>
                <w:sz w:val="17"/>
                <w:szCs w:val="17"/>
                <w:color w:val="auto"/>
              </w:rPr>
            </w:pPr>
          </w:p>
        </w:tc>
        <w:tc>
          <w:tcPr>
            <w:tcW w:w="112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6"/>
              </w:rPr>
              <w:t>X-DF</w:t>
            </w:r>
          </w:p>
        </w:tc>
        <w:tc>
          <w:tcPr>
            <w:tcW w:w="160" w:type="dxa"/>
            <w:vAlign w:val="bottom"/>
            <w:tcBorders>
              <w:top w:val="single" w:sz="8" w:color="E4FFFF"/>
            </w:tcBorders>
            <w:shd w:val="clear" w:color="auto" w:fill="E4FFFF"/>
          </w:tcPr>
          <w:p>
            <w:pPr>
              <w:spacing w:after="0"/>
              <w:rPr>
                <w:sz w:val="17"/>
                <w:szCs w:val="17"/>
                <w:color w:val="auto"/>
              </w:rPr>
            </w:pPr>
          </w:p>
        </w:tc>
        <w:tc>
          <w:tcPr>
            <w:tcW w:w="130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3"/>
              </w:rPr>
              <w:t>May 2028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0" w:name="page21"/>
    <w:bookmarkEnd w:id="20"/>
    <w:p>
      <w:pPr>
        <w:ind w:left="120"/>
        <w:spacing w:after="0"/>
        <w:tabs>
          <w:tab w:leader="none" w:pos="3080" w:val="left"/>
          <w:tab w:leader="none" w:pos="4300" w:val="left"/>
          <w:tab w:leader="none" w:pos="5740" w:val="left"/>
          <w:tab w:leader="none" w:pos="7020" w:val="left"/>
          <w:tab w:leader="none" w:pos="8140" w:val="left"/>
        </w:tabs>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i w:val="1"/>
          <w:iCs w:val="1"/>
          <w:color w:val="auto"/>
        </w:rPr>
        <w:t>GasLog Gladstone</w:t>
      </w:r>
      <w:r>
        <w:rPr>
          <w:sz w:val="20"/>
          <w:szCs w:val="20"/>
          <w:color w:val="auto"/>
        </w:rPr>
        <w:tab/>
      </w: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174,000</w:t>
      </w:r>
      <w:r>
        <w:rPr>
          <w:sz w:val="20"/>
          <w:szCs w:val="20"/>
          <w:color w:val="auto"/>
        </w:rPr>
        <w:tab/>
      </w:r>
      <w:r>
        <w:rPr>
          <w:rFonts w:ascii="Arial" w:cs="Arial" w:eastAsia="Arial" w:hAnsi="Arial"/>
          <w:sz w:val="16"/>
          <w:szCs w:val="16"/>
          <w:color w:val="auto"/>
        </w:rPr>
        <w:t>Shell</w:t>
      </w:r>
      <w:r>
        <w:rPr>
          <w:sz w:val="20"/>
          <w:szCs w:val="20"/>
          <w:color w:val="auto"/>
        </w:rPr>
        <w:tab/>
      </w:r>
      <w:r>
        <w:rPr>
          <w:rFonts w:ascii="Arial" w:cs="Arial" w:eastAsia="Arial" w:hAnsi="Arial"/>
          <w:sz w:val="16"/>
          <w:szCs w:val="16"/>
          <w:color w:val="auto"/>
        </w:rPr>
        <w:t>X-DF</w:t>
      </w:r>
      <w:r>
        <w:rPr>
          <w:sz w:val="20"/>
          <w:szCs w:val="20"/>
          <w:color w:val="auto"/>
        </w:rPr>
        <w:tab/>
      </w:r>
      <w:r>
        <w:rPr>
          <w:rFonts w:ascii="Arial" w:cs="Arial" w:eastAsia="Arial" w:hAnsi="Arial"/>
          <w:sz w:val="14"/>
          <w:szCs w:val="14"/>
          <w:color w:val="auto"/>
        </w:rPr>
        <w:t>January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254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Reference to “X-DF” refers to low pressure dual-fuel two-stroke engine propulsion manufactured by Winterthur Gas &amp; Diesel.</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fixed term.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eight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Cargo</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6"/>
        </w:trPr>
        <w:tc>
          <w:tcPr>
            <w:tcW w:w="26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20" w:type="dxa"/>
            <w:vAlign w:val="bottom"/>
            <w:gridSpan w:val="2"/>
          </w:tcPr>
          <w:p>
            <w:pPr>
              <w:jc w:val="center"/>
              <w:ind w:right="160"/>
              <w:spacing w:after="0" w:line="217" w:lineRule="exact"/>
              <w:rPr>
                <w:sz w:val="20"/>
                <w:szCs w:val="20"/>
                <w:color w:val="auto"/>
              </w:rPr>
            </w:pPr>
            <w:r>
              <w:rPr>
                <w:rFonts w:ascii="Arial" w:cs="Arial" w:eastAsia="Arial" w:hAnsi="Arial"/>
                <w:sz w:val="16"/>
                <w:szCs w:val="16"/>
                <w:b w:val="1"/>
                <w:bCs w:val="1"/>
                <w:color w:val="auto"/>
                <w:w w:val="91"/>
              </w:rPr>
              <w:t>Year Built</w:t>
            </w:r>
            <w:r>
              <w:rPr>
                <w:rFonts w:ascii="Arial" w:cs="Arial" w:eastAsia="Arial" w:hAnsi="Arial"/>
                <w:sz w:val="21"/>
                <w:szCs w:val="21"/>
                <w:b w:val="1"/>
                <w:bCs w:val="1"/>
                <w:color w:val="auto"/>
                <w:w w:val="91"/>
                <w:vertAlign w:val="superscript"/>
              </w:rPr>
              <w:t>(1)</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(cbm)</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Charterer</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Propulsion</w:t>
            </w:r>
          </w:p>
        </w:tc>
        <w:tc>
          <w:tcPr>
            <w:tcW w:w="128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260" w:type="dxa"/>
            <w:vAlign w:val="bottom"/>
            <w:tcBorders>
              <w:top w:val="single" w:sz="8" w:color="auto"/>
            </w:tcBorders>
            <w:shd w:val="clear" w:color="auto" w:fill="E4FFFF"/>
          </w:tcPr>
          <w:p>
            <w:pPr>
              <w:jc w:val="right"/>
              <w:spacing w:after="0"/>
              <w:rPr>
                <w:sz w:val="20"/>
                <w:szCs w:val="20"/>
                <w:color w:val="auto"/>
              </w:rPr>
            </w:pPr>
            <w:r>
              <w:rPr>
                <w:rFonts w:ascii="Arial" w:cs="Arial" w:eastAsia="Arial" w:hAnsi="Arial"/>
                <w:sz w:val="16"/>
                <w:szCs w:val="16"/>
                <w:b w:val="1"/>
                <w:bCs w:val="1"/>
                <w:color w:val="auto"/>
              </w:rPr>
              <w:t>1</w:t>
            </w:r>
          </w:p>
        </w:tc>
        <w:tc>
          <w:tcPr>
            <w:tcW w:w="2240" w:type="dxa"/>
            <w:vAlign w:val="bottom"/>
            <w:tcBorders>
              <w:top w:val="single" w:sz="8" w:color="auto"/>
            </w:tcBorders>
            <w:shd w:val="clear" w:color="auto" w:fill="E4FFFF"/>
          </w:tcPr>
          <w:p>
            <w:pPr>
              <w:ind w:left="60"/>
              <w:spacing w:after="0"/>
              <w:rPr>
                <w:sz w:val="20"/>
                <w:szCs w:val="20"/>
                <w:color w:val="auto"/>
              </w:rPr>
            </w:pPr>
            <w:r>
              <w:rPr>
                <w:rFonts w:ascii="Arial" w:cs="Arial" w:eastAsia="Arial" w:hAnsi="Arial"/>
                <w:sz w:val="16"/>
                <w:szCs w:val="16"/>
                <w:i w:val="1"/>
                <w:iCs w:val="1"/>
                <w:color w:val="auto"/>
              </w:rPr>
              <w:t>GasLog Warsaw</w:t>
            </w:r>
          </w:p>
        </w:tc>
        <w:tc>
          <w:tcPr>
            <w:tcW w:w="16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1"/>
              </w:rPr>
              <w:t>Q3 2019</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Borders>
              <w:top w:val="single" w:sz="8" w:color="E4FFFF"/>
            </w:tcBorders>
            <w:shd w:val="clear" w:color="auto" w:fill="E4FFFF"/>
          </w:tcPr>
          <w:p>
            <w:pPr>
              <w:spacing w:after="0"/>
              <w:rPr>
                <w:sz w:val="17"/>
                <w:szCs w:val="17"/>
                <w:color w:val="auto"/>
              </w:rPr>
            </w:pPr>
          </w:p>
        </w:tc>
        <w:tc>
          <w:tcPr>
            <w:tcW w:w="1120" w:type="dxa"/>
            <w:vAlign w:val="bottom"/>
            <w:tcBorders>
              <w:top w:val="single" w:sz="8" w:color="auto"/>
            </w:tcBorders>
            <w:shd w:val="clear" w:color="auto" w:fill="E4FFFF"/>
          </w:tcPr>
          <w:p>
            <w:pPr>
              <w:jc w:val="center"/>
              <w:spacing w:after="0" w:line="196" w:lineRule="exact"/>
              <w:rPr>
                <w:sz w:val="20"/>
                <w:szCs w:val="20"/>
                <w:color w:val="auto"/>
              </w:rPr>
            </w:pPr>
            <w:r>
              <w:rPr>
                <w:rFonts w:ascii="Arial" w:cs="Arial" w:eastAsia="Arial" w:hAnsi="Arial"/>
                <w:sz w:val="16"/>
                <w:szCs w:val="16"/>
                <w:color w:val="auto"/>
                <w:w w:val="81"/>
              </w:rPr>
              <w:t xml:space="preserve">Endesa </w:t>
            </w:r>
            <w:r>
              <w:rPr>
                <w:rFonts w:ascii="Arial" w:cs="Arial" w:eastAsia="Arial" w:hAnsi="Arial"/>
                <w:sz w:val="21"/>
                <w:szCs w:val="21"/>
                <w:color w:val="auto"/>
                <w:w w:val="81"/>
                <w:vertAlign w:val="superscript"/>
              </w:rPr>
              <w:t>(3)</w:t>
            </w:r>
          </w:p>
        </w:tc>
        <w:tc>
          <w:tcPr>
            <w:tcW w:w="180" w:type="dxa"/>
            <w:vAlign w:val="bottom"/>
            <w:tcBorders>
              <w:top w:val="single" w:sz="8" w:color="E4FFFF"/>
            </w:tcBorders>
            <w:shd w:val="clear" w:color="auto" w:fill="E4FFFF"/>
          </w:tcPr>
          <w:p>
            <w:pPr>
              <w:spacing w:after="0"/>
              <w:rPr>
                <w:sz w:val="17"/>
                <w:szCs w:val="17"/>
                <w:color w:val="auto"/>
              </w:rPr>
            </w:pPr>
          </w:p>
        </w:tc>
        <w:tc>
          <w:tcPr>
            <w:tcW w:w="112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rPr>
              <w:t>X-DF</w:t>
            </w:r>
          </w:p>
        </w:tc>
        <w:tc>
          <w:tcPr>
            <w:tcW w:w="160" w:type="dxa"/>
            <w:vAlign w:val="bottom"/>
            <w:tcBorders>
              <w:top w:val="single" w:sz="8" w:color="E4FFFF"/>
            </w:tcBorders>
            <w:shd w:val="clear" w:color="auto" w:fill="E4FFFF"/>
          </w:tcPr>
          <w:p>
            <w:pPr>
              <w:spacing w:after="0"/>
              <w:rPr>
                <w:sz w:val="17"/>
                <w:szCs w:val="17"/>
                <w:color w:val="auto"/>
              </w:rPr>
            </w:pPr>
          </w:p>
        </w:tc>
        <w:tc>
          <w:tcPr>
            <w:tcW w:w="128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2029</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00" w:type="dxa"/>
            <w:vAlign w:val="bottom"/>
            <w:gridSpan w:val="2"/>
          </w:tcPr>
          <w:p>
            <w:pPr>
              <w:ind w:left="60"/>
              <w:spacing w:after="0"/>
              <w:rPr>
                <w:sz w:val="20"/>
                <w:szCs w:val="20"/>
                <w:color w:val="auto"/>
              </w:rPr>
            </w:pPr>
            <w:r>
              <w:rPr>
                <w:rFonts w:ascii="Arial" w:cs="Arial" w:eastAsia="Arial" w:hAnsi="Arial"/>
                <w:sz w:val="16"/>
                <w:szCs w:val="16"/>
                <w:color w:val="auto"/>
              </w:rPr>
              <w:t>Hull No. 2213</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Q2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30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shd w:val="clear" w:color="auto" w:fill="E4FFFF"/>
          </w:tcPr>
          <w:p>
            <w:pPr>
              <w:jc w:val="right"/>
              <w:spacing w:after="0"/>
              <w:rPr>
                <w:sz w:val="20"/>
                <w:szCs w:val="20"/>
                <w:color w:val="auto"/>
              </w:rPr>
            </w:pPr>
            <w:r>
              <w:rPr>
                <w:rFonts w:ascii="Arial" w:cs="Arial" w:eastAsia="Arial" w:hAnsi="Arial"/>
                <w:sz w:val="16"/>
                <w:szCs w:val="16"/>
                <w:b w:val="1"/>
                <w:bCs w:val="1"/>
                <w:color w:val="auto"/>
              </w:rPr>
              <w:t>3</w:t>
            </w:r>
          </w:p>
        </w:tc>
        <w:tc>
          <w:tcPr>
            <w:tcW w:w="2400" w:type="dxa"/>
            <w:vAlign w:val="bottom"/>
            <w:gridSpan w:val="2"/>
            <w:shd w:val="clear" w:color="auto" w:fill="E4FFFF"/>
          </w:tcPr>
          <w:p>
            <w:pPr>
              <w:ind w:left="60"/>
              <w:spacing w:after="0"/>
              <w:rPr>
                <w:sz w:val="20"/>
                <w:szCs w:val="20"/>
                <w:color w:val="auto"/>
              </w:rPr>
            </w:pPr>
            <w:r>
              <w:rPr>
                <w:rFonts w:ascii="Arial" w:cs="Arial" w:eastAsia="Arial" w:hAnsi="Arial"/>
                <w:sz w:val="16"/>
                <w:szCs w:val="16"/>
                <w:color w:val="auto"/>
              </w:rPr>
              <w:t>Hull No. 2274</w:t>
            </w:r>
          </w:p>
        </w:tc>
        <w:tc>
          <w:tcPr>
            <w:tcW w:w="132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91"/>
              </w:rPr>
              <w:t>Q2 2020</w:t>
            </w:r>
          </w:p>
        </w:tc>
        <w:tc>
          <w:tcPr>
            <w:tcW w:w="1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E4FFFF"/>
          </w:tcPr>
          <w:p>
            <w:pPr>
              <w:spacing w:after="0"/>
              <w:rPr>
                <w:sz w:val="17"/>
                <w:szCs w:val="17"/>
                <w:color w:val="auto"/>
              </w:rPr>
            </w:pPr>
          </w:p>
        </w:tc>
        <w:tc>
          <w:tcPr>
            <w:tcW w:w="1300" w:type="dxa"/>
            <w:vAlign w:val="bottom"/>
            <w:gridSpan w:val="2"/>
            <w:shd w:val="clear" w:color="auto" w:fill="E4FFFF"/>
          </w:tcPr>
          <w:p>
            <w:pPr>
              <w:jc w:val="center"/>
              <w:ind w:right="160"/>
              <w:spacing w:after="0" w:line="203" w:lineRule="exact"/>
              <w:rPr>
                <w:sz w:val="20"/>
                <w:szCs w:val="20"/>
                <w:color w:val="auto"/>
              </w:rPr>
            </w:pPr>
            <w:r>
              <w:rPr>
                <w:rFonts w:ascii="Arial" w:cs="Arial" w:eastAsia="Arial" w:hAnsi="Arial"/>
                <w:sz w:val="16"/>
                <w:szCs w:val="16"/>
                <w:color w:val="auto"/>
                <w:w w:val="86"/>
              </w:rPr>
              <w:t xml:space="preserve">JERA </w:t>
            </w:r>
            <w:r>
              <w:rPr>
                <w:rFonts w:ascii="Arial" w:cs="Arial" w:eastAsia="Arial" w:hAnsi="Arial"/>
                <w:sz w:val="21"/>
                <w:szCs w:val="21"/>
                <w:color w:val="auto"/>
                <w:w w:val="86"/>
                <w:vertAlign w:val="superscript"/>
              </w:rPr>
              <w:t>(5)</w:t>
            </w:r>
          </w:p>
        </w:tc>
        <w:tc>
          <w:tcPr>
            <w:tcW w:w="128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2032</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0" w:type="dxa"/>
            <w:vAlign w:val="bottom"/>
            <w:gridSpan w:val="2"/>
          </w:tcPr>
          <w:p>
            <w:pPr>
              <w:ind w:left="60"/>
              <w:spacing w:after="0"/>
              <w:rPr>
                <w:sz w:val="20"/>
                <w:szCs w:val="20"/>
                <w:color w:val="auto"/>
              </w:rPr>
            </w:pPr>
            <w:r>
              <w:rPr>
                <w:rFonts w:ascii="Arial" w:cs="Arial" w:eastAsia="Arial" w:hAnsi="Arial"/>
                <w:sz w:val="16"/>
                <w:szCs w:val="16"/>
                <w:color w:val="auto"/>
              </w:rPr>
              <w:t>Hull No. 2262</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Q3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30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shd w:val="clear" w:color="auto" w:fill="E4FFFF"/>
          </w:tcPr>
          <w:p>
            <w:pPr>
              <w:jc w:val="right"/>
              <w:spacing w:after="0"/>
              <w:rPr>
                <w:sz w:val="20"/>
                <w:szCs w:val="20"/>
                <w:color w:val="auto"/>
              </w:rPr>
            </w:pPr>
            <w:r>
              <w:rPr>
                <w:rFonts w:ascii="Arial" w:cs="Arial" w:eastAsia="Arial" w:hAnsi="Arial"/>
                <w:sz w:val="16"/>
                <w:szCs w:val="16"/>
                <w:b w:val="1"/>
                <w:bCs w:val="1"/>
                <w:color w:val="auto"/>
              </w:rPr>
              <w:t>5</w:t>
            </w:r>
          </w:p>
        </w:tc>
        <w:tc>
          <w:tcPr>
            <w:tcW w:w="2400" w:type="dxa"/>
            <w:vAlign w:val="bottom"/>
            <w:gridSpan w:val="2"/>
            <w:shd w:val="clear" w:color="auto" w:fill="E4FFFF"/>
          </w:tcPr>
          <w:p>
            <w:pPr>
              <w:ind w:left="60"/>
              <w:spacing w:after="0"/>
              <w:rPr>
                <w:sz w:val="20"/>
                <w:szCs w:val="20"/>
                <w:color w:val="auto"/>
              </w:rPr>
            </w:pPr>
            <w:r>
              <w:rPr>
                <w:rFonts w:ascii="Arial" w:cs="Arial" w:eastAsia="Arial" w:hAnsi="Arial"/>
                <w:sz w:val="16"/>
                <w:szCs w:val="16"/>
                <w:color w:val="auto"/>
              </w:rPr>
              <w:t>Hull No. 2300</w:t>
            </w:r>
          </w:p>
        </w:tc>
        <w:tc>
          <w:tcPr>
            <w:tcW w:w="132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91"/>
              </w:rPr>
              <w:t>Q4 2020</w:t>
            </w:r>
          </w:p>
        </w:tc>
        <w:tc>
          <w:tcPr>
            <w:tcW w:w="1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E4FFFF"/>
          </w:tcPr>
          <w:p>
            <w:pPr>
              <w:spacing w:after="0"/>
              <w:rPr>
                <w:sz w:val="17"/>
                <w:szCs w:val="17"/>
                <w:color w:val="auto"/>
              </w:rPr>
            </w:pPr>
          </w:p>
        </w:tc>
        <w:tc>
          <w:tcPr>
            <w:tcW w:w="130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0" w:type="dxa"/>
            <w:vAlign w:val="bottom"/>
            <w:gridSpan w:val="2"/>
          </w:tcPr>
          <w:p>
            <w:pPr>
              <w:ind w:left="60"/>
              <w:spacing w:after="0"/>
              <w:rPr>
                <w:sz w:val="20"/>
                <w:szCs w:val="20"/>
                <w:color w:val="auto"/>
              </w:rPr>
            </w:pPr>
            <w:r>
              <w:rPr>
                <w:rFonts w:ascii="Arial" w:cs="Arial" w:eastAsia="Arial" w:hAnsi="Arial"/>
                <w:sz w:val="16"/>
                <w:szCs w:val="16"/>
                <w:color w:val="auto"/>
              </w:rPr>
              <w:t>Hull No. 2301</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Q4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shd w:val="clear" w:color="auto" w:fill="E4FFFF"/>
          </w:tcPr>
          <w:p>
            <w:pPr>
              <w:jc w:val="right"/>
              <w:spacing w:after="0"/>
              <w:rPr>
                <w:sz w:val="20"/>
                <w:szCs w:val="20"/>
                <w:color w:val="auto"/>
              </w:rPr>
            </w:pPr>
            <w:r>
              <w:rPr>
                <w:rFonts w:ascii="Arial" w:cs="Arial" w:eastAsia="Arial" w:hAnsi="Arial"/>
                <w:sz w:val="16"/>
                <w:szCs w:val="16"/>
                <w:b w:val="1"/>
                <w:bCs w:val="1"/>
                <w:color w:val="auto"/>
              </w:rPr>
              <w:t>7</w:t>
            </w:r>
          </w:p>
        </w:tc>
        <w:tc>
          <w:tcPr>
            <w:tcW w:w="2400" w:type="dxa"/>
            <w:vAlign w:val="bottom"/>
            <w:gridSpan w:val="2"/>
            <w:shd w:val="clear" w:color="auto" w:fill="E4FFFF"/>
          </w:tcPr>
          <w:p>
            <w:pPr>
              <w:ind w:left="60"/>
              <w:spacing w:after="0"/>
              <w:rPr>
                <w:sz w:val="20"/>
                <w:szCs w:val="20"/>
                <w:color w:val="auto"/>
              </w:rPr>
            </w:pPr>
            <w:r>
              <w:rPr>
                <w:rFonts w:ascii="Arial" w:cs="Arial" w:eastAsia="Arial" w:hAnsi="Arial"/>
                <w:sz w:val="16"/>
                <w:szCs w:val="16"/>
                <w:color w:val="auto"/>
              </w:rPr>
              <w:t>Hull No. 2311</w:t>
            </w:r>
          </w:p>
        </w:tc>
        <w:tc>
          <w:tcPr>
            <w:tcW w:w="132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91"/>
              </w:rPr>
              <w:t>Q2 2021</w:t>
            </w:r>
          </w:p>
        </w:tc>
        <w:tc>
          <w:tcPr>
            <w:tcW w:w="1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E4FFFF"/>
          </w:tcPr>
          <w:p>
            <w:pPr>
              <w:spacing w:after="0"/>
              <w:rPr>
                <w:sz w:val="17"/>
                <w:szCs w:val="17"/>
                <w:color w:val="auto"/>
              </w:rPr>
            </w:pPr>
          </w:p>
        </w:tc>
        <w:tc>
          <w:tcPr>
            <w:tcW w:w="130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2028</w:t>
            </w:r>
          </w:p>
        </w:tc>
      </w:tr>
      <w:tr>
        <w:trPr>
          <w:trHeight w:val="210"/>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0" w:type="dxa"/>
            <w:vAlign w:val="bottom"/>
            <w:gridSpan w:val="2"/>
          </w:tcPr>
          <w:p>
            <w:pPr>
              <w:ind w:left="60"/>
              <w:spacing w:after="0"/>
              <w:rPr>
                <w:sz w:val="20"/>
                <w:szCs w:val="20"/>
                <w:color w:val="auto"/>
              </w:rPr>
            </w:pPr>
            <w:r>
              <w:rPr>
                <w:rFonts w:ascii="Arial" w:cs="Arial" w:eastAsia="Arial" w:hAnsi="Arial"/>
                <w:sz w:val="16"/>
                <w:szCs w:val="16"/>
                <w:color w:val="auto"/>
              </w:rPr>
              <w:t>Hull No. 2312</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Q3 2021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spacing w:after="0" w:line="50" w:lineRule="exact"/>
        <w:rPr>
          <w:rFonts w:ascii="Arial" w:cs="Arial" w:eastAsia="Arial" w:hAnsi="Arial"/>
          <w:sz w:val="18"/>
          <w:szCs w:val="18"/>
          <w:color w:val="auto"/>
          <w:vertAlign w:val="superscript"/>
        </w:rPr>
      </w:pPr>
    </w:p>
    <w:p>
      <w:pPr>
        <w:ind w:left="200" w:hanging="192"/>
        <w:spacing w:after="0" w:line="223"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50" w:lineRule="exact"/>
        <w:rPr>
          <w:rFonts w:ascii="Arial" w:cs="Arial" w:eastAsia="Arial" w:hAnsi="Arial"/>
          <w:sz w:val="18"/>
          <w:szCs w:val="18"/>
          <w:color w:val="auto"/>
          <w:vertAlign w:val="superscript"/>
        </w:rPr>
      </w:pPr>
    </w:p>
    <w:p>
      <w:pPr>
        <w:ind w:left="200" w:hanging="192"/>
        <w:spacing w:after="0" w:line="223"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 owned subsidiary of Endesa, S.A. (“Endesa”). The charter will commence in May 2021.</w:t>
      </w:r>
    </w:p>
    <w:p>
      <w:pPr>
        <w:spacing w:after="0" w:line="50" w:lineRule="exact"/>
        <w:rPr>
          <w:rFonts w:ascii="Arial" w:cs="Arial" w:eastAsia="Arial" w:hAnsi="Arial"/>
          <w:sz w:val="18"/>
          <w:szCs w:val="18"/>
          <w:color w:val="auto"/>
          <w:vertAlign w:val="superscript"/>
        </w:rPr>
      </w:pPr>
    </w:p>
    <w:p>
      <w:pPr>
        <w:ind w:left="200" w:hanging="192"/>
        <w:spacing w:after="0" w:line="223"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spacing w:after="0" w:line="50" w:lineRule="exact"/>
        <w:rPr>
          <w:rFonts w:ascii="Arial" w:cs="Arial" w:eastAsia="Arial" w:hAnsi="Arial"/>
          <w:sz w:val="18"/>
          <w:szCs w:val="18"/>
          <w:color w:val="auto"/>
          <w:vertAlign w:val="superscript"/>
        </w:rPr>
      </w:pPr>
    </w:p>
    <w:p>
      <w:pPr>
        <w:ind w:left="200" w:hanging="192"/>
        <w:spacing w:after="0" w:line="223"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LNG Marine Transport Limited, the principal LNG shipping entity of Japan’s JERA Co., Inc (“JERA”).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20" w:firstLine="383"/>
        <w:spacing w:after="0" w:line="271" w:lineRule="auto"/>
        <w:rPr>
          <w:sz w:val="20"/>
          <w:szCs w:val="20"/>
          <w:color w:val="auto"/>
        </w:rPr>
      </w:pPr>
      <w:r>
        <w:rPr>
          <w:rFonts w:ascii="Arial" w:cs="Arial" w:eastAsia="Arial" w:hAnsi="Arial"/>
          <w:sz w:val="16"/>
          <w:szCs w:val="16"/>
          <w:color w:val="auto"/>
        </w:rPr>
        <w:t xml:space="preserve">Our results set forth below are derived from the unaudited condensed consolidated financial statements of the Partnership. The transfers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Becki Anne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from GasLog to the Partnership on April 26, 2018, November 14, 2018 and April 1, 2019, respectively, were accounted for as</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reorganizations of entities under common control under the International Financial Reporting Standards (“IFRS”). The unaudited condensed consolidated financial statements include the accounts of the Partnership and its subsidiaries assuming that they are consolidated from the dates of their incorporation by GasLog as they were under the common control of GasLog.</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Partnership’s historical results were retroactively restated to reflect the historical results of these acquired entities during the periods they were owned by GasLog.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Three-month period ended June 30, 2018 compared to the three-month period ended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78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w w:val="92"/>
              </w:rPr>
              <w:t>IFRS Reported Common Control Results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rPr>
                <w:sz w:val="17"/>
                <w:szCs w:val="17"/>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June 30, 2018</w:t>
            </w:r>
          </w:p>
        </w:tc>
        <w:tc>
          <w:tcPr>
            <w:tcW w:w="200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2019</w:t>
            </w: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Change</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92,085</w:t>
            </w:r>
          </w:p>
        </w:tc>
        <w:tc>
          <w:tcPr>
            <w:tcW w:w="4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4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(280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Net pool allocation</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(357)</w:t>
            </w:r>
          </w:p>
        </w:tc>
        <w:tc>
          <w:tcPr>
            <w:tcW w:w="1340" w:type="dxa"/>
            <w:vAlign w:val="bottom"/>
          </w:tcPr>
          <w:p>
            <w:pPr>
              <w:jc w:val="right"/>
              <w:spacing w:after="0"/>
              <w:rPr>
                <w:sz w:val="20"/>
                <w:szCs w:val="20"/>
                <w:color w:val="auto"/>
              </w:rPr>
            </w:pPr>
            <w:r>
              <w:rPr>
                <w:rFonts w:ascii="Arial" w:cs="Arial" w:eastAsia="Arial" w:hAnsi="Arial"/>
                <w:sz w:val="16"/>
                <w:szCs w:val="16"/>
                <w:color w:val="auto"/>
              </w:rPr>
              <w:t>1,024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(1,725)</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(2,037)</w:t>
            </w:r>
          </w:p>
        </w:tc>
        <w:tc>
          <w:tcPr>
            <w:tcW w:w="260" w:type="dxa"/>
            <w:vAlign w:val="bottom"/>
            <w:shd w:val="clear" w:color="auto" w:fill="E5FFFF"/>
          </w:tcPr>
          <w:p>
            <w:pPr>
              <w:spacing w:after="0"/>
              <w:rPr>
                <w:sz w:val="17"/>
                <w:szCs w:val="17"/>
                <w:color w:val="auto"/>
              </w:rPr>
            </w:pPr>
          </w:p>
        </w:tc>
        <w:tc>
          <w:tcPr>
            <w:tcW w:w="9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(18,208)</w:t>
            </w:r>
          </w:p>
        </w:tc>
        <w:tc>
          <w:tcPr>
            <w:tcW w:w="1740" w:type="dxa"/>
            <w:vAlign w:val="bottom"/>
            <w:gridSpan w:val="2"/>
          </w:tcPr>
          <w:p>
            <w:pPr>
              <w:jc w:val="right"/>
              <w:ind w:right="340"/>
              <w:spacing w:after="0"/>
              <w:rPr>
                <w:sz w:val="20"/>
                <w:szCs w:val="20"/>
                <w:color w:val="auto"/>
              </w:rPr>
            </w:pPr>
            <w:r>
              <w:rPr>
                <w:rFonts w:ascii="Arial" w:cs="Arial" w:eastAsia="Arial" w:hAnsi="Arial"/>
                <w:sz w:val="16"/>
                <w:szCs w:val="16"/>
                <w:color w:val="auto"/>
              </w:rPr>
              <w:t>(18,548)</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(21,758)</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(22,137)</w:t>
            </w:r>
          </w:p>
        </w:tc>
        <w:tc>
          <w:tcPr>
            <w:tcW w:w="260" w:type="dxa"/>
            <w:vAlign w:val="bottom"/>
            <w:shd w:val="clear" w:color="auto" w:fill="E5FFFF"/>
          </w:tcPr>
          <w:p>
            <w:pPr>
              <w:spacing w:after="0"/>
              <w:rPr>
                <w:sz w:val="17"/>
                <w:szCs w:val="17"/>
                <w:color w:val="auto"/>
              </w:rPr>
            </w:pPr>
          </w:p>
        </w:tc>
        <w:tc>
          <w:tcPr>
            <w:tcW w:w="9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(4,894)</w:t>
            </w:r>
          </w:p>
        </w:tc>
        <w:tc>
          <w:tcPr>
            <w:tcW w:w="1740" w:type="dxa"/>
            <w:vAlign w:val="bottom"/>
            <w:gridSpan w:val="2"/>
          </w:tcPr>
          <w:p>
            <w:pPr>
              <w:jc w:val="right"/>
              <w:ind w:right="340"/>
              <w:spacing w:after="0"/>
              <w:rPr>
                <w:sz w:val="20"/>
                <w:szCs w:val="20"/>
                <w:color w:val="auto"/>
              </w:rPr>
            </w:pPr>
            <w:r>
              <w:rPr>
                <w:rFonts w:ascii="Arial" w:cs="Arial" w:eastAsia="Arial" w:hAnsi="Arial"/>
                <w:sz w:val="16"/>
                <w:szCs w:val="16"/>
                <w:color w:val="auto"/>
              </w:rPr>
              <w:t>(4,741)</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45,143</w:t>
            </w:r>
          </w:p>
        </w:tc>
        <w:tc>
          <w:tcPr>
            <w:tcW w:w="4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4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9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Financial costs</w:t>
            </w:r>
          </w:p>
        </w:tc>
        <w:tc>
          <w:tcPr>
            <w:tcW w:w="1320" w:type="dxa"/>
            <w:vAlign w:val="bottom"/>
          </w:tcPr>
          <w:p>
            <w:pPr>
              <w:jc w:val="right"/>
              <w:spacing w:after="0"/>
              <w:rPr>
                <w:sz w:val="20"/>
                <w:szCs w:val="20"/>
                <w:color w:val="auto"/>
              </w:rPr>
            </w:pPr>
            <w:r>
              <w:rPr>
                <w:rFonts w:ascii="Arial" w:cs="Arial" w:eastAsia="Arial" w:hAnsi="Arial"/>
                <w:sz w:val="16"/>
                <w:szCs w:val="16"/>
                <w:color w:val="auto"/>
              </w:rPr>
              <w:t>(17,721)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(18,484)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592</w:t>
            </w:r>
          </w:p>
        </w:tc>
        <w:tc>
          <w:tcPr>
            <w:tcW w:w="4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4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20" w:type="dxa"/>
            <w:vAlign w:val="bottom"/>
          </w:tcPr>
          <w:p>
            <w:pPr>
              <w:jc w:val="right"/>
              <w:spacing w:after="0"/>
              <w:rPr>
                <w:sz w:val="20"/>
                <w:szCs w:val="20"/>
                <w:color w:val="auto"/>
              </w:rPr>
            </w:pPr>
            <w:r>
              <w:rPr>
                <w:rFonts w:ascii="Arial" w:cs="Arial" w:eastAsia="Arial" w:hAnsi="Arial"/>
                <w:sz w:val="16"/>
                <w:szCs w:val="16"/>
                <w:color w:val="auto"/>
              </w:rPr>
              <w:t>1,588</w:t>
            </w:r>
          </w:p>
        </w:tc>
        <w:tc>
          <w:tcPr>
            <w:tcW w:w="460" w:type="dxa"/>
            <w:vAlign w:val="bottom"/>
          </w:tcPr>
          <w:p>
            <w:pPr>
              <w:spacing w:after="0"/>
              <w:rPr>
                <w:sz w:val="17"/>
                <w:szCs w:val="17"/>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6"/>
                <w:szCs w:val="16"/>
                <w:color w:val="auto"/>
              </w:rPr>
              <w:t>(8,266)</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(9,854)</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7"/>
        </w:trPr>
        <w:tc>
          <w:tcPr>
            <w:tcW w:w="66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29,602</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40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9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(10,459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
        </w:trPr>
        <w:tc>
          <w:tcPr>
            <w:tcW w:w="664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22,901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19,143</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(3,758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80" w:firstLine="405"/>
        <w:spacing w:after="0" w:line="293" w:lineRule="auto"/>
        <w:rPr>
          <w:sz w:val="20"/>
          <w:szCs w:val="20"/>
          <w:color w:val="auto"/>
        </w:rPr>
      </w:pPr>
      <w:r>
        <w:rPr>
          <w:rFonts w:ascii="Arial" w:cs="Arial" w:eastAsia="Arial" w:hAnsi="Arial"/>
          <w:sz w:val="16"/>
          <w:szCs w:val="16"/>
          <w:color w:val="auto"/>
        </w:rPr>
        <w:t>For the three-month period ended June 30, 2018, we had an average of 15 vessels operating in our owned fleet having 1,280 operating days, while during the three-month period ended June 30, 2019, we had an average of 15 vessels operating in our owned fleet having 1,340 operating days.</w:t>
      </w:r>
    </w:p>
    <w:p>
      <w:pPr>
        <w:spacing w:after="0" w:line="172" w:lineRule="exact"/>
        <w:rPr>
          <w:sz w:val="20"/>
          <w:szCs w:val="20"/>
          <w:color w:val="auto"/>
        </w:rPr>
      </w:pPr>
    </w:p>
    <w:p>
      <w:pPr>
        <w:ind w:firstLine="428"/>
        <w:spacing w:after="0" w:line="315"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$0.3 million, or 0.3%, from $92.1 million for the three-month period ended June 30, 2018 to $91.8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2019. The decrease in revenues is mainly attributable to the expirations of the initial time charters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in May, June and September 2018, respectively. Following the expirations of their initial charters,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traded in the spot market through the Cool Pool until June 2019 and was subsequently re-chartered to Gunvor,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began a new, multi-year charter with Trafigura in August 2018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began a new, 18-month charter with Cheniere in December 2018. This decrease was almost entirely offset by the decreased off-hire days due to scheduled dry-dockings. As a result, the average daily hire rate decreased from $71,941 for the three-month period ended June 30, 2018 to $68,511 for the three-month period ended June 30, 2019.</w:t>
      </w:r>
    </w:p>
    <w:p>
      <w:pPr>
        <w:spacing w:after="0" w:line="164" w:lineRule="exact"/>
        <w:rPr>
          <w:sz w:val="20"/>
          <w:szCs w:val="20"/>
          <w:color w:val="auto"/>
        </w:rPr>
      </w:pPr>
    </w:p>
    <w:p>
      <w:pPr>
        <w:ind w:right="140" w:firstLine="428"/>
        <w:spacing w:after="0" w:line="293" w:lineRule="auto"/>
        <w:rPr>
          <w:sz w:val="20"/>
          <w:szCs w:val="20"/>
          <w:color w:val="auto"/>
        </w:rPr>
      </w:pPr>
      <w:r>
        <w:rPr>
          <w:rFonts w:ascii="Arial" w:cs="Arial" w:eastAsia="Arial" w:hAnsi="Arial"/>
          <w:sz w:val="15"/>
          <w:szCs w:val="15"/>
          <w:b w:val="1"/>
          <w:bCs w:val="1"/>
          <w:i w:val="1"/>
          <w:iCs w:val="1"/>
          <w:color w:val="auto"/>
        </w:rPr>
        <w:t xml:space="preserve">Net Pool Allocation: </w:t>
      </w:r>
      <w:r>
        <w:rPr>
          <w:rFonts w:ascii="Arial" w:cs="Arial" w:eastAsia="Arial" w:hAnsi="Arial"/>
          <w:sz w:val="15"/>
          <w:szCs w:val="15"/>
          <w:color w:val="auto"/>
        </w:rPr>
        <w:t>Net pool allocation was $(0.4) million in the three months ended June 30, 2018 and $1.0 million in the three months ended June 30, 2019.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$1.0 million of net pool allocation in the three months ended June 30, 2019 represents the adjustment of the net results generated by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in accordance with the pool distribution formula before exiting the Cool Pool on June 23, 2019. In the three months ended June 30, 2019, GasLog Partners recognized gross revenues and gross voyage expenses and commissions of $1.3 million and $0.6 million, respectively, from the operation of the </w:t>
      </w:r>
      <w:r>
        <w:rPr>
          <w:rFonts w:ascii="Arial" w:cs="Arial" w:eastAsia="Arial" w:hAnsi="Arial"/>
          <w:sz w:val="15"/>
          <w:szCs w:val="15"/>
          <w:i w:val="1"/>
          <w:iCs w:val="1"/>
          <w:color w:val="auto"/>
        </w:rPr>
        <w:t>GasLog Shanghai</w:t>
      </w:r>
      <w:r>
        <w:rPr>
          <w:rFonts w:ascii="Arial" w:cs="Arial" w:eastAsia="Arial" w:hAnsi="Arial"/>
          <w:sz w:val="15"/>
          <w:szCs w:val="15"/>
          <w:color w:val="auto"/>
        </w:rPr>
        <w:t>, which entered the Cool Pool in May 2018 (June 30, 2018: $1.5 million and $0.1 million, respectively). GasLog Partners’ total net pool performance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920" w:type="dxa"/>
            <w:vAlign w:val="bottom"/>
            <w:gridSpan w:val="4"/>
          </w:tcPr>
          <w:p>
            <w:pPr>
              <w:ind w:left="48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84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2018</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8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1,516</w:t>
            </w:r>
          </w:p>
        </w:tc>
        <w:tc>
          <w:tcPr>
            <w:tcW w:w="1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1,296</w:t>
            </w:r>
          </w:p>
        </w:tc>
        <w:tc>
          <w:tcPr>
            <w:tcW w:w="60" w:type="dxa"/>
            <w:vAlign w:val="bottom"/>
          </w:tcPr>
          <w:p>
            <w:pPr>
              <w:spacing w:after="0"/>
              <w:rPr>
                <w:sz w:val="17"/>
                <w:szCs w:val="17"/>
                <w:color w:val="auto"/>
              </w:rPr>
            </w:pPr>
          </w:p>
        </w:tc>
      </w:tr>
      <w:tr>
        <w:trPr>
          <w:trHeight w:val="203"/>
        </w:trPr>
        <w:tc>
          <w:tcPr>
            <w:tcW w:w="840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c>
          <w:tcPr>
            <w:tcW w:w="1320" w:type="dxa"/>
            <w:vAlign w:val="bottom"/>
          </w:tcPr>
          <w:p>
            <w:pPr>
              <w:jc w:val="right"/>
              <w:spacing w:after="0"/>
              <w:rPr>
                <w:sz w:val="20"/>
                <w:szCs w:val="20"/>
                <w:color w:val="auto"/>
              </w:rPr>
            </w:pPr>
            <w:r>
              <w:rPr>
                <w:rFonts w:ascii="Arial" w:cs="Arial" w:eastAsia="Arial" w:hAnsi="Arial"/>
                <w:sz w:val="16"/>
                <w:szCs w:val="16"/>
                <w:color w:val="auto"/>
              </w:rPr>
              <w:t>(382)</w:t>
            </w:r>
          </w:p>
        </w:tc>
        <w:tc>
          <w:tcPr>
            <w:tcW w:w="60" w:type="dxa"/>
            <w:vAlign w:val="bottom"/>
          </w:tcPr>
          <w:p>
            <w:pPr>
              <w:spacing w:after="0"/>
              <w:rPr>
                <w:sz w:val="17"/>
                <w:szCs w:val="17"/>
                <w:color w:val="auto"/>
              </w:rPr>
            </w:pP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5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(357)</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1,024</w:t>
            </w:r>
          </w:p>
        </w:tc>
        <w:tc>
          <w:tcPr>
            <w:tcW w:w="60" w:type="dxa"/>
            <w:vAlign w:val="bottom"/>
          </w:tcPr>
          <w:p>
            <w:pPr>
              <w:spacing w:after="0"/>
              <w:rPr>
                <w:sz w:val="17"/>
                <w:szCs w:val="17"/>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1,081</w:t>
            </w:r>
          </w:p>
        </w:tc>
        <w:tc>
          <w:tcPr>
            <w:tcW w:w="1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1,938</w:t>
            </w:r>
          </w:p>
        </w:tc>
        <w:tc>
          <w:tcPr>
            <w:tcW w:w="60" w:type="dxa"/>
            <w:vAlign w:val="bottom"/>
          </w:tcPr>
          <w:p>
            <w:pPr>
              <w:spacing w:after="0"/>
              <w:rPr>
                <w:sz w:val="17"/>
                <w:szCs w:val="17"/>
                <w:color w:val="auto"/>
              </w:rPr>
            </w:pPr>
          </w:p>
        </w:tc>
      </w:tr>
    </w:tbl>
    <w:p>
      <w:pPr>
        <w:spacing w:after="0" w:line="206" w:lineRule="exact"/>
        <w:rPr>
          <w:sz w:val="20"/>
          <w:szCs w:val="20"/>
          <w:color w:val="auto"/>
        </w:rPr>
      </w:pPr>
    </w:p>
    <w:p>
      <w:pPr>
        <w:ind w:right="160" w:firstLine="428"/>
        <w:spacing w:after="0" w:line="27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$0.3 million, or 17.6%, from $1.7 million in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2018 to $2.0 million in the three months ended June 30, 2019. The increase in voyage expenses and commissions is mainly attributable to an increase in bunker consumption costs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the spot market through the Cool Pool.</w:t>
      </w:r>
    </w:p>
    <w:p>
      <w:pPr>
        <w:spacing w:after="0" w:line="184" w:lineRule="exact"/>
        <w:rPr>
          <w:sz w:val="20"/>
          <w:szCs w:val="20"/>
          <w:color w:val="auto"/>
        </w:rPr>
      </w:pPr>
    </w:p>
    <w:p>
      <w:pPr>
        <w:ind w:right="40" w:firstLine="428"/>
        <w:spacing w:after="0" w:line="318" w:lineRule="auto"/>
        <w:rPr>
          <w:sz w:val="20"/>
          <w:szCs w:val="20"/>
          <w:color w:val="auto"/>
        </w:rPr>
      </w:pPr>
      <w:r>
        <w:rPr>
          <w:rFonts w:ascii="Arial" w:cs="Arial" w:eastAsia="Arial" w:hAnsi="Arial"/>
          <w:sz w:val="14"/>
          <w:szCs w:val="14"/>
          <w:b w:val="1"/>
          <w:bCs w:val="1"/>
          <w:i w:val="1"/>
          <w:iCs w:val="1"/>
          <w:color w:val="auto"/>
        </w:rPr>
        <w:t xml:space="preserve">Vessel Operating Costs: </w:t>
      </w:r>
      <w:r>
        <w:rPr>
          <w:rFonts w:ascii="Arial" w:cs="Arial" w:eastAsia="Arial" w:hAnsi="Arial"/>
          <w:sz w:val="14"/>
          <w:szCs w:val="14"/>
          <w:color w:val="auto"/>
        </w:rPr>
        <w:t>Vessel operating costs increased marginally by $0.3 million, or 1.6%, from $18.2 million for the three-month period ended June 30, 2018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$18.5 million for the same period in 2019. The increase is attributable to an increase in technical maintenance expenses of $1.1 million, partially offset by a decrease of $0.3 million in crew wages, mainly due to the favorable movement of the EUR/USD exchange rate, which decreased by an average of 4.0% in the three months ended June 30, 2019 as compared to the same period in 2018 and a decrease of $0.5 million in other operating expenses, mainly due to decreased vessel taxes. Daily operating costs per vessel also increased marginally from $14,292 per day for the three-month period ended June 30, 2018 to $14,559 per day for the three-month period ended June 30, 2019.</w:t>
      </w:r>
    </w:p>
    <w:p>
      <w:pPr>
        <w:spacing w:after="0" w:line="162" w:lineRule="exact"/>
        <w:rPr>
          <w:sz w:val="20"/>
          <w:szCs w:val="20"/>
          <w:color w:val="auto"/>
        </w:rPr>
      </w:pPr>
    </w:p>
    <w:p>
      <w:pPr>
        <w:ind w:right="240" w:firstLine="428"/>
        <w:spacing w:after="0" w:line="27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$0.2 million, or 4.1%, from $4.9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to $4.7 million for the same period in 2019. The decrease in general and administrative expenses is mainly attributable to a decrease of $0.3 million in the administrative services fees payable to GasLog in 2019.</w:t>
      </w:r>
    </w:p>
    <w:p>
      <w:pPr>
        <w:spacing w:after="0" w:line="184" w:lineRule="exact"/>
        <w:rPr>
          <w:sz w:val="20"/>
          <w:szCs w:val="20"/>
          <w:color w:val="auto"/>
        </w:rPr>
      </w:pPr>
    </w:p>
    <w:p>
      <w:pPr>
        <w:jc w:val="both"/>
        <w:ind w:right="120" w:firstLine="428"/>
        <w:spacing w:after="0" w:line="303" w:lineRule="auto"/>
        <w:rPr>
          <w:sz w:val="20"/>
          <w:szCs w:val="20"/>
          <w:color w:val="auto"/>
        </w:rPr>
      </w:pPr>
      <w:r>
        <w:rPr>
          <w:rFonts w:ascii="Arial" w:cs="Arial" w:eastAsia="Arial" w:hAnsi="Arial"/>
          <w:sz w:val="14"/>
          <w:szCs w:val="14"/>
          <w:b w:val="1"/>
          <w:bCs w:val="1"/>
          <w:i w:val="1"/>
          <w:iCs w:val="1"/>
          <w:color w:val="auto"/>
        </w:rPr>
        <w:t xml:space="preserve">Financial Costs: </w:t>
      </w:r>
      <w:r>
        <w:rPr>
          <w:rFonts w:ascii="Arial" w:cs="Arial" w:eastAsia="Arial" w:hAnsi="Arial"/>
          <w:sz w:val="14"/>
          <w:szCs w:val="14"/>
          <w:color w:val="auto"/>
        </w:rPr>
        <w:t>Financial costs increased by $0.8 million, or 4.5%, from $17.7 million for the three-month period ended June 30, 2018 to $18.5 million for the same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in 2019. The increase in financial costs is mainly attributable to an increase of $1.1 million in interest expense on loans, primarily due to the higher LIBOR rates in the second quarter of 2019 as compared to the same period in 2018, partially offset by a decrease of $0.2 million in amortization and write-off of deferred loan issuance costs.</w:t>
      </w:r>
    </w:p>
    <w:p>
      <w:pPr>
        <w:spacing w:after="0" w:line="2" w:lineRule="exact"/>
        <w:rPr>
          <w:sz w:val="20"/>
          <w:szCs w:val="20"/>
          <w:color w:val="auto"/>
        </w:rPr>
      </w:pPr>
    </w:p>
    <w:p>
      <w:pPr>
        <w:ind w:right="340"/>
        <w:spacing w:after="0" w:line="363" w:lineRule="auto"/>
        <w:rPr>
          <w:sz w:val="20"/>
          <w:szCs w:val="20"/>
          <w:color w:val="auto"/>
        </w:rPr>
      </w:pPr>
      <w:r>
        <w:rPr>
          <w:rFonts w:ascii="Arial" w:cs="Arial" w:eastAsia="Arial" w:hAnsi="Arial"/>
          <w:sz w:val="14"/>
          <w:szCs w:val="14"/>
          <w:color w:val="auto"/>
        </w:rPr>
        <w:t>During the three-month period ended June 30, 2018, we had an average of $1,450.2 million of outstanding indebtedness with a weighted average interest rate of 4.3%, compared to an average of $1,424.3 million of outstanding indebtedness with a weighted average interest rate of 4.7% during the three-month period ended June 30, 2019.</w:t>
      </w:r>
    </w:p>
    <w:p>
      <w:pPr>
        <w:spacing w:after="0" w:line="130" w:lineRule="exact"/>
        <w:rPr>
          <w:sz w:val="20"/>
          <w:szCs w:val="20"/>
          <w:color w:val="auto"/>
        </w:rPr>
      </w:pPr>
    </w:p>
    <w:p>
      <w:pPr>
        <w:ind w:right="40" w:firstLine="428"/>
        <w:spacing w:after="0" w:line="273" w:lineRule="auto"/>
        <w:rPr>
          <w:sz w:val="20"/>
          <w:szCs w:val="20"/>
          <w:color w:val="auto"/>
        </w:rPr>
      </w:pPr>
      <w:r>
        <w:rPr>
          <w:rFonts w:ascii="Arial" w:cs="Arial" w:eastAsia="Arial" w:hAnsi="Arial"/>
          <w:sz w:val="16"/>
          <w:szCs w:val="16"/>
          <w:b w:val="1"/>
          <w:bCs w:val="1"/>
          <w:i w:val="1"/>
          <w:iCs w:val="1"/>
          <w:color w:val="auto"/>
        </w:rPr>
        <w:t xml:space="preserve">Gain/(loss) on Derivatives: </w:t>
      </w:r>
      <w:r>
        <w:rPr>
          <w:rFonts w:ascii="Arial" w:cs="Arial" w:eastAsia="Arial" w:hAnsi="Arial"/>
          <w:sz w:val="16"/>
          <w:szCs w:val="16"/>
          <w:color w:val="auto"/>
        </w:rPr>
        <w:t>Gain/(loss) on derivatives decreased by $9.9 million, from a gain of $1.6 million for the three-month period ended June 30, 2018 to a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$8.3 million for the same period in 2019. The decrease is attributable to a $9.7 million decrease in unrealized gain from the mark-to-market valuation of the derivatives which were carried at fair value through profit or loss, which reflected a gain of $1.0 million in the three months ended June 30, 2018 as compared to a loss of $8.7 million in the three months ended June 30, 2019, and an increase of $0.2 million in realized loss on derivatives held for trading.</w:t>
      </w:r>
    </w:p>
    <w:p>
      <w:pPr>
        <w:spacing w:after="0" w:line="189"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$10.5 million, or 35.5%, from $29.6 million for the three-month period ended June 30, 2018 to $19.1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2019, as a result of the aforementioned factors.</w:t>
      </w:r>
    </w:p>
    <w:p>
      <w:pPr>
        <w:spacing w:after="0" w:line="172" w:lineRule="exact"/>
        <w:rPr>
          <w:sz w:val="20"/>
          <w:szCs w:val="20"/>
          <w:color w:val="auto"/>
        </w:rPr>
      </w:pPr>
    </w:p>
    <w:p>
      <w:pPr>
        <w:ind w:right="180" w:firstLine="428"/>
        <w:spacing w:after="0" w:line="297" w:lineRule="auto"/>
        <w:rPr>
          <w:sz w:val="20"/>
          <w:szCs w:val="20"/>
          <w:color w:val="auto"/>
        </w:rPr>
      </w:pPr>
      <w:r>
        <w:rPr>
          <w:rFonts w:ascii="Arial" w:cs="Arial" w:eastAsia="Arial" w:hAnsi="Arial"/>
          <w:sz w:val="15"/>
          <w:szCs w:val="15"/>
          <w:b w:val="1"/>
          <w:bCs w:val="1"/>
          <w:i w:val="1"/>
          <w:iCs w:val="1"/>
          <w:color w:val="auto"/>
        </w:rPr>
        <w:t xml:space="preserve">Profit Attributable to the Partnership: </w:t>
      </w:r>
      <w:r>
        <w:rPr>
          <w:rFonts w:ascii="Arial" w:cs="Arial" w:eastAsia="Arial" w:hAnsi="Arial"/>
          <w:sz w:val="15"/>
          <w:szCs w:val="15"/>
          <w:color w:val="auto"/>
        </w:rPr>
        <w:t>Profit attributable to the Partnership decreased by $3.8 million, or 16.6%, from $22.9 million for the three-month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June 30, 2018 to $19.1 million for the three-month period ended June 30, 2019. The decrease was mainly driven by a $9.9 million decrease in gain from the mark-to-market valuation of the derivatives attributable to the Partnership which were carried at fair value through profit or loss, partially offset by the profits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Methane Becki Anne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Glasgow</w:t>
      </w:r>
      <w:r>
        <w:rPr>
          <w:rFonts w:ascii="Arial" w:cs="Arial" w:eastAsia="Arial" w:hAnsi="Arial"/>
          <w:sz w:val="15"/>
          <w:szCs w:val="15"/>
          <w:color w:val="auto"/>
        </w:rPr>
        <w:t>, acquired by the Partnership on April 26, 2018, November 14, 2018 and April 1, 2019, respectively.</w:t>
      </w:r>
    </w:p>
    <w:p>
      <w:pPr>
        <w:spacing w:after="0" w:line="173" w:lineRule="exact"/>
        <w:rPr>
          <w:sz w:val="20"/>
          <w:szCs w:val="20"/>
          <w:color w:val="auto"/>
        </w:rPr>
      </w:pPr>
    </w:p>
    <w:p>
      <w:pPr>
        <w:ind w:right="200" w:firstLine="428"/>
        <w:spacing w:after="0" w:line="278"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$17.2 million contributed by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Becki Anne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after their drop-downs to the Partnership, (b) an increase in operating expenses attributable to the Partnership of $3.4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mainly attributable to the operating expenses of the acquired vessels, and (c) an increase in depreciation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expense attributable to the Partnership of $4.2 million, resulting primarily from the acquisition of the aforementioned vessels.</w:t>
      </w:r>
    </w:p>
    <w:p>
      <w:pPr>
        <w:spacing w:after="0" w:line="235"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financial costs attributable to the Partnership of $3.9 million, mainly due to increased interest expense with respect to the aggregate outstanding debt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after their respective drop-downs to the Partnership, and (b) a decrease of $9.9 million in unrealized gain on derivatives.</w:t>
      </w:r>
    </w:p>
    <w:p>
      <w:pPr>
        <w:spacing w:after="0" w:line="184" w:lineRule="exact"/>
        <w:rPr>
          <w:sz w:val="20"/>
          <w:szCs w:val="20"/>
          <w:color w:val="auto"/>
        </w:rPr>
      </w:pPr>
    </w:p>
    <w:p>
      <w:pPr>
        <w:ind w:firstLine="428"/>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three-month period ended June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Six-month period ended June 30, 2018 compared to the six-month period ended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82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w w:val="93"/>
              </w:rPr>
              <w:t>IFRS Reported Common Control Results</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60" w:type="dxa"/>
            <w:vAlign w:val="bottom"/>
          </w:tcPr>
          <w:p>
            <w:pPr>
              <w:spacing w:after="0"/>
              <w:rPr>
                <w:sz w:val="17"/>
                <w:szCs w:val="17"/>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June 30, 2018</w:t>
            </w:r>
          </w:p>
        </w:tc>
        <w:tc>
          <w:tcPr>
            <w:tcW w:w="204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2019</w:t>
            </w: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191,421</w:t>
            </w:r>
          </w:p>
        </w:tc>
        <w:tc>
          <w:tcPr>
            <w:tcW w:w="4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185,690</w:t>
            </w:r>
          </w:p>
        </w:tc>
        <w:tc>
          <w:tcPr>
            <w:tcW w:w="4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(5,731</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Net pool allocation</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(357)</w:t>
            </w:r>
          </w:p>
        </w:tc>
        <w:tc>
          <w:tcPr>
            <w:tcW w:w="1340" w:type="dxa"/>
            <w:vAlign w:val="bottom"/>
          </w:tcPr>
          <w:p>
            <w:pPr>
              <w:jc w:val="right"/>
              <w:spacing w:after="0"/>
              <w:rPr>
                <w:sz w:val="20"/>
                <w:szCs w:val="20"/>
                <w:color w:val="auto"/>
              </w:rPr>
            </w:pPr>
            <w:r>
              <w:rPr>
                <w:rFonts w:ascii="Arial" w:cs="Arial" w:eastAsia="Arial" w:hAnsi="Arial"/>
                <w:sz w:val="16"/>
                <w:szCs w:val="16"/>
                <w:color w:val="auto"/>
              </w:rPr>
              <w:t>1,058</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(3,059)</w:t>
            </w:r>
          </w:p>
        </w:tc>
        <w:tc>
          <w:tcPr>
            <w:tcW w:w="17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(3,874)</w:t>
            </w: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(38,333)</w:t>
            </w:r>
          </w:p>
        </w:tc>
        <w:tc>
          <w:tcPr>
            <w:tcW w:w="1760" w:type="dxa"/>
            <w:vAlign w:val="bottom"/>
            <w:gridSpan w:val="2"/>
          </w:tcPr>
          <w:p>
            <w:pPr>
              <w:jc w:val="right"/>
              <w:ind w:right="360"/>
              <w:spacing w:after="0"/>
              <w:rPr>
                <w:sz w:val="20"/>
                <w:szCs w:val="20"/>
                <w:color w:val="auto"/>
              </w:rPr>
            </w:pPr>
            <w:r>
              <w:rPr>
                <w:rFonts w:ascii="Arial" w:cs="Arial" w:eastAsia="Arial" w:hAnsi="Arial"/>
                <w:sz w:val="16"/>
                <w:szCs w:val="16"/>
                <w:color w:val="auto"/>
              </w:rPr>
              <w:t>(37,179)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(43,325)</w:t>
            </w:r>
          </w:p>
        </w:tc>
        <w:tc>
          <w:tcPr>
            <w:tcW w:w="17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(44,007)</w:t>
            </w: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(9,786)</w:t>
            </w:r>
          </w:p>
        </w:tc>
        <w:tc>
          <w:tcPr>
            <w:tcW w:w="1760" w:type="dxa"/>
            <w:vAlign w:val="bottom"/>
            <w:gridSpan w:val="2"/>
          </w:tcPr>
          <w:p>
            <w:pPr>
              <w:jc w:val="right"/>
              <w:ind w:right="360"/>
              <w:spacing w:after="0"/>
              <w:rPr>
                <w:sz w:val="20"/>
                <w:szCs w:val="20"/>
                <w:color w:val="auto"/>
              </w:rPr>
            </w:pPr>
            <w:r>
              <w:rPr>
                <w:rFonts w:ascii="Arial" w:cs="Arial" w:eastAsia="Arial" w:hAnsi="Arial"/>
                <w:sz w:val="16"/>
                <w:szCs w:val="16"/>
                <w:color w:val="auto"/>
              </w:rPr>
              <w:t>(9,435)</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96,561</w:t>
            </w:r>
          </w:p>
        </w:tc>
        <w:tc>
          <w:tcPr>
            <w:tcW w:w="4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92,253</w:t>
            </w:r>
          </w:p>
        </w:tc>
        <w:tc>
          <w:tcPr>
            <w:tcW w:w="4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20"/>
                <w:szCs w:val="20"/>
                <w:color w:val="auto"/>
              </w:rPr>
            </w:pPr>
            <w:r>
              <w:rPr>
                <w:rFonts w:ascii="Arial" w:cs="Arial" w:eastAsia="Arial" w:hAnsi="Arial"/>
                <w:sz w:val="16"/>
                <w:szCs w:val="16"/>
                <w:color w:val="auto"/>
              </w:rPr>
              <w:t>Financial costs</w:t>
            </w:r>
          </w:p>
        </w:tc>
        <w:tc>
          <w:tcPr>
            <w:tcW w:w="1320" w:type="dxa"/>
            <w:vAlign w:val="bottom"/>
          </w:tcPr>
          <w:p>
            <w:pPr>
              <w:jc w:val="right"/>
              <w:spacing w:after="0"/>
              <w:rPr>
                <w:sz w:val="20"/>
                <w:szCs w:val="20"/>
                <w:color w:val="auto"/>
              </w:rPr>
            </w:pPr>
            <w:r>
              <w:rPr>
                <w:rFonts w:ascii="Arial" w:cs="Arial" w:eastAsia="Arial" w:hAnsi="Arial"/>
                <w:sz w:val="16"/>
                <w:szCs w:val="16"/>
                <w:color w:val="auto"/>
              </w:rPr>
              <w:t>(35,643)</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(38,116)</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(2,473)</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1,125</w:t>
            </w:r>
          </w:p>
        </w:tc>
        <w:tc>
          <w:tcPr>
            <w:tcW w:w="4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1,165</w:t>
            </w:r>
          </w:p>
        </w:tc>
        <w:tc>
          <w:tcPr>
            <w:tcW w:w="4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20" w:type="dxa"/>
            <w:vAlign w:val="bottom"/>
          </w:tcPr>
          <w:p>
            <w:pPr>
              <w:jc w:val="right"/>
              <w:spacing w:after="0"/>
              <w:rPr>
                <w:sz w:val="20"/>
                <w:szCs w:val="20"/>
                <w:color w:val="auto"/>
              </w:rPr>
            </w:pPr>
            <w:r>
              <w:rPr>
                <w:rFonts w:ascii="Arial" w:cs="Arial" w:eastAsia="Arial" w:hAnsi="Arial"/>
                <w:sz w:val="16"/>
                <w:szCs w:val="16"/>
                <w:color w:val="auto"/>
              </w:rPr>
              <w:t>7,915</w:t>
            </w:r>
          </w:p>
        </w:tc>
        <w:tc>
          <w:tcPr>
            <w:tcW w:w="460" w:type="dxa"/>
            <w:vAlign w:val="bottom"/>
          </w:tcPr>
          <w:p>
            <w:pPr>
              <w:spacing w:after="0"/>
              <w:rPr>
                <w:sz w:val="17"/>
                <w:szCs w:val="17"/>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6"/>
                <w:szCs w:val="16"/>
                <w:color w:val="auto"/>
              </w:rPr>
              <w:t>(13,143)</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69,958</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42,159</w:t>
            </w:r>
          </w:p>
        </w:tc>
        <w:tc>
          <w:tcPr>
            <w:tcW w:w="42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83"/>
        </w:trPr>
        <w:tc>
          <w:tcPr>
            <w:tcW w:w="64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54,903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39,509</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(15,394</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For the six-month period ended June 30, 2018, we had an average of 15 vessels operating in our owned fleet having 2,628 operating days, while during the six-month period ended June 30, 2019, we had an average of 15 vessels operating in our owned fleet having 2,684 operating days.</w:t>
      </w:r>
    </w:p>
    <w:p>
      <w:pPr>
        <w:spacing w:after="0" w:line="172" w:lineRule="exact"/>
        <w:rPr>
          <w:sz w:val="20"/>
          <w:szCs w:val="20"/>
          <w:color w:val="auto"/>
        </w:rPr>
      </w:pPr>
    </w:p>
    <w:p>
      <w:pPr>
        <w:ind w:right="100" w:firstLine="428"/>
        <w:spacing w:after="0" w:line="315"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$5.7 million, or 3.0%, from $191.4 million for the six-month period ended June 30, 2018 to $185.7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2019. The decrease in revenues is mainly attributable to the expirations of the initial time charters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in May, June and September 2018, respectively. Following the expirations of their initial charters,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traded in the spot market through the Cool Pool until June 2019 and was subsequently re-chartered to Gunvor,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began a new, multi-year charter with Trafigura in August 2018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began a new, 18-month charter with Cheniere in December 2018. This decrease was partially offset by the decreased off-hire days due to scheduled dry-dockings. As a result, the average daily hire rate decreased from $72,839 for the six-month period ended June 30, 2018 to $69,184 for the six-month period ended June 30, 2019.</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 xml:space="preserve">Net Pool Allocation: </w:t>
      </w:r>
      <w:r>
        <w:rPr>
          <w:rFonts w:ascii="Arial" w:cs="Arial" w:eastAsia="Arial" w:hAnsi="Arial"/>
          <w:sz w:val="15"/>
          <w:szCs w:val="15"/>
          <w:color w:val="auto"/>
        </w:rPr>
        <w:t>Net pool allocation was $(0.4) million in the six months ended June 30, 2018 and $1.1 million in the six months ended June 30, 2019. The</w:t>
      </w:r>
    </w:p>
    <w:p>
      <w:pPr>
        <w:spacing w:after="0" w:line="34"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 xml:space="preserve">$1.1 million of net pool allocation in the six months ended June 30, 2019 represents the adjustment of the net results generated by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in accordance with the pool distribution formula before exiting the Cool Pool on June 23, 2019. In the six months ended June 30, 2019, GasLog Partners recognized gross revenues and gross voyage expenses and commissions of $5.0 million and $0.9 million, respectively, from the operation of the </w:t>
      </w:r>
      <w:r>
        <w:rPr>
          <w:rFonts w:ascii="Arial" w:cs="Arial" w:eastAsia="Arial" w:hAnsi="Arial"/>
          <w:sz w:val="15"/>
          <w:szCs w:val="15"/>
          <w:i w:val="1"/>
          <w:iCs w:val="1"/>
          <w:color w:val="auto"/>
        </w:rPr>
        <w:t>GasLog Shanghai</w:t>
      </w:r>
      <w:r>
        <w:rPr>
          <w:rFonts w:ascii="Arial" w:cs="Arial" w:eastAsia="Arial" w:hAnsi="Arial"/>
          <w:sz w:val="15"/>
          <w:szCs w:val="15"/>
          <w:color w:val="auto"/>
        </w:rPr>
        <w:t>, which entered the Cool Pool in May 2018 (June 30, 2018: $1.5 million and $0.1 million, respectively). GasLog Partners’ total net pool performance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8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83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 2018</w:t>
            </w: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8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1,516</w:t>
            </w:r>
          </w:p>
        </w:tc>
        <w:tc>
          <w:tcPr>
            <w:tcW w:w="20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4,994</w:t>
            </w:r>
          </w:p>
        </w:tc>
        <w:tc>
          <w:tcPr>
            <w:tcW w:w="60" w:type="dxa"/>
            <w:vAlign w:val="bottom"/>
          </w:tcPr>
          <w:p>
            <w:pPr>
              <w:spacing w:after="0"/>
              <w:rPr>
                <w:sz w:val="17"/>
                <w:szCs w:val="17"/>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(78)</w:t>
            </w:r>
          </w:p>
        </w:tc>
        <w:tc>
          <w:tcPr>
            <w:tcW w:w="1280" w:type="dxa"/>
            <w:vAlign w:val="bottom"/>
          </w:tcPr>
          <w:p>
            <w:pPr>
              <w:jc w:val="right"/>
              <w:spacing w:after="0"/>
              <w:rPr>
                <w:sz w:val="20"/>
                <w:szCs w:val="20"/>
                <w:color w:val="auto"/>
              </w:rPr>
            </w:pPr>
            <w:r>
              <w:rPr>
                <w:rFonts w:ascii="Arial" w:cs="Arial" w:eastAsia="Arial" w:hAnsi="Arial"/>
                <w:sz w:val="16"/>
                <w:szCs w:val="16"/>
                <w:color w:val="auto"/>
              </w:rPr>
              <w:t>(672)</w:t>
            </w:r>
          </w:p>
        </w:tc>
        <w:tc>
          <w:tcPr>
            <w:tcW w:w="60" w:type="dxa"/>
            <w:vAlign w:val="bottom"/>
          </w:tcPr>
          <w:p>
            <w:pPr>
              <w:spacing w:after="0"/>
              <w:rPr>
                <w:sz w:val="17"/>
                <w:szCs w:val="17"/>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5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(357)</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1,058</w:t>
            </w:r>
          </w:p>
        </w:tc>
        <w:tc>
          <w:tcPr>
            <w:tcW w:w="60" w:type="dxa"/>
            <w:vAlign w:val="bottom"/>
          </w:tcPr>
          <w:p>
            <w:pPr>
              <w:spacing w:after="0"/>
              <w:rPr>
                <w:sz w:val="17"/>
                <w:szCs w:val="17"/>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1,081</w:t>
            </w:r>
          </w:p>
        </w:tc>
        <w:tc>
          <w:tcPr>
            <w:tcW w:w="2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5,380</w:t>
            </w:r>
          </w:p>
        </w:tc>
        <w:tc>
          <w:tcPr>
            <w:tcW w:w="60" w:type="dxa"/>
            <w:vAlign w:val="bottom"/>
          </w:tcPr>
          <w:p>
            <w:pPr>
              <w:spacing w:after="0"/>
              <w:rPr>
                <w:sz w:val="17"/>
                <w:szCs w:val="17"/>
                <w:color w:val="auto"/>
              </w:rPr>
            </w:pPr>
          </w:p>
        </w:tc>
      </w:tr>
    </w:tbl>
    <w:p>
      <w:pPr>
        <w:spacing w:after="0" w:line="206" w:lineRule="exact"/>
        <w:rPr>
          <w:sz w:val="20"/>
          <w:szCs w:val="20"/>
          <w:color w:val="auto"/>
        </w:rPr>
      </w:pPr>
    </w:p>
    <w:p>
      <w:pPr>
        <w:ind w:right="60" w:firstLine="428"/>
        <w:spacing w:after="0" w:line="27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$0.8 million, or 25.8%, from $3.1 million in the six months ended June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$3.9 million in the six months ended June 30, 2019. The increase in voyage expenses and commissions is mainly attributable to an increase in bunker consumption costs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the spot market through the Cool Pool.</w:t>
      </w:r>
    </w:p>
    <w:p>
      <w:pPr>
        <w:spacing w:after="0" w:line="184" w:lineRule="exact"/>
        <w:rPr>
          <w:sz w:val="20"/>
          <w:szCs w:val="20"/>
          <w:color w:val="auto"/>
        </w:rPr>
      </w:pPr>
    </w:p>
    <w:p>
      <w:pPr>
        <w:ind w:firstLine="428"/>
        <w:spacing w:after="0" w:line="324" w:lineRule="auto"/>
        <w:rPr>
          <w:sz w:val="20"/>
          <w:szCs w:val="20"/>
          <w:color w:val="auto"/>
        </w:rPr>
      </w:pPr>
      <w:r>
        <w:rPr>
          <w:rFonts w:ascii="Arial" w:cs="Arial" w:eastAsia="Arial" w:hAnsi="Arial"/>
          <w:sz w:val="14"/>
          <w:szCs w:val="14"/>
          <w:b w:val="1"/>
          <w:bCs w:val="1"/>
          <w:i w:val="1"/>
          <w:iCs w:val="1"/>
          <w:color w:val="auto"/>
        </w:rPr>
        <w:t xml:space="preserve">Vessel Operating Costs: </w:t>
      </w:r>
      <w:r>
        <w:rPr>
          <w:rFonts w:ascii="Arial" w:cs="Arial" w:eastAsia="Arial" w:hAnsi="Arial"/>
          <w:sz w:val="14"/>
          <w:szCs w:val="14"/>
          <w:color w:val="auto"/>
        </w:rPr>
        <w:t>Vessel operating costs decreased by $1.1 million, or 2.9%, from $38.3 million for the six-month period ended June 30, 2018 to $37.2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same period in 2019. The decrease in vessel operating costs is attributable to a decrease of $1.1 million in crew wages, mainly due to the favorable movement of the EUR/USD exchange rate, which decreased by an average of 7.0% in the first six months of 2019 as compared to the same period in 2018. As a result, daily operating costs per vessel decreased from $15,128 per day for the six-month period ended June 30, 2018 to $14,672 per day for the six-month period ended June 30, 2019.</w:t>
      </w:r>
    </w:p>
    <w:p>
      <w:pPr>
        <w:spacing w:after="0" w:line="157" w:lineRule="exact"/>
        <w:rPr>
          <w:sz w:val="20"/>
          <w:szCs w:val="20"/>
          <w:color w:val="auto"/>
        </w:rPr>
      </w:pPr>
    </w:p>
    <w:p>
      <w:pPr>
        <w:ind w:right="380" w:firstLine="428"/>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$0.4 million, or 4.1%, from $9.8 million for the six-month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to $9.4 million for the same period in 2019. The decrease in general and administrative expenses is mainly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attributable to a decrease of $0.6 million in the administrative services fees payable to GasLog in 2019.</w:t>
      </w:r>
    </w:p>
    <w:p>
      <w:pPr>
        <w:spacing w:after="0" w:line="235" w:lineRule="exact"/>
        <w:rPr>
          <w:sz w:val="20"/>
          <w:szCs w:val="20"/>
          <w:color w:val="auto"/>
        </w:rPr>
      </w:pPr>
    </w:p>
    <w:p>
      <w:pPr>
        <w:ind w:right="120" w:firstLine="428"/>
        <w:spacing w:after="0" w:line="27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$2.5 million, or 7.0%, from $35.6 million for the six-month period ended June 30, 2018 to $38.1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2019. The increase in financial costs is mainly attributable to an increase of $2.6 million in interest expense on loans, primarily due to the higher LIBOR rates in the first six months of 2019 as compared to the same period in 2018. During the six-month period ended June 30, 2018, we had an average of $1,484.9 million of outstanding indebtedness with a weighted average interest rate of 4.1%, compared to an average of $1,399.5 million of outstanding indebtedness with a weighted average interest rate of 4.8% during the six-month period ended June 30, 2019.</w:t>
      </w:r>
    </w:p>
    <w:p>
      <w:pPr>
        <w:spacing w:after="0" w:line="190" w:lineRule="exact"/>
        <w:rPr>
          <w:sz w:val="20"/>
          <w:szCs w:val="20"/>
          <w:color w:val="auto"/>
        </w:rPr>
      </w:pPr>
    </w:p>
    <w:p>
      <w:pPr>
        <w:ind w:right="80" w:firstLine="428"/>
        <w:spacing w:after="0" w:line="297" w:lineRule="auto"/>
        <w:rPr>
          <w:sz w:val="20"/>
          <w:szCs w:val="20"/>
          <w:color w:val="auto"/>
        </w:rPr>
      </w:pPr>
      <w:r>
        <w:rPr>
          <w:rFonts w:ascii="Arial" w:cs="Arial" w:eastAsia="Arial" w:hAnsi="Arial"/>
          <w:sz w:val="15"/>
          <w:szCs w:val="15"/>
          <w:b w:val="1"/>
          <w:bCs w:val="1"/>
          <w:i w:val="1"/>
          <w:iCs w:val="1"/>
          <w:color w:val="auto"/>
        </w:rPr>
        <w:t xml:space="preserve">Gain/(loss) on Derivatives: </w:t>
      </w:r>
      <w:r>
        <w:rPr>
          <w:rFonts w:ascii="Arial" w:cs="Arial" w:eastAsia="Arial" w:hAnsi="Arial"/>
          <w:sz w:val="15"/>
          <w:szCs w:val="15"/>
          <w:color w:val="auto"/>
        </w:rPr>
        <w:t>Gain/(loss) on derivatives decreased by $21.0 million, from a gain of $7.9 million for the six-month period ended June 30, 2018 to a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$13.1 million for the same period in 2019. The decrease is attributable to a $21.6 million decrease in unrealized gain from the mark-to-market valuation of the derivatives which were carried at fair value through profit or loss, which reflected a gain of $7.4 million in the six months ended June 30, 2018 as compared to a loss of $14.2 million in the six months ended June 30, 2019, partially offset by a decrease of $0.6 million in realized loss on derivatives held for trading.</w:t>
      </w:r>
    </w:p>
    <w:p>
      <w:pPr>
        <w:spacing w:after="0" w:line="173" w:lineRule="exact"/>
        <w:rPr>
          <w:sz w:val="20"/>
          <w:szCs w:val="20"/>
          <w:color w:val="auto"/>
        </w:rPr>
      </w:pPr>
    </w:p>
    <w:p>
      <w:pPr>
        <w:ind w:right="14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$27.8 million, or 39.7%, from $70.0 million for the six-month period ended June 30, 2018 to $42.2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2019, as a result of the aforementioned factors.</w:t>
      </w:r>
    </w:p>
    <w:p>
      <w:pPr>
        <w:spacing w:after="0" w:line="172" w:lineRule="exact"/>
        <w:rPr>
          <w:sz w:val="20"/>
          <w:szCs w:val="20"/>
          <w:color w:val="auto"/>
        </w:rPr>
      </w:pPr>
    </w:p>
    <w:p>
      <w:pPr>
        <w:jc w:val="both"/>
        <w:ind w:right="240" w:firstLine="428"/>
        <w:spacing w:after="0" w:line="297" w:lineRule="auto"/>
        <w:rPr>
          <w:sz w:val="20"/>
          <w:szCs w:val="20"/>
          <w:color w:val="auto"/>
        </w:rPr>
      </w:pPr>
      <w:r>
        <w:rPr>
          <w:rFonts w:ascii="Arial" w:cs="Arial" w:eastAsia="Arial" w:hAnsi="Arial"/>
          <w:sz w:val="15"/>
          <w:szCs w:val="15"/>
          <w:b w:val="1"/>
          <w:bCs w:val="1"/>
          <w:i w:val="1"/>
          <w:iCs w:val="1"/>
          <w:color w:val="auto"/>
        </w:rPr>
        <w:t xml:space="preserve">Profit Attributable to the Partnership: </w:t>
      </w:r>
      <w:r>
        <w:rPr>
          <w:rFonts w:ascii="Arial" w:cs="Arial" w:eastAsia="Arial" w:hAnsi="Arial"/>
          <w:sz w:val="15"/>
          <w:szCs w:val="15"/>
          <w:color w:val="auto"/>
        </w:rPr>
        <w:t>Profit attributable to the Partnership decreased by $15.4 million, or 28.1%, from $54.9 million for the six-month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June 30, 2018 to $39.5 million for the six-month period ended June 30, 2019. The decrease was mainly driven by a $21.0 million decrease in gain from the mark-to-market valuation of the derivatives attributable to the Partnership, which were carried at fair value through profit or loss, partially offset by the profits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Methane Becki Anne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Glasgow</w:t>
      </w:r>
      <w:r>
        <w:rPr>
          <w:rFonts w:ascii="Arial" w:cs="Arial" w:eastAsia="Arial" w:hAnsi="Arial"/>
          <w:sz w:val="15"/>
          <w:szCs w:val="15"/>
          <w:color w:val="auto"/>
        </w:rPr>
        <w:t>, acquired by the Partnership on April 26, 2018, November 14, 2018 and April 1, 2019,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Specifically, the profit attributable to the Partnership was mainly affected by (a) an increase in revenues of $26.2 million ($31.9 million contributed by the </w:t>
      </w:r>
      <w:r>
        <w:rPr>
          <w:rFonts w:ascii="Arial" w:cs="Arial" w:eastAsia="Arial" w:hAnsi="Arial"/>
          <w:sz w:val="15"/>
          <w:szCs w:val="15"/>
          <w:i w:val="1"/>
          <w:iCs w:val="1"/>
          <w:color w:val="auto"/>
        </w:rPr>
        <w:t>GasLog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Gibraltar</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Becki Anne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Glasgow </w:t>
      </w:r>
      <w:r>
        <w:rPr>
          <w:rFonts w:ascii="Arial" w:cs="Arial" w:eastAsia="Arial" w:hAnsi="Arial"/>
          <w:sz w:val="15"/>
          <w:szCs w:val="15"/>
          <w:color w:val="auto"/>
        </w:rPr>
        <w:t>after their drop-downs to the Partnership, partially offset by a decrease in revenues from the remaining fleet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$5.7 million, mainly due to the expirations of the initial time charters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in May, June and September 2018,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respectively, as offset by decreased off-hire days due to scheduled dry-dockings), (b) an increase in operating expenses attributable to the Partnership of $5.0 million, mainly</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attributable to the operating expenses of the acquired vessels, partially offset by decreased crew wages for the remaining fleet, and (c) an increase in depreciation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Partnership of $7.8 million, resulting primarily from the acquisition of the aforementioned vessels.</w:t>
      </w:r>
    </w:p>
    <w:p>
      <w:pPr>
        <w:spacing w:after="0" w:line="231"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financial costs attributable to the Partnership of $7.9 million, mainly due to increased interest expense with respect to the aggregate outstanding debt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after their respective drop-downs to the Partnership, and (b) a decrease of $21.0 million in unrealized gain on derivatives.</w:t>
      </w:r>
    </w:p>
    <w:p>
      <w:pPr>
        <w:spacing w:after="0" w:line="184" w:lineRule="exact"/>
        <w:rPr>
          <w:sz w:val="20"/>
          <w:szCs w:val="20"/>
          <w:color w:val="auto"/>
        </w:rPr>
      </w:pPr>
    </w:p>
    <w:p>
      <w:pPr>
        <w:ind w:right="40" w:firstLine="428"/>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six-month period ended June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260" w:firstLine="510"/>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76" w:lineRule="exact"/>
        <w:rPr>
          <w:sz w:val="20"/>
          <w:szCs w:val="20"/>
          <w:color w:val="auto"/>
        </w:rPr>
      </w:pPr>
    </w:p>
    <w:p>
      <w:pPr>
        <w:ind w:right="260" w:firstLine="510"/>
        <w:spacing w:after="0" w:line="278" w:lineRule="auto"/>
        <w:rPr>
          <w:sz w:val="20"/>
          <w:szCs w:val="20"/>
          <w:color w:val="auto"/>
        </w:rPr>
      </w:pPr>
      <w:r>
        <w:rPr>
          <w:rFonts w:ascii="Arial" w:cs="Arial" w:eastAsia="Arial" w:hAnsi="Arial"/>
          <w:sz w:val="16"/>
          <w:szCs w:val="16"/>
          <w:color w:val="auto"/>
        </w:rPr>
        <w:t>As of June 30, 2019, we had $69.0 million of cash and cash equivalents, of which $25.7 million was held in current accounts and $43.3 million was held in time deposits with an original duration of less than three months. An additional amount of $19.0 million of time deposits with an original duration greater than three months was classified as short-term investments.</w:t>
      </w:r>
    </w:p>
    <w:p>
      <w:pPr>
        <w:spacing w:after="0" w:line="184" w:lineRule="exact"/>
        <w:rPr>
          <w:sz w:val="20"/>
          <w:szCs w:val="20"/>
          <w:color w:val="auto"/>
        </w:rPr>
      </w:pPr>
    </w:p>
    <w:p>
      <w:pPr>
        <w:jc w:val="both"/>
        <w:ind w:right="380" w:firstLine="510"/>
        <w:spacing w:after="0" w:line="278" w:lineRule="auto"/>
        <w:rPr>
          <w:sz w:val="20"/>
          <w:szCs w:val="20"/>
          <w:color w:val="auto"/>
        </w:rPr>
      </w:pPr>
      <w:r>
        <w:rPr>
          <w:rFonts w:ascii="Arial" w:cs="Arial" w:eastAsia="Arial" w:hAnsi="Arial"/>
          <w:sz w:val="16"/>
          <w:szCs w:val="16"/>
          <w:color w:val="auto"/>
        </w:rPr>
        <w:t xml:space="preserve">On April 1, 2019, in connection with the acquisition of GAS-twelve Ltd., the entity that owns the </w:t>
      </w:r>
      <w:r>
        <w:rPr>
          <w:rFonts w:ascii="Arial" w:cs="Arial" w:eastAsia="Arial" w:hAnsi="Arial"/>
          <w:sz w:val="16"/>
          <w:szCs w:val="16"/>
          <w:i w:val="1"/>
          <w:iCs w:val="1"/>
          <w:color w:val="auto"/>
        </w:rPr>
        <w:t>GasLog Glasgow</w:t>
      </w:r>
      <w:r>
        <w:rPr>
          <w:rFonts w:ascii="Arial" w:cs="Arial" w:eastAsia="Arial" w:hAnsi="Arial"/>
          <w:sz w:val="16"/>
          <w:szCs w:val="16"/>
          <w:color w:val="auto"/>
        </w:rPr>
        <w:t>, the Partnership paid to GasLog $93.6 million representing the $214.0 million aggregate purchase price less the $134.1 million of outstanding indebtedness of the acquired entity assumed by GasLog Partners, plus an adjustment of $13.7 million in order to maintain the agreed working capital position in the acquired entity of $1.0 million.</w:t>
      </w:r>
    </w:p>
    <w:p>
      <w:pPr>
        <w:spacing w:after="0" w:line="184" w:lineRule="exact"/>
        <w:rPr>
          <w:sz w:val="20"/>
          <w:szCs w:val="20"/>
          <w:color w:val="auto"/>
        </w:rPr>
      </w:pPr>
    </w:p>
    <w:p>
      <w:pPr>
        <w:ind w:right="180" w:firstLine="510"/>
        <w:spacing w:after="0" w:line="297" w:lineRule="auto"/>
        <w:rPr>
          <w:sz w:val="20"/>
          <w:szCs w:val="20"/>
          <w:color w:val="auto"/>
        </w:rPr>
      </w:pPr>
      <w:r>
        <w:rPr>
          <w:rFonts w:ascii="Arial" w:cs="Arial" w:eastAsia="Arial" w:hAnsi="Arial"/>
          <w:sz w:val="15"/>
          <w:szCs w:val="15"/>
          <w:color w:val="auto"/>
        </w:rPr>
        <w:t>In the three months ended June 30, 2019, GasLog Partners repurchased and cancelled 476,351 common units at a weighted average price of $20.81 under its unit repurchase programme authorized in January 2019, for a total amount of $9.9 million, including commissions. Since the authorization of the unit repurchase programme and through July 25, 2019, GasLog Partners has repurchased and cancelled a total of 541,541 units at a weighted average price of $20.85 per common unit for a total amount of $11.3 million, including commissions. As of July 25, 2019, the unutilized portion of the unit repurchase programme was $13.7 million.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2019, we had an aggregate of $1,396.5 million of borrowings outstanding under our credit facilities, of which $105.5 million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is repayable within one year. In addition, as of June 30, 2019, we had unused availability under our revolving credit facilities of $63.6 million.</w:t>
      </w:r>
    </w:p>
    <w:p>
      <w:pPr>
        <w:spacing w:after="0" w:line="235"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44.1% of its floating interest rate exposure on its outstanding debt as of June 30, 2019, at a weighted average interest rate of approximately 2.1% (excluding margin).</w:t>
      </w:r>
    </w:p>
    <w:p>
      <w:pPr>
        <w:spacing w:after="0" w:line="184"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Furthermore, the Partnership has in place three forward foreign exchange contracts with GasLog with a notional value of €6.0 million and staggered maturities during the third quarter of 2019 to mitigate its foreign exchange transaction exposure in its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June 30, 2019, our current assets totaled $107.9 million and current liabilities totaled $148.1 million, resulting in a negative working capital position of $40.2</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231" w:lineRule="exact"/>
        <w:rPr>
          <w:sz w:val="20"/>
          <w:szCs w:val="20"/>
          <w:color w:val="auto"/>
        </w:rPr>
      </w:pPr>
    </w:p>
    <w:p>
      <w:pPr>
        <w:ind w:right="240" w:firstLine="486"/>
        <w:spacing w:after="0" w:line="329" w:lineRule="auto"/>
        <w:rPr>
          <w:sz w:val="20"/>
          <w:szCs w:val="20"/>
          <w:color w:val="auto"/>
        </w:rPr>
      </w:pPr>
      <w:r>
        <w:rPr>
          <w:rFonts w:ascii="Arial" w:cs="Arial" w:eastAsia="Arial" w:hAnsi="Arial"/>
          <w:sz w:val="15"/>
          <w:szCs w:val="15"/>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Six-month period ended June 30, 2018 compared to the six-month period ended June 30, 2019</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12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Six months ended</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2018</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02"/>
        </w:trPr>
        <w:tc>
          <w:tcPr>
            <w:tcW w:w="6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107,110</w:t>
            </w:r>
          </w:p>
        </w:tc>
        <w:tc>
          <w:tcPr>
            <w:tcW w:w="1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91,689</w:t>
            </w:r>
          </w:p>
        </w:tc>
        <w:tc>
          <w:tcPr>
            <w:tcW w:w="20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(15,421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(25,665)</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(10,586)</w:t>
            </w:r>
          </w:p>
        </w:tc>
        <w:tc>
          <w:tcPr>
            <w:tcW w:w="1280" w:type="dxa"/>
            <w:vAlign w:val="bottom"/>
          </w:tcPr>
          <w:p>
            <w:pPr>
              <w:jc w:val="right"/>
              <w:spacing w:after="0"/>
              <w:rPr>
                <w:sz w:val="20"/>
                <w:szCs w:val="20"/>
                <w:color w:val="auto"/>
              </w:rPr>
            </w:pPr>
            <w:r>
              <w:rPr>
                <w:rFonts w:ascii="Arial" w:cs="Arial" w:eastAsia="Arial" w:hAnsi="Arial"/>
                <w:sz w:val="16"/>
                <w:szCs w:val="16"/>
                <w:color w:val="auto"/>
              </w:rPr>
              <w:t>15,079</w:t>
            </w:r>
          </w:p>
        </w:tc>
        <w:tc>
          <w:tcPr>
            <w:tcW w:w="60" w:type="dxa"/>
            <w:vAlign w:val="bottom"/>
          </w:tcPr>
          <w:p>
            <w:pPr>
              <w:spacing w:after="0"/>
              <w:rPr>
                <w:sz w:val="17"/>
                <w:szCs w:val="17"/>
                <w:color w:val="auto"/>
              </w:rPr>
            </w:pPr>
          </w:p>
        </w:tc>
      </w:tr>
      <w:tr>
        <w:trPr>
          <w:trHeight w:val="203"/>
        </w:trPr>
        <w:tc>
          <w:tcPr>
            <w:tcW w:w="674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(93,577)</w:t>
            </w:r>
          </w:p>
        </w:tc>
        <w:tc>
          <w:tcPr>
            <w:tcW w:w="15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(145,464)</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(51,887)</w:t>
            </w:r>
          </w:p>
        </w:tc>
        <w:tc>
          <w:tcPr>
            <w:tcW w:w="60" w:type="dxa"/>
            <w:vAlign w:val="bottom"/>
          </w:tcPr>
          <w:p>
            <w:pPr>
              <w:spacing w:after="0"/>
              <w:rPr>
                <w:sz w:val="17"/>
                <w:szCs w:val="17"/>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5" w:lineRule="exact"/>
        <w:rPr>
          <w:sz w:val="20"/>
          <w:szCs w:val="20"/>
          <w:color w:val="auto"/>
        </w:rPr>
      </w:pPr>
    </w:p>
    <w:p>
      <w:pPr>
        <w:jc w:val="both"/>
        <w:ind w:right="20" w:firstLine="428"/>
        <w:spacing w:after="0" w:line="297" w:lineRule="auto"/>
        <w:rPr>
          <w:sz w:val="20"/>
          <w:szCs w:val="20"/>
          <w:color w:val="auto"/>
        </w:rPr>
      </w:pPr>
      <w:r>
        <w:rPr>
          <w:rFonts w:ascii="Arial" w:cs="Arial" w:eastAsia="Arial" w:hAnsi="Arial"/>
          <w:sz w:val="15"/>
          <w:szCs w:val="15"/>
          <w:color w:val="auto"/>
        </w:rPr>
        <w:t>Net cash provided by operating activities decreased by $15.4 million, from $107.1 million in the six-month period ended June 30, 2018 to $91.7 million in the six-month period ended June 30, 2019. The decrease of $15.4 million is attributable to a decrease of $8.3 million in working capital movements, a decrease in revenue of $4.3 million, an increase of $4.2 million in interest paid and an increase of $0.4 million in voyage expenses and commissions and general and administrative expenses, partially offset by a $1.2 million decrease in vessel operating costs and an increase of $0.6 million in realized gain on derivatives held for trading.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35" w:lineRule="exact"/>
        <w:rPr>
          <w:sz w:val="20"/>
          <w:szCs w:val="20"/>
          <w:color w:val="auto"/>
        </w:rPr>
      </w:pPr>
    </w:p>
    <w:p>
      <w:pPr>
        <w:ind w:right="120" w:firstLine="428"/>
        <w:spacing w:after="0" w:line="278" w:lineRule="auto"/>
        <w:rPr>
          <w:sz w:val="20"/>
          <w:szCs w:val="20"/>
          <w:color w:val="auto"/>
        </w:rPr>
      </w:pPr>
      <w:r>
        <w:rPr>
          <w:rFonts w:ascii="Arial" w:cs="Arial" w:eastAsia="Arial" w:hAnsi="Arial"/>
          <w:sz w:val="16"/>
          <w:szCs w:val="16"/>
          <w:color w:val="auto"/>
        </w:rPr>
        <w:t>Net cash used in investing activities decreased by $15.1 million, from net cash used in investing activities of $25.7 million in the six-month period ended June 30, 2018 to $10.6 million in the six-month period ended June 30, 2019. The decrease of $15.1 million is mainly attributable to a decrease of the net of payments for vessels’ additions and return of capital expenditures of $10.9 million and a decrease in net cash used in short-term investments of $4.0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cash used in financing activities increased by $51.9 million, from net cash used in financing activities of $93.6 million in the six-month period ended June 30, 2018</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net cash used in financing activities of $145.5 million in the six-month period ended June 30, 2019. The increase of $51.9 million is mainly attributable to an increase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$274.0 million in borrowings repayments, a decrease in proceeds from public offerings and issuances of common and general partner units (net of underwriting discounts and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commissions), after payment of offering costs, of $110.7 million, an increase of $74.6 million in cash distributions to GasLog in exchange for contribution of net assets, an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increase of $12.5 million in distributions paid, an increase of $9.9 million in cash used for repurchases of common units and an increase of $4.9 million in payments of loan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partially offset by an increase in borrowings drawdowns of $435.0 million.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Contracted Charter Revenues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June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After</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For the years ending December 31,</w:t>
            </w:r>
          </w:p>
        </w:tc>
        <w:tc>
          <w:tcPr>
            <w:tcW w:w="900" w:type="dxa"/>
            <w:vAlign w:val="bottom"/>
            <w:tcBorders>
              <w:bottom w:val="single" w:sz="8" w:color="auto"/>
            </w:tcBorders>
          </w:tcPr>
          <w:p>
            <w:pPr>
              <w:spacing w:after="0"/>
              <w:rPr>
                <w:sz w:val="18"/>
                <w:szCs w:val="18"/>
                <w:color w:val="auto"/>
              </w:rPr>
            </w:pPr>
          </w:p>
        </w:tc>
      </w:tr>
      <w:tr>
        <w:trPr>
          <w:trHeight w:val="202"/>
        </w:trPr>
        <w:tc>
          <w:tcPr>
            <w:tcW w:w="4540" w:type="dxa"/>
            <w:vAlign w:val="bottom"/>
          </w:tcPr>
          <w:p>
            <w:pPr>
              <w:spacing w:after="0"/>
              <w:rPr>
                <w:sz w:val="17"/>
                <w:szCs w:val="17"/>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2019</w:t>
            </w: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2024-2026</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196"/>
        </w:trPr>
        <w:tc>
          <w:tcPr>
            <w:tcW w:w="4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60" w:type="dxa"/>
            <w:vAlign w:val="bottom"/>
            <w:gridSpan w:val="5"/>
          </w:tcPr>
          <w:p>
            <w:pPr>
              <w:jc w:val="right"/>
              <w:ind w:right="639"/>
              <w:spacing w:after="0"/>
              <w:rPr>
                <w:sz w:val="20"/>
                <w:szCs w:val="20"/>
                <w:color w:val="auto"/>
              </w:rPr>
            </w:pPr>
            <w:r>
              <w:rPr>
                <w:rFonts w:ascii="Arial" w:cs="Arial" w:eastAsia="Arial" w:hAnsi="Arial"/>
                <w:sz w:val="16"/>
                <w:szCs w:val="16"/>
                <w:b w:val="1"/>
                <w:bCs w:val="1"/>
                <w:i w:val="1"/>
                <w:iCs w:val="1"/>
                <w:color w:val="auto"/>
                <w:w w:val="90"/>
              </w:rPr>
              <w:t>(in millions of U.S. dollars, except days and percentages)</w:t>
            </w:r>
          </w:p>
        </w:tc>
        <w:tc>
          <w:tcPr>
            <w:tcW w:w="900" w:type="dxa"/>
            <w:vAlign w:val="bottom"/>
          </w:tcPr>
          <w:p>
            <w:pPr>
              <w:spacing w:after="0"/>
              <w:rPr>
                <w:sz w:val="17"/>
                <w:szCs w:val="17"/>
                <w:color w:val="auto"/>
              </w:rPr>
            </w:pPr>
          </w:p>
        </w:tc>
      </w:tr>
      <w:tr>
        <w:trPr>
          <w:trHeight w:val="203"/>
        </w:trPr>
        <w:tc>
          <w:tcPr>
            <w:tcW w:w="45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(1)(2)(3)(4)(5)</w:t>
            </w:r>
          </w:p>
        </w:tc>
        <w:tc>
          <w:tcPr>
            <w:tcW w:w="132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184.5</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294.3</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197.3</w:t>
            </w:r>
          </w:p>
        </w:tc>
        <w:tc>
          <w:tcPr>
            <w:tcW w:w="8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162.0</w:t>
            </w:r>
          </w:p>
        </w:tc>
        <w:tc>
          <w:tcPr>
            <w:tcW w:w="8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139.6</w:t>
            </w:r>
          </w:p>
        </w:tc>
        <w:tc>
          <w:tcPr>
            <w:tcW w:w="12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151.2</w:t>
            </w:r>
          </w:p>
        </w:tc>
        <w:tc>
          <w:tcPr>
            <w:tcW w:w="9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1,128.9</w:t>
            </w: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2,683</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4,330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2,772</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2,159</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1,672</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1,763</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15,379</w:t>
            </w:r>
          </w:p>
        </w:tc>
      </w:tr>
      <w:tr>
        <w:trPr>
          <w:trHeight w:val="203"/>
        </w:trPr>
        <w:tc>
          <w:tcPr>
            <w:tcW w:w="45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(6)</w:t>
            </w:r>
          </w:p>
        </w:tc>
        <w:tc>
          <w:tcPr>
            <w:tcW w:w="132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2,715</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5,370</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5,325</w:t>
            </w:r>
          </w:p>
        </w:tc>
        <w:tc>
          <w:tcPr>
            <w:tcW w:w="8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5,475</w:t>
            </w:r>
          </w:p>
        </w:tc>
        <w:tc>
          <w:tcPr>
            <w:tcW w:w="8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5,355</w:t>
            </w:r>
          </w:p>
        </w:tc>
        <w:tc>
          <w:tcPr>
            <w:tcW w:w="12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16,110</w:t>
            </w:r>
          </w:p>
        </w:tc>
        <w:tc>
          <w:tcPr>
            <w:tcW w:w="9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40,350</w:t>
            </w: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(7)</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1,040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2,553</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3,316</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3,683</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14,347</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24,971</w:t>
            </w:r>
          </w:p>
        </w:tc>
      </w:tr>
      <w:tr>
        <w:trPr>
          <w:trHeight w:val="203"/>
        </w:trPr>
        <w:tc>
          <w:tcPr>
            <w:tcW w:w="454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32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98.8%</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80.6%</w:t>
            </w:r>
          </w:p>
        </w:tc>
        <w:tc>
          <w:tcPr>
            <w:tcW w:w="86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52.1%</w:t>
            </w:r>
          </w:p>
        </w:tc>
        <w:tc>
          <w:tcPr>
            <w:tcW w:w="8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39.4%</w:t>
            </w:r>
          </w:p>
        </w:tc>
        <w:tc>
          <w:tcPr>
            <w:tcW w:w="8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31.2%</w:t>
            </w:r>
          </w:p>
        </w:tc>
        <w:tc>
          <w:tcPr>
            <w:tcW w:w="12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10.9%</w:t>
            </w:r>
          </w:p>
        </w:tc>
        <w:tc>
          <w:tcPr>
            <w:tcW w:w="9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38.1%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5" w:name="page26"/>
    <w:bookmarkEnd w:id="25"/>
    <w:p>
      <w:pPr>
        <w:ind w:left="200" w:hanging="192"/>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909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909320" cy="8890"/>
                    </a:xfrm>
                    <a:prstGeom prst="rect">
                      <a:avLst/>
                    </a:prstGeom>
                    <a:noFill/>
                  </pic:spPr>
                </pic:pic>
              </a:graphicData>
            </a:graphic>
          </wp:anchor>
        </w:drawing>
        <w:t>Reflects time charter revenues and contracted days for the 15 LNG carriers in our fleet as of June 30, 2019.</w:t>
      </w:r>
    </w:p>
    <w:p>
      <w:pPr>
        <w:spacing w:after="0" w:line="182" w:lineRule="exact"/>
        <w:rPr>
          <w:rFonts w:ascii="Arial" w:cs="Arial" w:eastAsia="Arial" w:hAnsi="Arial"/>
          <w:sz w:val="18"/>
          <w:szCs w:val="18"/>
          <w:color w:val="auto"/>
          <w:vertAlign w:val="superscript"/>
        </w:rPr>
      </w:pPr>
    </w:p>
    <w:p>
      <w:pPr>
        <w:ind w:left="200" w:right="400" w:hanging="192"/>
        <w:spacing w:after="0" w:line="215" w:lineRule="auto"/>
        <w:tabs>
          <w:tab w:leader="none" w:pos="191"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83" w:lineRule="exact"/>
        <w:rPr>
          <w:rFonts w:ascii="Arial" w:cs="Arial" w:eastAsia="Arial" w:hAnsi="Arial"/>
          <w:sz w:val="18"/>
          <w:szCs w:val="18"/>
          <w:color w:val="auto"/>
          <w:vertAlign w:val="superscript"/>
        </w:rPr>
      </w:pPr>
    </w:p>
    <w:p>
      <w:pPr>
        <w:ind w:left="200" w:right="280" w:hanging="192"/>
        <w:spacing w:after="0" w:line="215" w:lineRule="auto"/>
        <w:tabs>
          <w:tab w:leader="none" w:pos="191"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81"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For time charters that include a variable rate of hire within an agreed range during the charter period, revenue calculations are based on the agreed minimum rate of hire for the respective period.</w:t>
      </w:r>
    </w:p>
    <w:p>
      <w:pPr>
        <w:spacing w:after="0" w:line="157"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91" w:lineRule="exact"/>
        <w:rPr>
          <w:sz w:val="20"/>
          <w:szCs w:val="20"/>
          <w:color w:val="auto"/>
        </w:rPr>
      </w:pPr>
    </w:p>
    <w:p>
      <w:pPr>
        <w:ind w:firstLine="324"/>
        <w:spacing w:after="0" w:line="302"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June 30, 2019.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w:t>
      </w:r>
    </w:p>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Form 20-F filed with the SEC on February 26, 2019.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10480" w:type="dxa"/>
            <w:vAlign w:val="bottom"/>
          </w:tcPr>
          <w:p>
            <w:pPr>
              <w:ind w:left="4800"/>
              <w:spacing w:after="0"/>
              <w:rPr>
                <w:sz w:val="20"/>
                <w:szCs w:val="20"/>
                <w:color w:val="auto"/>
              </w:rPr>
            </w:pPr>
            <w:r>
              <w:rPr>
                <w:rFonts w:ascii="Arial" w:cs="Arial" w:eastAsia="Arial" w:hAnsi="Arial"/>
                <w:sz w:val="16"/>
                <w:szCs w:val="16"/>
                <w:b w:val="1"/>
                <w:bCs w:val="1"/>
                <w:color w:val="auto"/>
              </w:rPr>
              <w:t>GASLOG PARTNERS LP</w:t>
            </w:r>
          </w:p>
        </w:tc>
        <w:tc>
          <w:tcPr>
            <w:tcW w:w="880" w:type="dxa"/>
            <w:vAlign w:val="bottom"/>
          </w:tcPr>
          <w:p>
            <w:pPr>
              <w:spacing w:after="0"/>
              <w:rPr>
                <w:sz w:val="18"/>
                <w:szCs w:val="18"/>
                <w:color w:val="auto"/>
              </w:rPr>
            </w:pPr>
          </w:p>
        </w:tc>
      </w:tr>
      <w:tr>
        <w:trPr>
          <w:trHeight w:val="419"/>
        </w:trPr>
        <w:tc>
          <w:tcPr>
            <w:tcW w:w="10480" w:type="dxa"/>
            <w:vAlign w:val="bottom"/>
          </w:tcPr>
          <w:p>
            <w:pPr>
              <w:ind w:left="256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80" w:type="dxa"/>
            <w:vAlign w:val="bottom"/>
          </w:tcPr>
          <w:p>
            <w:pPr>
              <w:spacing w:after="0"/>
              <w:rPr>
                <w:sz w:val="24"/>
                <w:szCs w:val="24"/>
                <w:color w:val="auto"/>
              </w:rPr>
            </w:pPr>
          </w:p>
        </w:tc>
      </w:tr>
      <w:tr>
        <w:trPr>
          <w:trHeight w:val="419"/>
        </w:trPr>
        <w:tc>
          <w:tcPr>
            <w:tcW w:w="1048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6"/>
                <w:szCs w:val="16"/>
                <w:b w:val="1"/>
                <w:bCs w:val="1"/>
                <w:color w:val="auto"/>
              </w:rPr>
              <w:t>Page</w:t>
            </w:r>
          </w:p>
        </w:tc>
      </w:tr>
      <w:tr>
        <w:trPr>
          <w:trHeight w:val="257"/>
        </w:trPr>
        <w:tc>
          <w:tcPr>
            <w:tcW w:w="10480" w:type="dxa"/>
            <w:vAlign w:val="bottom"/>
          </w:tcPr>
          <w:p>
            <w:pPr>
              <w:spacing w:after="0"/>
              <w:rPr>
                <w:sz w:val="20"/>
                <w:szCs w:val="20"/>
                <w:color w:val="auto"/>
              </w:rPr>
            </w:pPr>
            <w:r>
              <w:rPr>
                <w:rFonts w:ascii="Arial" w:cs="Arial" w:eastAsia="Arial" w:hAnsi="Arial"/>
                <w:sz w:val="16"/>
                <w:szCs w:val="16"/>
                <w:color w:val="auto"/>
              </w:rPr>
              <w:t>Unaudited condensed consolidated statements of financial position as of December 31, 2018 and June 30, 2019</w:t>
            </w:r>
          </w:p>
        </w:tc>
        <w:tc>
          <w:tcPr>
            <w:tcW w:w="880" w:type="dxa"/>
            <w:vAlign w:val="bottom"/>
          </w:tcPr>
          <w:p>
            <w:pPr>
              <w:ind w:left="660"/>
              <w:spacing w:after="0"/>
              <w:rPr>
                <w:sz w:val="20"/>
                <w:szCs w:val="20"/>
                <w:color w:val="auto"/>
              </w:rPr>
            </w:pPr>
            <w:r>
              <w:rPr>
                <w:rFonts w:ascii="Arial" w:cs="Arial" w:eastAsia="Arial" w:hAnsi="Arial"/>
                <w:sz w:val="16"/>
                <w:szCs w:val="16"/>
                <w:color w:val="auto"/>
                <w:w w:val="83"/>
              </w:rPr>
              <w:t>F-2</w:t>
            </w:r>
          </w:p>
        </w:tc>
      </w:tr>
      <w:tr>
        <w:trPr>
          <w:trHeight w:val="257"/>
        </w:trPr>
        <w:tc>
          <w:tcPr>
            <w:tcW w:w="10480" w:type="dxa"/>
            <w:vAlign w:val="bottom"/>
          </w:tcPr>
          <w:p>
            <w:pPr>
              <w:spacing w:after="0"/>
              <w:rPr>
                <w:sz w:val="20"/>
                <w:szCs w:val="20"/>
                <w:color w:val="auto"/>
              </w:rPr>
            </w:pPr>
            <w:r>
              <w:rPr>
                <w:rFonts w:ascii="Arial" w:cs="Arial" w:eastAsia="Arial" w:hAnsi="Arial"/>
                <w:sz w:val="16"/>
                <w:szCs w:val="16"/>
                <w:color w:val="auto"/>
                <w:w w:val="94"/>
              </w:rPr>
              <w:t>Unaudited condensed consolidated statements of profit or loss and total comprehensive income for the three and six months ended June 30, 2018 and 2019</w:t>
            </w:r>
          </w:p>
        </w:tc>
        <w:tc>
          <w:tcPr>
            <w:tcW w:w="880" w:type="dxa"/>
            <w:vAlign w:val="bottom"/>
          </w:tcPr>
          <w:p>
            <w:pPr>
              <w:ind w:left="660"/>
              <w:spacing w:after="0"/>
              <w:rPr>
                <w:sz w:val="20"/>
                <w:szCs w:val="20"/>
                <w:color w:val="auto"/>
              </w:rPr>
            </w:pPr>
            <w:r>
              <w:rPr>
                <w:rFonts w:ascii="Arial" w:cs="Arial" w:eastAsia="Arial" w:hAnsi="Arial"/>
                <w:sz w:val="16"/>
                <w:szCs w:val="16"/>
                <w:color w:val="auto"/>
                <w:w w:val="83"/>
              </w:rPr>
              <w:t>F-3</w:t>
            </w:r>
          </w:p>
        </w:tc>
      </w:tr>
      <w:tr>
        <w:trPr>
          <w:trHeight w:val="257"/>
        </w:trPr>
        <w:tc>
          <w:tcPr>
            <w:tcW w:w="10480" w:type="dxa"/>
            <w:vAlign w:val="bottom"/>
          </w:tcPr>
          <w:p>
            <w:pPr>
              <w:spacing w:after="0"/>
              <w:rPr>
                <w:sz w:val="20"/>
                <w:szCs w:val="20"/>
                <w:color w:val="auto"/>
              </w:rPr>
            </w:pPr>
            <w:r>
              <w:rPr>
                <w:rFonts w:ascii="Arial" w:cs="Arial" w:eastAsia="Arial" w:hAnsi="Arial"/>
                <w:sz w:val="16"/>
                <w:szCs w:val="16"/>
                <w:color w:val="auto"/>
              </w:rPr>
              <w:t>Unaudited condensed consolidated statements of changes in owners’/partners’ equity for the six months ended June 30, 2018 and 2019</w:t>
            </w:r>
          </w:p>
        </w:tc>
        <w:tc>
          <w:tcPr>
            <w:tcW w:w="880" w:type="dxa"/>
            <w:vAlign w:val="bottom"/>
          </w:tcPr>
          <w:p>
            <w:pPr>
              <w:ind w:left="660"/>
              <w:spacing w:after="0"/>
              <w:rPr>
                <w:sz w:val="20"/>
                <w:szCs w:val="20"/>
                <w:color w:val="auto"/>
              </w:rPr>
            </w:pPr>
            <w:r>
              <w:rPr>
                <w:rFonts w:ascii="Arial" w:cs="Arial" w:eastAsia="Arial" w:hAnsi="Arial"/>
                <w:sz w:val="16"/>
                <w:szCs w:val="16"/>
                <w:color w:val="auto"/>
                <w:w w:val="83"/>
              </w:rPr>
              <w:t>F-4</w:t>
            </w:r>
          </w:p>
        </w:tc>
      </w:tr>
      <w:tr>
        <w:trPr>
          <w:trHeight w:val="257"/>
        </w:trPr>
        <w:tc>
          <w:tcPr>
            <w:tcW w:w="10480" w:type="dxa"/>
            <w:vAlign w:val="bottom"/>
          </w:tcPr>
          <w:p>
            <w:pPr>
              <w:spacing w:after="0"/>
              <w:rPr>
                <w:sz w:val="20"/>
                <w:szCs w:val="20"/>
                <w:color w:val="auto"/>
              </w:rPr>
            </w:pPr>
            <w:r>
              <w:rPr>
                <w:rFonts w:ascii="Arial" w:cs="Arial" w:eastAsia="Arial" w:hAnsi="Arial"/>
                <w:sz w:val="16"/>
                <w:szCs w:val="16"/>
                <w:color w:val="auto"/>
              </w:rPr>
              <w:t>Unaudited condensed consolidated statements of cash flows for the six months ended June 30, 2018 and 2019</w:t>
            </w:r>
          </w:p>
        </w:tc>
        <w:tc>
          <w:tcPr>
            <w:tcW w:w="880" w:type="dxa"/>
            <w:vAlign w:val="bottom"/>
          </w:tcPr>
          <w:p>
            <w:pPr>
              <w:ind w:left="660"/>
              <w:spacing w:after="0"/>
              <w:rPr>
                <w:sz w:val="20"/>
                <w:szCs w:val="20"/>
                <w:color w:val="auto"/>
              </w:rPr>
            </w:pPr>
            <w:r>
              <w:rPr>
                <w:rFonts w:ascii="Arial" w:cs="Arial" w:eastAsia="Arial" w:hAnsi="Arial"/>
                <w:sz w:val="16"/>
                <w:szCs w:val="16"/>
                <w:color w:val="auto"/>
                <w:w w:val="83"/>
              </w:rPr>
              <w:t>F-5</w:t>
            </w:r>
          </w:p>
        </w:tc>
      </w:tr>
      <w:tr>
        <w:trPr>
          <w:trHeight w:val="257"/>
        </w:trPr>
        <w:tc>
          <w:tcPr>
            <w:tcW w:w="10480" w:type="dxa"/>
            <w:vAlign w:val="bottom"/>
          </w:tcPr>
          <w:p>
            <w:pPr>
              <w:spacing w:after="0"/>
              <w:rPr>
                <w:sz w:val="20"/>
                <w:szCs w:val="20"/>
                <w:color w:val="auto"/>
              </w:rPr>
            </w:pPr>
            <w:r>
              <w:rPr>
                <w:rFonts w:ascii="Arial" w:cs="Arial" w:eastAsia="Arial" w:hAnsi="Arial"/>
                <w:sz w:val="16"/>
                <w:szCs w:val="16"/>
                <w:color w:val="auto"/>
              </w:rPr>
              <w:t>Notes to the unaudited condensed consolidated financial statements</w:t>
            </w:r>
          </w:p>
        </w:tc>
        <w:tc>
          <w:tcPr>
            <w:tcW w:w="880" w:type="dxa"/>
            <w:vAlign w:val="bottom"/>
          </w:tcPr>
          <w:p>
            <w:pPr>
              <w:ind w:left="660"/>
              <w:spacing w:after="0"/>
              <w:rPr>
                <w:sz w:val="20"/>
                <w:szCs w:val="20"/>
                <w:color w:val="auto"/>
              </w:rPr>
            </w:pPr>
            <w:r>
              <w:rPr>
                <w:rFonts w:ascii="Arial" w:cs="Arial" w:eastAsia="Arial" w:hAnsi="Arial"/>
                <w:sz w:val="16"/>
                <w:szCs w:val="16"/>
                <w:color w:val="auto"/>
                <w:w w:val="83"/>
              </w:rPr>
              <w:t>F-6</w:t>
            </w:r>
          </w:p>
        </w:tc>
      </w:tr>
    </w:tbl>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b w:val="1"/>
                <w:bCs w:val="1"/>
                <w:color w:val="auto"/>
              </w:rPr>
              <w:t>As of December 31, 2018 and June 30, 2019</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3"/>
          </w:tcPr>
          <w:p>
            <w:pPr>
              <w:ind w:left="36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Note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2018</w:t>
            </w:r>
          </w:p>
        </w:tc>
        <w:tc>
          <w:tcPr>
            <w:tcW w:w="2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193</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5,116</w:t>
            </w: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2,464,098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Right-of-use assets</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4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2,515,249</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2,465,603</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13,811</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11,056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3,379</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3,223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14,540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1,367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1,245</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Short-term investments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69,009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4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180,960</w:t>
            </w: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107,920</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2,573,523</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Owners’ capital</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73,134</w:t>
            </w:r>
          </w:p>
        </w:tc>
        <w:tc>
          <w:tcPr>
            <w:tcW w:w="220" w:type="dxa"/>
            <w:vAlign w:val="bottom"/>
          </w:tcPr>
          <w:p>
            <w:pPr>
              <w:spacing w:after="0"/>
              <w:rPr>
                <w:sz w:val="17"/>
                <w:szCs w:val="17"/>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w w:val="98"/>
              </w:rPr>
              <w:t>Common unitholders (45,448,993 units issued and outstanding as of December 31, 2018 and 47,555,403 units</w:t>
            </w:r>
          </w:p>
        </w:tc>
        <w:tc>
          <w:tcPr>
            <w:tcW w:w="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issued and outstanding as of June 30, 2019)</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812,863</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761,491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6"/>
                <w:szCs w:val="16"/>
                <w:color w:val="auto"/>
                <w:w w:val="97"/>
              </w:rPr>
              <w:t>General partner (927,532 units issued and outstanding as of December 31, 2018 and 1,021,336 units issued and</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160"/>
              <w:spacing w:after="0"/>
              <w:rPr>
                <w:sz w:val="20"/>
                <w:szCs w:val="20"/>
                <w:color w:val="auto"/>
              </w:rPr>
            </w:pPr>
            <w:r>
              <w:rPr>
                <w:rFonts w:ascii="Arial" w:cs="Arial" w:eastAsia="Arial" w:hAnsi="Arial"/>
                <w:sz w:val="16"/>
                <w:szCs w:val="16"/>
                <w:color w:val="auto"/>
              </w:rPr>
              <w:t>outstanding as of June 30, 2019)</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13,289</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14,349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 (“IDR”)</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5,176</w:t>
            </w:r>
          </w:p>
        </w:tc>
        <w:tc>
          <w:tcPr>
            <w:tcW w:w="220" w:type="dxa"/>
            <w:vAlign w:val="bottom"/>
            <w:shd w:val="clear" w:color="auto" w:fill="E5FFFF"/>
          </w:tcPr>
          <w:p>
            <w:pPr>
              <w:spacing w:after="0"/>
              <w:rPr>
                <w:sz w:val="18"/>
                <w:szCs w:val="18"/>
                <w:color w:val="auto"/>
              </w:rPr>
            </w:pPr>
          </w:p>
        </w:tc>
        <w:tc>
          <w:tcPr>
            <w:tcW w:w="142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6"/>
                <w:szCs w:val="16"/>
                <w:color w:val="auto"/>
                <w:w w:val="96"/>
              </w:rPr>
              <w:t>Preference unitholders (5,750,000 Series A Preference Units, 4,600,000 Series B Preference Units and 4,000,000</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160"/>
              <w:spacing w:after="0"/>
              <w:rPr>
                <w:sz w:val="20"/>
                <w:szCs w:val="20"/>
                <w:color w:val="auto"/>
              </w:rPr>
            </w:pPr>
            <w:r>
              <w:rPr>
                <w:rFonts w:ascii="Arial" w:cs="Arial" w:eastAsia="Arial" w:hAnsi="Arial"/>
                <w:sz w:val="16"/>
                <w:szCs w:val="16"/>
                <w:color w:val="auto"/>
              </w:rPr>
              <w:t>Series C Preference Units issued and outstanding as of December 31, 2018 and June 30, 2019)</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348,331</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347,889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4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1,252,793</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1,123,729</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7,626</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11,030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Due to related parties</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2,623</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3,872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2,183</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60,671</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25,026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440,389</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105,540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4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512,562</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148,123</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8,526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925,411</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1,290,969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651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1,900</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4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930,854</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1,301,671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2,696,209</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2,573,523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Ltd. (“GasLog”) (Note 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4880"/>
        <w:spacing w:after="0" w:line="269" w:lineRule="auto"/>
        <w:rPr>
          <w:sz w:val="20"/>
          <w:szCs w:val="20"/>
          <w:color w:val="auto"/>
        </w:rPr>
      </w:pPr>
      <w:r>
        <w:rPr>
          <w:rFonts w:ascii="Arial" w:cs="Arial" w:eastAsia="Arial" w:hAnsi="Arial"/>
          <w:sz w:val="16"/>
          <w:szCs w:val="16"/>
          <w:b w:val="1"/>
          <w:bCs w:val="1"/>
          <w:color w:val="auto"/>
        </w:rPr>
        <w:t>Unaudited condensed consolidated statements of profit or loss and total comprehensive income For the three and six months ended June 30, 2018 and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Note</w:t>
            </w:r>
          </w:p>
        </w:tc>
        <w:tc>
          <w:tcPr>
            <w:tcW w:w="2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560" w:type="dxa"/>
            <w:vAlign w:val="bottom"/>
            <w:gridSpan w:val="2"/>
            <w:shd w:val="clear" w:color="auto" w:fill="E5FFFF"/>
          </w:tcPr>
          <w:p>
            <w:pPr>
              <w:jc w:val="right"/>
              <w:ind w:right="479"/>
              <w:spacing w:after="0" w:line="172"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17"/>
                <w:szCs w:val="17"/>
                <w:color w:val="auto"/>
                <w:vertAlign w:val="superscript"/>
              </w:rPr>
              <w:t>(1)</w:t>
            </w:r>
          </w:p>
        </w:tc>
        <w:tc>
          <w:tcPr>
            <w:tcW w:w="13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520" w:type="dxa"/>
            <w:vAlign w:val="bottom"/>
            <w:gridSpan w:val="2"/>
            <w:shd w:val="clear" w:color="auto" w:fill="E5FFFF"/>
          </w:tcPr>
          <w:p>
            <w:pPr>
              <w:jc w:val="right"/>
              <w:ind w:right="459"/>
              <w:spacing w:after="0" w:line="172"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17"/>
                <w:szCs w:val="17"/>
                <w:color w:val="auto"/>
                <w:vertAlign w:val="superscript"/>
              </w:rPr>
              <w:t>(1)</w:t>
            </w:r>
          </w:p>
        </w:tc>
        <w:tc>
          <w:tcPr>
            <w:tcW w:w="13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Revenues</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92,085</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91,805</w:t>
            </w:r>
          </w:p>
        </w:tc>
        <w:tc>
          <w:tcPr>
            <w:tcW w:w="1300" w:type="dxa"/>
            <w:vAlign w:val="bottom"/>
          </w:tcPr>
          <w:p>
            <w:pPr>
              <w:jc w:val="right"/>
              <w:spacing w:after="0"/>
              <w:rPr>
                <w:sz w:val="20"/>
                <w:szCs w:val="20"/>
                <w:color w:val="auto"/>
              </w:rPr>
            </w:pPr>
            <w:r>
              <w:rPr>
                <w:rFonts w:ascii="Arial" w:cs="Arial" w:eastAsia="Arial" w:hAnsi="Arial"/>
                <w:sz w:val="16"/>
                <w:szCs w:val="16"/>
                <w:color w:val="auto"/>
              </w:rPr>
              <w:t>191,421</w:t>
            </w:r>
          </w:p>
        </w:tc>
        <w:tc>
          <w:tcPr>
            <w:tcW w:w="22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185,690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Net pool allocation</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(357)</w:t>
            </w: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1,024</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(357)</w:t>
            </w: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(1,725)</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(2,037)</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(3,059)</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(18,208)</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(18,548)</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(38,333)</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(37,179)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Depreciation</w:t>
            </w: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(21,758)</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(22,137)</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(43,325)</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(44,007)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10</w:t>
            </w: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(4,894)</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(4,741)</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(9,786)</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(9,435)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50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45,143</w:t>
            </w:r>
          </w:p>
        </w:tc>
        <w:tc>
          <w:tcPr>
            <w:tcW w:w="24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22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96,561</w:t>
            </w: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92,253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13</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(17,721</w:t>
            </w:r>
          </w:p>
        </w:tc>
        <w:tc>
          <w:tcPr>
            <w:tcW w:w="2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w w:val="74"/>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(35,643</w:t>
            </w:r>
          </w:p>
        </w:tc>
        <w:tc>
          <w:tcPr>
            <w:tcW w:w="2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w w:val="74"/>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(38,116</w:t>
            </w:r>
          </w:p>
        </w:tc>
        <w:tc>
          <w:tcPr>
            <w:tcW w:w="100" w:type="dxa"/>
            <w:vAlign w:val="bottom"/>
            <w:shd w:val="clear" w:color="auto" w:fill="E5FF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Financial income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592</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527</w:t>
            </w:r>
          </w:p>
        </w:tc>
        <w:tc>
          <w:tcPr>
            <w:tcW w:w="1300" w:type="dxa"/>
            <w:vAlign w:val="bottom"/>
          </w:tcPr>
          <w:p>
            <w:pPr>
              <w:jc w:val="right"/>
              <w:spacing w:after="0"/>
              <w:rPr>
                <w:sz w:val="20"/>
                <w:szCs w:val="20"/>
                <w:color w:val="auto"/>
              </w:rPr>
            </w:pPr>
            <w:r>
              <w:rPr>
                <w:rFonts w:ascii="Arial" w:cs="Arial" w:eastAsia="Arial" w:hAnsi="Arial"/>
                <w:sz w:val="16"/>
                <w:szCs w:val="16"/>
                <w:color w:val="auto"/>
              </w:rPr>
              <w:t>1,125</w:t>
            </w:r>
          </w:p>
        </w:tc>
        <w:tc>
          <w:tcPr>
            <w:tcW w:w="22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13</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1,588</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(8,266)</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7,915</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(13,143)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50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(15,541</w:t>
            </w:r>
          </w:p>
        </w:tc>
        <w:tc>
          <w:tcPr>
            <w:tcW w:w="240" w:type="dxa"/>
            <w:vAlign w:val="bottom"/>
            <w:tcBorders>
              <w:bottom w:val="single" w:sz="8" w:color="E5FFFF"/>
            </w:tcBorders>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(26,223</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(26,603</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(50,094</w:t>
            </w:r>
          </w:p>
        </w:tc>
        <w:tc>
          <w:tcPr>
            <w:tcW w:w="100" w:type="dxa"/>
            <w:vAlign w:val="bottom"/>
            <w:tcBorders>
              <w:bottom w:val="single" w:sz="8" w:color="E5FF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5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29,602</w:t>
            </w:r>
          </w:p>
        </w:tc>
        <w:tc>
          <w:tcPr>
            <w:tcW w:w="24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22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69,958</w:t>
            </w: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42,159</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attributable to the Partnership, basic and</w:t>
            </w:r>
          </w:p>
        </w:tc>
        <w:tc>
          <w:tcPr>
            <w:tcW w:w="5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FFFF"/>
          </w:tcPr>
          <w:p>
            <w:pPr>
              <w:ind w:left="140"/>
              <w:spacing w:after="0"/>
              <w:rPr>
                <w:sz w:val="20"/>
                <w:szCs w:val="20"/>
                <w:color w:val="auto"/>
              </w:rPr>
            </w:pPr>
            <w:r>
              <w:rPr>
                <w:rFonts w:ascii="Arial" w:cs="Arial" w:eastAsia="Arial" w:hAnsi="Arial"/>
                <w:sz w:val="16"/>
                <w:szCs w:val="16"/>
                <w:b w:val="1"/>
                <w:bCs w:val="1"/>
                <w:color w:val="auto"/>
              </w:rPr>
              <w:t>diluted:</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16</w:t>
            </w: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Common unit, basic</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0.40</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0.25</w:t>
            </w:r>
          </w:p>
        </w:tc>
        <w:tc>
          <w:tcPr>
            <w:tcW w:w="1300" w:type="dxa"/>
            <w:vAlign w:val="bottom"/>
          </w:tcPr>
          <w:p>
            <w:pPr>
              <w:jc w:val="right"/>
              <w:spacing w:after="0"/>
              <w:rPr>
                <w:sz w:val="20"/>
                <w:szCs w:val="20"/>
                <w:color w:val="auto"/>
              </w:rPr>
            </w:pPr>
            <w:r>
              <w:rPr>
                <w:rFonts w:ascii="Arial" w:cs="Arial" w:eastAsia="Arial" w:hAnsi="Arial"/>
                <w:sz w:val="16"/>
                <w:szCs w:val="16"/>
                <w:color w:val="auto"/>
              </w:rPr>
              <w:t>0.99</w:t>
            </w:r>
          </w:p>
        </w:tc>
        <w:tc>
          <w:tcPr>
            <w:tcW w:w="22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0.40</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0.25</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0.98</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General partner unit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0.40</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0.25</w:t>
            </w:r>
          </w:p>
        </w:tc>
        <w:tc>
          <w:tcPr>
            <w:tcW w:w="130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340" w:right="20" w:hanging="332"/>
        <w:spacing w:after="0" w:line="212" w:lineRule="auto"/>
        <w:tabs>
          <w:tab w:leader="none" w:pos="33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GAS-twenty seven Ltd. and GAS-twelve Ltd. acquired on November 14, 2018 and April 1, 2019, respectively, from GasLog (Note 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5540"/>
        <w:spacing w:after="0" w:line="269" w:lineRule="auto"/>
        <w:rPr>
          <w:sz w:val="20"/>
          <w:szCs w:val="20"/>
          <w:color w:val="auto"/>
        </w:rPr>
      </w:pPr>
      <w:r>
        <w:rPr>
          <w:rFonts w:ascii="Arial" w:cs="Arial" w:eastAsia="Arial" w:hAnsi="Arial"/>
          <w:sz w:val="16"/>
          <w:szCs w:val="16"/>
          <w:b w:val="1"/>
          <w:bCs w:val="1"/>
          <w:color w:val="auto"/>
        </w:rPr>
        <w:t>Unaudited condensed consolidated statements of changes in owners’/partners’ equity For the six months ended June 30, 2018 and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3"/>
              </w:rPr>
              <w:t>Class B</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left="177"/>
              <w:spacing w:after="0" w:line="135" w:lineRule="exact"/>
              <w:rPr>
                <w:sz w:val="20"/>
                <w:szCs w:val="20"/>
                <w:color w:val="auto"/>
              </w:rPr>
            </w:pPr>
            <w:r>
              <w:rPr>
                <w:rFonts w:ascii="Arial" w:cs="Arial" w:eastAsia="Arial" w:hAnsi="Arial"/>
                <w:sz w:val="13"/>
                <w:szCs w:val="13"/>
                <w:b w:val="1"/>
                <w:bCs w:val="1"/>
                <w:color w:val="auto"/>
                <w:w w:val="87"/>
              </w:rPr>
              <w:t>unitholders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left="377"/>
              <w:spacing w:after="0" w:line="135" w:lineRule="exact"/>
              <w:rPr>
                <w:sz w:val="20"/>
                <w:szCs w:val="20"/>
                <w:color w:val="auto"/>
              </w:rPr>
            </w:pPr>
            <w:r>
              <w:rPr>
                <w:rFonts w:ascii="Arial" w:cs="Arial" w:eastAsia="Arial" w:hAnsi="Arial"/>
                <w:sz w:val="13"/>
                <w:szCs w:val="13"/>
                <w:b w:val="1"/>
                <w:bCs w:val="1"/>
                <w:color w:val="auto"/>
                <w:w w:val="86"/>
              </w:rPr>
              <w:t>Preference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Partners’</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Owners’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General partner</w:t>
            </w:r>
          </w:p>
        </w:tc>
        <w:tc>
          <w:tcPr>
            <w:tcW w:w="170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Common 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IDRs</w:t>
            </w:r>
          </w:p>
        </w:tc>
        <w:tc>
          <w:tcPr>
            <w:tcW w:w="10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90"/>
              </w:rPr>
              <w:t>(Note 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87"/>
              </w:rPr>
              <w:t>unitholders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7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Units</w:t>
            </w: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Units</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3"/>
                <w:szCs w:val="13"/>
                <w:b w:val="1"/>
                <w:bCs w:val="1"/>
                <w:color w:val="auto"/>
              </w:rPr>
              <w:t>Units</w:t>
            </w: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gridSpan w:val="3"/>
          </w:tcPr>
          <w:p>
            <w:pPr>
              <w:ind w:left="260"/>
              <w:spacing w:after="0" w:line="129" w:lineRule="exact"/>
              <w:rPr>
                <w:sz w:val="20"/>
                <w:szCs w:val="20"/>
                <w:color w:val="auto"/>
              </w:rPr>
            </w:pPr>
            <w:r>
              <w:rPr>
                <w:rFonts w:ascii="Arial" w:cs="Arial" w:eastAsia="Arial" w:hAnsi="Arial"/>
                <w:sz w:val="13"/>
                <w:szCs w:val="13"/>
                <w:b w:val="1"/>
                <w:bCs w:val="1"/>
                <w:color w:val="auto"/>
              </w:rPr>
              <w:t>Units</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740" w:type="dxa"/>
            <w:vAlign w:val="bottom"/>
            <w:tcBorders>
              <w:top w:val="single" w:sz="8" w:color="E5FFFF"/>
            </w:tcBorders>
            <w:shd w:val="clear" w:color="auto" w:fill="E5FFFF"/>
          </w:tcPr>
          <w:p>
            <w:pPr>
              <w:spacing w:after="0" w:line="89" w:lineRule="exact"/>
              <w:rPr>
                <w:sz w:val="20"/>
                <w:szCs w:val="20"/>
                <w:color w:val="auto"/>
              </w:rPr>
            </w:pPr>
            <w:r>
              <w:rPr>
                <w:rFonts w:ascii="Arial" w:cs="Arial" w:eastAsia="Arial" w:hAnsi="Arial"/>
                <w:sz w:val="9"/>
                <w:szCs w:val="9"/>
                <w:b w:val="1"/>
                <w:bCs w:val="1"/>
                <w:color w:val="auto"/>
              </w:rPr>
              <w:t>Balance as of January 1, 2018</w:t>
            </w:r>
          </w:p>
        </w:tc>
        <w:tc>
          <w:tcPr>
            <w:tcW w:w="64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58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82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4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82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2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340" w:type="dxa"/>
            <w:vAlign w:val="bottom"/>
            <w:tcBorders>
              <w:top w:val="single" w:sz="8" w:color="auto"/>
            </w:tcBorders>
            <w:shd w:val="clear" w:color="auto" w:fill="E5FFFF"/>
          </w:tcPr>
          <w:p>
            <w:pPr>
              <w:spacing w:after="0"/>
              <w:rPr>
                <w:sz w:val="7"/>
                <w:szCs w:val="7"/>
                <w:color w:val="auto"/>
              </w:rPr>
            </w:pPr>
          </w:p>
        </w:tc>
        <w:tc>
          <w:tcPr>
            <w:tcW w:w="24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80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240" w:type="dxa"/>
            <w:vAlign w:val="bottom"/>
            <w:tcBorders>
              <w:top w:val="single" w:sz="8" w:color="auto"/>
            </w:tcBorders>
            <w:shd w:val="clear" w:color="auto" w:fill="E5FFFF"/>
          </w:tcPr>
          <w:p>
            <w:pPr>
              <w:spacing w:after="0"/>
              <w:rPr>
                <w:sz w:val="7"/>
                <w:szCs w:val="7"/>
                <w:color w:val="auto"/>
              </w:rPr>
            </w:pPr>
          </w:p>
        </w:tc>
        <w:tc>
          <w:tcPr>
            <w:tcW w:w="44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80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6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80" w:type="dxa"/>
            <w:vAlign w:val="bottom"/>
            <w:tcBorders>
              <w:top w:val="single" w:sz="8" w:color="auto"/>
            </w:tcBorders>
            <w:shd w:val="clear" w:color="auto" w:fill="E5FFFF"/>
          </w:tcPr>
          <w:p>
            <w:pPr>
              <w:spacing w:after="0"/>
              <w:rPr>
                <w:sz w:val="7"/>
                <w:szCs w:val="7"/>
                <w:color w:val="auto"/>
              </w:rPr>
            </w:pPr>
          </w:p>
        </w:tc>
        <w:tc>
          <w:tcPr>
            <w:tcW w:w="20" w:type="dxa"/>
            <w:vAlign w:val="bottom"/>
            <w:tcBorders>
              <w:top w:val="single" w:sz="8" w:color="E5FFFF"/>
            </w:tcBorders>
            <w:shd w:val="clear" w:color="auto" w:fill="E5FFFF"/>
          </w:tcPr>
          <w:p>
            <w:pPr>
              <w:spacing w:after="0"/>
              <w:rPr>
                <w:sz w:val="7"/>
                <w:szCs w:val="7"/>
                <w:color w:val="auto"/>
              </w:rPr>
            </w:pPr>
          </w:p>
        </w:tc>
        <w:tc>
          <w:tcPr>
            <w:tcW w:w="80" w:type="dxa"/>
            <w:vAlign w:val="bottom"/>
            <w:tcBorders>
              <w:top w:val="single" w:sz="8" w:color="E5FFFF"/>
            </w:tcBorders>
            <w:shd w:val="clear" w:color="auto" w:fill="E5FFF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line="161"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836,779</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11,781</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41,002,121</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752,456</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6,596</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b w:val="1"/>
                <w:bCs w:val="1"/>
                <w:color w:val="auto"/>
              </w:rPr>
              <w:t>5,750,000</w:t>
            </w:r>
          </w:p>
        </w:tc>
        <w:tc>
          <w:tcPr>
            <w:tcW w:w="240" w:type="dxa"/>
            <w:vAlign w:val="bottom"/>
            <w:shd w:val="clear" w:color="auto" w:fill="E5FFFF"/>
          </w:tcPr>
          <w:p>
            <w:pPr>
              <w:spacing w:after="0"/>
              <w:rPr>
                <w:sz w:val="14"/>
                <w:szCs w:val="14"/>
                <w:color w:val="auto"/>
              </w:rPr>
            </w:pP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b w:val="1"/>
                <w:bCs w:val="1"/>
                <w:color w:val="auto"/>
                <w:w w:val="89"/>
              </w:rPr>
              <w:t>139,321</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910,154</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216,155</w:t>
            </w:r>
          </w:p>
        </w:tc>
        <w:tc>
          <w:tcPr>
            <w:tcW w:w="120" w:type="dxa"/>
            <w:vAlign w:val="bottom"/>
            <w:shd w:val="clear" w:color="auto" w:fill="E5FFFF"/>
          </w:tcPr>
          <w:p>
            <w:pPr>
              <w:spacing w:after="0"/>
              <w:rPr>
                <w:sz w:val="14"/>
                <w:szCs w:val="14"/>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b w:val="1"/>
                <w:bCs w:val="1"/>
                <w:color w:val="auto"/>
              </w:rPr>
              <w:t>1,126,309</w:t>
            </w: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7"/>
              </w:rPr>
              <w:t>Profit and total comprehensive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income attributable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GasLog’s operations (Note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ind w:left="160"/>
              <w:spacing w:after="0"/>
              <w:rPr>
                <w:sz w:val="20"/>
                <w:szCs w:val="20"/>
                <w:color w:val="auto"/>
              </w:rPr>
            </w:pPr>
            <w:r>
              <w:rPr>
                <w:rFonts w:ascii="Arial" w:cs="Arial" w:eastAsia="Arial" w:hAnsi="Arial"/>
                <w:sz w:val="13"/>
                <w:szCs w:val="13"/>
                <w:color w:val="auto"/>
              </w:rPr>
              <w:t>16)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15,055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15,055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Net proceeds from public</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offerings and issuances of</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common units and general</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38,653</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935</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1,020</w:t>
            </w:r>
          </w:p>
        </w:tc>
        <w:tc>
          <w:tcPr>
            <w:tcW w:w="76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(11)</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924</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color w:val="auto"/>
              </w:rPr>
              <w:t>924</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Settlement of awards vested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during the period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33,998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Net proceeds from public</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offering and issuance of</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preference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4,600,000</w:t>
            </w:r>
          </w:p>
        </w:tc>
        <w:tc>
          <w:tcPr>
            <w:tcW w:w="24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w w:val="89"/>
              </w:rPr>
              <w:t>111,194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111,194</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3"/>
                <w:szCs w:val="13"/>
                <w:color w:val="auto"/>
              </w:rPr>
              <w:t>111,194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Issuance of common units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8"/>
              </w:rPr>
              <w:t>GasLog in exchange for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assets contribution to the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1,858,975</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45,000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45,000</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(45,000)</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8"/>
              </w:rPr>
              <w:t>Cash distribution to GasLog in</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exchange for net assets</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contribution to the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3"/>
                <w:szCs w:val="13"/>
                <w:color w:val="auto"/>
              </w:rPr>
              <w:t>(19,086)</w:t>
            </w:r>
          </w:p>
        </w:tc>
        <w:tc>
          <w:tcPr>
            <w:tcW w:w="780" w:type="dxa"/>
            <w:vAlign w:val="bottom"/>
            <w:gridSpan w:val="3"/>
            <w:shd w:val="clear" w:color="auto" w:fill="E5FFFF"/>
          </w:tcPr>
          <w:p>
            <w:pPr>
              <w:jc w:val="right"/>
              <w:ind w:right="60"/>
              <w:spacing w:after="0"/>
              <w:rPr>
                <w:sz w:val="20"/>
                <w:szCs w:val="20"/>
                <w:color w:val="auto"/>
              </w:rPr>
            </w:pPr>
            <w:r>
              <w:rPr>
                <w:rFonts w:ascii="Arial" w:cs="Arial" w:eastAsia="Arial" w:hAnsi="Arial"/>
                <w:sz w:val="13"/>
                <w:szCs w:val="13"/>
                <w:color w:val="auto"/>
              </w:rPr>
              <w:t>(19,086)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Difference between net book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4"/>
              </w:rPr>
              <w:t>values of acquired subsidiary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and 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(486)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(6,573)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(7,059)</w:t>
            </w:r>
          </w:p>
        </w:tc>
        <w:tc>
          <w:tcPr>
            <w:tcW w:w="660" w:type="dxa"/>
            <w:vAlign w:val="bottom"/>
          </w:tcPr>
          <w:p>
            <w:pPr>
              <w:jc w:val="right"/>
              <w:spacing w:after="0"/>
              <w:rPr>
                <w:sz w:val="20"/>
                <w:szCs w:val="20"/>
                <w:color w:val="auto"/>
              </w:rPr>
            </w:pPr>
            <w:r>
              <w:rPr>
                <w:rFonts w:ascii="Arial" w:cs="Arial" w:eastAsia="Arial" w:hAnsi="Arial"/>
                <w:sz w:val="13"/>
                <w:szCs w:val="13"/>
                <w:color w:val="auto"/>
              </w:rPr>
              <w:t>7,059</w:t>
            </w:r>
          </w:p>
        </w:tc>
        <w:tc>
          <w:tcPr>
            <w:tcW w:w="12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spacing w:after="0" w:line="135" w:lineRule="exact"/>
              <w:rPr>
                <w:sz w:val="20"/>
                <w:szCs w:val="20"/>
                <w:color w:val="auto"/>
              </w:rPr>
            </w:pPr>
            <w:r>
              <w:rPr>
                <w:rFonts w:ascii="Arial" w:cs="Arial" w:eastAsia="Arial" w:hAnsi="Arial"/>
                <w:sz w:val="13"/>
                <w:szCs w:val="13"/>
                <w:color w:val="auto"/>
              </w:rPr>
              <w:t>Distributions declared</w:t>
            </w:r>
          </w:p>
        </w:tc>
        <w:tc>
          <w:tcPr>
            <w:tcW w:w="76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(942)</w:t>
            </w:r>
          </w:p>
        </w:tc>
        <w:tc>
          <w:tcPr>
            <w:tcW w:w="94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(44,199)</w:t>
            </w:r>
          </w:p>
        </w:tc>
        <w:tc>
          <w:tcPr>
            <w:tcW w:w="94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(1,976)</w:t>
            </w:r>
          </w:p>
        </w:tc>
        <w:tc>
          <w:tcPr>
            <w:tcW w:w="1060" w:type="dxa"/>
            <w:vAlign w:val="bottom"/>
            <w:gridSpan w:val="3"/>
            <w:shd w:val="clear" w:color="auto" w:fill="E5FFFF"/>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gridSpan w:val="2"/>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w w:val="94"/>
              </w:rPr>
              <w:t>(10,076)</w:t>
            </w:r>
          </w:p>
        </w:tc>
        <w:tc>
          <w:tcPr>
            <w:tcW w:w="92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(57,193)</w:t>
            </w:r>
          </w:p>
        </w:tc>
        <w:tc>
          <w:tcPr>
            <w:tcW w:w="78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rPr>
              <w:t>(57,193)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3"/>
              </w:rPr>
              <w:t>Share-based compensation, net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of accrued distribution</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82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2"/>
                <w:szCs w:val="12"/>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349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comprehensive income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(Note 16)</w:t>
            </w:r>
          </w:p>
        </w:tc>
        <w:tc>
          <w:tcPr>
            <w:tcW w:w="640" w:type="dxa"/>
            <w:vAlign w:val="bottom"/>
            <w:shd w:val="clear" w:color="auto" w:fill="E5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FFFF"/>
          </w:tcPr>
          <w:p>
            <w:pPr>
              <w:spacing w:after="0"/>
              <w:rPr>
                <w:sz w:val="12"/>
                <w:szCs w:val="12"/>
                <w:color w:val="auto"/>
              </w:rPr>
            </w:pP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888</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41,152</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2,368</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10,495</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54,903</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color w:val="auto"/>
              </w:rPr>
              <w:t>54,903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tcPr>
          <w:p>
            <w:pPr>
              <w:spacing w:after="0" w:line="109" w:lineRule="exact"/>
              <w:rPr>
                <w:sz w:val="20"/>
                <w:szCs w:val="20"/>
                <w:color w:val="auto"/>
              </w:rPr>
            </w:pPr>
            <w:r>
              <w:rPr>
                <w:rFonts w:ascii="Arial" w:cs="Arial" w:eastAsia="Arial" w:hAnsi="Arial"/>
                <w:sz w:val="12"/>
                <w:szCs w:val="12"/>
                <w:b w:val="1"/>
                <w:bCs w:val="1"/>
                <w:color w:val="auto"/>
              </w:rPr>
              <w:t>Balance as of June 30, 2018</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875,432</w:t>
            </w:r>
          </w:p>
        </w:tc>
        <w:tc>
          <w:tcPr>
            <w:tcW w:w="120" w:type="dxa"/>
            <w:vAlign w:val="bottom"/>
            <w:vMerge w:val="restart"/>
          </w:tcPr>
          <w:p>
            <w:pPr>
              <w:spacing w:after="0"/>
              <w:rPr>
                <w:sz w:val="7"/>
                <w:szCs w:val="7"/>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12,183</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42,896,114</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788,087</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7,068</w:t>
            </w: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10,350,000</w:t>
            </w:r>
          </w:p>
        </w:tc>
        <w:tc>
          <w:tcPr>
            <w:tcW w:w="240" w:type="dxa"/>
            <w:vAlign w:val="bottom"/>
          </w:tcPr>
          <w:p>
            <w:pPr>
              <w:spacing w:after="0"/>
              <w:rPr>
                <w:sz w:val="7"/>
                <w:szCs w:val="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89"/>
              </w:rPr>
              <w:t>250,934</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1,058,272</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174,183</w:t>
            </w:r>
          </w:p>
        </w:tc>
        <w:tc>
          <w:tcPr>
            <w:tcW w:w="120" w:type="dxa"/>
            <w:vAlign w:val="bottom"/>
          </w:tcPr>
          <w:p>
            <w:pPr>
              <w:spacing w:after="0"/>
              <w:rPr>
                <w:sz w:val="7"/>
                <w:szCs w:val="7"/>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1,232,455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Pr>
          <w:p>
            <w:pPr>
              <w:ind w:left="140"/>
              <w:spacing w:after="0" w:line="148"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740" w:type="dxa"/>
            <w:vAlign w:val="bottom"/>
            <w:tcBorders>
              <w:top w:val="single" w:sz="8" w:color="E5FFFF"/>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58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82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82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340" w:type="dxa"/>
            <w:vAlign w:val="bottom"/>
            <w:tcBorders>
              <w:top w:val="single" w:sz="8" w:color="auto"/>
            </w:tcBorders>
            <w:shd w:val="clear" w:color="auto" w:fill="E5FFFF"/>
          </w:tcPr>
          <w:p>
            <w:pPr>
              <w:spacing w:after="0"/>
              <w:rPr>
                <w:sz w:val="10"/>
                <w:szCs w:val="10"/>
                <w:color w:val="auto"/>
              </w:rPr>
            </w:pPr>
          </w:p>
        </w:tc>
        <w:tc>
          <w:tcPr>
            <w:tcW w:w="24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80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240" w:type="dxa"/>
            <w:vAlign w:val="bottom"/>
            <w:tcBorders>
              <w:top w:val="single" w:sz="8" w:color="auto"/>
            </w:tcBorders>
            <w:shd w:val="clear" w:color="auto" w:fill="E5FFFF"/>
          </w:tcPr>
          <w:p>
            <w:pPr>
              <w:spacing w:after="0"/>
              <w:rPr>
                <w:sz w:val="10"/>
                <w:szCs w:val="10"/>
                <w:color w:val="auto"/>
              </w:rPr>
            </w:pPr>
          </w:p>
        </w:tc>
        <w:tc>
          <w:tcPr>
            <w:tcW w:w="44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80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80" w:type="dxa"/>
            <w:vAlign w:val="bottom"/>
            <w:tcBorders>
              <w:top w:val="single" w:sz="8" w:color="auto"/>
            </w:tcBorders>
            <w:shd w:val="clear" w:color="auto" w:fill="E5FFFF"/>
          </w:tcPr>
          <w:p>
            <w:pPr>
              <w:spacing w:after="0"/>
              <w:rPr>
                <w:sz w:val="10"/>
                <w:szCs w:val="10"/>
                <w:color w:val="auto"/>
              </w:rPr>
            </w:pPr>
          </w:p>
        </w:tc>
        <w:tc>
          <w:tcPr>
            <w:tcW w:w="20" w:type="dxa"/>
            <w:vAlign w:val="bottom"/>
            <w:tcBorders>
              <w:top w:val="single" w:sz="8" w:color="E5FFFF"/>
            </w:tcBorders>
            <w:shd w:val="clear" w:color="auto" w:fill="E5FFFF"/>
          </w:tcPr>
          <w:p>
            <w:pPr>
              <w:spacing w:after="0"/>
              <w:rPr>
                <w:sz w:val="10"/>
                <w:szCs w:val="10"/>
                <w:color w:val="auto"/>
              </w:rPr>
            </w:pPr>
          </w:p>
        </w:tc>
        <w:tc>
          <w:tcPr>
            <w:tcW w:w="80" w:type="dxa"/>
            <w:vAlign w:val="bottom"/>
            <w:tcBorders>
              <w:top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1740" w:type="dxa"/>
            <w:vAlign w:val="bottom"/>
          </w:tcPr>
          <w:p>
            <w:pPr>
              <w:spacing w:after="0" w:line="109" w:lineRule="exact"/>
              <w:rPr>
                <w:sz w:val="20"/>
                <w:szCs w:val="20"/>
                <w:color w:val="auto"/>
              </w:rPr>
            </w:pPr>
            <w:r>
              <w:rPr>
                <w:rFonts w:ascii="Arial" w:cs="Arial" w:eastAsia="Arial" w:hAnsi="Arial"/>
                <w:sz w:val="12"/>
                <w:szCs w:val="12"/>
                <w:b w:val="1"/>
                <w:bCs w:val="1"/>
                <w:color w:val="auto"/>
              </w:rPr>
              <w:t>Balance as of December 31,</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ind w:left="140"/>
              <w:spacing w:after="0" w:line="161" w:lineRule="exact"/>
              <w:rPr>
                <w:sz w:val="20"/>
                <w:szCs w:val="20"/>
                <w:color w:val="auto"/>
              </w:rPr>
            </w:pPr>
            <w:r>
              <w:rPr>
                <w:rFonts w:ascii="Arial" w:cs="Arial" w:eastAsia="Arial" w:hAnsi="Arial"/>
                <w:sz w:val="13"/>
                <w:szCs w:val="13"/>
                <w:b w:val="1"/>
                <w:bCs w:val="1"/>
                <w:color w:val="auto"/>
              </w:rPr>
              <w:t>2018 (as restated</w:t>
            </w:r>
            <w:r>
              <w:rPr>
                <w:rFonts w:ascii="Arial" w:cs="Arial" w:eastAsia="Arial" w:hAnsi="Arial"/>
                <w:sz w:val="16"/>
                <w:szCs w:val="16"/>
                <w:b w:val="1"/>
                <w:bCs w:val="1"/>
                <w:color w:val="auto"/>
                <w:vertAlign w:val="superscript"/>
              </w:rPr>
              <w:t>(2)</w:t>
            </w:r>
            <w:r>
              <w:rPr>
                <w:rFonts w:ascii="Arial" w:cs="Arial" w:eastAsia="Arial" w:hAnsi="Arial"/>
                <w:sz w:val="13"/>
                <w:szCs w:val="13"/>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13,289</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812,863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5,176</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348,331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1,179,659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73,134</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1,252,793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40" w:type="dxa"/>
            <w:vAlign w:val="bottom"/>
            <w:shd w:val="clear" w:color="auto" w:fill="E5FFFF"/>
          </w:tcPr>
          <w:p>
            <w:pPr>
              <w:spacing w:after="0" w:line="111" w:lineRule="exact"/>
              <w:rPr>
                <w:sz w:val="20"/>
                <w:szCs w:val="20"/>
                <w:color w:val="auto"/>
              </w:rPr>
            </w:pPr>
            <w:r>
              <w:rPr>
                <w:rFonts w:ascii="Arial" w:cs="Arial" w:eastAsia="Arial" w:hAnsi="Arial"/>
                <w:sz w:val="12"/>
                <w:szCs w:val="12"/>
                <w:color w:val="auto"/>
              </w:rPr>
              <w:t>IFRS 16 adjustment (as</w:t>
            </w: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5FFFF"/>
          </w:tcPr>
          <w:p>
            <w:pPr>
              <w:ind w:left="140"/>
              <w:spacing w:after="0" w:line="159" w:lineRule="exact"/>
              <w:rPr>
                <w:sz w:val="20"/>
                <w:szCs w:val="20"/>
                <w:color w:val="auto"/>
              </w:rPr>
            </w:pPr>
            <w:r>
              <w:rPr>
                <w:rFonts w:ascii="Arial" w:cs="Arial" w:eastAsia="Arial" w:hAnsi="Arial"/>
                <w:sz w:val="13"/>
                <w:szCs w:val="13"/>
                <w:color w:val="auto"/>
              </w:rPr>
              <w:t>restated</w:t>
            </w:r>
            <w:r>
              <w:rPr>
                <w:rFonts w:ascii="Arial" w:cs="Arial" w:eastAsia="Arial" w:hAnsi="Arial"/>
                <w:sz w:val="16"/>
                <w:szCs w:val="16"/>
                <w:color w:val="auto"/>
                <w:vertAlign w:val="superscript"/>
              </w:rPr>
              <w:t>(3)</w:t>
            </w: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173</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177</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E5FFFF"/>
          </w:tcPr>
          <w:p>
            <w:pPr>
              <w:spacing w:after="0"/>
              <w:rPr>
                <w:sz w:val="13"/>
                <w:szCs w:val="13"/>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color w:val="auto"/>
              </w:rPr>
              <w:t>192</w:t>
            </w:r>
          </w:p>
        </w:tc>
        <w:tc>
          <w:tcPr>
            <w:tcW w:w="8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40" w:type="dxa"/>
            <w:vAlign w:val="bottom"/>
          </w:tcPr>
          <w:p>
            <w:pPr>
              <w:spacing w:after="0" w:line="109" w:lineRule="exact"/>
              <w:rPr>
                <w:sz w:val="20"/>
                <w:szCs w:val="20"/>
                <w:color w:val="auto"/>
              </w:rPr>
            </w:pPr>
            <w:r>
              <w:rPr>
                <w:rFonts w:ascii="Arial" w:cs="Arial" w:eastAsia="Arial" w:hAnsi="Arial"/>
                <w:sz w:val="12"/>
                <w:szCs w:val="12"/>
                <w:b w:val="1"/>
                <w:bCs w:val="1"/>
                <w:color w:val="auto"/>
              </w:rPr>
              <w:t>Balance at January 1, 2019</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ind w:left="140"/>
              <w:spacing w:after="0" w:line="161"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16"/>
                <w:szCs w:val="16"/>
                <w:b w:val="1"/>
                <w:bCs w:val="1"/>
                <w:color w:val="auto"/>
                <w:vertAlign w:val="superscript"/>
              </w:rPr>
              <w:t>(2)(3)</w:t>
            </w:r>
            <w:r>
              <w:rPr>
                <w:rFonts w:ascii="Arial" w:cs="Arial" w:eastAsia="Arial" w:hAnsi="Arial"/>
                <w:sz w:val="13"/>
                <w:szCs w:val="13"/>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13,293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813,036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5,176</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348,331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1,179,836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73,149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1,252,985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7"/>
              </w:rPr>
              <w:t>Profit and total comprehensive</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income attributable to</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GasLog’s operations (Note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16)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color w:val="auto"/>
              </w:rPr>
              <w:t>2,650</w:t>
            </w:r>
          </w:p>
        </w:tc>
        <w:tc>
          <w:tcPr>
            <w:tcW w:w="120" w:type="dxa"/>
            <w:vAlign w:val="bottom"/>
            <w:shd w:val="clear" w:color="auto" w:fill="E5FFFF"/>
          </w:tcPr>
          <w:p>
            <w:pPr>
              <w:spacing w:after="0"/>
              <w:rPr>
                <w:sz w:val="12"/>
                <w:szCs w:val="12"/>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color w:val="auto"/>
              </w:rPr>
              <w:t>2,650</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Arial" w:cs="Arial" w:eastAsia="Arial" w:hAnsi="Arial"/>
                <w:sz w:val="13"/>
                <w:szCs w:val="13"/>
                <w:color w:val="auto"/>
              </w:rPr>
              <w:t>Equity offering costs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(174)</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Settlement of awards vested</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during the period (Note 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49,850</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Arial" w:cs="Arial" w:eastAsia="Arial" w:hAnsi="Arial"/>
                <w:sz w:val="13"/>
                <w:szCs w:val="13"/>
                <w:color w:val="auto"/>
                <w:w w:val="97"/>
              </w:rPr>
              <w:t>Repurchases of common units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(476,351)</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(9,921)</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(9,921)</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(9,921)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Elimination of IDRs and</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issuance of common and</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Class B units (Note 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2,532,911</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1,810</w:t>
            </w: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(2,391)</w:t>
            </w:r>
          </w:p>
        </w:tc>
        <w:tc>
          <w:tcPr>
            <w:tcW w:w="620" w:type="dxa"/>
            <w:vAlign w:val="bottom"/>
            <w:shd w:val="clear" w:color="auto" w:fill="E5FFFF"/>
          </w:tcPr>
          <w:p>
            <w:pPr>
              <w:jc w:val="right"/>
              <w:spacing w:after="0"/>
              <w:rPr>
                <w:sz w:val="20"/>
                <w:szCs w:val="20"/>
                <w:color w:val="auto"/>
              </w:rPr>
            </w:pPr>
            <w:r>
              <w:rPr>
                <w:rFonts w:ascii="Arial" w:cs="Arial" w:eastAsia="Arial" w:hAnsi="Arial"/>
                <w:sz w:val="13"/>
                <w:szCs w:val="13"/>
                <w:color w:val="auto"/>
              </w:rPr>
              <w:t>2,490,000</w:t>
            </w:r>
          </w:p>
        </w:tc>
        <w:tc>
          <w:tcPr>
            <w:tcW w:w="10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(581)</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E5FFFF"/>
          </w:tcPr>
          <w:p>
            <w:pPr>
              <w:jc w:val="right"/>
              <w:ind w:right="6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Issuance of general partner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units (Note 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93,804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1,996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1,996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1,996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8"/>
              </w:rPr>
              <w:t>Cash distribution to GasLog in</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exchange for net assets</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contribution to the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3"/>
                <w:szCs w:val="13"/>
                <w:color w:val="auto"/>
              </w:rPr>
              <w:t>(93,646)</w:t>
            </w:r>
          </w:p>
        </w:tc>
        <w:tc>
          <w:tcPr>
            <w:tcW w:w="780" w:type="dxa"/>
            <w:vAlign w:val="bottom"/>
            <w:gridSpan w:val="3"/>
            <w:shd w:val="clear" w:color="auto" w:fill="E5FFFF"/>
          </w:tcPr>
          <w:p>
            <w:pPr>
              <w:jc w:val="right"/>
              <w:ind w:right="60"/>
              <w:spacing w:after="0"/>
              <w:rPr>
                <w:sz w:val="20"/>
                <w:szCs w:val="20"/>
                <w:color w:val="auto"/>
              </w:rPr>
            </w:pPr>
            <w:r>
              <w:rPr>
                <w:rFonts w:ascii="Arial" w:cs="Arial" w:eastAsia="Arial" w:hAnsi="Arial"/>
                <w:sz w:val="13"/>
                <w:szCs w:val="13"/>
                <w:color w:val="auto"/>
              </w:rPr>
              <w:t>(93,646)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Difference between net book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4"/>
              </w:rPr>
              <w:t>values of acquired subsidiary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and 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(357)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(17,490)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(17,847)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17,847</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spacing w:after="0" w:line="135" w:lineRule="exact"/>
              <w:rPr>
                <w:sz w:val="20"/>
                <w:szCs w:val="20"/>
                <w:color w:val="auto"/>
              </w:rPr>
            </w:pPr>
            <w:r>
              <w:rPr>
                <w:rFonts w:ascii="Arial" w:cs="Arial" w:eastAsia="Arial" w:hAnsi="Arial"/>
                <w:sz w:val="13"/>
                <w:szCs w:val="13"/>
                <w:color w:val="auto"/>
                <w:w w:val="94"/>
              </w:rPr>
              <w:t>Distributions declared (Note 15)</w:t>
            </w:r>
          </w:p>
        </w:tc>
        <w:tc>
          <w:tcPr>
            <w:tcW w:w="76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(1,077)</w:t>
            </w:r>
          </w:p>
        </w:tc>
        <w:tc>
          <w:tcPr>
            <w:tcW w:w="94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(49,978)</w:t>
            </w:r>
          </w:p>
        </w:tc>
        <w:tc>
          <w:tcPr>
            <w:tcW w:w="94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(2,785)</w:t>
            </w:r>
          </w:p>
        </w:tc>
        <w:tc>
          <w:tcPr>
            <w:tcW w:w="1060" w:type="dxa"/>
            <w:vAlign w:val="bottom"/>
            <w:gridSpan w:val="3"/>
            <w:shd w:val="clear" w:color="auto" w:fill="E5FFFF"/>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gridSpan w:val="2"/>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w w:val="94"/>
              </w:rPr>
              <w:t>(15,872)</w:t>
            </w:r>
          </w:p>
        </w:tc>
        <w:tc>
          <w:tcPr>
            <w:tcW w:w="92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(69,712)</w:t>
            </w:r>
          </w:p>
        </w:tc>
        <w:tc>
          <w:tcPr>
            <w:tcW w:w="78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rPr>
              <w:t>(69,712)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3"/>
              </w:rPr>
              <w:t>Share-based compensation, net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of accrued distribution</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350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357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comprehensive income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(Note 16)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487</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23,858</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15,164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39,509</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3"/>
                <w:szCs w:val="13"/>
                <w:color w:val="auto"/>
              </w:rPr>
              <w:t>39,509</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as of June 30, 2019</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1,021,336</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14,349</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47,555,403</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761,491</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2,490,000</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ind w:left="100"/>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14,350,000</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347,889</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1,123,729</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1,123,729</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40" w:hanging="332"/>
        <w:spacing w:after="0" w:line="201" w:lineRule="auto"/>
        <w:tabs>
          <w:tab w:leader="none" w:pos="337"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GAS-fourteen Ltd., GAS-twenty seven Ltd. and GAS-twelve Ltd. acquired on April 26, 2018, November 14, 2018 and April 1, 2019, respectively, from GasLog (Note 1).</w:t>
      </w:r>
    </w:p>
    <w:p>
      <w:pPr>
        <w:ind w:left="320" w:hanging="312"/>
        <w:spacing w:after="0" w:line="182" w:lineRule="auto"/>
        <w:tabs>
          <w:tab w:leader="none" w:pos="32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(Note 1).</w:t>
      </w:r>
    </w:p>
    <w:p>
      <w:pPr>
        <w:ind w:left="320" w:hanging="312"/>
        <w:spacing w:after="0" w:line="197" w:lineRule="auto"/>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International Financial Reporting Standard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GasLog Partners LP</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For the six months ended June 30, 2018 and 2019</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87"/>
              </w:rPr>
              <w:t>June 30,</w:t>
            </w:r>
          </w:p>
        </w:tc>
        <w:tc>
          <w:tcPr>
            <w:tcW w:w="14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44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20" w:type="dxa"/>
            <w:vAlign w:val="bottom"/>
            <w:tcBorders>
              <w:top w:val="single" w:sz="8" w:color="E5FFFF"/>
            </w:tcBorders>
            <w:shd w:val="clear" w:color="auto" w:fill="E5FFFF"/>
          </w:tcPr>
          <w:p>
            <w:pPr>
              <w:spacing w:after="0"/>
              <w:rPr>
                <w:sz w:val="12"/>
                <w:szCs w:val="12"/>
                <w:color w:val="auto"/>
              </w:rPr>
            </w:pPr>
          </w:p>
        </w:tc>
        <w:tc>
          <w:tcPr>
            <w:tcW w:w="480" w:type="dxa"/>
            <w:vAlign w:val="bottom"/>
            <w:tcBorders>
              <w:top w:val="single" w:sz="8" w:color="auto"/>
            </w:tcBorders>
            <w:shd w:val="clear" w:color="auto" w:fill="E5FFFF"/>
          </w:tcPr>
          <w:p>
            <w:pPr>
              <w:spacing w:after="0"/>
              <w:rPr>
                <w:sz w:val="12"/>
                <w:szCs w:val="12"/>
                <w:color w:val="auto"/>
              </w:rPr>
            </w:pPr>
          </w:p>
        </w:tc>
        <w:tc>
          <w:tcPr>
            <w:tcW w:w="220" w:type="dxa"/>
            <w:vAlign w:val="bottom"/>
            <w:tcBorders>
              <w:top w:val="single" w:sz="8" w:color="E5FFFF"/>
            </w:tcBorders>
            <w:shd w:val="clear" w:color="auto" w:fill="E5FFFF"/>
          </w:tcPr>
          <w:p>
            <w:pPr>
              <w:spacing w:after="0"/>
              <w:rPr>
                <w:sz w:val="12"/>
                <w:szCs w:val="12"/>
                <w:color w:val="auto"/>
              </w:rPr>
            </w:pPr>
          </w:p>
        </w:tc>
        <w:tc>
          <w:tcPr>
            <w:tcW w:w="1320" w:type="dxa"/>
            <w:vAlign w:val="bottom"/>
            <w:tcBorders>
              <w:top w:val="single" w:sz="8" w:color="auto"/>
            </w:tcBorders>
            <w:shd w:val="clear" w:color="auto" w:fill="E5FFFF"/>
          </w:tcPr>
          <w:p>
            <w:pPr>
              <w:jc w:val="center"/>
              <w:spacing w:after="0" w:line="145" w:lineRule="exact"/>
              <w:rPr>
                <w:sz w:val="20"/>
                <w:szCs w:val="20"/>
                <w:color w:val="auto"/>
              </w:rPr>
            </w:pPr>
            <w:r>
              <w:rPr>
                <w:rFonts w:ascii="Arial" w:cs="Arial" w:eastAsia="Arial" w:hAnsi="Arial"/>
                <w:sz w:val="14"/>
                <w:szCs w:val="14"/>
                <w:i w:val="1"/>
                <w:iCs w:val="1"/>
                <w:color w:val="auto"/>
                <w:w w:val="90"/>
              </w:rPr>
              <w:t>(restated)</w:t>
            </w:r>
            <w:r>
              <w:rPr>
                <w:rFonts w:ascii="Arial" w:cs="Arial" w:eastAsia="Arial" w:hAnsi="Arial"/>
                <w:sz w:val="16"/>
                <w:szCs w:val="16"/>
                <w:color w:val="auto"/>
                <w:w w:val="90"/>
                <w:vertAlign w:val="superscript"/>
              </w:rPr>
              <w:t>(1)</w:t>
            </w:r>
          </w:p>
        </w:tc>
        <w:tc>
          <w:tcPr>
            <w:tcW w:w="440" w:type="dxa"/>
            <w:vAlign w:val="bottom"/>
            <w:tcBorders>
              <w:top w:val="single" w:sz="8" w:color="E5FFFF"/>
            </w:tcBorders>
            <w:shd w:val="clear" w:color="auto" w:fill="E5FFFF"/>
          </w:tcPr>
          <w:p>
            <w:pPr>
              <w:spacing w:after="0"/>
              <w:rPr>
                <w:sz w:val="12"/>
                <w:szCs w:val="12"/>
                <w:color w:val="auto"/>
              </w:rPr>
            </w:pPr>
          </w:p>
        </w:tc>
        <w:tc>
          <w:tcPr>
            <w:tcW w:w="132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69,958</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Adjustments for:</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43,325</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44,007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Financial costs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35,643</w:t>
            </w:r>
          </w:p>
        </w:tc>
        <w:tc>
          <w:tcPr>
            <w:tcW w:w="44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38,116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99"/>
              <w:spacing w:after="0"/>
              <w:rPr>
                <w:sz w:val="20"/>
                <w:szCs w:val="20"/>
                <w:color w:val="auto"/>
              </w:rPr>
            </w:pPr>
            <w:r>
              <w:rPr>
                <w:rFonts w:ascii="Arial" w:cs="Arial" w:eastAsia="Arial" w:hAnsi="Arial"/>
                <w:sz w:val="16"/>
                <w:szCs w:val="16"/>
                <w:color w:val="auto"/>
              </w:rPr>
              <w:t>(1,125)</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Unrealized (gain)/loss on derivatives held for trading</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6"/>
                <w:szCs w:val="16"/>
                <w:color w:val="auto"/>
              </w:rPr>
              <w:t>(7,371)</w:t>
            </w: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14,253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140,928</w:t>
            </w:r>
          </w:p>
        </w:tc>
        <w:tc>
          <w:tcPr>
            <w:tcW w:w="4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99"/>
              <w:spacing w:after="0"/>
              <w:rPr>
                <w:sz w:val="20"/>
                <w:szCs w:val="20"/>
                <w:color w:val="auto"/>
              </w:rPr>
            </w:pPr>
            <w:r>
              <w:rPr>
                <w:rFonts w:ascii="Arial" w:cs="Arial" w:eastAsia="Arial" w:hAnsi="Arial"/>
                <w:sz w:val="16"/>
                <w:szCs w:val="16"/>
                <w:color w:val="auto"/>
              </w:rPr>
              <w:t>(3,717)</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48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137,211</w:t>
            </w:r>
          </w:p>
        </w:tc>
        <w:tc>
          <w:tcPr>
            <w:tcW w:w="44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125,997</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(30,101</w:t>
            </w:r>
          </w:p>
        </w:tc>
        <w:tc>
          <w:tcPr>
            <w:tcW w:w="440" w:type="dxa"/>
            <w:vAlign w:val="bottom"/>
            <w:shd w:val="clear" w:color="auto" w:fill="E5FFFF"/>
          </w:tcPr>
          <w:p>
            <w:pPr>
              <w:jc w:val="right"/>
              <w:ind w:right="299"/>
              <w:spacing w:after="0"/>
              <w:rPr>
                <w:sz w:val="20"/>
                <w:szCs w:val="20"/>
                <w:color w:val="auto"/>
              </w:rPr>
            </w:pPr>
            <w:r>
              <w:rPr>
                <w:rFonts w:ascii="Arial" w:cs="Arial" w:eastAsia="Arial" w:hAnsi="Arial"/>
                <w:sz w:val="16"/>
                <w:szCs w:val="16"/>
                <w:color w:val="auto"/>
                <w:w w:val="74"/>
              </w:rPr>
              <w:t>)</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(34,308</w:t>
            </w:r>
          </w:p>
        </w:tc>
        <w:tc>
          <w:tcPr>
            <w:tcW w:w="100" w:type="dxa"/>
            <w:vAlign w:val="bottom"/>
            <w:shd w:val="clear" w:color="auto" w:fill="E5FF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48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107,110</w:t>
            </w:r>
          </w:p>
        </w:tc>
        <w:tc>
          <w:tcPr>
            <w:tcW w:w="4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91,689</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6"/>
                <w:szCs w:val="16"/>
                <w:color w:val="auto"/>
              </w:rPr>
              <w:t>(13,613)</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(6,737)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 (Note 4)</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948</w:t>
            </w:r>
          </w:p>
        </w:tc>
        <w:tc>
          <w:tcPr>
            <w:tcW w:w="44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6"/>
                <w:szCs w:val="16"/>
                <w:color w:val="auto"/>
              </w:rPr>
              <w:t>(18,000)</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(25,665</w:t>
            </w:r>
          </w:p>
        </w:tc>
        <w:tc>
          <w:tcPr>
            <w:tcW w:w="440" w:type="dxa"/>
            <w:vAlign w:val="bottom"/>
            <w:tcBorders>
              <w:top w:val="single" w:sz="8" w:color="E5FFFF"/>
            </w:tcBorders>
            <w:shd w:val="clear" w:color="auto" w:fill="E5FFFF"/>
          </w:tcPr>
          <w:p>
            <w:pPr>
              <w:jc w:val="right"/>
              <w:ind w:right="29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(10,586</w:t>
            </w:r>
          </w:p>
        </w:tc>
        <w:tc>
          <w:tcPr>
            <w:tcW w:w="100" w:type="dxa"/>
            <w:vAlign w:val="bottom"/>
            <w:tcBorders>
              <w:top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435,000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Borrowings repayments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6"/>
                <w:szCs w:val="16"/>
                <w:color w:val="auto"/>
              </w:rPr>
              <w:t>(129,072)</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(403,072)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99"/>
              <w:spacing w:after="0"/>
              <w:rPr>
                <w:sz w:val="20"/>
                <w:szCs w:val="20"/>
                <w:color w:val="auto"/>
              </w:rPr>
            </w:pPr>
            <w:r>
              <w:rPr>
                <w:rFonts w:ascii="Arial" w:cs="Arial" w:eastAsia="Arial" w:hAnsi="Arial"/>
                <w:sz w:val="16"/>
                <w:szCs w:val="16"/>
                <w:color w:val="auto"/>
              </w:rPr>
              <w:t>(68)</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(4,972)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w w:val="97"/>
              </w:rPr>
              <w:t>Proceeds from public offerings and issuances of common units and general partner units (net of underwriting</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20" w:type="dxa"/>
            <w:vAlign w:val="bottom"/>
          </w:tcPr>
          <w:p>
            <w:pPr>
              <w:ind w:left="140"/>
              <w:spacing w:after="0"/>
              <w:rPr>
                <w:sz w:val="20"/>
                <w:szCs w:val="20"/>
                <w:color w:val="auto"/>
              </w:rPr>
            </w:pPr>
            <w:r>
              <w:rPr>
                <w:rFonts w:ascii="Arial" w:cs="Arial" w:eastAsia="Arial" w:hAnsi="Arial"/>
                <w:sz w:val="16"/>
                <w:szCs w:val="16"/>
                <w:color w:val="auto"/>
              </w:rPr>
              <w:t>discounts and commissions)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960</w:t>
            </w:r>
          </w:p>
        </w:tc>
        <w:tc>
          <w:tcPr>
            <w:tcW w:w="44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 commissions)</w:t>
            </w: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44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(9,921)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99"/>
              <w:spacing w:after="0"/>
              <w:rPr>
                <w:sz w:val="20"/>
                <w:szCs w:val="20"/>
                <w:color w:val="auto"/>
              </w:rPr>
            </w:pPr>
            <w:r>
              <w:rPr>
                <w:rFonts w:ascii="Arial" w:cs="Arial" w:eastAsia="Arial" w:hAnsi="Arial"/>
                <w:sz w:val="16"/>
                <w:szCs w:val="16"/>
                <w:color w:val="auto"/>
              </w:rPr>
              <w:t>(662)</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6"/>
                <w:szCs w:val="16"/>
                <w:color w:val="auto"/>
              </w:rPr>
              <w:t>(19,086)</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(93,646)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99"/>
              <w:spacing w:after="0"/>
              <w:rPr>
                <w:sz w:val="20"/>
                <w:szCs w:val="20"/>
                <w:color w:val="auto"/>
              </w:rPr>
            </w:pPr>
            <w:r>
              <w:rPr>
                <w:rFonts w:ascii="Arial" w:cs="Arial" w:eastAsia="Arial" w:hAnsi="Arial"/>
                <w:sz w:val="16"/>
                <w:szCs w:val="16"/>
                <w:color w:val="auto"/>
              </w:rPr>
              <w:t>(57,193)</w:t>
            </w:r>
          </w:p>
        </w:tc>
        <w:tc>
          <w:tcPr>
            <w:tcW w:w="14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(69,712)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4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(93,577)</w:t>
            </w:r>
          </w:p>
        </w:tc>
        <w:tc>
          <w:tcPr>
            <w:tcW w:w="4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(145,464</w:t>
            </w:r>
          </w:p>
        </w:tc>
        <w:tc>
          <w:tcPr>
            <w:tcW w:w="100" w:type="dxa"/>
            <w:vAlign w:val="bottom"/>
            <w:tcBorders>
              <w:top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48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(12,132)</w:t>
            </w:r>
          </w:p>
        </w:tc>
        <w:tc>
          <w:tcPr>
            <w:tcW w:w="4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(64,361</w:t>
            </w:r>
          </w:p>
        </w:tc>
        <w:tc>
          <w:tcPr>
            <w:tcW w:w="100" w:type="dxa"/>
            <w:vAlign w:val="bottom"/>
            <w:tcBorders>
              <w:bottom w:val="single" w:sz="8" w:color="E5FFFF"/>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153,675</w:t>
            </w:r>
          </w:p>
        </w:tc>
        <w:tc>
          <w:tcPr>
            <w:tcW w:w="4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141,543</w:t>
            </w:r>
          </w:p>
        </w:tc>
        <w:tc>
          <w:tcPr>
            <w:tcW w:w="44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520" w:type="dxa"/>
            <w:vAlign w:val="bottom"/>
            <w:tcBorders>
              <w:top w:val="single" w:sz="8" w:color="E5FFFF"/>
            </w:tcBorders>
            <w:shd w:val="clear" w:color="auto" w:fill="E5FFFF"/>
          </w:tcPr>
          <w:p>
            <w:pPr>
              <w:spacing w:after="0"/>
              <w:rPr>
                <w:sz w:val="15"/>
                <w:szCs w:val="15"/>
                <w:color w:val="auto"/>
              </w:rPr>
            </w:pPr>
          </w:p>
        </w:tc>
        <w:tc>
          <w:tcPr>
            <w:tcW w:w="48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16,746</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7,275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w:t>
            </w:r>
          </w:p>
        </w:tc>
        <w:tc>
          <w:tcPr>
            <w:tcW w:w="4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Issuance of common units to GasLog in exchange for contribution of net assets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45,000</w:t>
            </w:r>
          </w:p>
        </w:tc>
        <w:tc>
          <w:tcPr>
            <w:tcW w:w="440" w:type="dxa"/>
            <w:vAlign w:val="bottom"/>
          </w:tcPr>
          <w:p>
            <w:pPr>
              <w:spacing w:after="0"/>
              <w:rPr>
                <w:sz w:val="17"/>
                <w:szCs w:val="17"/>
                <w:color w:val="auto"/>
              </w:rPr>
            </w:pPr>
          </w:p>
        </w:tc>
        <w:tc>
          <w:tcPr>
            <w:tcW w:w="1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 w:lineRule="exact"/>
        <w:rPr>
          <w:sz w:val="20"/>
          <w:szCs w:val="20"/>
          <w:color w:val="auto"/>
        </w:rPr>
      </w:pPr>
    </w:p>
    <w:p>
      <w:pPr>
        <w:ind w:left="340" w:right="20" w:hanging="332"/>
        <w:spacing w:after="0" w:line="211" w:lineRule="auto"/>
        <w:tabs>
          <w:tab w:leader="none" w:pos="337"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GAS-twenty seven Ltd. and GAS-twelve Ltd. acquired on November 14, 2018 and April 1, 2019, respectively, from GasLog (Note 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2018 and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17" w:lineRule="exact"/>
        <w:rPr>
          <w:sz w:val="20"/>
          <w:szCs w:val="20"/>
          <w:color w:val="auto"/>
        </w:rPr>
      </w:pPr>
    </w:p>
    <w:p>
      <w:pPr>
        <w:ind w:right="42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63" w:lineRule="exact"/>
        <w:rPr>
          <w:sz w:val="20"/>
          <w:szCs w:val="20"/>
          <w:color w:val="auto"/>
        </w:rPr>
      </w:pPr>
    </w:p>
    <w:p>
      <w:pPr>
        <w:ind w:right="160" w:firstLine="396"/>
        <w:spacing w:after="0" w:line="297" w:lineRule="auto"/>
        <w:rPr>
          <w:sz w:val="20"/>
          <w:szCs w:val="20"/>
          <w:color w:val="auto"/>
        </w:rPr>
      </w:pPr>
      <w:r>
        <w:rPr>
          <w:rFonts w:ascii="Arial" w:cs="Arial" w:eastAsia="Arial" w:hAnsi="Arial"/>
          <w:sz w:val="15"/>
          <w:szCs w:val="15"/>
          <w:color w:val="auto"/>
        </w:rPr>
        <w:t xml:space="preserve">On April 26, 2018, GasLog Partners acquired 100% of the ownership interests in GAS-fourteen Ltd., the entity that owns a 174,000 cbm LNG carrier,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Gibraltar</w:t>
      </w:r>
      <w:r>
        <w:rPr>
          <w:rFonts w:ascii="Arial" w:cs="Arial" w:eastAsia="Arial" w:hAnsi="Arial"/>
          <w:sz w:val="15"/>
          <w:szCs w:val="15"/>
          <w:color w:val="auto"/>
        </w:rPr>
        <w:t>, for an aggregate purchase price of $207,000. On November 14, 2018, GasLog Partners acquired 100% of the ownership interests in GAS-twenty seven Ltd.,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entity that owns a 170,000 cbm LNG carrier,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for an aggregate purchase price of $207,400. On April 1, 2019, GasLog Partners acquired 100% of the ownership interests in GAS-twelve Ltd., the entity that owns a 174,000 cbm LNG carrier, the </w:t>
      </w:r>
      <w:r>
        <w:rPr>
          <w:rFonts w:ascii="Arial" w:cs="Arial" w:eastAsia="Arial" w:hAnsi="Arial"/>
          <w:sz w:val="15"/>
          <w:szCs w:val="15"/>
          <w:i w:val="1"/>
          <w:iCs w:val="1"/>
          <w:color w:val="auto"/>
        </w:rPr>
        <w:t>GasLog Glasgow</w:t>
      </w:r>
      <w:r>
        <w:rPr>
          <w:rFonts w:ascii="Arial" w:cs="Arial" w:eastAsia="Arial" w:hAnsi="Arial"/>
          <w:sz w:val="15"/>
          <w:szCs w:val="15"/>
          <w:color w:val="auto"/>
        </w:rPr>
        <w:t>, for an aggregate purchase price of $214,000.</w:t>
      </w:r>
    </w:p>
    <w:p>
      <w:pPr>
        <w:spacing w:after="0" w:line="51" w:lineRule="exact"/>
        <w:rPr>
          <w:sz w:val="20"/>
          <w:szCs w:val="20"/>
          <w:color w:val="auto"/>
        </w:rPr>
      </w:pPr>
    </w:p>
    <w:p>
      <w:pPr>
        <w:jc w:val="both"/>
        <w:ind w:right="140" w:firstLine="383"/>
        <w:spacing w:after="0" w:line="278"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63" w:lineRule="exact"/>
        <w:rPr>
          <w:sz w:val="20"/>
          <w:szCs w:val="20"/>
          <w:color w:val="auto"/>
        </w:rPr>
      </w:pPr>
    </w:p>
    <w:p>
      <w:pPr>
        <w:ind w:right="160" w:firstLine="383"/>
        <w:spacing w:after="0" w:line="278" w:lineRule="auto"/>
        <w:rPr>
          <w:sz w:val="20"/>
          <w:szCs w:val="20"/>
          <w:color w:val="auto"/>
        </w:rPr>
      </w:pPr>
      <w:r>
        <w:rPr>
          <w:rFonts w:ascii="Arial" w:cs="Arial" w:eastAsia="Arial" w:hAnsi="Arial"/>
          <w:sz w:val="16"/>
          <w:szCs w:val="16"/>
          <w:color w:val="auto"/>
        </w:rPr>
        <w:t>As of June 30, 2019, GasLog holds a 35.0%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63"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2019, the companies listed below were 100% held by the Partnership: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Place of</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Date of</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Cargo Capacity</w:t>
            </w:r>
          </w:p>
        </w:tc>
        <w:tc>
          <w:tcPr>
            <w:tcW w:w="1320" w:type="dxa"/>
            <w:vAlign w:val="bottom"/>
          </w:tcPr>
          <w:p>
            <w:pPr>
              <w:spacing w:after="0"/>
              <w:rPr>
                <w:sz w:val="13"/>
                <w:szCs w:val="13"/>
                <w:color w:val="auto"/>
              </w:rPr>
            </w:pPr>
          </w:p>
        </w:tc>
      </w:tr>
      <w:tr>
        <w:trPr>
          <w:trHeight w:val="153"/>
        </w:trPr>
        <w:tc>
          <w:tcPr>
            <w:tcW w:w="2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incorporation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incorporation</w:t>
            </w: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Principal activities</w:t>
            </w: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7"/>
              </w:rPr>
              <w:t>Vessel</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(cbm)</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Delivery Date</w:t>
            </w:r>
          </w:p>
        </w:tc>
      </w:tr>
      <w:tr>
        <w:trPr>
          <w:trHeight w:val="129"/>
        </w:trPr>
        <w:tc>
          <w:tcPr>
            <w:tcW w:w="2100" w:type="dxa"/>
            <w:vAlign w:val="bottom"/>
            <w:tcBorders>
              <w:top w:val="single" w:sz="8" w:color="auto"/>
            </w:tcBorders>
            <w:shd w:val="clear" w:color="auto" w:fill="E5FFFF"/>
          </w:tcPr>
          <w:p>
            <w:pPr>
              <w:spacing w:after="0" w:line="129" w:lineRule="exact"/>
              <w:rPr>
                <w:sz w:val="20"/>
                <w:szCs w:val="20"/>
                <w:color w:val="auto"/>
              </w:rPr>
            </w:pPr>
            <w:r>
              <w:rPr>
                <w:rFonts w:ascii="Arial" w:cs="Arial" w:eastAsia="Arial" w:hAnsi="Arial"/>
                <w:sz w:val="13"/>
                <w:szCs w:val="13"/>
                <w:color w:val="auto"/>
              </w:rPr>
              <w:t>GAS-three Ltd.</w:t>
            </w:r>
          </w:p>
        </w:tc>
        <w:tc>
          <w:tcPr>
            <w:tcW w:w="100" w:type="dxa"/>
            <w:vAlign w:val="bottom"/>
            <w:tcBorders>
              <w:top w:val="single" w:sz="8" w:color="E5FFFF"/>
            </w:tcBorders>
            <w:shd w:val="clear" w:color="auto" w:fill="E5FFFF"/>
          </w:tcPr>
          <w:p>
            <w:pPr>
              <w:spacing w:after="0"/>
              <w:rPr>
                <w:sz w:val="11"/>
                <w:szCs w:val="11"/>
                <w:color w:val="auto"/>
              </w:rPr>
            </w:pPr>
          </w:p>
        </w:tc>
        <w:tc>
          <w:tcPr>
            <w:tcW w:w="130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color w:val="auto"/>
                <w:w w:val="87"/>
              </w:rPr>
              <w:t>Bermuda</w:t>
            </w:r>
          </w:p>
        </w:tc>
        <w:tc>
          <w:tcPr>
            <w:tcW w:w="120" w:type="dxa"/>
            <w:vAlign w:val="bottom"/>
            <w:tcBorders>
              <w:top w:val="single" w:sz="8" w:color="E5FFFF"/>
            </w:tcBorders>
            <w:shd w:val="clear" w:color="auto" w:fill="E5FFFF"/>
          </w:tcPr>
          <w:p>
            <w:pPr>
              <w:spacing w:after="0"/>
              <w:rPr>
                <w:sz w:val="11"/>
                <w:szCs w:val="11"/>
                <w:color w:val="auto"/>
              </w:rPr>
            </w:pPr>
          </w:p>
        </w:tc>
        <w:tc>
          <w:tcPr>
            <w:tcW w:w="112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color w:val="auto"/>
                <w:w w:val="95"/>
              </w:rPr>
              <w:t>April 2010</w:t>
            </w:r>
          </w:p>
        </w:tc>
        <w:tc>
          <w:tcPr>
            <w:tcW w:w="120" w:type="dxa"/>
            <w:vAlign w:val="bottom"/>
            <w:tcBorders>
              <w:top w:val="single" w:sz="8" w:color="E5FFFF"/>
            </w:tcBorders>
            <w:shd w:val="clear" w:color="auto" w:fill="E5FFFF"/>
          </w:tcPr>
          <w:p>
            <w:pPr>
              <w:spacing w:after="0"/>
              <w:rPr>
                <w:sz w:val="11"/>
                <w:szCs w:val="11"/>
                <w:color w:val="auto"/>
              </w:rPr>
            </w:pPr>
          </w:p>
        </w:tc>
        <w:tc>
          <w:tcPr>
            <w:tcW w:w="184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color w:val="auto"/>
                <w:w w:val="87"/>
              </w:rPr>
              <w:t>Vessel-owning company</w:t>
            </w:r>
          </w:p>
        </w:tc>
        <w:tc>
          <w:tcPr>
            <w:tcW w:w="100" w:type="dxa"/>
            <w:vAlign w:val="bottom"/>
            <w:tcBorders>
              <w:top w:val="single" w:sz="8" w:color="E5FFFF"/>
            </w:tcBorders>
            <w:shd w:val="clear" w:color="auto" w:fill="E5FFFF"/>
          </w:tcPr>
          <w:p>
            <w:pPr>
              <w:spacing w:after="0"/>
              <w:rPr>
                <w:sz w:val="11"/>
                <w:szCs w:val="11"/>
                <w:color w:val="auto"/>
              </w:rPr>
            </w:pPr>
          </w:p>
        </w:tc>
        <w:tc>
          <w:tcPr>
            <w:tcW w:w="184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i w:val="1"/>
                <w:iCs w:val="1"/>
                <w:color w:val="auto"/>
                <w:w w:val="88"/>
              </w:rPr>
              <w:t>GasLog Shanghai</w:t>
            </w:r>
          </w:p>
        </w:tc>
        <w:tc>
          <w:tcPr>
            <w:tcW w:w="100" w:type="dxa"/>
            <w:vAlign w:val="bottom"/>
            <w:tcBorders>
              <w:top w:val="single" w:sz="8" w:color="E5FFFF"/>
            </w:tcBorders>
            <w:shd w:val="clear" w:color="auto" w:fill="E5FFFF"/>
          </w:tcPr>
          <w:p>
            <w:pPr>
              <w:spacing w:after="0"/>
              <w:rPr>
                <w:sz w:val="11"/>
                <w:szCs w:val="11"/>
                <w:color w:val="auto"/>
              </w:rPr>
            </w:pPr>
          </w:p>
        </w:tc>
        <w:tc>
          <w:tcPr>
            <w:tcW w:w="126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color w:val="auto"/>
                <w:w w:val="89"/>
              </w:rPr>
              <w:t>155,000</w:t>
            </w:r>
          </w:p>
        </w:tc>
        <w:tc>
          <w:tcPr>
            <w:tcW w:w="100" w:type="dxa"/>
            <w:vAlign w:val="bottom"/>
            <w:tcBorders>
              <w:top w:val="single" w:sz="8" w:color="E5FFFF"/>
            </w:tcBorders>
            <w:shd w:val="clear" w:color="auto" w:fill="E5FFFF"/>
          </w:tcPr>
          <w:p>
            <w:pPr>
              <w:spacing w:after="0"/>
              <w:rPr>
                <w:sz w:val="11"/>
                <w:szCs w:val="11"/>
                <w:color w:val="auto"/>
              </w:rPr>
            </w:pPr>
          </w:p>
        </w:tc>
        <w:tc>
          <w:tcPr>
            <w:tcW w:w="1320" w:type="dxa"/>
            <w:vAlign w:val="bottom"/>
            <w:tcBorders>
              <w:top w:val="single" w:sz="8" w:color="auto"/>
            </w:tcBorders>
            <w:shd w:val="clear" w:color="auto" w:fill="E5FFFF"/>
          </w:tcPr>
          <w:p>
            <w:pPr>
              <w:jc w:val="center"/>
              <w:spacing w:after="0" w:line="129" w:lineRule="exact"/>
              <w:rPr>
                <w:sz w:val="20"/>
                <w:szCs w:val="20"/>
                <w:color w:val="auto"/>
              </w:rPr>
            </w:pPr>
            <w:r>
              <w:rPr>
                <w:rFonts w:ascii="Arial" w:cs="Arial" w:eastAsia="Arial" w:hAnsi="Arial"/>
                <w:sz w:val="13"/>
                <w:szCs w:val="13"/>
                <w:color w:val="auto"/>
                <w:w w:val="86"/>
              </w:rPr>
              <w:t>January 2013</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GAS-four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5"/>
              </w:rPr>
              <w:t>April 2010</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7"/>
              </w:rPr>
              <w:t>GasLog Santiago</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155,000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0"/>
              </w:rPr>
              <w:t>March 2013</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GAS-five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5"/>
              </w:rPr>
              <w:t>February 2011</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86"/>
              </w:rPr>
              <w:t>GasLog Sydney</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155,000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91"/>
              </w:rPr>
              <w:t>May 2013</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GAS-seven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March 2011</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4"/>
              </w:rPr>
              <w:t>GasLog Seattle</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155,000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86"/>
              </w:rPr>
              <w:t>December 2013</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GAS-eight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March 2011</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90"/>
              </w:rPr>
              <w:t>Solaris</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155,000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GAS-eleven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December 2012</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7"/>
              </w:rPr>
              <w:t>GasLog Greece</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174,000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0"/>
              </w:rPr>
              <w:t>March 2016</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GAS-twelve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6"/>
              </w:rPr>
              <w:t>December 2012</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88"/>
              </w:rPr>
              <w:t>GasLog Glasgow</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174,000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5"/>
              </w:rPr>
              <w:t>June 2016</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GAS-thirteen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July 2013</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4"/>
              </w:rPr>
              <w:t>GasLog Geneva</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174,000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85"/>
              </w:rPr>
              <w:t>September 2016</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GAS-fourteen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6"/>
              </w:rPr>
              <w:t>July 2013</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92"/>
              </w:rPr>
              <w:t>GasLog Gibraltar</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174,000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6"/>
              </w:rPr>
              <w:t>October 2016</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GAS-sixteen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January 2014</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7"/>
              </w:rPr>
              <w:t>Methane Rita Andrea</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145,000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2"/>
              </w:rPr>
              <w:t>April 2014</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GAS-seventeen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6"/>
              </w:rPr>
              <w:t>January 2014</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86"/>
              </w:rPr>
              <w:t>Methane Jane Elizabeth</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145,000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92"/>
              </w:rPr>
              <w:t>April 2014</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GAS-nineteen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5"/>
              </w:rPr>
              <w:t>April 2014</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90"/>
              </w:rPr>
              <w:t>Methane Alison Victoria</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145,000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GAS-twenty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95"/>
              </w:rPr>
              <w:t>April 2014</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87"/>
              </w:rPr>
              <w:t>Methane Shirley Elisabeth</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145,000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GAS-twenty one Ltd.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5"/>
              </w:rPr>
              <w:t>April 2014</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i w:val="1"/>
                <w:iCs w:val="1"/>
                <w:color w:val="auto"/>
                <w:w w:val="87"/>
              </w:rPr>
              <w:t>Methane Heather Sally</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9"/>
              </w:rPr>
              <w:t>145,000</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20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GAS-twenty seven Ltd.</w:t>
            </w:r>
          </w:p>
        </w:tc>
        <w:tc>
          <w:tcPr>
            <w:tcW w:w="142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7"/>
              </w:rPr>
              <w:t>Bermuda</w:t>
            </w:r>
          </w:p>
        </w:tc>
        <w:tc>
          <w:tcPr>
            <w:tcW w:w="1240" w:type="dxa"/>
            <w:vAlign w:val="bottom"/>
            <w:gridSpan w:val="2"/>
            <w:shd w:val="clear" w:color="auto" w:fill="E5FFFF"/>
          </w:tcPr>
          <w:p>
            <w:pPr>
              <w:jc w:val="center"/>
              <w:ind w:right="120"/>
              <w:spacing w:after="0" w:line="135" w:lineRule="exact"/>
              <w:rPr>
                <w:sz w:val="20"/>
                <w:szCs w:val="20"/>
                <w:color w:val="auto"/>
              </w:rPr>
            </w:pPr>
            <w:r>
              <w:rPr>
                <w:rFonts w:ascii="Arial" w:cs="Arial" w:eastAsia="Arial" w:hAnsi="Arial"/>
                <w:sz w:val="13"/>
                <w:szCs w:val="13"/>
                <w:color w:val="auto"/>
                <w:w w:val="86"/>
              </w:rPr>
              <w:t>January 2015</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color w:val="auto"/>
                <w:w w:val="87"/>
              </w:rPr>
              <w:t>Vessel-owning company</w:t>
            </w:r>
          </w:p>
        </w:tc>
        <w:tc>
          <w:tcPr>
            <w:tcW w:w="1940" w:type="dxa"/>
            <w:vAlign w:val="bottom"/>
            <w:gridSpan w:val="2"/>
            <w:shd w:val="clear" w:color="auto" w:fill="E5FFFF"/>
          </w:tcPr>
          <w:p>
            <w:pPr>
              <w:jc w:val="center"/>
              <w:ind w:right="100"/>
              <w:spacing w:after="0" w:line="135" w:lineRule="exact"/>
              <w:rPr>
                <w:sz w:val="20"/>
                <w:szCs w:val="20"/>
                <w:color w:val="auto"/>
              </w:rPr>
            </w:pPr>
            <w:r>
              <w:rPr>
                <w:rFonts w:ascii="Arial" w:cs="Arial" w:eastAsia="Arial" w:hAnsi="Arial"/>
                <w:sz w:val="13"/>
                <w:szCs w:val="13"/>
                <w:i w:val="1"/>
                <w:iCs w:val="1"/>
                <w:color w:val="auto"/>
                <w:w w:val="86"/>
              </w:rPr>
              <w:t>Methane Becki Anne</w:t>
            </w:r>
          </w:p>
        </w:tc>
        <w:tc>
          <w:tcPr>
            <w:tcW w:w="126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89"/>
              </w:rPr>
              <w:t>170,000</w:t>
            </w:r>
          </w:p>
        </w:tc>
        <w:tc>
          <w:tcPr>
            <w:tcW w:w="100" w:type="dxa"/>
            <w:vAlign w:val="bottom"/>
            <w:shd w:val="clear" w:color="auto" w:fill="E5FFFF"/>
          </w:tcPr>
          <w:p>
            <w:pPr>
              <w:spacing w:after="0"/>
              <w:rPr>
                <w:sz w:val="11"/>
                <w:szCs w:val="11"/>
                <w:color w:val="auto"/>
              </w:rPr>
            </w:pPr>
          </w:p>
        </w:tc>
        <w:tc>
          <w:tcPr>
            <w:tcW w:w="1320" w:type="dxa"/>
            <w:vAlign w:val="bottom"/>
            <w:shd w:val="clear" w:color="auto" w:fill="E5FFFF"/>
          </w:tcPr>
          <w:p>
            <w:pPr>
              <w:jc w:val="center"/>
              <w:spacing w:after="0" w:line="135" w:lineRule="exact"/>
              <w:rPr>
                <w:sz w:val="20"/>
                <w:szCs w:val="20"/>
                <w:color w:val="auto"/>
              </w:rPr>
            </w:pPr>
            <w:r>
              <w:rPr>
                <w:rFonts w:ascii="Arial" w:cs="Arial" w:eastAsia="Arial" w:hAnsi="Arial"/>
                <w:sz w:val="13"/>
                <w:szCs w:val="13"/>
                <w:color w:val="auto"/>
                <w:w w:val="90"/>
              </w:rPr>
              <w:t>March 2015</w:t>
            </w:r>
          </w:p>
        </w:tc>
      </w:tr>
      <w:tr>
        <w:trPr>
          <w:trHeight w:val="160"/>
        </w:trPr>
        <w:tc>
          <w:tcPr>
            <w:tcW w:w="2200" w:type="dxa"/>
            <w:vAlign w:val="bottom"/>
            <w:gridSpan w:val="2"/>
          </w:tcPr>
          <w:p>
            <w:pPr>
              <w:spacing w:after="0"/>
              <w:rPr>
                <w:sz w:val="20"/>
                <w:szCs w:val="20"/>
                <w:color w:val="auto"/>
              </w:rPr>
            </w:pPr>
            <w:r>
              <w:rPr>
                <w:rFonts w:ascii="Arial" w:cs="Arial" w:eastAsia="Arial" w:hAnsi="Arial"/>
                <w:sz w:val="13"/>
                <w:szCs w:val="13"/>
                <w:color w:val="auto"/>
              </w:rPr>
              <w:t>GasLog Partners Holdings LLC</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Marshall Islands</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April 2014</w:t>
            </w:r>
          </w:p>
        </w:tc>
        <w:tc>
          <w:tcPr>
            <w:tcW w:w="19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Holding company</w:t>
            </w: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17"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2018, filed on an Annual Report on Form 20-F with the Securities Exchange Commission on February 26, 2019.</w:t>
      </w:r>
    </w:p>
    <w:p>
      <w:pPr>
        <w:spacing w:after="0" w:line="69" w:lineRule="exact"/>
        <w:rPr>
          <w:sz w:val="20"/>
          <w:szCs w:val="20"/>
          <w:color w:val="auto"/>
        </w:rPr>
      </w:pPr>
    </w:p>
    <w:p>
      <w:pPr>
        <w:ind w:right="86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50" w:lineRule="exact"/>
        <w:rPr>
          <w:sz w:val="20"/>
          <w:szCs w:val="20"/>
          <w:color w:val="auto"/>
        </w:rPr>
      </w:pPr>
    </w:p>
    <w:p>
      <w:pPr>
        <w:ind w:right="160" w:firstLine="396"/>
        <w:spacing w:after="0" w:line="273" w:lineRule="auto"/>
        <w:rPr>
          <w:sz w:val="20"/>
          <w:szCs w:val="20"/>
          <w:color w:val="auto"/>
        </w:rPr>
      </w:pPr>
      <w:r>
        <w:rPr>
          <w:rFonts w:ascii="Arial" w:cs="Arial" w:eastAsia="Arial" w:hAnsi="Arial"/>
          <w:sz w:val="16"/>
          <w:szCs w:val="16"/>
          <w:color w:val="auto"/>
        </w:rPr>
        <w:t xml:space="preserve">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2018, except for the changes resulting from the adoption of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discussed below). On July 25, 2019, the Partnership’s board of directors authorized the unaudited condensed consolidated financial statements for issuance.</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statements for the year ended December 31, 2018 and remain unchanged.</w:t>
      </w:r>
    </w:p>
    <w:p>
      <w:pPr>
        <w:spacing w:after="0" w:line="113"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63" w:lineRule="exact"/>
        <w:rPr>
          <w:sz w:val="20"/>
          <w:szCs w:val="20"/>
          <w:color w:val="auto"/>
        </w:rPr>
      </w:pPr>
    </w:p>
    <w:p>
      <w:pPr>
        <w:ind w:right="40" w:firstLine="396"/>
        <w:spacing w:after="0" w:line="297" w:lineRule="auto"/>
        <w:rPr>
          <w:sz w:val="20"/>
          <w:szCs w:val="20"/>
          <w:color w:val="auto"/>
        </w:rPr>
      </w:pPr>
      <w:r>
        <w:rPr>
          <w:rFonts w:ascii="Arial" w:cs="Arial" w:eastAsia="Arial" w:hAnsi="Arial"/>
          <w:sz w:val="15"/>
          <w:szCs w:val="15"/>
          <w:color w:val="auto"/>
        </w:rPr>
        <w:t>Management anticipates that the Partnership’s primary sources of funds will be available cash, cash from operations, borrowings under existing debt and future debt and equity financings, if any.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20" w:firstLine="324"/>
        <w:spacing w:after="0" w:line="291"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is effective from January 1, 2019.</w:t>
      </w:r>
    </w:p>
    <w:p>
      <w:pPr>
        <w:spacing w:after="0" w:line="177" w:lineRule="exact"/>
        <w:rPr>
          <w:sz w:val="20"/>
          <w:szCs w:val="20"/>
          <w:color w:val="auto"/>
        </w:rPr>
      </w:pPr>
    </w:p>
    <w:p>
      <w:pPr>
        <w:ind w:right="80" w:firstLine="324"/>
        <w:spacing w:after="0" w:line="293" w:lineRule="auto"/>
        <w:rPr>
          <w:sz w:val="20"/>
          <w:szCs w:val="20"/>
          <w:color w:val="auto"/>
        </w:rPr>
      </w:pPr>
      <w:r>
        <w:rPr>
          <w:rFonts w:ascii="Arial" w:cs="Arial" w:eastAsia="Arial" w:hAnsi="Arial"/>
          <w:sz w:val="15"/>
          <w:szCs w:val="15"/>
          <w:color w:val="auto"/>
        </w:rPr>
        <w:t>The Partnership leases various types of vessels’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on the date when the leased asset is available for use by the Partnership.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Assets and liabilities arising from a lease are initially measured on a present value basis. Lease liabilities include the net present value of the following lease payments:</w:t>
      </w:r>
    </w:p>
    <w:p>
      <w:pPr>
        <w:spacing w:after="0" w:line="45"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fixed payments (including in-substance fixed payments), less any lease incentives receivable, (b) variable lease payments that are based on an index or a rate (if any),</w:t>
      </w:r>
    </w:p>
    <w:p>
      <w:pPr>
        <w:spacing w:after="0" w:line="30" w:lineRule="exact"/>
        <w:rPr>
          <w:rFonts w:ascii="Arial" w:cs="Arial" w:eastAsia="Arial" w:hAnsi="Arial"/>
          <w:sz w:val="15"/>
          <w:szCs w:val="15"/>
          <w:color w:val="auto"/>
        </w:rPr>
      </w:pPr>
    </w:p>
    <w:p>
      <w:pPr>
        <w:ind w:firstLine="8"/>
        <w:spacing w:after="0" w:line="301"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Right-of-use assets are measured at cost comprising the following: (a) the amount of the initial measurement of lease liability, (b) any lease payments made at or before the commencement date less any lease incentives received,</w:t>
      </w:r>
    </w:p>
    <w:p>
      <w:pPr>
        <w:spacing w:after="0" w:line="2" w:lineRule="exact"/>
        <w:rPr>
          <w:rFonts w:ascii="Arial" w:cs="Arial" w:eastAsia="Arial" w:hAnsi="Arial"/>
          <w:sz w:val="14"/>
          <w:szCs w:val="14"/>
          <w:color w:val="auto"/>
        </w:rPr>
      </w:pPr>
    </w:p>
    <w:p>
      <w:pPr>
        <w:ind w:right="60" w:firstLine="8"/>
        <w:spacing w:after="0" w:line="288"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initial direct costs, and (d) any restoration costs. Payments associated with short-term leases and leases of low-value assets are recognized on a straight-line basis as an expense in profit or loss. Short-term leases are leases with a lease term of 12 months or less.</w:t>
      </w:r>
    </w:p>
    <w:p>
      <w:pPr>
        <w:spacing w:after="0" w:line="176"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 xml:space="preserve">For leases where the Partnership is the lessee, the Partnership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resulted in an increase in total assets of $1,585, an increase in retained earnings of $192 and an increase in total liabilities of $1,393.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20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20"/>
                <w:szCs w:val="20"/>
                <w:color w:val="auto"/>
              </w:rPr>
            </w:pPr>
            <w:r>
              <w:rPr>
                <w:rFonts w:ascii="Arial" w:cs="Arial" w:eastAsia="Arial" w:hAnsi="Arial"/>
                <w:sz w:val="16"/>
                <w:szCs w:val="16"/>
                <w:b w:val="1"/>
                <w:bCs w:val="1"/>
                <w:i w:val="1"/>
                <w:iCs w:val="1"/>
                <w:color w:val="auto"/>
              </w:rPr>
              <w:t>Amounts due from related parties</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6"/>
        </w:trPr>
        <w:tc>
          <w:tcPr>
            <w:tcW w:w="7440" w:type="dxa"/>
            <w:vAlign w:val="bottom"/>
          </w:tcPr>
          <w:p>
            <w:pPr>
              <w:spacing w:after="0"/>
              <w:rPr>
                <w:sz w:val="21"/>
                <w:szCs w:val="21"/>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1600" w:type="dxa"/>
            <w:vAlign w:val="bottom"/>
          </w:tcPr>
          <w:p>
            <w:pPr>
              <w:jc w:val="right"/>
              <w:ind w:right="241"/>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744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Due from GasLog Carriers Ltd. (“GasLog Carriers”) </w:t>
            </w:r>
            <w:r>
              <w:rPr>
                <w:rFonts w:ascii="Arial" w:cs="Arial" w:eastAsia="Arial" w:hAnsi="Arial"/>
                <w:sz w:val="21"/>
                <w:szCs w:val="21"/>
                <w:color w:val="auto"/>
                <w:vertAlign w:val="superscript"/>
              </w:rPr>
              <w:t>(a)</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9,259</w:t>
            </w:r>
          </w:p>
        </w:tc>
        <w:tc>
          <w:tcPr>
            <w:tcW w:w="20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44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 xml:space="preserve">Due from the Cool Pool </w:t>
            </w:r>
            <w:r>
              <w:rPr>
                <w:rFonts w:ascii="Arial" w:cs="Arial" w:eastAsia="Arial" w:hAnsi="Arial"/>
                <w:sz w:val="21"/>
                <w:szCs w:val="21"/>
                <w:color w:val="auto"/>
                <w:vertAlign w:val="superscript"/>
              </w:rPr>
              <w:t>(b)</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200" w:type="dxa"/>
            <w:vAlign w:val="bottom"/>
            <w:tcBorders>
              <w:bottom w:val="single" w:sz="8" w:color="E5FF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r>
      <w:tr>
        <w:trPr>
          <w:trHeight w:val="196"/>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14,540</w:t>
            </w:r>
          </w:p>
        </w:tc>
        <w:tc>
          <w:tcPr>
            <w:tcW w:w="20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1,367</w:t>
            </w: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6"/>
        </w:trPr>
        <w:tc>
          <w:tcPr>
            <w:tcW w:w="7440" w:type="dxa"/>
            <w:vAlign w:val="bottom"/>
          </w:tcPr>
          <w:p>
            <w:pPr>
              <w:spacing w:after="0"/>
              <w:rPr>
                <w:sz w:val="21"/>
                <w:szCs w:val="21"/>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744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(c)</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1,969</w:t>
            </w:r>
          </w:p>
        </w:tc>
        <w:tc>
          <w:tcPr>
            <w:tcW w:w="20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3,446</w:t>
            </w:r>
          </w:p>
        </w:tc>
      </w:tr>
      <w:tr>
        <w:trPr>
          <w:trHeight w:val="203"/>
        </w:trPr>
        <w:tc>
          <w:tcPr>
            <w:tcW w:w="744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200" w:type="dxa"/>
            <w:vAlign w:val="bottom"/>
            <w:tcBorders>
              <w:bottom w:val="single" w:sz="8" w:color="E5FF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196"/>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2,623</w:t>
            </w:r>
          </w:p>
        </w:tc>
        <w:tc>
          <w:tcPr>
            <w:tcW w:w="20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3,872</w:t>
            </w: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right="40" w:hanging="328"/>
        <w:spacing w:after="0" w:line="189" w:lineRule="auto"/>
        <w:tabs>
          <w:tab w:leader="none" w:pos="655"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As of December 31, 2018, the balance due from GasLog Carriers, the parent company of GAS-twelve Ltd. prior to its acquisition by the Partnership on April 1, 2019, represented mainly net amounts advanced to GasLog Carriers to cover future operating expenses. As of June 30, 2019, the outstanding balance had been fully collected.</w:t>
      </w:r>
    </w:p>
    <w:p>
      <w:pPr>
        <w:spacing w:after="0" w:line="1" w:lineRule="exact"/>
        <w:rPr>
          <w:rFonts w:ascii="Arial" w:cs="Arial" w:eastAsia="Arial" w:hAnsi="Arial"/>
          <w:sz w:val="21"/>
          <w:szCs w:val="21"/>
          <w:color w:val="auto"/>
          <w:vertAlign w:val="superscript"/>
        </w:rPr>
      </w:pPr>
    </w:p>
    <w:p>
      <w:pPr>
        <w:ind w:left="660" w:right="100" w:hanging="328"/>
        <w:spacing w:after="0" w:line="190"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color w:val="auto"/>
        </w:rPr>
        <w:t xml:space="preserve">In May 2018, the Partnership, through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entered the Cool Pool, an LNG carrier pooling arrangement operated by GasLog and Golar LNG Ltd. (“Golar”) (the “Cool Pool”) to market their vessels operating in the LNG shipping spot market. The receivable balances as of December 31, 2018 and June 30, 2019 comprise outstanding pool distributions. On June 23, 2019,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exited the pool following a termination agreement dated June 6, 2019 which GasLog entered into with the Cool Pool and Golar in order to assume commercial control of GasLog’s and GasLog Partners’ vessels operating in the spot market.</w:t>
      </w:r>
    </w:p>
    <w:p>
      <w:pPr>
        <w:spacing w:after="0" w:line="2" w:lineRule="exact"/>
        <w:rPr>
          <w:rFonts w:ascii="Arial" w:cs="Arial" w:eastAsia="Arial" w:hAnsi="Arial"/>
          <w:sz w:val="23"/>
          <w:szCs w:val="23"/>
          <w:color w:val="auto"/>
          <w:vertAlign w:val="superscript"/>
        </w:rPr>
      </w:pPr>
    </w:p>
    <w:p>
      <w:pPr>
        <w:ind w:left="660" w:hanging="328"/>
        <w:spacing w:after="0" w:line="182" w:lineRule="auto"/>
        <w:tabs>
          <w:tab w:leader="none" w:pos="660"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The balances as of December 31, 2018 and June 30, 2019 represent mainly payments made by the Manager on behalf of the Partnership.</w:t>
      </w:r>
    </w:p>
    <w:p>
      <w:pPr>
        <w:ind w:left="640" w:hanging="308"/>
        <w:spacing w:after="0" w:line="187" w:lineRule="auto"/>
        <w:tabs>
          <w:tab w:leader="none" w:pos="640" w:val="left"/>
        </w:tabs>
        <w:numPr>
          <w:ilvl w:val="0"/>
          <w:numId w:val="24"/>
        </w:numPr>
        <w:rPr>
          <w:rFonts w:ascii="Arial" w:cs="Arial" w:eastAsia="Arial" w:hAnsi="Arial"/>
          <w:sz w:val="19"/>
          <w:szCs w:val="19"/>
          <w:color w:val="auto"/>
          <w:vertAlign w:val="superscript"/>
        </w:rPr>
      </w:pPr>
      <w:r>
        <w:rPr>
          <w:rFonts w:ascii="Arial" w:cs="Arial" w:eastAsia="Arial" w:hAnsi="Arial"/>
          <w:sz w:val="12"/>
          <w:szCs w:val="12"/>
          <w:color w:val="auto"/>
        </w:rPr>
        <w:t>The balances represent mainly payments made by GasLog on behalf of the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620" w:firstLine="405"/>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2018.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and June 30, 2019, the amount outstanding under the Sponsor Credit Facility was nil.</w:t>
      </w:r>
    </w:p>
    <w:p>
      <w:pPr>
        <w:spacing w:after="0" w:line="235" w:lineRule="exact"/>
        <w:rPr>
          <w:sz w:val="20"/>
          <w:szCs w:val="20"/>
          <w:color w:val="auto"/>
        </w:rPr>
      </w:pPr>
    </w:p>
    <w:p>
      <w:pPr>
        <w:ind w:right="60" w:firstLine="324"/>
        <w:spacing w:after="0" w:line="282"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and six months ended June 30, 2018 and 2019:</w:t>
      </w: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22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six months ended</w:t>
            </w:r>
          </w:p>
        </w:tc>
      </w:tr>
      <w:tr>
        <w:trPr>
          <w:trHeight w:val="188"/>
        </w:trPr>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E5FFFF"/>
            </w:tcBorders>
          </w:tcPr>
          <w:p>
            <w:pPr>
              <w:spacing w:after="0"/>
              <w:rPr>
                <w:sz w:val="16"/>
                <w:szCs w:val="16"/>
                <w:color w:val="auto"/>
              </w:rPr>
            </w:pPr>
          </w:p>
        </w:tc>
        <w:tc>
          <w:tcPr>
            <w:tcW w:w="21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Details</w:t>
            </w:r>
          </w:p>
        </w:tc>
        <w:tc>
          <w:tcPr>
            <w:tcW w:w="100" w:type="dxa"/>
            <w:vAlign w:val="bottom"/>
            <w:tcBorders>
              <w:bottom w:val="single" w:sz="8" w:color="E5FFFF"/>
            </w:tcBorders>
          </w:tcPr>
          <w:p>
            <w:pPr>
              <w:spacing w:after="0"/>
              <w:rPr>
                <w:sz w:val="16"/>
                <w:szCs w:val="16"/>
                <w:color w:val="auto"/>
              </w:rPr>
            </w:pPr>
          </w:p>
        </w:tc>
        <w:tc>
          <w:tcPr>
            <w:tcW w:w="25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Account</w:t>
            </w:r>
          </w:p>
        </w:tc>
        <w:tc>
          <w:tcPr>
            <w:tcW w:w="100" w:type="dxa"/>
            <w:vAlign w:val="bottom"/>
            <w:tcBorders>
              <w:bottom w:val="single" w:sz="8" w:color="E5FFFF"/>
            </w:tcBorders>
          </w:tcPr>
          <w:p>
            <w:pPr>
              <w:spacing w:after="0"/>
              <w:rPr>
                <w:sz w:val="16"/>
                <w:szCs w:val="16"/>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E5FF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Borders>
              <w:bottom w:val="single" w:sz="8" w:color="E5FF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Borders>
              <w:bottom w:val="single" w:sz="8" w:color="E5FFFF"/>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Pr>
          <w:p>
            <w:pPr>
              <w:spacing w:after="0"/>
              <w:rPr>
                <w:sz w:val="16"/>
                <w:szCs w:val="16"/>
                <w:color w:val="auto"/>
              </w:rPr>
            </w:pPr>
          </w:p>
        </w:tc>
      </w:tr>
      <w:tr>
        <w:trPr>
          <w:trHeight w:val="169"/>
        </w:trPr>
        <w:tc>
          <w:tcPr>
            <w:tcW w:w="1700" w:type="dxa"/>
            <w:vAlign w:val="bottom"/>
            <w:shd w:val="clear" w:color="auto" w:fill="E5FFFF"/>
          </w:tcPr>
          <w:p>
            <w:pPr>
              <w:spacing w:after="0"/>
              <w:rPr>
                <w:sz w:val="20"/>
                <w:szCs w:val="20"/>
                <w:color w:val="auto"/>
              </w:rPr>
            </w:pPr>
            <w:r>
              <w:rPr>
                <w:rFonts w:ascii="Arial" w:cs="Arial" w:eastAsia="Arial" w:hAnsi="Arial"/>
                <w:sz w:val="14"/>
                <w:szCs w:val="14"/>
                <w:color w:val="auto"/>
              </w:rPr>
              <w:t>GasLog</w:t>
            </w:r>
          </w:p>
        </w:tc>
        <w:tc>
          <w:tcPr>
            <w:tcW w:w="120" w:type="dxa"/>
            <w:vAlign w:val="bottom"/>
            <w:shd w:val="clear" w:color="auto" w:fill="E5FFFF"/>
          </w:tcPr>
          <w:p>
            <w:pPr>
              <w:spacing w:after="0"/>
              <w:rPr>
                <w:sz w:val="14"/>
                <w:szCs w:val="14"/>
                <w:color w:val="auto"/>
              </w:rPr>
            </w:pPr>
          </w:p>
        </w:tc>
        <w:tc>
          <w:tcPr>
            <w:tcW w:w="2180" w:type="dxa"/>
            <w:vAlign w:val="bottom"/>
            <w:shd w:val="clear" w:color="auto" w:fill="E5FFFF"/>
          </w:tcPr>
          <w:p>
            <w:pPr>
              <w:spacing w:after="0" w:line="169" w:lineRule="exact"/>
              <w:rPr>
                <w:sz w:val="20"/>
                <w:szCs w:val="20"/>
                <w:color w:val="auto"/>
              </w:rPr>
            </w:pPr>
            <w:r>
              <w:rPr>
                <w:rFonts w:ascii="Arial" w:cs="Arial" w:eastAsia="Arial" w:hAnsi="Arial"/>
                <w:sz w:val="14"/>
                <w:szCs w:val="14"/>
                <w:color w:val="auto"/>
              </w:rPr>
              <w:t>Commercial management fee</w:t>
            </w:r>
            <w:r>
              <w:rPr>
                <w:rFonts w:ascii="Arial" w:cs="Arial" w:eastAsia="Arial" w:hAnsi="Arial"/>
                <w:sz w:val="17"/>
                <w:szCs w:val="17"/>
                <w:color w:val="auto"/>
                <w:vertAlign w:val="superscript"/>
              </w:rPr>
              <w:t>(i)</w:t>
            </w:r>
          </w:p>
        </w:tc>
        <w:tc>
          <w:tcPr>
            <w:tcW w:w="100" w:type="dxa"/>
            <w:vAlign w:val="bottom"/>
            <w:shd w:val="clear" w:color="auto" w:fill="E5FFFF"/>
          </w:tcPr>
          <w:p>
            <w:pPr>
              <w:spacing w:after="0"/>
              <w:rPr>
                <w:sz w:val="14"/>
                <w:szCs w:val="14"/>
                <w:color w:val="auto"/>
              </w:rPr>
            </w:pPr>
          </w:p>
        </w:tc>
        <w:tc>
          <w:tcPr>
            <w:tcW w:w="2560" w:type="dxa"/>
            <w:vAlign w:val="bottom"/>
            <w:shd w:val="clear" w:color="auto" w:fill="E5FFFF"/>
          </w:tcPr>
          <w:p>
            <w:pPr>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shd w:val="clear" w:color="auto" w:fill="E5FFFF"/>
          </w:tcPr>
          <w:p>
            <w:pPr>
              <w:spacing w:after="0"/>
              <w:rPr>
                <w:sz w:val="14"/>
                <w:szCs w:val="14"/>
                <w:color w:val="auto"/>
              </w:rPr>
            </w:pPr>
          </w:p>
        </w:tc>
        <w:tc>
          <w:tcPr>
            <w:tcW w:w="12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1,350</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1,350</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2,700</w:t>
            </w:r>
          </w:p>
        </w:tc>
        <w:tc>
          <w:tcPr>
            <w:tcW w:w="10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4"/>
                <w:szCs w:val="14"/>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4"/>
                <w:szCs w:val="14"/>
                <w:color w:val="auto"/>
              </w:rPr>
              <w:t>GasLog</w:t>
            </w:r>
          </w:p>
        </w:tc>
        <w:tc>
          <w:tcPr>
            <w:tcW w:w="2280" w:type="dxa"/>
            <w:vAlign w:val="bottom"/>
            <w:gridSpan w:val="2"/>
          </w:tcPr>
          <w:p>
            <w:pPr>
              <w:spacing w:after="0" w:line="189" w:lineRule="exact"/>
              <w:rPr>
                <w:sz w:val="20"/>
                <w:szCs w:val="20"/>
                <w:color w:val="auto"/>
              </w:rPr>
            </w:pPr>
            <w:r>
              <w:rPr>
                <w:rFonts w:ascii="Arial" w:cs="Arial" w:eastAsia="Arial" w:hAnsi="Arial"/>
                <w:sz w:val="14"/>
                <w:szCs w:val="14"/>
                <w:color w:val="auto"/>
              </w:rPr>
              <w:t>Administrative services fee</w:t>
            </w:r>
            <w:r>
              <w:rPr>
                <w:rFonts w:ascii="Arial" w:cs="Arial" w:eastAsia="Arial" w:hAnsi="Arial"/>
                <w:sz w:val="17"/>
                <w:szCs w:val="17"/>
                <w:color w:val="auto"/>
                <w:vertAlign w:val="superscript"/>
              </w:rPr>
              <w:t>(ii)</w:t>
            </w:r>
          </w:p>
        </w:tc>
        <w:tc>
          <w:tcPr>
            <w:tcW w:w="266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2,581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2,279</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5,016</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4,406</w:t>
            </w:r>
          </w:p>
        </w:tc>
      </w:tr>
      <w:tr>
        <w:trPr>
          <w:trHeight w:val="189"/>
        </w:trPr>
        <w:tc>
          <w:tcPr>
            <w:tcW w:w="182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 LNG Services</w:t>
            </w:r>
          </w:p>
        </w:tc>
        <w:tc>
          <w:tcPr>
            <w:tcW w:w="2280" w:type="dxa"/>
            <w:vAlign w:val="bottom"/>
            <w:gridSpan w:val="2"/>
            <w:shd w:val="clear" w:color="auto" w:fill="E5FFFF"/>
          </w:tcPr>
          <w:p>
            <w:pPr>
              <w:spacing w:after="0" w:line="18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266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Vessel operating costs</w:t>
            </w:r>
          </w:p>
        </w:tc>
        <w:tc>
          <w:tcPr>
            <w:tcW w:w="12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1,932</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1,932</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3,864</w:t>
            </w:r>
          </w:p>
        </w:tc>
        <w:tc>
          <w:tcPr>
            <w:tcW w:w="10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3,864</w:t>
            </w:r>
          </w:p>
        </w:tc>
        <w:tc>
          <w:tcPr>
            <w:tcW w:w="60" w:type="dxa"/>
            <w:vAlign w:val="bottom"/>
          </w:tcPr>
          <w:p>
            <w:pPr>
              <w:spacing w:after="0"/>
              <w:rPr>
                <w:sz w:val="16"/>
                <w:szCs w:val="16"/>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4"/>
                <w:szCs w:val="14"/>
                <w:color w:val="auto"/>
              </w:rPr>
              <w:t>GasLog LNG Services</w:t>
            </w:r>
          </w:p>
        </w:tc>
        <w:tc>
          <w:tcPr>
            <w:tcW w:w="2280" w:type="dxa"/>
            <w:vAlign w:val="bottom"/>
            <w:gridSpan w:val="2"/>
          </w:tcPr>
          <w:p>
            <w:pPr>
              <w:spacing w:after="0"/>
              <w:rPr>
                <w:sz w:val="20"/>
                <w:szCs w:val="20"/>
                <w:color w:val="auto"/>
              </w:rPr>
            </w:pPr>
            <w:r>
              <w:rPr>
                <w:rFonts w:ascii="Arial" w:cs="Arial" w:eastAsia="Arial" w:hAnsi="Arial"/>
                <w:sz w:val="14"/>
                <w:szCs w:val="14"/>
                <w:color w:val="auto"/>
              </w:rPr>
              <w:t>Other vessel operating costs</w:t>
            </w:r>
          </w:p>
        </w:tc>
        <w:tc>
          <w:tcPr>
            <w:tcW w:w="2660" w:type="dxa"/>
            <w:vAlign w:val="bottom"/>
            <w:gridSpan w:val="2"/>
          </w:tcPr>
          <w:p>
            <w:pPr>
              <w:spacing w:after="0"/>
              <w:rPr>
                <w:sz w:val="20"/>
                <w:szCs w:val="20"/>
                <w:color w:val="auto"/>
              </w:rPr>
            </w:pPr>
            <w:r>
              <w:rPr>
                <w:rFonts w:ascii="Arial" w:cs="Arial" w:eastAsia="Arial" w:hAnsi="Arial"/>
                <w:sz w:val="14"/>
                <w:szCs w:val="14"/>
                <w:color w:val="auto"/>
              </w:rPr>
              <w:t>Vessel operating costs</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18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2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Interest expense under Sponsor</w:t>
            </w:r>
          </w:p>
        </w:tc>
        <w:tc>
          <w:tcPr>
            <w:tcW w:w="266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Financial costs</w:t>
            </w:r>
          </w:p>
        </w:tc>
        <w:tc>
          <w:tcPr>
            <w:tcW w:w="11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080" w:type="dxa"/>
            <w:vAlign w:val="bottom"/>
            <w:shd w:val="clear" w:color="auto" w:fill="E5FFFF"/>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17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22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Credit Facility</w:t>
            </w:r>
          </w:p>
        </w:tc>
        <w:tc>
          <w:tcPr>
            <w:tcW w:w="25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935</w:t>
            </w:r>
          </w:p>
        </w:tc>
        <w:tc>
          <w:tcPr>
            <w:tcW w:w="10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30"/>
        </w:trPr>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Commitment fee under Sponsor</w:t>
            </w:r>
          </w:p>
        </w:tc>
        <w:tc>
          <w:tcPr>
            <w:tcW w:w="2660" w:type="dxa"/>
            <w:vAlign w:val="bottom"/>
            <w:gridSpan w:val="2"/>
          </w:tcPr>
          <w:p>
            <w:pPr>
              <w:spacing w:after="0" w:line="130" w:lineRule="exact"/>
              <w:rPr>
                <w:sz w:val="20"/>
                <w:szCs w:val="20"/>
                <w:color w:val="auto"/>
              </w:rPr>
            </w:pPr>
            <w:r>
              <w:rPr>
                <w:rFonts w:ascii="Arial" w:cs="Arial" w:eastAsia="Arial" w:hAnsi="Arial"/>
                <w:sz w:val="14"/>
                <w:szCs w:val="14"/>
                <w:color w:val="auto"/>
              </w:rPr>
              <w:t>Financial costs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Credit Facility</w:t>
            </w: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080" w:type="dxa"/>
            <w:vAlign w:val="bottom"/>
          </w:tcPr>
          <w:p>
            <w:pPr>
              <w:jc w:val="right"/>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14"/>
                <w:szCs w:val="14"/>
                <w:color w:val="auto"/>
              </w:rPr>
            </w:pPr>
          </w:p>
        </w:tc>
      </w:tr>
      <w:tr>
        <w:trPr>
          <w:trHeight w:val="130"/>
        </w:trPr>
        <w:tc>
          <w:tcPr>
            <w:tcW w:w="18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2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Realized gain on interest rate swaps</w:t>
            </w:r>
          </w:p>
        </w:tc>
        <w:tc>
          <w:tcPr>
            <w:tcW w:w="266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Gain/(loss) on derivatives</w:t>
            </w:r>
          </w:p>
        </w:tc>
        <w:tc>
          <w:tcPr>
            <w:tcW w:w="11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080" w:type="dxa"/>
            <w:vAlign w:val="bottom"/>
            <w:shd w:val="clear" w:color="auto" w:fill="E5FFFF"/>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17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22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(Note 13)</w:t>
            </w:r>
          </w:p>
        </w:tc>
        <w:tc>
          <w:tcPr>
            <w:tcW w:w="25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(587)</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(831)</w:t>
            </w:r>
          </w:p>
        </w:tc>
        <w:tc>
          <w:tcPr>
            <w:tcW w:w="112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(544)</w:t>
            </w:r>
          </w:p>
        </w:tc>
        <w:tc>
          <w:tcPr>
            <w:tcW w:w="10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(1,928)</w:t>
            </w:r>
          </w:p>
        </w:tc>
        <w:tc>
          <w:tcPr>
            <w:tcW w:w="60" w:type="dxa"/>
            <w:vAlign w:val="bottom"/>
          </w:tcPr>
          <w:p>
            <w:pPr>
              <w:spacing w:after="0"/>
              <w:rPr>
                <w:sz w:val="14"/>
                <w:szCs w:val="14"/>
                <w:color w:val="auto"/>
              </w:rPr>
            </w:pPr>
          </w:p>
        </w:tc>
      </w:tr>
      <w:tr>
        <w:trPr>
          <w:trHeight w:val="130"/>
        </w:trPr>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Realized loss on forward foreign</w:t>
            </w:r>
          </w:p>
        </w:tc>
        <w:tc>
          <w:tcPr>
            <w:tcW w:w="2660" w:type="dxa"/>
            <w:vAlign w:val="bottom"/>
            <w:gridSpan w:val="2"/>
          </w:tcPr>
          <w:p>
            <w:pPr>
              <w:spacing w:after="0" w:line="130" w:lineRule="exact"/>
              <w:rPr>
                <w:sz w:val="20"/>
                <w:szCs w:val="20"/>
                <w:color w:val="auto"/>
              </w:rPr>
            </w:pPr>
            <w:r>
              <w:rPr>
                <w:rFonts w:ascii="Arial" w:cs="Arial" w:eastAsia="Arial" w:hAnsi="Arial"/>
                <w:sz w:val="14"/>
                <w:szCs w:val="14"/>
                <w:color w:val="auto"/>
              </w:rPr>
              <w:t>Gain/(loss) on derivatives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exchange contracts held for trading</w:t>
            </w: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(Note 13)</w:t>
            </w: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451</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818</w:t>
            </w:r>
          </w:p>
        </w:tc>
        <w:tc>
          <w:tcPr>
            <w:tcW w:w="60" w:type="dxa"/>
            <w:vAlign w:val="bottom"/>
          </w:tcPr>
          <w:p>
            <w:pPr>
              <w:spacing w:after="0"/>
              <w:rPr>
                <w:sz w:val="14"/>
                <w:szCs w:val="14"/>
                <w:color w:val="auto"/>
              </w:rPr>
            </w:pPr>
          </w:p>
        </w:tc>
      </w:tr>
      <w:tr>
        <w:trPr>
          <w:trHeight w:val="189"/>
        </w:trPr>
        <w:tc>
          <w:tcPr>
            <w:tcW w:w="182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Cool Pool</w:t>
            </w:r>
          </w:p>
        </w:tc>
        <w:tc>
          <w:tcPr>
            <w:tcW w:w="22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Adjustment for net pool allocation</w:t>
            </w:r>
          </w:p>
        </w:tc>
        <w:tc>
          <w:tcPr>
            <w:tcW w:w="266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Net pool allocation</w:t>
            </w:r>
          </w:p>
        </w:tc>
        <w:tc>
          <w:tcPr>
            <w:tcW w:w="12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357</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(1,024)</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357</w:t>
            </w:r>
          </w:p>
        </w:tc>
        <w:tc>
          <w:tcPr>
            <w:tcW w:w="10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(1,058)</w:t>
            </w:r>
          </w:p>
        </w:tc>
        <w:tc>
          <w:tcPr>
            <w:tcW w:w="60" w:type="dxa"/>
            <w:vAlign w:val="bottom"/>
          </w:tcPr>
          <w:p>
            <w:pPr>
              <w:spacing w:after="0"/>
              <w:rPr>
                <w:sz w:val="16"/>
                <w:szCs w:val="16"/>
                <w:color w:val="auto"/>
              </w:rPr>
            </w:pPr>
          </w:p>
        </w:tc>
      </w:tr>
    </w:tbl>
    <w:p>
      <w:pPr>
        <w:spacing w:after="0" w:line="51" w:lineRule="exact"/>
        <w:rPr>
          <w:sz w:val="20"/>
          <w:szCs w:val="20"/>
          <w:color w:val="auto"/>
        </w:rPr>
      </w:pPr>
    </w:p>
    <w:p>
      <w:pPr>
        <w:ind w:left="340" w:hanging="202"/>
        <w:spacing w:after="0"/>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45" w:lineRule="exact"/>
        <w:rPr>
          <w:rFonts w:ascii="Arial" w:cs="Arial" w:eastAsia="Arial" w:hAnsi="Arial"/>
          <w:sz w:val="18"/>
          <w:szCs w:val="18"/>
          <w:color w:val="auto"/>
          <w:vertAlign w:val="superscript"/>
        </w:rPr>
      </w:pPr>
    </w:p>
    <w:p>
      <w:pPr>
        <w:ind w:left="340" w:right="100"/>
        <w:spacing w:after="0" w:line="226" w:lineRule="auto"/>
        <w:rPr>
          <w:rFonts w:ascii="Arial" w:cs="Arial" w:eastAsia="Arial" w:hAnsi="Arial"/>
          <w:sz w:val="18"/>
          <w:szCs w:val="18"/>
          <w:color w:val="auto"/>
          <w:vertAlign w:val="superscript"/>
        </w:rPr>
      </w:pPr>
      <w:r>
        <w:rPr>
          <w:rFonts w:ascii="Arial" w:cs="Arial" w:eastAsia="Arial" w:hAnsi="Arial"/>
          <w:sz w:val="14"/>
          <w:szCs w:val="14"/>
          <w:color w:val="auto"/>
        </w:rPr>
        <w:t>Upon completion of the IPO on May 12, 2014, GAS-three Ltd., GAS-four Ltd. and GAS-five Ltd.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37" w:lineRule="exact"/>
        <w:rPr>
          <w:rFonts w:ascii="Arial" w:cs="Arial" w:eastAsia="Arial" w:hAnsi="Arial"/>
          <w:sz w:val="18"/>
          <w:szCs w:val="18"/>
          <w:color w:val="auto"/>
          <w:vertAlign w:val="superscript"/>
        </w:rPr>
      </w:pPr>
    </w:p>
    <w:p>
      <w:pPr>
        <w:ind w:left="340" w:right="2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 xml:space="preserve">The same provisions are included in the commercial management agreements that GAS-eleven Ltd., GAS-twelve Ltd., GAS-thirteen Ltd., GAS-fourteen Ltd., GAS-sixteen Ltd., GAS-seventeen Ltd., GAS-nineteen Ltd., GAS-twenty Ltd., GAS-twenty one Ltd. and GAS-twenty seven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Glasgow</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Geneva</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Gibraltar</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Rita Andrea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Becki Anne</w:t>
      </w:r>
      <w:r>
        <w:rPr>
          <w:rFonts w:ascii="Arial" w:cs="Arial" w:eastAsia="Arial" w:hAnsi="Arial"/>
          <w:sz w:val="14"/>
          <w:szCs w:val="14"/>
          <w:color w:val="auto"/>
        </w:rPr>
        <w:t>, respectively, into GasLog’s fleet in March 2016, June 2016, September 2016, October 2016, April 2014, June 2014 and March 2015 (together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Amended Commercial Management Agreements and the commercial management agreements entered into by GAS-seven Ltd. and GAS-eight Ltd. with GasLog, the “Commercial Management Agreements”).</w:t>
      </w:r>
    </w:p>
    <w:p>
      <w:pPr>
        <w:spacing w:after="0" w:line="12" w:lineRule="exact"/>
        <w:rPr>
          <w:rFonts w:ascii="Arial" w:cs="Arial" w:eastAsia="Arial" w:hAnsi="Arial"/>
          <w:sz w:val="18"/>
          <w:szCs w:val="18"/>
          <w:color w:val="auto"/>
          <w:vertAlign w:val="superscript"/>
        </w:rPr>
      </w:pPr>
    </w:p>
    <w:p>
      <w:pPr>
        <w:ind w:left="320" w:hanging="182"/>
        <w:spacing w:after="0"/>
        <w:tabs>
          <w:tab w:leader="none" w:pos="3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45" w:lineRule="exact"/>
        <w:rPr>
          <w:rFonts w:ascii="Arial" w:cs="Arial" w:eastAsia="Arial" w:hAnsi="Arial"/>
          <w:sz w:val="18"/>
          <w:szCs w:val="18"/>
          <w:color w:val="auto"/>
          <w:vertAlign w:val="superscript"/>
        </w:rPr>
      </w:pPr>
    </w:p>
    <w:p>
      <w:pPr>
        <w:ind w:left="340" w:right="40"/>
        <w:spacing w:after="0" w:line="245" w:lineRule="auto"/>
        <w:rPr>
          <w:rFonts w:ascii="Arial" w:cs="Arial" w:eastAsia="Arial" w:hAnsi="Arial"/>
          <w:sz w:val="18"/>
          <w:szCs w:val="18"/>
          <w:color w:val="auto"/>
          <w:vertAlign w:val="superscript"/>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For the years ended December 31, 2017 and December 31, 2018, the annual service fee was $632 and $812 per vessel per year, respectively. With effect from January 1, 2019, the service fee was amended to $608 per vessel per year.</w:t>
      </w:r>
    </w:p>
    <w:p>
      <w:pPr>
        <w:spacing w:after="0" w:line="6" w:lineRule="exact"/>
        <w:rPr>
          <w:rFonts w:ascii="Arial" w:cs="Arial" w:eastAsia="Arial" w:hAnsi="Arial"/>
          <w:sz w:val="18"/>
          <w:szCs w:val="18"/>
          <w:color w:val="auto"/>
          <w:vertAlign w:val="superscript"/>
        </w:rPr>
      </w:pPr>
    </w:p>
    <w:p>
      <w:pPr>
        <w:ind w:left="320" w:hanging="182"/>
        <w:spacing w:after="0"/>
        <w:tabs>
          <w:tab w:leader="none" w:pos="3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34" w:name="page35"/>
    <w:bookmarkEnd w:id="34"/>
    <w:p>
      <w:pPr>
        <w:ind w:left="340" w:right="20"/>
        <w:spacing w:after="0" w:line="242" w:lineRule="auto"/>
        <w:rPr>
          <w:sz w:val="20"/>
          <w:szCs w:val="20"/>
          <w:color w:val="auto"/>
        </w:rPr>
      </w:pPr>
      <w:r>
        <w:rPr>
          <w:rFonts w:ascii="Arial" w:cs="Arial" w:eastAsia="Arial" w:hAnsi="Arial"/>
          <w:sz w:val="13"/>
          <w:szCs w:val="13"/>
          <w:color w:val="auto"/>
        </w:rPr>
        <w:t xml:space="preserve">Upon completion of the IPO on May 12, 2014, GAS-three Ltd., GAS-four Ltd. and GAS-five Ltd.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w:t>
      </w:r>
      <w:r>
        <w:rPr>
          <w:rFonts w:ascii="Arial" w:cs="Arial" w:eastAsia="Arial" w:hAnsi="Arial"/>
          <w:sz w:val="13"/>
          <w:szCs w:val="13"/>
          <w:color w:val="auto"/>
        </w:rPr>
        <w:t xml:space="preserve"> </w:t>
      </w:r>
      <w:r>
        <w:rPr>
          <w:rFonts w:ascii="Arial" w:cs="Arial" w:eastAsia="Arial" w:hAnsi="Arial"/>
          <w:sz w:val="13"/>
          <w:szCs w:val="13"/>
          <w:i w:val="1"/>
          <w:iCs w:val="1"/>
          <w:color w:val="auto"/>
        </w:rPr>
        <w:t>Becki Anne</w:t>
      </w:r>
      <w:r>
        <w:rPr>
          <w:rFonts w:ascii="Arial" w:cs="Arial" w:eastAsia="Arial" w:hAnsi="Arial"/>
          <w:sz w:val="13"/>
          <w:szCs w:val="13"/>
          <w:color w:val="auto"/>
        </w:rPr>
        <w:t>, respectively, into GasLog’s fleet in April 2014, June 2014 and March 2015 (together with the Amended Ship Management Agreements and the ship management agreement that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Arial" w:cs="Arial" w:eastAsia="Arial" w:hAnsi="Arial"/>
          <w:sz w:val="13"/>
          <w:szCs w:val="13"/>
          <w:i w:val="1"/>
          <w:iCs w:val="1"/>
          <w:color w:val="auto"/>
        </w:rPr>
        <w:t xml:space="preserve">GasLog Greece </w:t>
      </w:r>
      <w:r>
        <w:rPr>
          <w:rFonts w:ascii="Arial" w:cs="Arial" w:eastAsia="Arial" w:hAnsi="Arial"/>
          <w:sz w:val="13"/>
          <w:szCs w:val="13"/>
          <w:color w:val="auto"/>
        </w:rPr>
        <w:t>in March 2016,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in June 2016, the</w:t>
      </w:r>
      <w:r>
        <w:rPr>
          <w:rFonts w:ascii="Arial" w:cs="Arial" w:eastAsia="Arial" w:hAnsi="Arial"/>
          <w:sz w:val="13"/>
          <w:szCs w:val="13"/>
          <w:i w:val="1"/>
          <w:iCs w:val="1"/>
          <w:color w:val="auto"/>
        </w:rPr>
        <w:t xml:space="preserve"> GasLog Geneva </w:t>
      </w:r>
      <w:r>
        <w:rPr>
          <w:rFonts w:ascii="Arial" w:cs="Arial" w:eastAsia="Arial" w:hAnsi="Arial"/>
          <w:sz w:val="13"/>
          <w:szCs w:val="13"/>
          <w:color w:val="auto"/>
        </w:rPr>
        <w:t>in September 2016 and the</w:t>
      </w:r>
      <w:r>
        <w:rPr>
          <w:rFonts w:ascii="Arial" w:cs="Arial" w:eastAsia="Arial" w:hAnsi="Arial"/>
          <w:sz w:val="13"/>
          <w:szCs w:val="13"/>
          <w:i w:val="1"/>
          <w:iCs w:val="1"/>
          <w:color w:val="auto"/>
        </w:rPr>
        <w:t xml:space="preserve"> GasLog Gibraltar </w:t>
      </w:r>
      <w:r>
        <w:rPr>
          <w:rFonts w:ascii="Arial" w:cs="Arial" w:eastAsia="Arial" w:hAnsi="Arial"/>
          <w:sz w:val="13"/>
          <w:szCs w:val="13"/>
          <w:color w:val="auto"/>
        </w:rPr>
        <w:t>in October 2016, respectively (with a fixed monthly</w:t>
      </w:r>
      <w:r>
        <w:rPr>
          <w:rFonts w:ascii="Arial" w:cs="Arial" w:eastAsia="Arial" w:hAnsi="Arial"/>
          <w:sz w:val="13"/>
          <w:szCs w:val="13"/>
          <w:i w:val="1"/>
          <w:iCs w:val="1"/>
          <w:color w:val="auto"/>
        </w:rPr>
        <w:t xml:space="preserve"> </w:t>
      </w:r>
      <w:r>
        <w:rPr>
          <w:rFonts w:ascii="Arial" w:cs="Arial" w:eastAsia="Arial" w:hAnsi="Arial"/>
          <w:sz w:val="13"/>
          <w:szCs w:val="13"/>
          <w:color w:val="auto"/>
        </w:rPr>
        <w:t>charge of $46).</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Vessels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tcPr>
          <w:p>
            <w:pPr>
              <w:ind w:left="80"/>
              <w:spacing w:after="0"/>
              <w:rPr>
                <w:sz w:val="20"/>
                <w:szCs w:val="20"/>
                <w:color w:val="auto"/>
              </w:rPr>
            </w:pPr>
            <w:r>
              <w:rPr>
                <w:rFonts w:ascii="Arial" w:cs="Arial" w:eastAsia="Arial" w:hAnsi="Arial"/>
                <w:sz w:val="16"/>
                <w:szCs w:val="16"/>
                <w:color w:val="auto"/>
              </w:rPr>
              <w:t>The movement in vessels is reported in the following table:</w:t>
            </w: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88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Vessels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60" w:type="dxa"/>
            <w:vAlign w:val="bottom"/>
            <w:tcBorders>
              <w:top w:val="single" w:sz="8" w:color="E5FFFF"/>
            </w:tcBorders>
            <w:gridSpan w:val="2"/>
            <w:shd w:val="clear" w:color="auto" w:fill="E5FFFF"/>
          </w:tcPr>
          <w:p>
            <w:pPr>
              <w:spacing w:after="0" w:line="161" w:lineRule="exact"/>
              <w:rPr>
                <w:sz w:val="20"/>
                <w:szCs w:val="20"/>
                <w:color w:val="auto"/>
              </w:rPr>
            </w:pPr>
            <w:r>
              <w:rPr>
                <w:rFonts w:ascii="Arial" w:cs="Arial" w:eastAsia="Arial" w:hAnsi="Arial"/>
                <w:sz w:val="16"/>
                <w:szCs w:val="16"/>
                <w:b w:val="1"/>
                <w:bCs w:val="1"/>
                <w:color w:val="auto"/>
              </w:rPr>
              <w:t>Cost</w:t>
            </w:r>
          </w:p>
        </w:tc>
        <w:tc>
          <w:tcPr>
            <w:tcW w:w="184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Borders>
              <w:top w:val="single" w:sz="8" w:color="auto"/>
            </w:tcBorders>
            <w:shd w:val="clear" w:color="auto" w:fill="E5FFFF"/>
          </w:tcPr>
          <w:p>
            <w:pPr>
              <w:spacing w:after="0"/>
              <w:rPr>
                <w:sz w:val="2"/>
                <w:szCs w:val="2"/>
                <w:color w:val="auto"/>
              </w:rPr>
            </w:pPr>
          </w:p>
        </w:tc>
        <w:tc>
          <w:tcPr>
            <w:tcW w:w="9160" w:type="dxa"/>
            <w:vAlign w:val="bottom"/>
            <w:tcBorders>
              <w:top w:val="single" w:sz="8" w:color="E5FFFF"/>
            </w:tcBorders>
            <w:shd w:val="clear" w:color="auto" w:fill="E5FFFF"/>
          </w:tcPr>
          <w:p>
            <w:pPr>
              <w:spacing w:after="0"/>
              <w:rPr>
                <w:sz w:val="2"/>
                <w:szCs w:val="2"/>
                <w:color w:val="auto"/>
              </w:rPr>
            </w:pPr>
          </w:p>
        </w:tc>
        <w:tc>
          <w:tcPr>
            <w:tcW w:w="1840" w:type="dxa"/>
            <w:vAlign w:val="bottom"/>
            <w:tcBorders>
              <w:top w:val="single" w:sz="8" w:color="E5FFFF"/>
            </w:tcBorders>
            <w:shd w:val="clear" w:color="auto" w:fill="E5FF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480" w:type="dxa"/>
            <w:vAlign w:val="bottom"/>
            <w:gridSpan w:val="3"/>
          </w:tcPr>
          <w:p>
            <w:pPr>
              <w:spacing w:after="0"/>
              <w:rPr>
                <w:sz w:val="20"/>
                <w:szCs w:val="20"/>
                <w:color w:val="auto"/>
              </w:rPr>
            </w:pPr>
            <w:r>
              <w:rPr>
                <w:rFonts w:ascii="Arial" w:cs="Arial" w:eastAsia="Arial" w:hAnsi="Arial"/>
                <w:sz w:val="16"/>
                <w:szCs w:val="16"/>
                <w:color w:val="auto"/>
              </w:rPr>
              <w:t>As of January 1, 2019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2,859,265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4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80" w:type="dxa"/>
            <w:vAlign w:val="bottom"/>
            <w:gridSpan w:val="3"/>
          </w:tcPr>
          <w:p>
            <w:pPr>
              <w:spacing w:after="0"/>
              <w:rPr>
                <w:sz w:val="20"/>
                <w:szCs w:val="20"/>
                <w:color w:val="auto"/>
              </w:rPr>
            </w:pPr>
            <w:r>
              <w:rPr>
                <w:rFonts w:ascii="Arial" w:cs="Arial" w:eastAsia="Arial" w:hAnsi="Arial"/>
                <w:sz w:val="16"/>
                <w:szCs w:val="16"/>
                <w:color w:val="auto"/>
              </w:rPr>
              <w:t>Return of capital expenditures</w:t>
            </w:r>
          </w:p>
        </w:tc>
        <w:tc>
          <w:tcPr>
            <w:tcW w:w="188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(4,021</w:t>
            </w:r>
            <w:r>
              <w:rPr>
                <w:rFonts w:ascii="Arial" w:cs="Arial" w:eastAsia="Arial" w:hAnsi="Arial"/>
                <w:sz w:val="26"/>
                <w:szCs w:val="26"/>
                <w:color w:val="auto"/>
                <w:vertAlign w:val="subscript"/>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Fully amortized dry-docking component</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7"/>
        </w:trPr>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As of June 30, 2019</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2,855,314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Accumulated depreciation</w:t>
            </w:r>
          </w:p>
        </w:tc>
        <w:tc>
          <w:tcPr>
            <w:tcW w:w="184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80" w:type="dxa"/>
            <w:vAlign w:val="bottom"/>
            <w:gridSpan w:val="3"/>
          </w:tcPr>
          <w:p>
            <w:pPr>
              <w:spacing w:after="0"/>
              <w:rPr>
                <w:sz w:val="20"/>
                <w:szCs w:val="20"/>
                <w:color w:val="auto"/>
              </w:rPr>
            </w:pPr>
            <w:r>
              <w:rPr>
                <w:rFonts w:ascii="Arial" w:cs="Arial" w:eastAsia="Arial" w:hAnsi="Arial"/>
                <w:sz w:val="16"/>
                <w:szCs w:val="16"/>
                <w:color w:val="auto"/>
              </w:rPr>
              <w:t>As of January 1, 2019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349,982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4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43,734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480" w:type="dxa"/>
            <w:vAlign w:val="bottom"/>
            <w:gridSpan w:val="3"/>
          </w:tcPr>
          <w:p>
            <w:pPr>
              <w:spacing w:after="0"/>
              <w:rPr>
                <w:sz w:val="20"/>
                <w:szCs w:val="20"/>
                <w:color w:val="auto"/>
              </w:rPr>
            </w:pPr>
            <w:r>
              <w:rPr>
                <w:rFonts w:ascii="Arial" w:cs="Arial" w:eastAsia="Arial" w:hAnsi="Arial"/>
                <w:sz w:val="16"/>
                <w:szCs w:val="16"/>
                <w:color w:val="auto"/>
              </w:rPr>
              <w:t>Fully amortized dry-docking component</w:t>
            </w:r>
          </w:p>
        </w:tc>
        <w:tc>
          <w:tcPr>
            <w:tcW w:w="1840" w:type="dxa"/>
            <w:vAlign w:val="bottom"/>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June 30, 2019</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391,216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Net book value</w:t>
            </w:r>
          </w:p>
        </w:tc>
        <w:tc>
          <w:tcPr>
            <w:tcW w:w="1840" w:type="dxa"/>
            <w:vAlign w:val="bottom"/>
            <w:tcBorders>
              <w:bottom w:val="single" w:sz="8" w:color="auto"/>
            </w:tcBorders>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2018</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2,509,283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46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June 30, 2019</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2,464,098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p>
      <w:pPr>
        <w:spacing w:after="0" w:line="113" w:lineRule="exact"/>
        <w:rPr>
          <w:sz w:val="20"/>
          <w:szCs w:val="20"/>
          <w:color w:val="auto"/>
        </w:rPr>
      </w:pPr>
    </w:p>
    <w:p>
      <w:pPr>
        <w:ind w:right="20" w:firstLine="383"/>
        <w:spacing w:after="0" w:line="293" w:lineRule="auto"/>
        <w:rPr>
          <w:sz w:val="20"/>
          <w:szCs w:val="20"/>
          <w:color w:val="auto"/>
        </w:rPr>
      </w:pPr>
      <w:r>
        <w:rPr>
          <w:rFonts w:ascii="Arial" w:cs="Arial" w:eastAsia="Arial" w:hAnsi="Arial"/>
          <w:sz w:val="15"/>
          <w:szCs w:val="15"/>
          <w:color w:val="auto"/>
        </w:rPr>
        <w:t>In April and May 2017, GasLog LNG Services entered into agreements in relation to investments in certain of the Partnership’s and GasLog’s vessels, with the aim of enhancing their operational performance. On March 7, 2019, GasLog LNG Services and one of its suppliers signed an interim agreement regarding the reimbursement of amounts already paid by the Partnership in respect of the aforementioned enhancements, which were not timely delivered. In accordance with the terms of this agreement, as of June 30, 2019, $4,021 has been reimbursed to the Partnership, which amount will be payable to the supplier on or before the rescheduled delivery date of July 31, 2019. If delivery does not occur on or before the rescheduled delivery date, an additional amount of $3,835 will be reimbursed to the Partnership.</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117" w:lineRule="exact"/>
        <w:rPr>
          <w:sz w:val="20"/>
          <w:szCs w:val="20"/>
          <w:color w:val="auto"/>
        </w:rPr>
      </w:pPr>
    </w:p>
    <w:p>
      <w:pPr>
        <w:ind w:right="40" w:firstLine="396"/>
        <w:spacing w:after="0" w:line="278" w:lineRule="auto"/>
        <w:rPr>
          <w:sz w:val="20"/>
          <w:szCs w:val="20"/>
          <w:color w:val="auto"/>
        </w:rPr>
      </w:pPr>
      <w:r>
        <w:rPr>
          <w:rFonts w:ascii="Arial" w:cs="Arial" w:eastAsia="Arial" w:hAnsi="Arial"/>
          <w:sz w:val="16"/>
          <w:szCs w:val="16"/>
          <w:color w:val="auto"/>
        </w:rPr>
        <w:t xml:space="preserve">On adoption of IFRS 16, the Partnership recognised lease liabilities in relation to leases of vessel communication equipment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80" w:type="dxa"/>
            <w:vAlign w:val="bottom"/>
            <w:gridSpan w:val="2"/>
          </w:tcPr>
          <w:p>
            <w:pPr>
              <w:ind w:left="400"/>
              <w:spacing w:after="0"/>
              <w:rPr>
                <w:sz w:val="20"/>
                <w:szCs w:val="20"/>
                <w:color w:val="auto"/>
              </w:rPr>
            </w:pPr>
            <w:r>
              <w:rPr>
                <w:rFonts w:ascii="Arial" w:cs="Arial" w:eastAsia="Arial" w:hAnsi="Arial"/>
                <w:sz w:val="16"/>
                <w:szCs w:val="16"/>
                <w:color w:val="auto"/>
              </w:rPr>
              <w:t>The movements in right-of use assets and lease liabilities are reported in the following tables: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1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Vessel equipment</w:t>
            </w:r>
          </w:p>
        </w:tc>
      </w:tr>
      <w:tr>
        <w:trPr>
          <w:trHeight w:val="169"/>
        </w:trPr>
        <w:tc>
          <w:tcPr>
            <w:tcW w:w="1300" w:type="dxa"/>
            <w:vAlign w:val="bottom"/>
            <w:tcBorders>
              <w:top w:val="single" w:sz="8" w:color="E5FFFF"/>
              <w:bottom w:val="single" w:sz="8" w:color="auto"/>
            </w:tcBorders>
            <w:shd w:val="clear" w:color="auto" w:fill="E5FFFF"/>
          </w:tcPr>
          <w:p>
            <w:pPr>
              <w:spacing w:after="0" w:line="148" w:lineRule="exact"/>
              <w:rPr>
                <w:sz w:val="20"/>
                <w:szCs w:val="20"/>
                <w:color w:val="auto"/>
              </w:rPr>
            </w:pPr>
            <w:r>
              <w:rPr>
                <w:rFonts w:ascii="Arial" w:cs="Arial" w:eastAsia="Arial" w:hAnsi="Arial"/>
                <w:sz w:val="16"/>
                <w:szCs w:val="16"/>
                <w:b w:val="1"/>
                <w:bCs w:val="1"/>
                <w:color w:val="auto"/>
                <w:w w:val="86"/>
              </w:rPr>
              <w:t>Right-of-use assets</w:t>
            </w:r>
          </w:p>
        </w:tc>
        <w:tc>
          <w:tcPr>
            <w:tcW w:w="8180" w:type="dxa"/>
            <w:vAlign w:val="bottom"/>
            <w:tcBorders>
              <w:top w:val="single" w:sz="8" w:color="E5FFFF"/>
              <w:bottom w:val="single" w:sz="8" w:color="E5FFFF"/>
            </w:tcBorders>
            <w:shd w:val="clear" w:color="auto" w:fill="E5FFFF"/>
          </w:tcPr>
          <w:p>
            <w:pPr>
              <w:spacing w:after="0"/>
              <w:rPr>
                <w:sz w:val="14"/>
                <w:szCs w:val="14"/>
                <w:color w:val="auto"/>
              </w:rPr>
            </w:pPr>
          </w:p>
        </w:tc>
        <w:tc>
          <w:tcPr>
            <w:tcW w:w="1840" w:type="dxa"/>
            <w:vAlign w:val="bottom"/>
            <w:tcBorders>
              <w:top w:val="single" w:sz="8" w:color="auto"/>
              <w:bottom w:val="single" w:sz="8" w:color="E5FFFF"/>
            </w:tcBorders>
            <w:shd w:val="clear" w:color="auto" w:fill="E5FFFF"/>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948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1,585</w:t>
            </w:r>
          </w:p>
        </w:tc>
      </w:tr>
      <w:tr>
        <w:trPr>
          <w:trHeight w:val="239"/>
        </w:trPr>
        <w:tc>
          <w:tcPr>
            <w:tcW w:w="9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r>
      <w:tr>
        <w:trPr>
          <w:trHeight w:val="213"/>
        </w:trPr>
        <w:tc>
          <w:tcPr>
            <w:tcW w:w="9480" w:type="dxa"/>
            <w:vAlign w:val="bottom"/>
            <w:gridSpan w:val="2"/>
          </w:tcPr>
          <w:p>
            <w:pPr>
              <w:spacing w:after="0"/>
              <w:rPr>
                <w:sz w:val="20"/>
                <w:szCs w:val="20"/>
                <w:color w:val="auto"/>
              </w:rPr>
            </w:pPr>
            <w:r>
              <w:rPr>
                <w:rFonts w:ascii="Arial" w:cs="Arial" w:eastAsia="Arial" w:hAnsi="Arial"/>
                <w:sz w:val="16"/>
                <w:szCs w:val="16"/>
                <w:b w:val="1"/>
                <w:bCs w:val="1"/>
                <w:color w:val="auto"/>
              </w:rPr>
              <w:t>As of June 30, 2019</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1,312</w:t>
            </w:r>
          </w:p>
        </w:tc>
        <w:tc>
          <w:tcPr>
            <w:tcW w:w="100" w:type="dxa"/>
            <w:vAlign w:val="bottom"/>
          </w:tcPr>
          <w:p>
            <w:pPr>
              <w:spacing w:after="0"/>
              <w:rPr>
                <w:sz w:val="18"/>
                <w:szCs w:val="18"/>
                <w:color w:val="auto"/>
              </w:rPr>
            </w:pPr>
          </w:p>
        </w:tc>
      </w:tr>
      <w:tr>
        <w:trPr>
          <w:trHeight w:val="239"/>
        </w:trPr>
        <w:tc>
          <w:tcPr>
            <w:tcW w:w="1300" w:type="dxa"/>
            <w:vAlign w:val="bottom"/>
            <w:shd w:val="clear" w:color="auto" w:fill="E5FFFF"/>
          </w:tcPr>
          <w:p>
            <w:pPr>
              <w:spacing w:after="0"/>
              <w:rPr>
                <w:sz w:val="20"/>
                <w:szCs w:val="20"/>
                <w:color w:val="auto"/>
              </w:rPr>
            </w:pPr>
          </w:p>
        </w:tc>
        <w:tc>
          <w:tcPr>
            <w:tcW w:w="8180" w:type="dxa"/>
            <w:vAlign w:val="bottom"/>
            <w:shd w:val="clear" w:color="auto" w:fill="E5FFFF"/>
          </w:tcPr>
          <w:p>
            <w:pPr>
              <w:spacing w:after="0"/>
              <w:rPr>
                <w:sz w:val="20"/>
                <w:szCs w:val="20"/>
                <w:color w:val="auto"/>
              </w:rPr>
            </w:pPr>
          </w:p>
        </w:tc>
        <w:tc>
          <w:tcPr>
            <w:tcW w:w="18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0</wp:posOffset>
            </wp:positionV>
            <wp:extent cx="130365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303655"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Lease liabilities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1,393</w:t>
            </w:r>
          </w:p>
        </w:tc>
      </w:tr>
      <w:tr>
        <w:trPr>
          <w:trHeight w:val="220"/>
        </w:trPr>
        <w:tc>
          <w:tcPr>
            <w:tcW w:w="9480" w:type="dxa"/>
            <w:vAlign w:val="bottom"/>
          </w:tcPr>
          <w:p>
            <w:pPr>
              <w:spacing w:after="0"/>
              <w:rPr>
                <w:sz w:val="20"/>
                <w:szCs w:val="20"/>
                <w:color w:val="auto"/>
              </w:rPr>
            </w:pPr>
            <w:r>
              <w:rPr>
                <w:rFonts w:ascii="Arial" w:cs="Arial" w:eastAsia="Arial" w:hAnsi="Arial"/>
                <w:sz w:val="16"/>
                <w:szCs w:val="16"/>
                <w:color w:val="auto"/>
              </w:rPr>
              <w:t>Lease expense (Note 13)</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r>
      <w:tr>
        <w:trPr>
          <w:trHeight w:val="239"/>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Payments</w:t>
            </w:r>
          </w:p>
        </w:tc>
        <w:tc>
          <w:tcPr>
            <w:tcW w:w="19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(301)</w:t>
            </w:r>
          </w:p>
        </w:tc>
      </w:tr>
      <w:tr>
        <w:trPr>
          <w:trHeight w:val="217"/>
        </w:trPr>
        <w:tc>
          <w:tcPr>
            <w:tcW w:w="9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As of June 30, 2019</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w:t>
            </w:r>
          </w:p>
        </w:tc>
        <w:tc>
          <w:tcPr>
            <w:tcW w:w="100" w:type="dxa"/>
            <w:vAlign w:val="bottom"/>
            <w:tcBorders>
              <w:bottom w:val="single" w:sz="8" w:color="E5FFFF"/>
            </w:tcBorders>
          </w:tcPr>
          <w:p>
            <w:pPr>
              <w:spacing w:after="0"/>
              <w:rPr>
                <w:sz w:val="18"/>
                <w:szCs w:val="18"/>
                <w:color w:val="auto"/>
              </w:rPr>
            </w:pPr>
          </w:p>
        </w:tc>
      </w:tr>
      <w:tr>
        <w:trPr>
          <w:trHeight w:val="230"/>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 current portion</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472</w:t>
            </w:r>
          </w:p>
        </w:tc>
      </w:tr>
      <w:tr>
        <w:trPr>
          <w:trHeight w:val="223"/>
        </w:trPr>
        <w:tc>
          <w:tcPr>
            <w:tcW w:w="9480" w:type="dxa"/>
            <w:vAlign w:val="bottom"/>
          </w:tcPr>
          <w:p>
            <w:pPr>
              <w:spacing w:after="0"/>
              <w:rPr>
                <w:sz w:val="20"/>
                <w:szCs w:val="20"/>
                <w:color w:val="auto"/>
              </w:rPr>
            </w:pPr>
            <w:r>
              <w:rPr>
                <w:rFonts w:ascii="Arial" w:cs="Arial" w:eastAsia="Arial" w:hAnsi="Arial"/>
                <w:sz w:val="16"/>
                <w:szCs w:val="16"/>
                <w:color w:val="auto"/>
              </w:rPr>
              <w:t>Lease liabilities, non-current portion</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651</w:t>
            </w:r>
          </w:p>
        </w:tc>
      </w:tr>
      <w:tr>
        <w:trPr>
          <w:trHeight w:val="223"/>
        </w:trPr>
        <w:tc>
          <w:tcPr>
            <w:tcW w:w="9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1,123</w:t>
            </w:r>
          </w:p>
        </w:tc>
        <w:tc>
          <w:tcPr>
            <w:tcW w:w="100" w:type="dxa"/>
            <w:vAlign w:val="bottom"/>
            <w:tcBorders>
              <w:top w:val="single" w:sz="8" w:color="E5FFFF"/>
            </w:tcBorders>
            <w:shd w:val="clear" w:color="auto" w:fill="E5FF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Partners’ Equity</w:t>
      </w:r>
    </w:p>
    <w:p>
      <w:pPr>
        <w:spacing w:after="0" w:line="23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six months ended June 30, 2019, GasLog Partners repurchased and cancelled 476,351 common units at a weighted average price of $20.81 per common unit, for a total cost of $9,921 including commissions.</w:t>
      </w:r>
    </w:p>
    <w:p>
      <w:pPr>
        <w:spacing w:after="0" w:line="189" w:lineRule="exact"/>
        <w:rPr>
          <w:sz w:val="20"/>
          <w:szCs w:val="20"/>
          <w:color w:val="auto"/>
        </w:rPr>
      </w:pPr>
    </w:p>
    <w:p>
      <w:pPr>
        <w:ind w:right="80" w:firstLine="324"/>
        <w:spacing w:after="0" w:line="329" w:lineRule="auto"/>
        <w:rPr>
          <w:sz w:val="20"/>
          <w:szCs w:val="20"/>
          <w:color w:val="auto"/>
        </w:rPr>
      </w:pPr>
      <w:r>
        <w:rPr>
          <w:rFonts w:ascii="Arial" w:cs="Arial" w:eastAsia="Arial" w:hAnsi="Arial"/>
          <w:sz w:val="15"/>
          <w:szCs w:val="15"/>
          <w:color w:val="auto"/>
        </w:rPr>
        <w:t>On February 26, 2019, the Partnership entered into a Third Amended and Restated Equity Distribution Agreement to further increase the size of the ATM common equity offering programme (“ATM Programme”) from $144,000 to $250,000. As of June 30, 2019, the unutilized portion of the ATM Programme is $126,556.</w:t>
      </w:r>
    </w:p>
    <w:p>
      <w:pPr>
        <w:spacing w:after="0" w:line="148"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On April 1, 2019, GasLog Partners issued 49,850 common units in connection with the vesting of 24,925 Restricted Common Units (“RCUs”) and 24,925 Performance Common Units (“PCUs”) under its 2015 Long-Term Incentive Plan (the “2015 Plan”).</w:t>
      </w:r>
    </w:p>
    <w:p>
      <w:pPr>
        <w:spacing w:after="0" w:line="172" w:lineRule="exact"/>
        <w:rPr>
          <w:sz w:val="20"/>
          <w:szCs w:val="20"/>
          <w:color w:val="auto"/>
        </w:rPr>
      </w:pPr>
    </w:p>
    <w:p>
      <w:pPr>
        <w:ind w:right="40" w:firstLine="256"/>
        <w:spacing w:after="0" w:line="315" w:lineRule="auto"/>
        <w:rPr>
          <w:sz w:val="20"/>
          <w:szCs w:val="20"/>
          <w:color w:val="auto"/>
        </w:rPr>
      </w:pPr>
      <w:r>
        <w:rPr>
          <w:rFonts w:ascii="Arial" w:cs="Arial" w:eastAsia="Arial" w:hAnsi="Arial"/>
          <w:sz w:val="14"/>
          <w:szCs w:val="14"/>
          <w:color w:val="auto"/>
        </w:rPr>
        <w:t>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Class B-6 units, respectively (refer also to Note 16).</w:t>
      </w:r>
    </w:p>
    <w:p>
      <w:pPr>
        <w:spacing w:after="0" w:line="164"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With respect to the aforementioned transactions during the period, the Partnership also issued 93,804 general partner units to its general partner in order for GasLog to retain its 2.0% general partner interest. The net proceeds from the issuance of the general partner units were $1,996.</w:t>
      </w:r>
    </w:p>
    <w:p>
      <w:pPr>
        <w:spacing w:after="0" w:line="50" w:lineRule="exact"/>
        <w:rPr>
          <w:sz w:val="20"/>
          <w:szCs w:val="20"/>
          <w:color w:val="auto"/>
        </w:rPr>
      </w:pPr>
    </w:p>
    <w:p>
      <w:pPr>
        <w:ind w:right="480" w:firstLine="324"/>
        <w:spacing w:after="0" w:line="293" w:lineRule="auto"/>
        <w:rPr>
          <w:sz w:val="20"/>
          <w:szCs w:val="20"/>
          <w:color w:val="auto"/>
        </w:rPr>
      </w:pPr>
      <w:r>
        <w:rPr>
          <w:rFonts w:ascii="Arial" w:cs="Arial" w:eastAsia="Arial" w:hAnsi="Arial"/>
          <w:sz w:val="16"/>
          <w:szCs w:val="16"/>
          <w:color w:val="auto"/>
        </w:rPr>
        <w:t>The following table illustrates the percentage allocation of the additional available cash from operating surplus after the payment of preference unit distributions, in respect to such rights, until the IDR elimination on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540" w:type="dxa"/>
            <w:vAlign w:val="bottom"/>
            <w:tcBorders>
              <w:bottom w:val="single" w:sz="8" w:color="auto"/>
            </w:tcBorders>
            <w:gridSpan w:val="6"/>
          </w:tcPr>
          <w:p>
            <w:pPr>
              <w:jc w:val="center"/>
              <w:ind w:left="1139"/>
              <w:spacing w:after="0"/>
              <w:rPr>
                <w:sz w:val="20"/>
                <w:szCs w:val="20"/>
                <w:color w:val="auto"/>
              </w:rPr>
            </w:pPr>
            <w:r>
              <w:rPr>
                <w:rFonts w:ascii="Arial" w:cs="Arial" w:eastAsia="Arial" w:hAnsi="Arial"/>
                <w:sz w:val="16"/>
                <w:szCs w:val="16"/>
                <w:b w:val="1"/>
                <w:bCs w:val="1"/>
                <w:color w:val="auto"/>
                <w:w w:val="92"/>
              </w:rPr>
              <w:t>Marginal Percentage Interest in Distributions</w:t>
            </w:r>
          </w:p>
        </w:tc>
        <w:tc>
          <w:tcPr>
            <w:tcW w:w="1220" w:type="dxa"/>
            <w:vAlign w:val="bottom"/>
            <w:tcBorders>
              <w:bottom w:val="single" w:sz="8" w:color="auto"/>
            </w:tcBorders>
          </w:tcPr>
          <w:p>
            <w:pPr>
              <w:spacing w:after="0"/>
              <w:rPr>
                <w:sz w:val="18"/>
                <w:szCs w:val="18"/>
                <w:color w:val="auto"/>
              </w:rPr>
            </w:pPr>
          </w:p>
        </w:tc>
      </w:tr>
      <w:tr>
        <w:trPr>
          <w:trHeight w:val="185"/>
        </w:trPr>
        <w:tc>
          <w:tcPr>
            <w:tcW w:w="4660" w:type="dxa"/>
            <w:vAlign w:val="bottom"/>
          </w:tcPr>
          <w:p>
            <w:pPr>
              <w:spacing w:after="0"/>
              <w:rPr>
                <w:sz w:val="16"/>
                <w:szCs w:val="16"/>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Quarterly</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4660" w:type="dxa"/>
            <w:vAlign w:val="bottom"/>
          </w:tcPr>
          <w:p>
            <w:pPr>
              <w:spacing w:after="0"/>
              <w:rPr>
                <w:sz w:val="17"/>
                <w:szCs w:val="17"/>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Distribution</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General</w:t>
            </w: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Holders of</w:t>
            </w:r>
          </w:p>
        </w:tc>
      </w:tr>
      <w:tr>
        <w:trPr>
          <w:trHeight w:val="213"/>
        </w:trPr>
        <w:tc>
          <w:tcPr>
            <w:tcW w:w="4660" w:type="dxa"/>
            <w:vAlign w:val="bottom"/>
          </w:tcPr>
          <w:p>
            <w:pPr>
              <w:spacing w:after="0"/>
              <w:rPr>
                <w:sz w:val="18"/>
                <w:szCs w:val="18"/>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 Amount</w:t>
            </w: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Unitholders</w:t>
            </w: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Partner</w:t>
            </w: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IDRs</w:t>
            </w:r>
          </w:p>
        </w:tc>
      </w:tr>
      <w:tr>
        <w:trPr>
          <w:trHeight w:val="199"/>
        </w:trPr>
        <w:tc>
          <w:tcPr>
            <w:tcW w:w="4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Minimum Quarterly Distribution</w:t>
            </w:r>
          </w:p>
        </w:tc>
        <w:tc>
          <w:tcPr>
            <w:tcW w:w="2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1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ind w:right="279"/>
              <w:spacing w:after="0"/>
              <w:rPr>
                <w:sz w:val="20"/>
                <w:szCs w:val="20"/>
                <w:color w:val="auto"/>
              </w:rPr>
            </w:pPr>
            <w:r>
              <w:rPr>
                <w:rFonts w:ascii="Arial" w:cs="Arial" w:eastAsia="Arial" w:hAnsi="Arial"/>
                <w:sz w:val="16"/>
                <w:szCs w:val="16"/>
                <w:color w:val="auto"/>
              </w:rPr>
              <w:t>0%</w:t>
            </w: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First Target Distribution</w:t>
            </w:r>
          </w:p>
        </w:tc>
        <w:tc>
          <w:tcPr>
            <w:tcW w:w="2700" w:type="dxa"/>
            <w:vAlign w:val="bottom"/>
            <w:gridSpan w:val="2"/>
          </w:tcPr>
          <w:p>
            <w:pPr>
              <w:jc w:val="right"/>
              <w:ind w:right="140"/>
              <w:spacing w:after="0"/>
              <w:rPr>
                <w:sz w:val="20"/>
                <w:szCs w:val="20"/>
                <w:color w:val="auto"/>
              </w:rPr>
            </w:pPr>
            <w:r>
              <w:rPr>
                <w:rFonts w:ascii="Arial" w:cs="Arial" w:eastAsia="Arial" w:hAnsi="Arial"/>
                <w:sz w:val="16"/>
                <w:szCs w:val="16"/>
                <w:color w:val="auto"/>
              </w:rPr>
              <w:t>$0.375 up to $0.43125</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0%</w:t>
            </w:r>
          </w:p>
        </w:tc>
      </w:tr>
      <w:tr>
        <w:trPr>
          <w:trHeight w:val="203"/>
        </w:trPr>
        <w:tc>
          <w:tcPr>
            <w:tcW w:w="4660" w:type="dxa"/>
            <w:vAlign w:val="bottom"/>
            <w:shd w:val="clear" w:color="auto" w:fill="E5FFFF"/>
          </w:tcPr>
          <w:p>
            <w:pPr>
              <w:spacing w:after="0"/>
              <w:rPr>
                <w:sz w:val="20"/>
                <w:szCs w:val="20"/>
                <w:color w:val="auto"/>
              </w:rPr>
            </w:pPr>
            <w:r>
              <w:rPr>
                <w:rFonts w:ascii="Arial" w:cs="Arial" w:eastAsia="Arial" w:hAnsi="Arial"/>
                <w:sz w:val="16"/>
                <w:szCs w:val="16"/>
                <w:color w:val="auto"/>
              </w:rPr>
              <w:t>Second Target Distribution</w:t>
            </w:r>
          </w:p>
        </w:tc>
        <w:tc>
          <w:tcPr>
            <w:tcW w:w="27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$0.43125 up to $0.46875</w:t>
            </w:r>
          </w:p>
        </w:tc>
        <w:tc>
          <w:tcPr>
            <w:tcW w:w="134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85.0%</w:t>
            </w:r>
          </w:p>
        </w:tc>
        <w:tc>
          <w:tcPr>
            <w:tcW w:w="28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13.0%</w:t>
            </w: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Thereafter</w:t>
            </w:r>
          </w:p>
        </w:tc>
        <w:tc>
          <w:tcPr>
            <w:tcW w:w="2700" w:type="dxa"/>
            <w:vAlign w:val="bottom"/>
            <w:gridSpan w:val="2"/>
          </w:tcPr>
          <w:p>
            <w:pPr>
              <w:jc w:val="right"/>
              <w:ind w:right="140"/>
              <w:spacing w:after="0"/>
              <w:rPr>
                <w:sz w:val="20"/>
                <w:szCs w:val="20"/>
                <w:color w:val="auto"/>
              </w:rPr>
            </w:pPr>
            <w:r>
              <w:rPr>
                <w:rFonts w:ascii="Arial" w:cs="Arial" w:eastAsia="Arial" w:hAnsi="Arial"/>
                <w:sz w:val="16"/>
                <w:szCs w:val="16"/>
                <w:color w:val="auto"/>
              </w:rPr>
              <w:t>Above $0.46875</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75.0%</w:t>
            </w:r>
          </w:p>
        </w:tc>
        <w:tc>
          <w:tcPr>
            <w:tcW w:w="28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23.0%</w:t>
            </w:r>
          </w:p>
        </w:tc>
      </w:tr>
    </w:tbl>
    <w:p>
      <w:pPr>
        <w:spacing w:after="0" w:line="8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Following the IDR elimination, 98.0% of the available cash is distributed to the common unitholders and 2.0% is distributed to the general partner. The updated earnings allocation applies to the Partnership’s earnings for the three months ended June 30, 2019 and onwards (Note 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7. Borrowings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1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140" w:type="dxa"/>
            <w:vAlign w:val="bottom"/>
          </w:tcPr>
          <w:p>
            <w:pPr>
              <w:spacing w:after="0"/>
              <w:rPr>
                <w:sz w:val="18"/>
                <w:szCs w:val="18"/>
                <w:color w:val="auto"/>
              </w:rPr>
            </w:pPr>
          </w:p>
        </w:tc>
        <w:tc>
          <w:tcPr>
            <w:tcW w:w="790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r>
      <w:tr>
        <w:trPr>
          <w:trHeight w:val="199"/>
        </w:trPr>
        <w:tc>
          <w:tcPr>
            <w:tcW w:w="1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446,144</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110,937</w:t>
            </w:r>
          </w:p>
        </w:tc>
        <w:tc>
          <w:tcPr>
            <w:tcW w:w="4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(5,755)</w:t>
            </w:r>
          </w:p>
        </w:tc>
        <w:tc>
          <w:tcPr>
            <w:tcW w:w="1360" w:type="dxa"/>
            <w:vAlign w:val="bottom"/>
          </w:tcPr>
          <w:p>
            <w:pPr>
              <w:jc w:val="right"/>
              <w:spacing w:after="0"/>
              <w:rPr>
                <w:sz w:val="20"/>
                <w:szCs w:val="20"/>
                <w:color w:val="auto"/>
              </w:rPr>
            </w:pPr>
            <w:r>
              <w:rPr>
                <w:rFonts w:ascii="Arial" w:cs="Arial" w:eastAsia="Arial" w:hAnsi="Arial"/>
                <w:sz w:val="16"/>
                <w:szCs w:val="16"/>
                <w:color w:val="auto"/>
              </w:rPr>
              <w:t>(5,397)</w:t>
            </w:r>
          </w:p>
        </w:tc>
        <w:tc>
          <w:tcPr>
            <w:tcW w:w="4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440,389</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105,540</w:t>
            </w:r>
          </w:p>
        </w:tc>
        <w:tc>
          <w:tcPr>
            <w:tcW w:w="40" w:type="dxa"/>
            <w:vAlign w:val="bottom"/>
          </w:tcPr>
          <w:p>
            <w:pPr>
              <w:spacing w:after="0"/>
              <w:rPr>
                <w:sz w:val="17"/>
                <w:szCs w:val="17"/>
                <w:color w:val="auto"/>
              </w:rPr>
            </w:pPr>
          </w:p>
        </w:tc>
      </w:tr>
      <w:tr>
        <w:trPr>
          <w:trHeight w:val="196"/>
        </w:trPr>
        <w:tc>
          <w:tcPr>
            <w:tcW w:w="8040" w:type="dxa"/>
            <w:vAlign w:val="bottom"/>
            <w:gridSpan w:val="2"/>
          </w:tcPr>
          <w:p>
            <w:pPr>
              <w:ind w:left="140"/>
              <w:spacing w:after="0"/>
              <w:rPr>
                <w:sz w:val="20"/>
                <w:szCs w:val="20"/>
                <w:color w:val="auto"/>
              </w:rPr>
            </w:pPr>
            <w:r>
              <w:rPr>
                <w:rFonts w:ascii="Arial" w:cs="Arial" w:eastAsia="Arial" w:hAnsi="Arial"/>
                <w:sz w:val="16"/>
                <w:szCs w:val="16"/>
                <w:color w:val="auto"/>
              </w:rPr>
              <w:t>Amounts due after one year</w:t>
            </w:r>
          </w:p>
        </w:tc>
        <w:tc>
          <w:tcPr>
            <w:tcW w:w="1400" w:type="dxa"/>
            <w:vAlign w:val="bottom"/>
          </w:tcPr>
          <w:p>
            <w:pPr>
              <w:jc w:val="right"/>
              <w:spacing w:after="0"/>
              <w:rPr>
                <w:sz w:val="20"/>
                <w:szCs w:val="20"/>
                <w:color w:val="auto"/>
              </w:rPr>
            </w:pPr>
            <w:r>
              <w:rPr>
                <w:rFonts w:ascii="Arial" w:cs="Arial" w:eastAsia="Arial" w:hAnsi="Arial"/>
                <w:sz w:val="16"/>
                <w:szCs w:val="16"/>
                <w:color w:val="auto"/>
              </w:rPr>
              <w:t>939,682</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1,306,817</w:t>
            </w:r>
          </w:p>
        </w:tc>
        <w:tc>
          <w:tcPr>
            <w:tcW w:w="4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(14,271)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(15,848)</w:t>
            </w:r>
          </w:p>
        </w:tc>
        <w:tc>
          <w:tcPr>
            <w:tcW w:w="4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7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925,411</w:t>
            </w:r>
          </w:p>
        </w:tc>
        <w:tc>
          <w:tcPr>
            <w:tcW w:w="2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1,290,969</w:t>
            </w:r>
          </w:p>
        </w:tc>
        <w:tc>
          <w:tcPr>
            <w:tcW w:w="4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1,365,800</w:t>
            </w:r>
          </w:p>
        </w:tc>
        <w:tc>
          <w:tcPr>
            <w:tcW w:w="2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1,396,509</w:t>
            </w:r>
          </w:p>
        </w:tc>
        <w:tc>
          <w:tcPr>
            <w:tcW w:w="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main terms of the bank loan facilities and the Sponsor Credit Facility have been disclosed in the annual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for the year ended December 31, 2018. Refer to Note 6 “Borrowings”.</w:t>
      </w:r>
    </w:p>
    <w:p>
      <w:pPr>
        <w:spacing w:after="0" w:line="235" w:lineRule="exact"/>
        <w:rPr>
          <w:sz w:val="20"/>
          <w:szCs w:val="20"/>
          <w:color w:val="auto"/>
        </w:rPr>
      </w:pPr>
    </w:p>
    <w:p>
      <w:pPr>
        <w:ind w:right="100" w:firstLine="405"/>
        <w:spacing w:after="0" w:line="270"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1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189" w:lineRule="exact"/>
        <w:rPr>
          <w:sz w:val="20"/>
          <w:szCs w:val="20"/>
          <w:color w:val="auto"/>
        </w:rPr>
      </w:pPr>
    </w:p>
    <w:p>
      <w:pPr>
        <w:ind w:right="40" w:firstLine="405"/>
        <w:spacing w:after="0" w:line="305" w:lineRule="auto"/>
        <w:rPr>
          <w:sz w:val="20"/>
          <w:szCs w:val="20"/>
          <w:color w:val="auto"/>
        </w:rPr>
      </w:pPr>
      <w:r>
        <w:rPr>
          <w:rFonts w:ascii="Arial" w:cs="Arial" w:eastAsia="Arial" w:hAnsi="Arial"/>
          <w:sz w:val="15"/>
          <w:szCs w:val="15"/>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5"/>
          <w:szCs w:val="15"/>
          <w:i w:val="1"/>
          <w:iCs w:val="1"/>
          <w:color w:val="auto"/>
        </w:rPr>
        <w:t>GasLog Shanghai</w:t>
      </w:r>
      <w:r>
        <w:rPr>
          <w:rFonts w:ascii="Arial" w:cs="Arial" w:eastAsia="Arial" w:hAnsi="Arial"/>
          <w:sz w:val="15"/>
          <w:szCs w:val="15"/>
          <w:color w:val="auto"/>
        </w:rPr>
        <w:t>), including charter revenue, management revenue and any insurance and requisition compensation. The obligations under the facility are guaranteed by the Partnership and GasLog Partners Holdings LLC.</w:t>
      </w:r>
    </w:p>
    <w:p>
      <w:pPr>
        <w:spacing w:after="0" w:line="166"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The 2019 Partnership Facility is subject to specified financial covenants that apply to GasLog Partners on a consolidated basis. These financial covenants include the following:</w:t>
      </w:r>
    </w:p>
    <w:p>
      <w:pPr>
        <w:spacing w:after="0" w:line="186" w:lineRule="exact"/>
        <w:rPr>
          <w:sz w:val="20"/>
          <w:szCs w:val="20"/>
          <w:color w:val="auto"/>
        </w:rPr>
      </w:pPr>
    </w:p>
    <w:p>
      <w:pPr>
        <w:ind w:left="380" w:right="240" w:hanging="329"/>
        <w:spacing w:after="0" w:line="251" w:lineRule="auto"/>
        <w:tabs>
          <w:tab w:leader="none" w:pos="386" w:val="left"/>
        </w:tabs>
        <w:numPr>
          <w:ilvl w:val="0"/>
          <w:numId w:val="26"/>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must be at least $45,000;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65.0%; and</w:t>
      </w:r>
    </w:p>
    <w:p>
      <w:pPr>
        <w:spacing w:after="0" w:line="9" w:lineRule="exact"/>
        <w:rPr>
          <w:rFonts w:ascii="Arial" w:cs="Arial" w:eastAsia="Arial" w:hAnsi="Arial"/>
          <w:sz w:val="18"/>
          <w:szCs w:val="18"/>
          <w:color w:val="auto"/>
        </w:rPr>
      </w:pPr>
    </w:p>
    <w:p>
      <w:pPr>
        <w:ind w:left="380" w:right="100" w:hanging="329"/>
        <w:spacing w:after="0" w:line="263" w:lineRule="auto"/>
        <w:tabs>
          <w:tab w:leader="none" w:pos="386" w:val="left"/>
        </w:tabs>
        <w:numPr>
          <w:ilvl w:val="0"/>
          <w:numId w:val="26"/>
        </w:numPr>
        <w:rPr>
          <w:rFonts w:ascii="Arial" w:cs="Arial" w:eastAsia="Arial" w:hAnsi="Arial"/>
          <w:sz w:val="18"/>
          <w:szCs w:val="18"/>
          <w:color w:val="auto"/>
        </w:rPr>
      </w:pPr>
      <w:r>
        <w:rPr>
          <w:rFonts w:ascii="Arial" w:cs="Arial" w:eastAsia="Arial" w:hAnsi="Arial"/>
          <w:sz w:val="16"/>
          <w:szCs w:val="16"/>
          <w:color w:val="auto"/>
        </w:rPr>
        <w:t>the Partnership is permitted to declare or pay any dividends or distributions, subject to no event of default having occurred or occurring as a consequence of the payment of such dividends or distributions.</w:t>
      </w:r>
    </w:p>
    <w:p>
      <w:pPr>
        <w:spacing w:after="0" w:line="193" w:lineRule="exact"/>
        <w:rPr>
          <w:sz w:val="20"/>
          <w:szCs w:val="20"/>
          <w:color w:val="auto"/>
        </w:rPr>
      </w:pPr>
    </w:p>
    <w:p>
      <w:pPr>
        <w:ind w:right="60" w:firstLine="405"/>
        <w:spacing w:after="0" w:line="289" w:lineRule="auto"/>
        <w:rPr>
          <w:sz w:val="20"/>
          <w:szCs w:val="20"/>
          <w:color w:val="auto"/>
        </w:rPr>
      </w:pPr>
      <w:r>
        <w:rPr>
          <w:rFonts w:ascii="Arial" w:cs="Arial" w:eastAsia="Arial" w:hAnsi="Arial"/>
          <w:sz w:val="15"/>
          <w:szCs w:val="15"/>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8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2019 Partnership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72" w:lineRule="exact"/>
        <w:rPr>
          <w:sz w:val="20"/>
          <w:szCs w:val="20"/>
          <w:color w:val="auto"/>
        </w:rPr>
      </w:pPr>
    </w:p>
    <w:p>
      <w:pPr>
        <w:ind w:right="260" w:firstLine="405"/>
        <w:spacing w:after="0" w:line="273" w:lineRule="auto"/>
        <w:rPr>
          <w:sz w:val="20"/>
          <w:szCs w:val="20"/>
          <w:color w:val="auto"/>
        </w:rPr>
      </w:pPr>
      <w:r>
        <w:rPr>
          <w:rFonts w:ascii="Arial" w:cs="Arial" w:eastAsia="Arial" w:hAnsi="Arial"/>
          <w:sz w:val="16"/>
          <w:szCs w:val="16"/>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 On April 1, 2019, the Partnership drew down an additional $75,000 under the 2019 Partnership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GAS-twelve Ltd. Facility</w:t>
      </w:r>
    </w:p>
    <w:p>
      <w:pPr>
        <w:spacing w:after="0" w:line="239" w:lineRule="exact"/>
        <w:rPr>
          <w:sz w:val="20"/>
          <w:szCs w:val="20"/>
          <w:color w:val="auto"/>
        </w:rPr>
      </w:pPr>
    </w:p>
    <w:p>
      <w:pPr>
        <w:ind w:firstLine="405"/>
        <w:spacing w:after="0" w:line="273" w:lineRule="auto"/>
        <w:rPr>
          <w:sz w:val="20"/>
          <w:szCs w:val="20"/>
          <w:color w:val="auto"/>
        </w:rPr>
      </w:pPr>
      <w:r>
        <w:rPr>
          <w:rFonts w:ascii="Arial" w:cs="Arial" w:eastAsia="Arial" w:hAnsi="Arial"/>
          <w:sz w:val="16"/>
          <w:szCs w:val="16"/>
          <w:color w:val="auto"/>
        </w:rPr>
        <w:t>Following the acquisition of GAS-twelve Ltd., the Partnership assumed $134,107 of outstanding indebtedness of the acquired entity under a debt financing agreement dated October 16, 2015 with 14 international banks, with Citibank N.A. London Branch and Nordea Bank AB, London Branch acting as agents on behalf of the other financing parties. The financing was backed by the Export Import Bank of Korea (“KEXIM”) and the Korea Trade Insurance Corporation (“K-Sure”), who were either directly lending or providing cover for over 60% of the facility.</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provided for four tranches of $51,257, $25,615, $24,991 and $61,104. Under the terms of the agreement, each drawing under the first three tranches will be repaid in 24 consecutive semi-annual equal installments commencing six months after draw down, according to a 12-year profile. Each drawing under the fourth tranche will be repaid in 20 consecutive semi-annual equal installments commencing six months after draw down according to a 20-year profile, with a balloon payment together with the final installment. On June 24, 2016, $162,967 was drawn down to partially finance the delivery of the </w:t>
      </w:r>
      <w:r>
        <w:rPr>
          <w:rFonts w:ascii="Arial" w:cs="Arial" w:eastAsia="Arial" w:hAnsi="Arial"/>
          <w:sz w:val="16"/>
          <w:szCs w:val="16"/>
          <w:i w:val="1"/>
          <w:iCs w:val="1"/>
          <w:color w:val="auto"/>
        </w:rPr>
        <w:t>GasLog Glasgow</w:t>
      </w:r>
      <w:r>
        <w:rPr>
          <w:rFonts w:ascii="Arial" w:cs="Arial" w:eastAsia="Arial" w:hAnsi="Arial"/>
          <w:sz w:val="16"/>
          <w:szCs w:val="16"/>
          <w:color w:val="auto"/>
        </w:rPr>
        <w:t>. Amounts drawn per tranche bear interest at LIBOR plus a margin.</w:t>
      </w:r>
    </w:p>
    <w:p>
      <w:pPr>
        <w:spacing w:after="0" w:line="190" w:lineRule="exact"/>
        <w:rPr>
          <w:sz w:val="20"/>
          <w:szCs w:val="20"/>
          <w:color w:val="auto"/>
        </w:rPr>
      </w:pPr>
    </w:p>
    <w:p>
      <w:pPr>
        <w:ind w:firstLine="405"/>
        <w:spacing w:after="0" w:line="270"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 pledge of the share capital of the vessel-owning company and a first priority assignment of earnings related to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Glasgow</w:t>
      </w:r>
      <w:r>
        <w:rPr>
          <w:rFonts w:ascii="Arial" w:cs="Arial" w:eastAsia="Arial" w:hAnsi="Arial"/>
          <w:sz w:val="16"/>
          <w:szCs w:val="16"/>
          <w:color w:val="auto"/>
        </w:rPr>
        <w:t>. The facility includes customary restrictive covenants and, among other restrictions, a fair market value covenant pursuant to which an event of default could occur under the facility if the aggregate fair market value of the collateral vessel (without taking into account any charter arrangements) were to fall below 120% of the aggregate outstanding principal balance.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7" w:name="page38"/>
    <w:bookmarkEnd w:id="37"/>
    <w:p>
      <w:pPr>
        <w:ind w:right="100" w:firstLine="405"/>
        <w:spacing w:after="0" w:line="293" w:lineRule="auto"/>
        <w:rPr>
          <w:sz w:val="20"/>
          <w:szCs w:val="20"/>
          <w:color w:val="auto"/>
        </w:rPr>
      </w:pPr>
      <w:r>
        <w:rPr>
          <w:rFonts w:ascii="Arial" w:cs="Arial" w:eastAsia="Arial" w:hAnsi="Arial"/>
          <w:sz w:val="16"/>
          <w:szCs w:val="16"/>
          <w:color w:val="auto"/>
        </w:rPr>
        <w:t>GasLog, as corporate guarantor for the aforementioned facility, is also subject to specified financial covenants on a consolidated basis. The financial covenants include the following:</w:t>
      </w:r>
    </w:p>
    <w:p>
      <w:pPr>
        <w:spacing w:after="0" w:line="185" w:lineRule="exact"/>
        <w:rPr>
          <w:sz w:val="20"/>
          <w:szCs w:val="20"/>
          <w:color w:val="auto"/>
        </w:rPr>
      </w:pPr>
    </w:p>
    <w:p>
      <w:pPr>
        <w:ind w:left="380" w:hanging="329"/>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net working capital (excluding the current portion of long-term debt) must be not less than $0;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total indebtedness divided by total assets must not exceed 75.0%;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the ratio of EBITDA over debt service obligations (including interest and debt repayments) on a trailing 12-month basis must be not less than 110.0%;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4"/>
          <w:szCs w:val="14"/>
          <w:color w:val="auto"/>
        </w:rPr>
        <w:t>the aggregate amount of all unencumbered cash and cash equivalents must be not less than the higher of 3% of total indebtedness or $50,000 after the first drawdown;</w:t>
      </w:r>
    </w:p>
    <w:p>
      <w:pPr>
        <w:spacing w:after="0" w:line="32" w:lineRule="exact"/>
        <w:rPr>
          <w:rFonts w:ascii="Arial" w:cs="Arial" w:eastAsia="Arial" w:hAnsi="Arial"/>
          <w:sz w:val="16"/>
          <w:szCs w:val="16"/>
          <w:color w:val="auto"/>
        </w:rPr>
      </w:pPr>
    </w:p>
    <w:p>
      <w:pPr>
        <w:ind w:left="380" w:right="80" w:hanging="329"/>
        <w:spacing w:after="0" w:line="251" w:lineRule="auto"/>
        <w:tabs>
          <w:tab w:leader="none" w:pos="386" w:val="left"/>
        </w:tabs>
        <w:numPr>
          <w:ilvl w:val="0"/>
          <w:numId w:val="27"/>
        </w:numPr>
        <w:rPr>
          <w:rFonts w:ascii="Arial" w:cs="Arial" w:eastAsia="Arial" w:hAnsi="Arial"/>
          <w:sz w:val="18"/>
          <w:szCs w:val="18"/>
          <w:color w:val="auto"/>
        </w:rPr>
      </w:pPr>
      <w:r>
        <w:rPr>
          <w:rFonts w:ascii="Arial" w:cs="Arial" w:eastAsia="Arial" w:hAnsi="Arial"/>
          <w:sz w:val="16"/>
          <w:szCs w:val="16"/>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the market value adjusted net worth of GasLog must at all times be not less than $350,000.</w:t>
      </w:r>
    </w:p>
    <w:p>
      <w:pPr>
        <w:spacing w:after="0" w:line="212" w:lineRule="exact"/>
        <w:rPr>
          <w:sz w:val="20"/>
          <w:szCs w:val="20"/>
          <w:color w:val="auto"/>
        </w:rPr>
      </w:pPr>
    </w:p>
    <w:p>
      <w:pPr>
        <w:ind w:right="160" w:firstLine="405"/>
        <w:spacing w:after="0" w:line="329" w:lineRule="auto"/>
        <w:rPr>
          <w:sz w:val="20"/>
          <w:szCs w:val="20"/>
          <w:color w:val="auto"/>
        </w:rPr>
      </w:pPr>
      <w:r>
        <w:rPr>
          <w:rFonts w:ascii="Arial" w:cs="Arial" w:eastAsia="Arial" w:hAnsi="Arial"/>
          <w:sz w:val="15"/>
          <w:szCs w:val="15"/>
          <w:color w:val="auto"/>
        </w:rPr>
        <w:t xml:space="preserve">GasLog was in compliance with the above financial covenants as of June 30, 2019.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5"/>
          <w:szCs w:val="15"/>
          <w:i w:val="1"/>
          <w:iCs w:val="1"/>
          <w:color w:val="auto"/>
        </w:rPr>
        <w:t>GasLog Glasgow</w:t>
      </w:r>
      <w:r>
        <w:rPr>
          <w:rFonts w:ascii="Arial" w:cs="Arial" w:eastAsia="Arial" w:hAnsi="Arial"/>
          <w:sz w:val="15"/>
          <w:szCs w:val="15"/>
          <w:color w:val="auto"/>
        </w:rPr>
        <w:t>.</w:t>
      </w:r>
    </w:p>
    <w:p>
      <w:pPr>
        <w:spacing w:after="0" w:line="148" w:lineRule="exact"/>
        <w:rPr>
          <w:sz w:val="20"/>
          <w:szCs w:val="20"/>
          <w:color w:val="auto"/>
        </w:rPr>
      </w:pPr>
    </w:p>
    <w:p>
      <w:pPr>
        <w:ind w:right="220" w:firstLine="405"/>
        <w:spacing w:after="0" w:line="278"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GasLog Partners was in compliance with its financial covenants as of June 30, 2019.</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9"/>
        </w:trPr>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8. Other Payables and Accruals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9"/>
        </w:trPr>
        <w:tc>
          <w:tcPr>
            <w:tcW w:w="300" w:type="dxa"/>
            <w:vAlign w:val="bottom"/>
          </w:tcPr>
          <w:p>
            <w:pPr>
              <w:spacing w:after="0"/>
              <w:rPr>
                <w:sz w:val="24"/>
                <w:szCs w:val="24"/>
                <w:color w:val="auto"/>
              </w:rPr>
            </w:pPr>
          </w:p>
        </w:tc>
        <w:tc>
          <w:tcPr>
            <w:tcW w:w="7980" w:type="dxa"/>
            <w:vAlign w:val="bottom"/>
          </w:tcPr>
          <w:p>
            <w:pPr>
              <w:ind w:left="100"/>
              <w:spacing w:after="0"/>
              <w:rPr>
                <w:sz w:val="20"/>
                <w:szCs w:val="20"/>
                <w:color w:val="auto"/>
              </w:rPr>
            </w:pPr>
            <w:r>
              <w:rPr>
                <w:rFonts w:ascii="Arial" w:cs="Arial" w:eastAsia="Arial" w:hAnsi="Arial"/>
                <w:sz w:val="16"/>
                <w:szCs w:val="16"/>
                <w:color w:val="auto"/>
              </w:rPr>
              <w:t>An analysis of other payables and accruals is as follows: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1"/>
        </w:trPr>
        <w:tc>
          <w:tcPr>
            <w:tcW w:w="3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jc w:val="right"/>
              <w:ind w:right="28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300" w:type="dxa"/>
            <w:vAlign w:val="bottom"/>
          </w:tcPr>
          <w:p>
            <w:pPr>
              <w:spacing w:after="0"/>
              <w:rPr>
                <w:sz w:val="18"/>
                <w:szCs w:val="18"/>
                <w:color w:val="auto"/>
              </w:rPr>
            </w:pPr>
          </w:p>
        </w:tc>
        <w:tc>
          <w:tcPr>
            <w:tcW w:w="798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E5FFFF"/>
            </w:tcBorders>
          </w:tcPr>
          <w:p>
            <w:pPr>
              <w:spacing w:after="0"/>
              <w:rPr>
                <w:sz w:val="18"/>
                <w:szCs w:val="18"/>
                <w:color w:val="auto"/>
              </w:rPr>
            </w:pPr>
          </w:p>
        </w:tc>
        <w:tc>
          <w:tcPr>
            <w:tcW w:w="12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2019</w:t>
            </w:r>
          </w:p>
        </w:tc>
      </w:tr>
      <w:tr>
        <w:trPr>
          <w:trHeight w:val="199"/>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26,684</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Accrued legal and professional fees</w:t>
            </w:r>
          </w:p>
        </w:tc>
        <w:tc>
          <w:tcPr>
            <w:tcW w:w="1320" w:type="dxa"/>
            <w:vAlign w:val="bottom"/>
          </w:tcPr>
          <w:p>
            <w:pPr>
              <w:jc w:val="right"/>
              <w:spacing w:after="0"/>
              <w:rPr>
                <w:sz w:val="20"/>
                <w:szCs w:val="20"/>
                <w:color w:val="auto"/>
              </w:rPr>
            </w:pPr>
            <w:r>
              <w:rPr>
                <w:rFonts w:ascii="Arial" w:cs="Arial" w:eastAsia="Arial" w:hAnsi="Arial"/>
                <w:sz w:val="16"/>
                <w:szCs w:val="16"/>
                <w:color w:val="auto"/>
              </w:rPr>
              <w:t>679</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03"/>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2,064</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1,779</w:t>
            </w:r>
          </w:p>
        </w:tc>
      </w:tr>
      <w:tr>
        <w:trPr>
          <w:trHeight w:val="203"/>
        </w:trPr>
        <w:tc>
          <w:tcPr>
            <w:tcW w:w="3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Accrued off-hire</w:t>
            </w:r>
          </w:p>
        </w:tc>
        <w:tc>
          <w:tcPr>
            <w:tcW w:w="1320" w:type="dxa"/>
            <w:vAlign w:val="bottom"/>
          </w:tcPr>
          <w:p>
            <w:pPr>
              <w:jc w:val="right"/>
              <w:spacing w:after="0"/>
              <w:rPr>
                <w:sz w:val="20"/>
                <w:szCs w:val="20"/>
                <w:color w:val="auto"/>
              </w:rPr>
            </w:pPr>
            <w:r>
              <w:rPr>
                <w:rFonts w:ascii="Arial" w:cs="Arial" w:eastAsia="Arial" w:hAnsi="Arial"/>
                <w:sz w:val="16"/>
                <w:szCs w:val="16"/>
                <w:color w:val="auto"/>
              </w:rPr>
              <w:t>3,108</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203"/>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610</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549</w:t>
            </w:r>
          </w:p>
        </w:tc>
      </w:tr>
      <w:tr>
        <w:trPr>
          <w:trHeight w:val="203"/>
        </w:trPr>
        <w:tc>
          <w:tcPr>
            <w:tcW w:w="3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Accrued purchases</w:t>
            </w:r>
          </w:p>
        </w:tc>
        <w:tc>
          <w:tcPr>
            <w:tcW w:w="1320" w:type="dxa"/>
            <w:vAlign w:val="bottom"/>
          </w:tcPr>
          <w:p>
            <w:pPr>
              <w:jc w:val="right"/>
              <w:spacing w:after="0"/>
              <w:rPr>
                <w:sz w:val="20"/>
                <w:szCs w:val="20"/>
                <w:color w:val="auto"/>
              </w:rPr>
            </w:pPr>
            <w:r>
              <w:rPr>
                <w:rFonts w:ascii="Arial" w:cs="Arial" w:eastAsia="Arial" w:hAnsi="Arial"/>
                <w:sz w:val="16"/>
                <w:szCs w:val="16"/>
                <w:color w:val="auto"/>
              </w:rPr>
              <w:t>10,411</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2,154</w:t>
            </w:r>
          </w:p>
        </w:tc>
      </w:tr>
      <w:tr>
        <w:trPr>
          <w:trHeight w:val="203"/>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Accrued interest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14,402</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13,953</w:t>
            </w:r>
          </w:p>
        </w:tc>
      </w:tr>
      <w:tr>
        <w:trPr>
          <w:trHeight w:val="203"/>
        </w:trPr>
        <w:tc>
          <w:tcPr>
            <w:tcW w:w="3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320" w:type="dxa"/>
            <w:vAlign w:val="bottom"/>
          </w:tcPr>
          <w:p>
            <w:pPr>
              <w:jc w:val="right"/>
              <w:spacing w:after="0"/>
              <w:rPr>
                <w:sz w:val="20"/>
                <w:szCs w:val="20"/>
                <w:color w:val="auto"/>
              </w:rPr>
            </w:pPr>
            <w:r>
              <w:rPr>
                <w:rFonts w:ascii="Arial" w:cs="Arial" w:eastAsia="Arial" w:hAnsi="Arial"/>
                <w:sz w:val="16"/>
                <w:szCs w:val="16"/>
                <w:color w:val="auto"/>
              </w:rPr>
              <w:t>198</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03"/>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101</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420</w:t>
            </w:r>
          </w:p>
        </w:tc>
      </w:tr>
      <w:tr>
        <w:trPr>
          <w:trHeight w:val="203"/>
        </w:trPr>
        <w:tc>
          <w:tcPr>
            <w:tcW w:w="30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Accrued cash distributions</w:t>
            </w:r>
          </w:p>
        </w:tc>
        <w:tc>
          <w:tcPr>
            <w:tcW w:w="1320" w:type="dxa"/>
            <w:vAlign w:val="bottom"/>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03"/>
        </w:trPr>
        <w:tc>
          <w:tcPr>
            <w:tcW w:w="300" w:type="dxa"/>
            <w:vAlign w:val="bottom"/>
          </w:tcPr>
          <w:p>
            <w:pPr>
              <w:spacing w:after="0"/>
              <w:rPr>
                <w:sz w:val="17"/>
                <w:szCs w:val="17"/>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2,137</w:t>
            </w:r>
          </w:p>
        </w:tc>
        <w:tc>
          <w:tcPr>
            <w:tcW w:w="18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1,662</w:t>
            </w:r>
          </w:p>
        </w:tc>
      </w:tr>
      <w:tr>
        <w:trPr>
          <w:trHeight w:val="196"/>
        </w:trPr>
        <w:tc>
          <w:tcPr>
            <w:tcW w:w="828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60,671</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25,026</w:t>
            </w:r>
          </w:p>
        </w:tc>
      </w:tr>
      <w:tr>
        <w:trPr>
          <w:trHeight w:val="20"/>
        </w:trPr>
        <w:tc>
          <w:tcPr>
            <w:tcW w:w="3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40" w:firstLine="396"/>
        <w:spacing w:after="0" w:line="293" w:lineRule="auto"/>
        <w:rPr>
          <w:sz w:val="20"/>
          <w:szCs w:val="20"/>
          <w:color w:val="auto"/>
        </w:rPr>
      </w:pPr>
      <w:r>
        <w:rPr>
          <w:rFonts w:ascii="Arial" w:cs="Arial" w:eastAsia="Arial" w:hAnsi="Arial"/>
          <w:sz w:val="16"/>
          <w:szCs w:val="16"/>
          <w:color w:val="auto"/>
        </w:rPr>
        <w:t>As of December 31, 2018, the unearned revenue of $26,684 represented monthly charter hires received in advance relating to January 2019. As of June 30, 2019, the balance was nil since the relevant hires were received on or after July 1,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Revenues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Partnership has recognized the following amounts relating to revenues: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96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49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90,569</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90,509</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189,905</w:t>
            </w:r>
          </w:p>
        </w:tc>
        <w:tc>
          <w:tcPr>
            <w:tcW w:w="1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180,696</w:t>
            </w:r>
          </w:p>
        </w:tc>
      </w:tr>
      <w:tr>
        <w:trPr>
          <w:trHeight w:val="203"/>
        </w:trPr>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Revenues from the Cool Pool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18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16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18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w:t>
            </w:r>
          </w:p>
        </w:tc>
      </w:tr>
      <w:tr>
        <w:trPr>
          <w:trHeight w:val="196"/>
        </w:trPr>
        <w:tc>
          <w:tcPr>
            <w:tcW w:w="4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92,085</w:t>
            </w:r>
          </w:p>
        </w:tc>
        <w:tc>
          <w:tcPr>
            <w:tcW w:w="18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91,805</w:t>
            </w:r>
          </w:p>
        </w:tc>
        <w:tc>
          <w:tcPr>
            <w:tcW w:w="16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191,421</w:t>
            </w:r>
          </w:p>
        </w:tc>
        <w:tc>
          <w:tcPr>
            <w:tcW w:w="18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185,690</w:t>
            </w:r>
          </w:p>
        </w:tc>
      </w:tr>
      <w:tr>
        <w:trPr>
          <w:trHeight w:val="20"/>
        </w:trPr>
        <w:tc>
          <w:tcPr>
            <w:tcW w:w="4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80" w:firstLine="396"/>
        <w:spacing w:after="0" w:line="278" w:lineRule="auto"/>
        <w:rPr>
          <w:sz w:val="20"/>
          <w:szCs w:val="20"/>
          <w:color w:val="auto"/>
        </w:rPr>
      </w:pPr>
      <w:r>
        <w:rPr>
          <w:rFonts w:ascii="Arial" w:cs="Arial" w:eastAsia="Arial" w:hAnsi="Arial"/>
          <w:sz w:val="16"/>
          <w:szCs w:val="16"/>
          <w:color w:val="auto"/>
        </w:rPr>
        <w:t>Revenues from the Cool Pool relate only to the pool revenues received from a GasLog Partners vessel operating in the Cool Pool and do not include the Net pool allocation to GasLog Partners of a gain of $1,024 and $1,058 for the three and six months ended June 30, 2019, respectively ($357 loss for the three and six months ended June 30, 2018).</w:t>
      </w:r>
    </w:p>
    <w:p>
      <w:pPr>
        <w:spacing w:after="0" w:line="63" w:lineRule="exact"/>
        <w:rPr>
          <w:sz w:val="20"/>
          <w:szCs w:val="20"/>
          <w:color w:val="auto"/>
        </w:rPr>
      </w:pPr>
    </w:p>
    <w:p>
      <w:pPr>
        <w:ind w:firstLine="396"/>
        <w:spacing w:after="0" w:line="293" w:lineRule="auto"/>
        <w:rPr>
          <w:sz w:val="20"/>
          <w:szCs w:val="20"/>
          <w:color w:val="auto"/>
        </w:rPr>
      </w:pPr>
      <w:r>
        <w:rPr>
          <w:rFonts w:ascii="Arial" w:cs="Arial" w:eastAsia="Arial" w:hAnsi="Arial"/>
          <w:sz w:val="16"/>
          <w:szCs w:val="16"/>
          <w:color w:val="auto"/>
        </w:rPr>
        <w:t xml:space="preserve">On June 23, 2019,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exited the pool following a termination agreement dated June 6, 2019 that GasLog entered into with the Cool Pool and Golar in order to assume commercial control of GasLog’s and GasLog Partners’ vessels operating in the spot market.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General and Administrative Expenses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general and administrative expenses is as follows:</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7"/>
                <w:szCs w:val="17"/>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June 30, 2018</w:t>
            </w: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June 30, 2019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Administrative services fees (Note 3)</w:t>
            </w:r>
          </w:p>
        </w:tc>
        <w:tc>
          <w:tcPr>
            <w:tcW w:w="10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2,581</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2,279</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5,016</w:t>
            </w: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Commercial management fees (Note 3)</w:t>
            </w:r>
          </w:p>
        </w:tc>
        <w:tc>
          <w:tcPr>
            <w:tcW w:w="1200" w:type="dxa"/>
            <w:vAlign w:val="bottom"/>
          </w:tcPr>
          <w:p>
            <w:pPr>
              <w:jc w:val="right"/>
              <w:spacing w:after="0"/>
              <w:rPr>
                <w:sz w:val="20"/>
                <w:szCs w:val="20"/>
                <w:color w:val="auto"/>
              </w:rPr>
            </w:pPr>
            <w:r>
              <w:rPr>
                <w:rFonts w:ascii="Arial" w:cs="Arial" w:eastAsia="Arial" w:hAnsi="Arial"/>
                <w:sz w:val="16"/>
                <w:szCs w:val="16"/>
                <w:color w:val="auto"/>
              </w:rPr>
              <w:t>1,350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1,350</w:t>
            </w:r>
          </w:p>
        </w:tc>
        <w:tc>
          <w:tcPr>
            <w:tcW w:w="1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Share-based compensation (Note 17)</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247</w:t>
            </w: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Other expenses</w:t>
            </w:r>
          </w:p>
        </w:tc>
        <w:tc>
          <w:tcPr>
            <w:tcW w:w="1200" w:type="dxa"/>
            <w:vAlign w:val="bottom"/>
          </w:tcPr>
          <w:p>
            <w:pPr>
              <w:jc w:val="right"/>
              <w:spacing w:after="0"/>
              <w:rPr>
                <w:sz w:val="20"/>
                <w:szCs w:val="20"/>
                <w:color w:val="auto"/>
              </w:rPr>
            </w:pPr>
            <w:r>
              <w:rPr>
                <w:rFonts w:ascii="Arial" w:cs="Arial" w:eastAsia="Arial" w:hAnsi="Arial"/>
                <w:sz w:val="16"/>
                <w:szCs w:val="16"/>
                <w:color w:val="auto"/>
              </w:rPr>
              <w:t>700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865</w:t>
            </w:r>
          </w:p>
        </w:tc>
        <w:tc>
          <w:tcPr>
            <w:tcW w:w="1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4,894</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4,741</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9,786</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9,435</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80" w:type="dxa"/>
            <w:vAlign w:val="bottom"/>
            <w:gridSpan w:val="3"/>
          </w:tcPr>
          <w:p>
            <w:pPr>
              <w:spacing w:after="0"/>
              <w:rPr>
                <w:sz w:val="20"/>
                <w:szCs w:val="20"/>
                <w:color w:val="auto"/>
              </w:rPr>
            </w:pPr>
            <w:r>
              <w:rPr>
                <w:rFonts w:ascii="Arial" w:cs="Arial" w:eastAsia="Arial" w:hAnsi="Arial"/>
                <w:sz w:val="16"/>
                <w:szCs w:val="16"/>
                <w:b w:val="1"/>
                <w:bCs w:val="1"/>
                <w:color w:val="auto"/>
              </w:rPr>
              <w:t>11. Vessel Operating Costs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5080" w:type="dxa"/>
            <w:vAlign w:val="bottom"/>
            <w:gridSpan w:val="2"/>
          </w:tcPr>
          <w:p>
            <w:pPr>
              <w:ind w:left="40"/>
              <w:spacing w:after="0"/>
              <w:rPr>
                <w:sz w:val="20"/>
                <w:szCs w:val="20"/>
                <w:color w:val="auto"/>
              </w:rPr>
            </w:pPr>
            <w:r>
              <w:rPr>
                <w:rFonts w:ascii="Arial" w:cs="Arial" w:eastAsia="Arial" w:hAnsi="Arial"/>
                <w:sz w:val="16"/>
                <w:szCs w:val="16"/>
                <w:color w:val="auto"/>
              </w:rPr>
              <w:t>An analysis of vessel operating costs is as follows: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4"/>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June 30, 2018</w:t>
            </w: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June 30, 2019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costs</w:t>
            </w:r>
          </w:p>
        </w:tc>
        <w:tc>
          <w:tcPr>
            <w:tcW w:w="10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9,431</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9,178</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19,418</w:t>
            </w: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18,273</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Technical maintenance expenses</w:t>
            </w:r>
          </w:p>
        </w:tc>
        <w:tc>
          <w:tcPr>
            <w:tcW w:w="1200" w:type="dxa"/>
            <w:vAlign w:val="bottom"/>
          </w:tcPr>
          <w:p>
            <w:pPr>
              <w:jc w:val="right"/>
              <w:spacing w:after="0"/>
              <w:rPr>
                <w:sz w:val="20"/>
                <w:szCs w:val="20"/>
                <w:color w:val="auto"/>
              </w:rPr>
            </w:pPr>
            <w:r>
              <w:rPr>
                <w:rFonts w:ascii="Arial" w:cs="Arial" w:eastAsia="Arial" w:hAnsi="Arial"/>
                <w:sz w:val="16"/>
                <w:szCs w:val="16"/>
                <w:color w:val="auto"/>
              </w:rPr>
              <w:t>3,691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4,800</w:t>
            </w:r>
          </w:p>
        </w:tc>
        <w:tc>
          <w:tcPr>
            <w:tcW w:w="1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8,559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5,086</w:t>
            </w: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4,570</w:t>
            </w: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10,356</w:t>
            </w: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9,209</w:t>
            </w:r>
          </w:p>
        </w:tc>
        <w:tc>
          <w:tcPr>
            <w:tcW w:w="0" w:type="dxa"/>
            <w:vAlign w:val="bottom"/>
          </w:tcPr>
          <w:p>
            <w:pPr>
              <w:spacing w:after="0"/>
              <w:rPr>
                <w:sz w:val="1"/>
                <w:szCs w:val="1"/>
                <w:color w:val="auto"/>
              </w:rPr>
            </w:pPr>
          </w:p>
        </w:tc>
      </w:tr>
      <w:tr>
        <w:trPr>
          <w:trHeight w:val="196"/>
        </w:trPr>
        <w:tc>
          <w:tcPr>
            <w:tcW w:w="528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18,208</w:t>
            </w: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18,548</w:t>
            </w:r>
          </w:p>
        </w:tc>
        <w:tc>
          <w:tcPr>
            <w:tcW w:w="160" w:type="dxa"/>
            <w:vAlign w:val="bottom"/>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38,333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37,179</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380" w:type="dxa"/>
            <w:vAlign w:val="bottom"/>
            <w:gridSpan w:val="3"/>
          </w:tcPr>
          <w:p>
            <w:pPr>
              <w:spacing w:after="0"/>
              <w:rPr>
                <w:sz w:val="20"/>
                <w:szCs w:val="20"/>
                <w:color w:val="auto"/>
              </w:rPr>
            </w:pPr>
            <w:r>
              <w:rPr>
                <w:rFonts w:ascii="Arial" w:cs="Arial" w:eastAsia="Arial" w:hAnsi="Arial"/>
                <w:sz w:val="16"/>
                <w:szCs w:val="16"/>
                <w:b w:val="1"/>
                <w:bCs w:val="1"/>
                <w:color w:val="auto"/>
              </w:rPr>
              <w:t>12. Derivative Financial Instruments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5080" w:type="dxa"/>
            <w:vAlign w:val="bottom"/>
            <w:gridSpan w:val="2"/>
          </w:tcPr>
          <w:p>
            <w:pPr>
              <w:ind w:left="40"/>
              <w:spacing w:after="0"/>
              <w:rPr>
                <w:sz w:val="20"/>
                <w:szCs w:val="20"/>
                <w:color w:val="auto"/>
              </w:rPr>
            </w:pPr>
            <w:r>
              <w:rPr>
                <w:rFonts w:ascii="Arial" w:cs="Arial" w:eastAsia="Arial" w:hAnsi="Arial"/>
                <w:sz w:val="16"/>
                <w:szCs w:val="16"/>
                <w:color w:val="auto"/>
              </w:rPr>
              <w:t>The fair value of the derivative assets is as follows: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5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w w:val="98"/>
              </w:rPr>
              <w:t>Derivative assets carried at fair value through profit or loss (FVTPL)</w:t>
            </w:r>
          </w:p>
        </w:tc>
        <w:tc>
          <w:tcPr>
            <w:tcW w:w="120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E5FFFF"/>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40" w:type="dxa"/>
            <w:vAlign w:val="bottom"/>
            <w:tcBorders>
              <w:top w:val="single" w:sz="8" w:color="E5FFFF"/>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28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Interest rate swaps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9,731</w:t>
            </w: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9,731</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1,391</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300"/>
              <w:spacing w:after="0"/>
              <w:rPr>
                <w:sz w:val="20"/>
                <w:szCs w:val="20"/>
                <w:color w:val="auto"/>
              </w:rPr>
            </w:pPr>
            <w:r>
              <w:rPr>
                <w:rFonts w:ascii="Arial" w:cs="Arial" w:eastAsia="Arial" w:hAnsi="Arial"/>
                <w:sz w:val="16"/>
                <w:szCs w:val="16"/>
                <w:color w:val="auto"/>
              </w:rPr>
              <w:t>Derivative financial instruments, current asset</w:t>
            </w: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gridSpan w:val="3"/>
            <w:vMerge w:val="continue"/>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4,615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asset</w:t>
            </w:r>
          </w:p>
        </w:tc>
        <w:tc>
          <w:tcPr>
            <w:tcW w:w="1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5,116</w:t>
            </w: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380" w:type="dxa"/>
            <w:vAlign w:val="bottom"/>
            <w:gridSpan w:val="3"/>
          </w:tcPr>
          <w:p>
            <w:pPr>
              <w:ind w:left="300"/>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9,731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80" w:type="dxa"/>
            <w:vAlign w:val="bottom"/>
            <w:gridSpan w:val="2"/>
            <w:vMerge w:val="restart"/>
          </w:tcPr>
          <w:p>
            <w:pPr>
              <w:ind w:left="40"/>
              <w:spacing w:after="0"/>
              <w:rPr>
                <w:sz w:val="20"/>
                <w:szCs w:val="20"/>
                <w:color w:val="auto"/>
              </w:rPr>
            </w:pPr>
            <w:r>
              <w:rPr>
                <w:rFonts w:ascii="Arial" w:cs="Arial" w:eastAsia="Arial" w:hAnsi="Arial"/>
                <w:sz w:val="16"/>
                <w:szCs w:val="16"/>
                <w:color w:val="auto"/>
              </w:rPr>
              <w:t>The fair value of the derivative liabilities is as follows:</w:t>
            </w: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00" w:type="dxa"/>
            <w:vAlign w:val="bottom"/>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5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w w:val="94"/>
              </w:rPr>
              <w:t>Derivative liabilities carried at fair value through profit or loss (FVTPL)</w:t>
            </w:r>
          </w:p>
        </w:tc>
        <w:tc>
          <w:tcPr>
            <w:tcW w:w="120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E5FFFF"/>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40" w:type="dxa"/>
            <w:vAlign w:val="bottom"/>
            <w:tcBorders>
              <w:top w:val="single" w:sz="8" w:color="E5FFFF"/>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28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Interest rate swaps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4,218</w:t>
            </w: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10,487</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578</w:t>
            </w: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6"/>
        </w:trPr>
        <w:tc>
          <w:tcPr>
            <w:tcW w:w="5380" w:type="dxa"/>
            <w:vAlign w:val="bottom"/>
            <w:gridSpan w:val="3"/>
          </w:tcPr>
          <w:p>
            <w:pPr>
              <w:ind w:left="300"/>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4,796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10,709</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080" w:type="dxa"/>
            <w:vAlign w:val="bottom"/>
            <w:tcBorders>
              <w:top w:val="single" w:sz="8" w:color="E5FFFF"/>
            </w:tcBorders>
            <w:gridSpan w:val="2"/>
            <w:shd w:val="clear" w:color="auto" w:fill="E5FFFF"/>
          </w:tcPr>
          <w:p>
            <w:pPr>
              <w:spacing w:after="0" w:line="177" w:lineRule="exact"/>
              <w:rPr>
                <w:sz w:val="20"/>
                <w:szCs w:val="20"/>
                <w:color w:val="auto"/>
              </w:rPr>
            </w:pPr>
            <w:r>
              <w:rPr>
                <w:rFonts w:ascii="Arial" w:cs="Arial" w:eastAsia="Arial" w:hAnsi="Arial"/>
                <w:sz w:val="16"/>
                <w:szCs w:val="16"/>
                <w:color w:val="auto"/>
              </w:rPr>
              <w:t>Derivative financial instruments, current liability</w:t>
            </w:r>
          </w:p>
        </w:tc>
        <w:tc>
          <w:tcPr>
            <w:tcW w:w="12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E5FFFF"/>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1,253</w:t>
            </w: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3,543</w:t>
            </w: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8,526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4,796</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10,709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Fixed</w:t>
            </w:r>
          </w:p>
        </w:tc>
        <w:tc>
          <w:tcPr>
            <w:tcW w:w="294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Termination</w:t>
            </w: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Interest</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Counterparty</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Trade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Date</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15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2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1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1.54%</w:t>
            </w:r>
          </w:p>
        </w:tc>
        <w:tc>
          <w:tcPr>
            <w:tcW w:w="1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ind w:left="900"/>
              <w:spacing w:after="0"/>
              <w:rPr>
                <w:sz w:val="20"/>
                <w:szCs w:val="20"/>
                <w:color w:val="auto"/>
              </w:rPr>
            </w:pPr>
            <w:r>
              <w:rPr>
                <w:rFonts w:ascii="Arial" w:cs="Arial" w:eastAsia="Arial" w:hAnsi="Arial"/>
                <w:sz w:val="16"/>
                <w:szCs w:val="16"/>
                <w:color w:val="auto"/>
                <w:w w:val="86"/>
              </w:rPr>
              <w:t>130,000</w:t>
            </w:r>
          </w:p>
        </w:tc>
        <w:tc>
          <w:tcPr>
            <w:tcW w:w="1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6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 2016</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 2016</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20" w:type="dxa"/>
            <w:vAlign w:val="bottom"/>
          </w:tcPr>
          <w:p>
            <w:pPr>
              <w:spacing w:after="0"/>
              <w:rPr>
                <w:sz w:val="17"/>
                <w:szCs w:val="17"/>
                <w:color w:val="auto"/>
              </w:rPr>
            </w:pPr>
          </w:p>
        </w:tc>
        <w:tc>
          <w:tcPr>
            <w:tcW w:w="1540" w:type="dxa"/>
            <w:vAlign w:val="bottom"/>
            <w:gridSpan w:val="2"/>
          </w:tcPr>
          <w:p>
            <w:pPr>
              <w:ind w:left="900"/>
              <w:spacing w:after="0"/>
              <w:rPr>
                <w:sz w:val="20"/>
                <w:szCs w:val="20"/>
                <w:color w:val="auto"/>
              </w:rPr>
            </w:pPr>
            <w:r>
              <w:rPr>
                <w:rFonts w:ascii="Arial" w:cs="Arial" w:eastAsia="Arial" w:hAnsi="Arial"/>
                <w:sz w:val="16"/>
                <w:szCs w:val="16"/>
                <w:color w:val="auto"/>
              </w:rPr>
              <w:t>130,000</w:t>
            </w:r>
          </w:p>
        </w:tc>
        <w:tc>
          <w:tcPr>
            <w:tcW w:w="1400" w:type="dxa"/>
            <w:vAlign w:val="bottom"/>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6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2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Nov 2016</w:t>
            </w:r>
          </w:p>
        </w:tc>
        <w:tc>
          <w:tcPr>
            <w:tcW w:w="14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 2016</w:t>
            </w: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July 2022</w:t>
            </w: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ind w:left="900"/>
              <w:spacing w:after="0"/>
              <w:rPr>
                <w:sz w:val="20"/>
                <w:szCs w:val="20"/>
                <w:color w:val="auto"/>
              </w:rPr>
            </w:pPr>
            <w:r>
              <w:rPr>
                <w:rFonts w:ascii="Arial" w:cs="Arial" w:eastAsia="Arial" w:hAnsi="Arial"/>
                <w:sz w:val="16"/>
                <w:szCs w:val="16"/>
                <w:color w:val="auto"/>
              </w:rPr>
              <w:t>130,000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GasLog Partners</w:t>
            </w:r>
          </w:p>
        </w:tc>
        <w:tc>
          <w:tcPr>
            <w:tcW w:w="1480" w:type="dxa"/>
            <w:vAlign w:val="bottom"/>
          </w:tcPr>
          <w:p>
            <w:pPr>
              <w:ind w:left="280"/>
              <w:spacing w:after="0"/>
              <w:rPr>
                <w:sz w:val="20"/>
                <w:szCs w:val="20"/>
                <w:color w:val="auto"/>
              </w:rPr>
            </w:pPr>
            <w:r>
              <w:rPr>
                <w:rFonts w:ascii="Arial" w:cs="Arial" w:eastAsia="Arial" w:hAnsi="Arial"/>
                <w:sz w:val="16"/>
                <w:szCs w:val="16"/>
                <w:color w:val="auto"/>
              </w:rPr>
              <w:t>GasLog</w:t>
            </w:r>
          </w:p>
        </w:tc>
        <w:tc>
          <w:tcPr>
            <w:tcW w:w="1680" w:type="dxa"/>
            <w:vAlign w:val="bottom"/>
          </w:tcPr>
          <w:p>
            <w:pPr>
              <w:ind w:left="700"/>
              <w:spacing w:after="0"/>
              <w:rPr>
                <w:sz w:val="20"/>
                <w:szCs w:val="20"/>
                <w:color w:val="auto"/>
              </w:rPr>
            </w:pPr>
            <w:r>
              <w:rPr>
                <w:rFonts w:ascii="Arial" w:cs="Arial" w:eastAsia="Arial" w:hAnsi="Arial"/>
                <w:sz w:val="16"/>
                <w:szCs w:val="16"/>
                <w:color w:val="auto"/>
              </w:rPr>
              <w:t>July 2017</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July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June 2022</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80,000</w:t>
            </w:r>
          </w:p>
        </w:tc>
        <w:tc>
          <w:tcPr>
            <w:tcW w:w="14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09"/>
        </w:trPr>
        <w:tc>
          <w:tcPr>
            <w:tcW w:w="138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80" w:type="dxa"/>
            <w:vAlign w:val="bottom"/>
            <w:shd w:val="clear" w:color="auto" w:fill="E5FFFF"/>
          </w:tcPr>
          <w:p>
            <w:pPr>
              <w:ind w:left="280"/>
              <w:spacing w:after="0"/>
              <w:rPr>
                <w:sz w:val="20"/>
                <w:szCs w:val="20"/>
                <w:color w:val="auto"/>
              </w:rPr>
            </w:pPr>
            <w:r>
              <w:rPr>
                <w:rFonts w:ascii="Arial" w:cs="Arial" w:eastAsia="Arial" w:hAnsi="Arial"/>
                <w:sz w:val="16"/>
                <w:szCs w:val="16"/>
                <w:color w:val="auto"/>
              </w:rPr>
              <w:t>GasLog</w:t>
            </w:r>
          </w:p>
        </w:tc>
        <w:tc>
          <w:tcPr>
            <w:tcW w:w="1680" w:type="dxa"/>
            <w:vAlign w:val="bottom"/>
            <w:shd w:val="clear" w:color="auto" w:fill="E5FFFF"/>
          </w:tcPr>
          <w:p>
            <w:pPr>
              <w:ind w:left="700"/>
              <w:spacing w:after="0"/>
              <w:rPr>
                <w:sz w:val="20"/>
                <w:szCs w:val="20"/>
                <w:color w:val="auto"/>
              </w:rPr>
            </w:pPr>
            <w:r>
              <w:rPr>
                <w:rFonts w:ascii="Arial" w:cs="Arial" w:eastAsia="Arial" w:hAnsi="Arial"/>
                <w:sz w:val="16"/>
                <w:szCs w:val="16"/>
                <w:color w:val="auto"/>
              </w:rPr>
              <w:t>May 2018</w:t>
            </w:r>
          </w:p>
        </w:tc>
        <w:tc>
          <w:tcPr>
            <w:tcW w:w="14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2018</w:t>
            </w: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7"/>
              </w:rPr>
              <w:t>April 2023</w:t>
            </w: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3.15%</w:t>
            </w:r>
          </w:p>
        </w:tc>
        <w:tc>
          <w:tcPr>
            <w:tcW w:w="12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80,000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r>
      <w:tr>
        <w:trPr>
          <w:trHeight w:val="203"/>
        </w:trPr>
        <w:tc>
          <w:tcPr>
            <w:tcW w:w="1380" w:type="dxa"/>
            <w:vAlign w:val="bottom"/>
          </w:tcPr>
          <w:p>
            <w:pPr>
              <w:spacing w:after="0"/>
              <w:rPr>
                <w:sz w:val="20"/>
                <w:szCs w:val="20"/>
                <w:color w:val="auto"/>
              </w:rPr>
            </w:pPr>
            <w:r>
              <w:rPr>
                <w:rFonts w:ascii="Arial" w:cs="Arial" w:eastAsia="Arial" w:hAnsi="Arial"/>
                <w:sz w:val="16"/>
                <w:szCs w:val="16"/>
                <w:color w:val="auto"/>
              </w:rPr>
              <w:t>GasLog Partners</w:t>
            </w:r>
          </w:p>
        </w:tc>
        <w:tc>
          <w:tcPr>
            <w:tcW w:w="1480" w:type="dxa"/>
            <w:vAlign w:val="bottom"/>
          </w:tcPr>
          <w:p>
            <w:pPr>
              <w:ind w:left="280"/>
              <w:spacing w:after="0"/>
              <w:rPr>
                <w:sz w:val="20"/>
                <w:szCs w:val="20"/>
                <w:color w:val="auto"/>
              </w:rPr>
            </w:pPr>
            <w:r>
              <w:rPr>
                <w:rFonts w:ascii="Arial" w:cs="Arial" w:eastAsia="Arial" w:hAnsi="Arial"/>
                <w:sz w:val="16"/>
                <w:szCs w:val="16"/>
                <w:color w:val="auto"/>
              </w:rPr>
              <w:t>GasLog</w:t>
            </w:r>
          </w:p>
        </w:tc>
        <w:tc>
          <w:tcPr>
            <w:tcW w:w="1680" w:type="dxa"/>
            <w:vAlign w:val="bottom"/>
          </w:tcPr>
          <w:p>
            <w:pPr>
              <w:ind w:left="720"/>
              <w:spacing w:after="0"/>
              <w:rPr>
                <w:sz w:val="20"/>
                <w:szCs w:val="20"/>
                <w:color w:val="auto"/>
              </w:rPr>
            </w:pPr>
            <w:r>
              <w:rPr>
                <w:rFonts w:ascii="Arial" w:cs="Arial" w:eastAsia="Arial" w:hAnsi="Arial"/>
                <w:sz w:val="16"/>
                <w:szCs w:val="16"/>
                <w:color w:val="auto"/>
              </w:rPr>
              <w:t>Dec 2018</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Jan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Jan 2024</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3.14%</w:t>
            </w:r>
          </w:p>
        </w:tc>
        <w:tc>
          <w:tcPr>
            <w:tcW w:w="1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40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196"/>
        </w:trPr>
        <w:tc>
          <w:tcPr>
            <w:tcW w:w="138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E5FFFF"/>
              <w:bottom w:val="single" w:sz="8" w:color="E5FFFF"/>
            </w:tcBorders>
            <w:shd w:val="clear" w:color="auto" w:fill="E5FFFF"/>
          </w:tcPr>
          <w:p>
            <w:pPr>
              <w:spacing w:after="0"/>
              <w:rPr>
                <w:sz w:val="17"/>
                <w:szCs w:val="17"/>
                <w:color w:val="auto"/>
              </w:rPr>
            </w:pPr>
          </w:p>
        </w:tc>
        <w:tc>
          <w:tcPr>
            <w:tcW w:w="168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E5FFFF"/>
              <w:bottom w:val="single" w:sz="8" w:color="E5FFFF"/>
            </w:tcBorders>
            <w:shd w:val="clear" w:color="auto" w:fill="E5FFFF"/>
          </w:tcPr>
          <w:p>
            <w:pPr>
              <w:spacing w:after="0"/>
              <w:rPr>
                <w:sz w:val="17"/>
                <w:szCs w:val="17"/>
                <w:color w:val="auto"/>
              </w:rPr>
            </w:pPr>
          </w:p>
        </w:tc>
        <w:tc>
          <w:tcPr>
            <w:tcW w:w="1580" w:type="dxa"/>
            <w:vAlign w:val="bottom"/>
            <w:tcBorders>
              <w:top w:val="single" w:sz="8" w:color="E5FFFF"/>
              <w:bottom w:val="single" w:sz="8" w:color="E5FFFF"/>
            </w:tcBorders>
            <w:shd w:val="clear" w:color="auto" w:fill="E5FFFF"/>
          </w:tcPr>
          <w:p>
            <w:pPr>
              <w:spacing w:after="0"/>
              <w:rPr>
                <w:sz w:val="17"/>
                <w:szCs w:val="17"/>
                <w:color w:val="auto"/>
              </w:rPr>
            </w:pPr>
          </w:p>
        </w:tc>
        <w:tc>
          <w:tcPr>
            <w:tcW w:w="8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550,000</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r>
      <w:tr>
        <w:trPr>
          <w:trHeight w:val="20"/>
        </w:trPr>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40" w:firstLine="436"/>
        <w:spacing w:after="0" w:line="293" w:lineRule="auto"/>
        <w:rPr>
          <w:sz w:val="20"/>
          <w:szCs w:val="20"/>
          <w:color w:val="auto"/>
        </w:rPr>
      </w:pPr>
      <w:r>
        <w:rPr>
          <w:rFonts w:ascii="Arial" w:cs="Arial" w:eastAsia="Arial" w:hAnsi="Arial"/>
          <w:sz w:val="15"/>
          <w:szCs w:val="15"/>
          <w:color w:val="auto"/>
        </w:rPr>
        <w:t>The derivative instruments listed above were not designated as cash flow hedging instruments as of June 30, 2019. The change in the fair value of the interest rate swaps for the three and six months ended June 30, 2019 amounted to a loss of $9,112 and $14,609, respectively (for the three and six months ended June 30, 2018, a gain of $1,187 and $7,557, respectively), which was recognized in profit or loss in the period incurred and is included in Gain/(loss) on derivatives. During the three and six months ended June 30, 2019, the loss of $9,112 and $14,609, respectively (Note 13) was attributable to changes in the LIBOR yield curve, which was used to calculate the present value of the estimated future cash flows, resulting in a decrease in net derivative assets from interest rate swaps held for trading.</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20"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Fixed</w:t>
            </w:r>
          </w:p>
        </w:tc>
        <w:tc>
          <w:tcPr>
            <w:tcW w:w="188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Exchange Rate</w:t>
            </w:r>
          </w:p>
        </w:tc>
        <w:tc>
          <w:tcPr>
            <w:tcW w:w="1880" w:type="dxa"/>
            <w:vAlign w:val="bottom"/>
          </w:tcPr>
          <w:p>
            <w:pPr>
              <w:spacing w:after="0"/>
              <w:rPr>
                <w:sz w:val="17"/>
                <w:szCs w:val="17"/>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Counterparty</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Trade Date</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Settlement Date</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(USD/EUR)</w:t>
            </w:r>
          </w:p>
        </w:tc>
        <w:tc>
          <w:tcPr>
            <w:tcW w:w="1880" w:type="dxa"/>
            <w:vAlign w:val="bottom"/>
          </w:tcPr>
          <w:p>
            <w:pPr>
              <w:ind w:left="320"/>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1500" w:type="dxa"/>
            <w:vAlign w:val="bottom"/>
          </w:tcPr>
          <w:p>
            <w:pPr>
              <w:spacing w:after="0"/>
              <w:rPr>
                <w:sz w:val="20"/>
                <w:szCs w:val="20"/>
                <w:color w:val="auto"/>
              </w:rPr>
            </w:pPr>
            <w:r>
              <w:rPr>
                <w:rFonts w:ascii="Arial" w:cs="Arial" w:eastAsia="Arial" w:hAnsi="Arial"/>
                <w:sz w:val="16"/>
                <w:szCs w:val="16"/>
                <w:color w:val="auto"/>
              </w:rPr>
              <w:t>GasLog Partners</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GasLog</w:t>
            </w:r>
          </w:p>
        </w:tc>
        <w:tc>
          <w:tcPr>
            <w:tcW w:w="16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August 2018</w:t>
            </w:r>
          </w:p>
        </w:tc>
        <w:tc>
          <w:tcPr>
            <w:tcW w:w="14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July 2019</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1.1738</w:t>
            </w:r>
          </w:p>
        </w:tc>
        <w:tc>
          <w:tcPr>
            <w:tcW w:w="140" w:type="dxa"/>
            <w:vAlign w:val="bottom"/>
          </w:tcPr>
          <w:p>
            <w:pPr>
              <w:spacing w:after="0"/>
              <w:rPr>
                <w:sz w:val="17"/>
                <w:szCs w:val="17"/>
                <w:color w:val="auto"/>
              </w:rPr>
            </w:pPr>
          </w:p>
        </w:tc>
        <w:tc>
          <w:tcPr>
            <w:tcW w:w="1880" w:type="dxa"/>
            <w:vAlign w:val="bottom"/>
            <w:tcBorders>
              <w:top w:val="single" w:sz="8" w:color="auto"/>
            </w:tcBorders>
          </w:tcPr>
          <w:p>
            <w:pPr>
              <w:ind w:left="1420"/>
              <w:spacing w:after="0"/>
              <w:rPr>
                <w:sz w:val="20"/>
                <w:szCs w:val="20"/>
                <w:color w:val="auto"/>
              </w:rPr>
            </w:pPr>
            <w:r>
              <w:rPr>
                <w:rFonts w:ascii="Arial" w:cs="Arial" w:eastAsia="Arial" w:hAnsi="Arial"/>
                <w:sz w:val="16"/>
                <w:szCs w:val="16"/>
                <w:color w:val="auto"/>
                <w:w w:val="89"/>
              </w:rPr>
              <w:t>€2,000</w:t>
            </w:r>
          </w:p>
        </w:tc>
      </w:tr>
      <w:tr>
        <w:trPr>
          <w:trHeight w:val="203"/>
        </w:trPr>
        <w:tc>
          <w:tcPr>
            <w:tcW w:w="150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2"/>
              </w:rPr>
              <w:t>GasLog</w:t>
            </w:r>
          </w:p>
        </w:tc>
        <w:tc>
          <w:tcPr>
            <w:tcW w:w="15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August 2018</w:t>
            </w:r>
          </w:p>
        </w:tc>
        <w:tc>
          <w:tcPr>
            <w:tcW w:w="16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Aug 2019</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1.1772</w:t>
            </w:r>
          </w:p>
        </w:tc>
        <w:tc>
          <w:tcPr>
            <w:tcW w:w="140" w:type="dxa"/>
            <w:vAlign w:val="bottom"/>
            <w:shd w:val="clear" w:color="auto" w:fill="E5FFFF"/>
          </w:tcPr>
          <w:p>
            <w:pPr>
              <w:spacing w:after="0"/>
              <w:rPr>
                <w:sz w:val="17"/>
                <w:szCs w:val="17"/>
                <w:color w:val="auto"/>
              </w:rPr>
            </w:pPr>
          </w:p>
        </w:tc>
        <w:tc>
          <w:tcPr>
            <w:tcW w:w="1880" w:type="dxa"/>
            <w:vAlign w:val="bottom"/>
            <w:shd w:val="clear" w:color="auto" w:fill="E5FFFF"/>
          </w:tcPr>
          <w:p>
            <w:pPr>
              <w:ind w:left="1420"/>
              <w:spacing w:after="0"/>
              <w:rPr>
                <w:sz w:val="20"/>
                <w:szCs w:val="20"/>
                <w:color w:val="auto"/>
              </w:rPr>
            </w:pPr>
            <w:r>
              <w:rPr>
                <w:rFonts w:ascii="Arial" w:cs="Arial" w:eastAsia="Arial" w:hAnsi="Arial"/>
                <w:sz w:val="16"/>
                <w:szCs w:val="16"/>
                <w:color w:val="auto"/>
                <w:w w:val="89"/>
              </w:rPr>
              <w:t>€2,000</w:t>
            </w:r>
          </w:p>
        </w:tc>
      </w:tr>
      <w:tr>
        <w:trPr>
          <w:trHeight w:val="203"/>
        </w:trPr>
        <w:tc>
          <w:tcPr>
            <w:tcW w:w="15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GasLog Partners</w:t>
            </w:r>
          </w:p>
        </w:tc>
        <w:tc>
          <w:tcPr>
            <w:tcW w:w="1400" w:type="dxa"/>
            <w:vAlign w:val="bottom"/>
            <w:tcBorders>
              <w:bottom w:val="single" w:sz="8" w:color="E5FFFF"/>
            </w:tcBorders>
            <w:gridSpan w:val="2"/>
          </w:tcPr>
          <w:p>
            <w:pPr>
              <w:jc w:val="center"/>
              <w:ind w:right="160"/>
              <w:spacing w:after="0"/>
              <w:rPr>
                <w:sz w:val="20"/>
                <w:szCs w:val="20"/>
                <w:color w:val="auto"/>
              </w:rPr>
            </w:pPr>
            <w:r>
              <w:rPr>
                <w:rFonts w:ascii="Arial" w:cs="Arial" w:eastAsia="Arial" w:hAnsi="Arial"/>
                <w:sz w:val="16"/>
                <w:szCs w:val="16"/>
                <w:color w:val="auto"/>
                <w:w w:val="92"/>
              </w:rPr>
              <w:t>GasLog</w:t>
            </w:r>
          </w:p>
        </w:tc>
        <w:tc>
          <w:tcPr>
            <w:tcW w:w="1520" w:type="dxa"/>
            <w:vAlign w:val="bottom"/>
            <w:tcBorders>
              <w:bottom w:val="single" w:sz="8" w:color="E5FFFF"/>
            </w:tcBorders>
            <w:gridSpan w:val="2"/>
          </w:tcPr>
          <w:p>
            <w:pPr>
              <w:jc w:val="center"/>
              <w:ind w:right="160"/>
              <w:spacing w:after="0"/>
              <w:rPr>
                <w:sz w:val="20"/>
                <w:szCs w:val="20"/>
                <w:color w:val="auto"/>
              </w:rPr>
            </w:pPr>
            <w:r>
              <w:rPr>
                <w:rFonts w:ascii="Arial" w:cs="Arial" w:eastAsia="Arial" w:hAnsi="Arial"/>
                <w:sz w:val="16"/>
                <w:szCs w:val="16"/>
                <w:color w:val="auto"/>
                <w:w w:val="93"/>
              </w:rPr>
              <w:t>August 2018</w:t>
            </w:r>
          </w:p>
        </w:tc>
        <w:tc>
          <w:tcPr>
            <w:tcW w:w="1600" w:type="dxa"/>
            <w:vAlign w:val="bottom"/>
            <w:tcBorders>
              <w:bottom w:val="single" w:sz="8" w:color="E5FFFF"/>
            </w:tcBorders>
            <w:gridSpan w:val="2"/>
          </w:tcPr>
          <w:p>
            <w:pPr>
              <w:jc w:val="center"/>
              <w:ind w:right="120"/>
              <w:spacing w:after="0"/>
              <w:rPr>
                <w:sz w:val="20"/>
                <w:szCs w:val="20"/>
                <w:color w:val="auto"/>
              </w:rPr>
            </w:pPr>
            <w:r>
              <w:rPr>
                <w:rFonts w:ascii="Arial" w:cs="Arial" w:eastAsia="Arial" w:hAnsi="Arial"/>
                <w:sz w:val="16"/>
                <w:szCs w:val="16"/>
                <w:color w:val="auto"/>
                <w:w w:val="87"/>
              </w:rPr>
              <w:t>Sept 2019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1.1809</w:t>
            </w:r>
          </w:p>
        </w:tc>
        <w:tc>
          <w:tcPr>
            <w:tcW w:w="140" w:type="dxa"/>
            <w:vAlign w:val="bottom"/>
            <w:tcBorders>
              <w:bottom w:val="single" w:sz="8" w:color="E5FFFF"/>
            </w:tcBorders>
          </w:tcPr>
          <w:p>
            <w:pPr>
              <w:spacing w:after="0"/>
              <w:rPr>
                <w:sz w:val="17"/>
                <w:szCs w:val="17"/>
                <w:color w:val="auto"/>
              </w:rPr>
            </w:pPr>
          </w:p>
        </w:tc>
        <w:tc>
          <w:tcPr>
            <w:tcW w:w="1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w w:val="89"/>
              </w:rPr>
              <w:t>€2,000</w:t>
            </w:r>
          </w:p>
        </w:tc>
      </w:tr>
      <w:tr>
        <w:trPr>
          <w:trHeight w:val="196"/>
        </w:trPr>
        <w:tc>
          <w:tcPr>
            <w:tcW w:w="15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Borders>
              <w:bottom w:val="single" w:sz="8" w:color="E5FFFF"/>
            </w:tcBorders>
            <w:shd w:val="clear" w:color="auto" w:fill="E5FFFF"/>
          </w:tcPr>
          <w:p>
            <w:pPr>
              <w:spacing w:after="0"/>
              <w:rPr>
                <w:sz w:val="17"/>
                <w:szCs w:val="17"/>
                <w:color w:val="auto"/>
              </w:rPr>
            </w:pPr>
          </w:p>
        </w:tc>
        <w:tc>
          <w:tcPr>
            <w:tcW w:w="1880" w:type="dxa"/>
            <w:vAlign w:val="bottom"/>
            <w:tcBorders>
              <w:bottom w:val="single" w:sz="8" w:color="auto"/>
            </w:tcBorders>
            <w:shd w:val="clear" w:color="auto" w:fill="E5FFFF"/>
          </w:tcPr>
          <w:p>
            <w:pPr>
              <w:ind w:left="1420"/>
              <w:spacing w:after="0"/>
              <w:rPr>
                <w:sz w:val="20"/>
                <w:szCs w:val="20"/>
                <w:color w:val="auto"/>
              </w:rPr>
            </w:pPr>
            <w:r>
              <w:rPr>
                <w:rFonts w:ascii="Arial" w:cs="Arial" w:eastAsia="Arial" w:hAnsi="Arial"/>
                <w:sz w:val="16"/>
                <w:szCs w:val="16"/>
                <w:b w:val="1"/>
                <w:bCs w:val="1"/>
                <w:color w:val="auto"/>
                <w:w w:val="89"/>
              </w:rPr>
              <w:t>€6,000</w:t>
            </w:r>
          </w:p>
        </w:tc>
      </w:tr>
      <w:tr>
        <w:trPr>
          <w:trHeight w:val="20"/>
        </w:trPr>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June 30, 2019. The change in the fair value of these contracts for the three and six months ended June 30, 2019 amounted to a gain of $466 and $356, respectively (a loss of $186 for the three and six months ended June 30, 2018), which was recognized in profit or loss in the period incurred and is included in Gain/(loss) on derivatives (Note 13).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13. Financial Costs and Gain/(loss) on Derivatives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An analysis of financial costs is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282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18"/>
                <w:szCs w:val="18"/>
                <w:color w:val="auto"/>
              </w:rPr>
            </w:pPr>
          </w:p>
        </w:tc>
        <w:tc>
          <w:tcPr>
            <w:tcW w:w="14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0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1,615</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1,422</w:t>
            </w:r>
          </w:p>
        </w:tc>
        <w:tc>
          <w:tcPr>
            <w:tcW w:w="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4,256</w:t>
            </w: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Interest expense on loans</w:t>
            </w:r>
          </w:p>
        </w:tc>
        <w:tc>
          <w:tcPr>
            <w:tcW w:w="1280" w:type="dxa"/>
            <w:vAlign w:val="bottom"/>
          </w:tcPr>
          <w:p>
            <w:pPr>
              <w:jc w:val="right"/>
              <w:spacing w:after="0"/>
              <w:rPr>
                <w:sz w:val="20"/>
                <w:szCs w:val="20"/>
                <w:color w:val="auto"/>
              </w:rPr>
            </w:pPr>
            <w:r>
              <w:rPr>
                <w:rFonts w:ascii="Arial" w:cs="Arial" w:eastAsia="Arial" w:hAnsi="Arial"/>
                <w:sz w:val="16"/>
                <w:szCs w:val="16"/>
                <w:color w:val="auto"/>
              </w:rPr>
              <w:t>15,786</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16,842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30,860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Commitment fees</w:t>
            </w:r>
          </w:p>
        </w:tc>
        <w:tc>
          <w:tcPr>
            <w:tcW w:w="128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0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185</w:t>
            </w:r>
          </w:p>
        </w:tc>
        <w:tc>
          <w:tcPr>
            <w:tcW w:w="180" w:type="dxa"/>
            <w:vAlign w:val="bottom"/>
            <w:shd w:val="clear" w:color="auto" w:fill="E5FFFF"/>
          </w:tcPr>
          <w:p>
            <w:pPr>
              <w:spacing w:after="0"/>
              <w:rPr>
                <w:sz w:val="17"/>
                <w:szCs w:val="17"/>
                <w:color w:val="auto"/>
              </w:rPr>
            </w:pPr>
          </w:p>
        </w:tc>
        <w:tc>
          <w:tcPr>
            <w:tcW w:w="13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48</w:t>
            </w: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259</w:t>
            </w: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gridSpan w:val="3"/>
          </w:tcPr>
          <w:p>
            <w:pPr>
              <w:ind w:left="300"/>
              <w:spacing w:after="0"/>
              <w:rPr>
                <w:sz w:val="20"/>
                <w:szCs w:val="20"/>
                <w:color w:val="auto"/>
              </w:rPr>
            </w:pPr>
            <w:r>
              <w:rPr>
                <w:rFonts w:ascii="Arial" w:cs="Arial" w:eastAsia="Arial" w:hAnsi="Arial"/>
                <w:sz w:val="16"/>
                <w:szCs w:val="16"/>
                <w:b w:val="1"/>
                <w:bCs w:val="1"/>
                <w:color w:val="auto"/>
              </w:rPr>
              <w:t>Total financial costs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17,721</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18,484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35,643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0" w:type="dxa"/>
            <w:vAlign w:val="bottom"/>
            <w:gridSpan w:val="2"/>
            <w:vMerge w:val="restart"/>
          </w:tcPr>
          <w:p>
            <w:pPr>
              <w:ind w:left="120"/>
              <w:spacing w:after="0"/>
              <w:rPr>
                <w:sz w:val="20"/>
                <w:szCs w:val="20"/>
                <w:color w:val="auto"/>
              </w:rPr>
            </w:pPr>
            <w:r>
              <w:rPr>
                <w:rFonts w:ascii="Arial" w:cs="Arial" w:eastAsia="Arial" w:hAnsi="Arial"/>
                <w:sz w:val="16"/>
                <w:szCs w:val="16"/>
                <w:color w:val="auto"/>
              </w:rPr>
              <w:t>An analysis of gain/loss on derivatives is as follows:</w:t>
            </w: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0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282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18"/>
                <w:szCs w:val="18"/>
                <w:color w:val="auto"/>
              </w:rPr>
            </w:pPr>
          </w:p>
        </w:tc>
        <w:tc>
          <w:tcPr>
            <w:tcW w:w="14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w w:val="99"/>
              </w:rPr>
              <w:t>Unrealized (gain)/loss on interest rate swaps held for trading (Note 12)</w:t>
            </w:r>
          </w:p>
        </w:tc>
        <w:tc>
          <w:tcPr>
            <w:tcW w:w="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(1,187)</w:t>
            </w:r>
          </w:p>
        </w:tc>
        <w:tc>
          <w:tcPr>
            <w:tcW w:w="1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9,112</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(7,557)</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Unrealized loss/(gain) on forward foreign exchange contracts held for</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Arial" w:cs="Arial" w:eastAsia="Arial" w:hAnsi="Arial"/>
                <w:sz w:val="16"/>
                <w:szCs w:val="16"/>
                <w:color w:val="auto"/>
              </w:rPr>
              <w:t>trading (Note 12)</w:t>
            </w: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Pr>
          <w:p>
            <w:pPr>
              <w:spacing w:after="0"/>
              <w:rPr>
                <w:sz w:val="17"/>
                <w:szCs w:val="17"/>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6"/>
                <w:szCs w:val="16"/>
                <w:color w:val="auto"/>
              </w:rPr>
              <w:t>(466)</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0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Realized gain on interest rate swaps held for trading</w:t>
            </w:r>
          </w:p>
        </w:tc>
        <w:tc>
          <w:tcPr>
            <w:tcW w:w="146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(587)</w:t>
            </w:r>
          </w:p>
        </w:tc>
        <w:tc>
          <w:tcPr>
            <w:tcW w:w="14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(831)</w:t>
            </w:r>
          </w:p>
        </w:tc>
        <w:tc>
          <w:tcPr>
            <w:tcW w:w="1520" w:type="dxa"/>
            <w:vAlign w:val="bottom"/>
            <w:gridSpan w:val="4"/>
            <w:shd w:val="clear" w:color="auto" w:fill="E5FFFF"/>
          </w:tcPr>
          <w:p>
            <w:pPr>
              <w:jc w:val="right"/>
              <w:ind w:right="79"/>
              <w:spacing w:after="0"/>
              <w:rPr>
                <w:sz w:val="20"/>
                <w:szCs w:val="20"/>
                <w:color w:val="auto"/>
              </w:rPr>
            </w:pPr>
            <w:r>
              <w:rPr>
                <w:rFonts w:ascii="Arial" w:cs="Arial" w:eastAsia="Arial" w:hAnsi="Arial"/>
                <w:sz w:val="16"/>
                <w:szCs w:val="16"/>
                <w:color w:val="auto"/>
              </w:rPr>
              <w:t>(544)</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451</w:t>
            </w:r>
          </w:p>
        </w:tc>
        <w:tc>
          <w:tcPr>
            <w:tcW w:w="1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0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Total (gain)/loss on derivatives</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(1,588</w:t>
            </w:r>
          </w:p>
        </w:tc>
        <w:tc>
          <w:tcPr>
            <w:tcW w:w="180" w:type="dxa"/>
            <w:vAlign w:val="bottom"/>
            <w:shd w:val="clear" w:color="auto" w:fill="E5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8,266</w:t>
            </w: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(7,915</w:t>
            </w:r>
          </w:p>
        </w:tc>
        <w:tc>
          <w:tcPr>
            <w:tcW w:w="160" w:type="dxa"/>
            <w:vAlign w:val="bottom"/>
            <w:shd w:val="clear" w:color="auto" w:fill="E5FF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2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13,143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reconciliations of the Partnership’s non-cash investing and financing activities for the six months ended June 30, 2018 and June 30, 2019 are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presented in the following tables:</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89"/>
              </w:rPr>
              <w:t>Opening</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balance</w:t>
            </w:r>
          </w:p>
        </w:tc>
        <w:tc>
          <w:tcPr>
            <w:tcW w:w="40" w:type="dxa"/>
            <w:vAlign w:val="bottom"/>
          </w:tcPr>
          <w:p>
            <w:pPr>
              <w:spacing w:after="0"/>
              <w:rPr>
                <w:sz w:val="18"/>
                <w:szCs w:val="18"/>
                <w:color w:val="auto"/>
              </w:rPr>
            </w:pPr>
          </w:p>
        </w:tc>
        <w:tc>
          <w:tcPr>
            <w:tcW w:w="1460" w:type="dxa"/>
            <w:vAlign w:val="bottom"/>
            <w:gridSpan w:val="5"/>
          </w:tcPr>
          <w:p>
            <w:pPr>
              <w:ind w:left="24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18"/>
                <w:szCs w:val="18"/>
                <w:color w:val="auto"/>
              </w:rPr>
            </w:pPr>
          </w:p>
        </w:tc>
        <w:tc>
          <w:tcPr>
            <w:tcW w:w="1560" w:type="dxa"/>
            <w:vAlign w:val="bottom"/>
            <w:gridSpan w:val="5"/>
          </w:tcPr>
          <w:p>
            <w:pPr>
              <w:ind w:left="14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w w:val="98"/>
              </w:rPr>
              <w:t>Borrowings outstanding as of January 1, 2018</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1,541,836</w:t>
            </w: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1,541,836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Borrowings repayments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5"/>
          </w:tcPr>
          <w:p>
            <w:pPr>
              <w:jc w:val="right"/>
              <w:ind w:right="100"/>
              <w:spacing w:after="0"/>
              <w:rPr>
                <w:sz w:val="20"/>
                <w:szCs w:val="20"/>
                <w:color w:val="auto"/>
              </w:rPr>
            </w:pPr>
            <w:r>
              <w:rPr>
                <w:rFonts w:ascii="Arial" w:cs="Arial" w:eastAsia="Arial" w:hAnsi="Arial"/>
                <w:sz w:val="16"/>
                <w:szCs w:val="16"/>
                <w:color w:val="auto"/>
              </w:rPr>
              <w:t>(129,072)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(129,072)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Additions in deferred loan fees</w:t>
            </w: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6"/>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5FFFF"/>
          </w:tcPr>
          <w:p>
            <w:pPr>
              <w:jc w:val="right"/>
              <w:ind w:right="100"/>
              <w:spacing w:after="0"/>
              <w:rPr>
                <w:sz w:val="20"/>
                <w:szCs w:val="20"/>
                <w:color w:val="auto"/>
              </w:rPr>
            </w:pPr>
            <w:r>
              <w:rPr>
                <w:rFonts w:ascii="Arial" w:cs="Arial" w:eastAsia="Arial" w:hAnsi="Arial"/>
                <w:sz w:val="16"/>
                <w:szCs w:val="16"/>
                <w:color w:val="auto"/>
              </w:rPr>
              <w:t>(68)</w:t>
            </w: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560" w:type="dxa"/>
            <w:vAlign w:val="bottom"/>
            <w:gridSpan w:val="5"/>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6"/>
          </w:tcPr>
          <w:p>
            <w:pPr>
              <w:spacing w:after="0"/>
              <w:rPr>
                <w:sz w:val="20"/>
                <w:szCs w:val="20"/>
                <w:color w:val="auto"/>
              </w:rPr>
            </w:pPr>
            <w:r>
              <w:rPr>
                <w:rFonts w:ascii="Arial" w:cs="Arial" w:eastAsia="Arial" w:hAnsi="Arial"/>
                <w:sz w:val="16"/>
                <w:szCs w:val="16"/>
                <w:color w:val="auto"/>
              </w:rPr>
              <w:t>Amortization and write-off of deferred loan issuance costs (Note 13)</w:t>
            </w:r>
          </w:p>
        </w:tc>
        <w:tc>
          <w:tcPr>
            <w:tcW w:w="118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6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4,256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4,256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w w:val="96"/>
              </w:rPr>
              <w:t>Borrowings outstanding as of June 30, 2018</w:t>
            </w:r>
          </w:p>
        </w:tc>
        <w:tc>
          <w:tcPr>
            <w:tcW w:w="158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auto"/>
              <w:bottom w:val="single" w:sz="8" w:color="auto"/>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1,541,836</w:t>
            </w: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(129,140</w:t>
            </w:r>
          </w:p>
        </w:tc>
        <w:tc>
          <w:tcPr>
            <w:tcW w:w="140" w:type="dxa"/>
            <w:vAlign w:val="bottom"/>
            <w:tcBorders>
              <w:top w:val="single" w:sz="8" w:color="E5FFFF"/>
              <w:bottom w:val="single" w:sz="8" w:color="E5FFFF"/>
            </w:tcBorders>
            <w:gridSpan w:val="2"/>
            <w:shd w:val="clear" w:color="auto" w:fill="E5FFFF"/>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4,256</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1,416,952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5"/>
          </w:tcPr>
          <w:p>
            <w:pPr>
              <w:ind w:left="380"/>
              <w:spacing w:after="0"/>
              <w:rPr>
                <w:sz w:val="20"/>
                <w:szCs w:val="20"/>
                <w:color w:val="auto"/>
              </w:rPr>
            </w:pPr>
            <w:r>
              <w:rPr>
                <w:rFonts w:ascii="Arial" w:cs="Arial" w:eastAsia="Arial" w:hAnsi="Arial"/>
                <w:sz w:val="16"/>
                <w:szCs w:val="16"/>
                <w:b w:val="1"/>
                <w:bCs w:val="1"/>
                <w:color w:val="auto"/>
              </w:rPr>
              <w:t>Deferred</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ind w:left="160"/>
              <w:spacing w:after="0"/>
              <w:rPr>
                <w:sz w:val="20"/>
                <w:szCs w:val="20"/>
                <w:color w:val="auto"/>
              </w:rPr>
            </w:pPr>
            <w:r>
              <w:rPr>
                <w:rFonts w:ascii="Arial" w:cs="Arial" w:eastAsia="Arial" w:hAnsi="Arial"/>
                <w:sz w:val="16"/>
                <w:szCs w:val="16"/>
                <w:b w:val="1"/>
                <w:bCs w:val="1"/>
                <w:color w:val="auto"/>
              </w:rPr>
              <w:t>financing costs,</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2020" w:type="dxa"/>
            <w:vAlign w:val="bottom"/>
            <w:gridSpan w:val="5"/>
          </w:tcPr>
          <w:p>
            <w:pPr>
              <w:ind w:left="200"/>
              <w:spacing w:after="0"/>
              <w:rPr>
                <w:sz w:val="20"/>
                <w:szCs w:val="20"/>
                <w:color w:val="auto"/>
              </w:rPr>
            </w:pPr>
            <w:r>
              <w:rPr>
                <w:rFonts w:ascii="Arial" w:cs="Arial" w:eastAsia="Arial" w:hAnsi="Arial"/>
                <w:sz w:val="16"/>
                <w:szCs w:val="16"/>
                <w:b w:val="1"/>
                <w:bCs w:val="1"/>
                <w:color w:val="auto"/>
              </w:rPr>
              <w:t>Opening balance</w:t>
            </w:r>
          </w:p>
        </w:tc>
        <w:tc>
          <w:tcPr>
            <w:tcW w:w="1180" w:type="dxa"/>
            <w:vAlign w:val="bottom"/>
            <w:gridSpan w:val="6"/>
          </w:tcPr>
          <w:p>
            <w:pPr>
              <w:ind w:left="280"/>
              <w:spacing w:after="0"/>
              <w:rPr>
                <w:sz w:val="20"/>
                <w:szCs w:val="20"/>
                <w:color w:val="auto"/>
              </w:rPr>
            </w:pPr>
            <w:r>
              <w:rPr>
                <w:rFonts w:ascii="Arial" w:cs="Arial" w:eastAsia="Arial" w:hAnsi="Arial"/>
                <w:sz w:val="16"/>
                <w:szCs w:val="16"/>
                <w:b w:val="1"/>
                <w:bCs w:val="1"/>
                <w:color w:val="auto"/>
              </w:rPr>
              <w:t>Cash flows</w:t>
            </w:r>
          </w:p>
        </w:tc>
        <w:tc>
          <w:tcPr>
            <w:tcW w:w="40" w:type="dxa"/>
            <w:vAlign w:val="bottom"/>
          </w:tcPr>
          <w:p>
            <w:pPr>
              <w:spacing w:after="0"/>
              <w:rPr>
                <w:sz w:val="18"/>
                <w:szCs w:val="18"/>
                <w:color w:val="auto"/>
              </w:rPr>
            </w:pPr>
          </w:p>
        </w:tc>
        <w:tc>
          <w:tcPr>
            <w:tcW w:w="1460" w:type="dxa"/>
            <w:vAlign w:val="bottom"/>
            <w:gridSpan w:val="5"/>
          </w:tcPr>
          <w:p>
            <w:pPr>
              <w:ind w:left="24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560" w:type="dxa"/>
            <w:vAlign w:val="bottom"/>
            <w:gridSpan w:val="5"/>
          </w:tcPr>
          <w:p>
            <w:pPr>
              <w:ind w:left="50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w w:val="98"/>
              </w:rPr>
              <w:t>Borrowings outstanding as of January 1, 2019</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Borrowings drawdowns</w:t>
            </w:r>
          </w:p>
        </w:tc>
        <w:tc>
          <w:tcPr>
            <w:tcW w:w="2020" w:type="dxa"/>
            <w:vAlign w:val="bottom"/>
            <w:gridSpan w:val="5"/>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435,000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56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435,000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2020" w:type="dxa"/>
            <w:vAlign w:val="bottom"/>
            <w:gridSpan w:val="5"/>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E5FFFF"/>
          </w:tcPr>
          <w:p>
            <w:pPr>
              <w:jc w:val="right"/>
              <w:ind w:right="60"/>
              <w:spacing w:after="0"/>
              <w:rPr>
                <w:sz w:val="20"/>
                <w:szCs w:val="20"/>
                <w:color w:val="auto"/>
              </w:rPr>
            </w:pPr>
            <w:r>
              <w:rPr>
                <w:rFonts w:ascii="Arial" w:cs="Arial" w:eastAsia="Arial" w:hAnsi="Arial"/>
                <w:sz w:val="16"/>
                <w:szCs w:val="16"/>
                <w:color w:val="auto"/>
              </w:rPr>
              <w:t>(403,072)</w:t>
            </w: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60" w:type="dxa"/>
            <w:vAlign w:val="bottom"/>
            <w:gridSpan w:val="5"/>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7"/>
                <w:szCs w:val="17"/>
                <w:color w:val="auto"/>
              </w:rPr>
            </w:pPr>
          </w:p>
        </w:tc>
        <w:tc>
          <w:tcPr>
            <w:tcW w:w="1560" w:type="dxa"/>
            <w:vAlign w:val="bottom"/>
            <w:gridSpan w:val="5"/>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(403,072)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2020" w:type="dxa"/>
            <w:vAlign w:val="bottom"/>
            <w:gridSpan w:val="5"/>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(4,972)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5"/>
          </w:tcPr>
          <w:p>
            <w:pPr>
              <w:jc w:val="right"/>
              <w:ind w:right="60"/>
              <w:spacing w:after="0"/>
              <w:rPr>
                <w:sz w:val="20"/>
                <w:szCs w:val="20"/>
                <w:color w:val="auto"/>
              </w:rPr>
            </w:pPr>
            <w:r>
              <w:rPr>
                <w:rFonts w:ascii="Arial" w:cs="Arial" w:eastAsia="Arial" w:hAnsi="Arial"/>
                <w:sz w:val="16"/>
                <w:szCs w:val="16"/>
                <w:color w:val="auto"/>
              </w:rPr>
              <w:t>(156)</w:t>
            </w:r>
          </w:p>
        </w:tc>
        <w:tc>
          <w:tcPr>
            <w:tcW w:w="40" w:type="dxa"/>
            <w:vAlign w:val="bottom"/>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(5,178)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 loan</w:t>
            </w:r>
          </w:p>
        </w:tc>
        <w:tc>
          <w:tcPr>
            <w:tcW w:w="158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9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(Note 13)</w:t>
            </w:r>
          </w:p>
        </w:tc>
        <w:tc>
          <w:tcPr>
            <w:tcW w:w="2020" w:type="dxa"/>
            <w:vAlign w:val="bottom"/>
            <w:gridSpan w:val="5"/>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180" w:type="dxa"/>
            <w:vAlign w:val="bottom"/>
            <w:gridSpan w:val="6"/>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560" w:type="dxa"/>
            <w:vAlign w:val="bottom"/>
            <w:gridSpan w:val="5"/>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auto"/>
                <w:w w:val="96"/>
              </w:rPr>
              <w:t>Borrowings outstanding as of June 30, 2019</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1,365,800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26,956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3,803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1,396,509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60" w:type="dxa"/>
            <w:vAlign w:val="bottom"/>
            <w:gridSpan w:val="6"/>
          </w:tcPr>
          <w:p>
            <w:pPr>
              <w:ind w:left="100"/>
              <w:spacing w:after="0"/>
              <w:rPr>
                <w:sz w:val="20"/>
                <w:szCs w:val="20"/>
                <w:color w:val="auto"/>
              </w:rPr>
            </w:pPr>
            <w:r>
              <w:rPr>
                <w:rFonts w:ascii="Arial" w:cs="Arial" w:eastAsia="Arial" w:hAnsi="Arial"/>
                <w:sz w:val="16"/>
                <w:szCs w:val="16"/>
                <w:color w:val="auto"/>
                <w:w w:val="97"/>
              </w:rPr>
              <w:t>A reconciliation of derivatives arising from financing activities is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Opening</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20" w:type="dxa"/>
            <w:vAlign w:val="bottom"/>
          </w:tcPr>
          <w:p>
            <w:pPr>
              <w:spacing w:after="0"/>
              <w:rPr>
                <w:sz w:val="18"/>
                <w:szCs w:val="18"/>
                <w:color w:val="auto"/>
              </w:rPr>
            </w:pPr>
          </w:p>
        </w:tc>
        <w:tc>
          <w:tcPr>
            <w:tcW w:w="1560" w:type="dxa"/>
            <w:vAlign w:val="bottom"/>
            <w:gridSpan w:val="5"/>
          </w:tcPr>
          <w:p>
            <w:pPr>
              <w:ind w:left="10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6,346</w:t>
            </w: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3"/>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6,346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6"/>
          </w:tcPr>
          <w:p>
            <w:pPr>
              <w:spacing w:after="0"/>
              <w:rPr>
                <w:sz w:val="20"/>
                <w:szCs w:val="20"/>
                <w:color w:val="auto"/>
              </w:rPr>
            </w:pPr>
            <w:r>
              <w:rPr>
                <w:rFonts w:ascii="Arial" w:cs="Arial" w:eastAsia="Arial" w:hAnsi="Arial"/>
                <w:sz w:val="16"/>
                <w:szCs w:val="16"/>
                <w:color w:val="auto"/>
              </w:rPr>
              <w:t>Unrealized gain on interest rate swaps held for trading (Note 13)</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5"/>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7,557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6"/>
            <w:shd w:val="clear" w:color="auto" w:fill="E5FFFF"/>
          </w:tcPr>
          <w:p>
            <w:pPr>
              <w:spacing w:after="0"/>
              <w:rPr>
                <w:sz w:val="20"/>
                <w:szCs w:val="20"/>
                <w:color w:val="auto"/>
              </w:rPr>
            </w:pPr>
            <w:r>
              <w:rPr>
                <w:rFonts w:ascii="Arial" w:cs="Arial" w:eastAsia="Arial" w:hAnsi="Arial"/>
                <w:sz w:val="16"/>
                <w:szCs w:val="16"/>
                <w:color w:val="auto"/>
                <w:w w:val="92"/>
              </w:rPr>
              <w:t>Unrealized loss on forward foreign exchange contracts held for trading (Note 13)</w:t>
            </w:r>
          </w:p>
        </w:tc>
        <w:tc>
          <w:tcPr>
            <w:tcW w:w="9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60" w:type="dxa"/>
            <w:vAlign w:val="bottom"/>
            <w:gridSpan w:val="5"/>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(186)</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20"/>
                <w:szCs w:val="20"/>
                <w:color w:val="auto"/>
              </w:rPr>
            </w:pPr>
            <w:r>
              <w:rPr>
                <w:rFonts w:ascii="Arial" w:cs="Arial" w:eastAsia="Arial" w:hAnsi="Arial"/>
                <w:sz w:val="16"/>
                <w:szCs w:val="16"/>
                <w:b w:val="1"/>
                <w:bCs w:val="1"/>
                <w:color w:val="auto"/>
              </w:rPr>
              <w:t>Net derivative assets as of June 30, 2018</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7,371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13,717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Opening</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20" w:type="dxa"/>
            <w:vAlign w:val="bottom"/>
          </w:tcPr>
          <w:p>
            <w:pPr>
              <w:spacing w:after="0"/>
              <w:rPr>
                <w:sz w:val="18"/>
                <w:szCs w:val="18"/>
                <w:color w:val="auto"/>
              </w:rPr>
            </w:pPr>
          </w:p>
        </w:tc>
        <w:tc>
          <w:tcPr>
            <w:tcW w:w="1560" w:type="dxa"/>
            <w:vAlign w:val="bottom"/>
            <w:gridSpan w:val="5"/>
          </w:tcPr>
          <w:p>
            <w:pPr>
              <w:ind w:left="10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3"/>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4,935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6"/>
          </w:tcPr>
          <w:p>
            <w:pPr>
              <w:spacing w:after="0"/>
              <w:rPr>
                <w:sz w:val="20"/>
                <w:szCs w:val="20"/>
                <w:color w:val="auto"/>
              </w:rPr>
            </w:pPr>
            <w:r>
              <w:rPr>
                <w:rFonts w:ascii="Arial" w:cs="Arial" w:eastAsia="Arial" w:hAnsi="Arial"/>
                <w:sz w:val="16"/>
                <w:szCs w:val="16"/>
                <w:color w:val="auto"/>
              </w:rPr>
              <w:t>Unrealized loss on interest rate swaps held for trading (Note 13)</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5"/>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(14,609)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(14,609)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12"/>
            <w:shd w:val="clear" w:color="auto" w:fill="E5FFFF"/>
          </w:tcPr>
          <w:p>
            <w:pPr>
              <w:spacing w:after="0"/>
              <w:rPr>
                <w:sz w:val="20"/>
                <w:szCs w:val="20"/>
                <w:color w:val="auto"/>
              </w:rPr>
            </w:pPr>
            <w:r>
              <w:rPr>
                <w:rFonts w:ascii="Arial" w:cs="Arial" w:eastAsia="Arial" w:hAnsi="Arial"/>
                <w:sz w:val="16"/>
                <w:szCs w:val="16"/>
                <w:color w:val="auto"/>
              </w:rPr>
              <w:t>Unrealized gain on forward foreign exchange contracts held for trading (Note 13)</w:t>
            </w:r>
          </w:p>
        </w:tc>
        <w:tc>
          <w:tcPr>
            <w:tcW w:w="40" w:type="dxa"/>
            <w:vAlign w:val="bottom"/>
            <w:shd w:val="clear" w:color="auto" w:fill="E5FFFF"/>
          </w:tcPr>
          <w:p>
            <w:pPr>
              <w:spacing w:after="0"/>
              <w:rPr>
                <w:sz w:val="17"/>
                <w:szCs w:val="17"/>
                <w:color w:val="auto"/>
              </w:rPr>
            </w:pPr>
          </w:p>
        </w:tc>
        <w:tc>
          <w:tcPr>
            <w:tcW w:w="1460" w:type="dxa"/>
            <w:vAlign w:val="bottom"/>
            <w:gridSpan w:val="5"/>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356</w:t>
            </w: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356</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auto"/>
                <w:w w:val="98"/>
              </w:rPr>
              <w:t>Net derivative liabilities as of June 30, 2019</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4,935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(14,253</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(9,318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6"/>
            <w:vMerge w:val="restart"/>
          </w:tcPr>
          <w:p>
            <w:pPr>
              <w:ind w:left="100"/>
              <w:spacing w:after="0"/>
              <w:rPr>
                <w:sz w:val="20"/>
                <w:szCs w:val="20"/>
                <w:color w:val="auto"/>
              </w:rPr>
            </w:pPr>
            <w:r>
              <w:rPr>
                <w:rFonts w:ascii="Arial" w:cs="Arial" w:eastAsia="Arial" w:hAnsi="Arial"/>
                <w:sz w:val="16"/>
                <w:szCs w:val="16"/>
                <w:color w:val="auto"/>
              </w:rPr>
              <w:t>A reconciliation of vessels arising from investing activities is as follows:</w:t>
            </w: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60" w:type="dxa"/>
            <w:vAlign w:val="bottom"/>
            <w:gridSpan w:val="6"/>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89"/>
              </w:rPr>
              <w:t>Opening</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balance</w:t>
            </w:r>
          </w:p>
        </w:tc>
        <w:tc>
          <w:tcPr>
            <w:tcW w:w="40" w:type="dxa"/>
            <w:vAlign w:val="bottom"/>
          </w:tcPr>
          <w:p>
            <w:pPr>
              <w:spacing w:after="0"/>
              <w:rPr>
                <w:sz w:val="18"/>
                <w:szCs w:val="18"/>
                <w:color w:val="auto"/>
              </w:rPr>
            </w:pPr>
          </w:p>
        </w:tc>
        <w:tc>
          <w:tcPr>
            <w:tcW w:w="1460" w:type="dxa"/>
            <w:vAlign w:val="bottom"/>
            <w:gridSpan w:val="5"/>
          </w:tcPr>
          <w:p>
            <w:pPr>
              <w:ind w:left="24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18"/>
                <w:szCs w:val="18"/>
                <w:color w:val="auto"/>
              </w:rPr>
            </w:pPr>
          </w:p>
        </w:tc>
        <w:tc>
          <w:tcPr>
            <w:tcW w:w="1560" w:type="dxa"/>
            <w:vAlign w:val="bottom"/>
            <w:gridSpan w:val="5"/>
          </w:tcPr>
          <w:p>
            <w:pPr>
              <w:ind w:left="14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2018</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2,563,122</w:t>
            </w: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3"/>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gridSpan w:val="3"/>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2,563,122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Additions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13,613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14,872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28,485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6"/>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17"/>
                <w:szCs w:val="17"/>
                <w:color w:val="auto"/>
              </w:rPr>
            </w:pPr>
          </w:p>
        </w:tc>
        <w:tc>
          <w:tcPr>
            <w:tcW w:w="1460" w:type="dxa"/>
            <w:vAlign w:val="bottom"/>
            <w:gridSpan w:val="5"/>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(43,325)</w:t>
            </w:r>
          </w:p>
        </w:tc>
        <w:tc>
          <w:tcPr>
            <w:tcW w:w="6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(43,325)</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auto"/>
              </w:rPr>
              <w:t>Vessels as of June 30, 2018</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2,563,122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13,613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(28,453</w:t>
            </w:r>
          </w:p>
        </w:tc>
        <w:tc>
          <w:tcPr>
            <w:tcW w:w="10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2,548,282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89"/>
              </w:rPr>
              <w:t>Opening</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balance</w:t>
            </w:r>
          </w:p>
        </w:tc>
        <w:tc>
          <w:tcPr>
            <w:tcW w:w="40" w:type="dxa"/>
            <w:vAlign w:val="bottom"/>
          </w:tcPr>
          <w:p>
            <w:pPr>
              <w:spacing w:after="0"/>
              <w:rPr>
                <w:sz w:val="18"/>
                <w:szCs w:val="18"/>
                <w:color w:val="auto"/>
              </w:rPr>
            </w:pPr>
          </w:p>
        </w:tc>
        <w:tc>
          <w:tcPr>
            <w:tcW w:w="1460" w:type="dxa"/>
            <w:vAlign w:val="bottom"/>
            <w:gridSpan w:val="5"/>
          </w:tcPr>
          <w:p>
            <w:pPr>
              <w:ind w:left="24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18"/>
                <w:szCs w:val="18"/>
                <w:color w:val="auto"/>
              </w:rPr>
            </w:pPr>
          </w:p>
        </w:tc>
        <w:tc>
          <w:tcPr>
            <w:tcW w:w="1560" w:type="dxa"/>
            <w:vAlign w:val="bottom"/>
            <w:gridSpan w:val="5"/>
          </w:tcPr>
          <w:p>
            <w:pPr>
              <w:ind w:left="14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2019</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3"/>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gridSpan w:val="3"/>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Additions (Note 4)</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6,737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(4,167)</w:t>
            </w: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 (Note 4)</w:t>
            </w: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6"/>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5FFFF"/>
          </w:tcPr>
          <w:p>
            <w:pPr>
              <w:jc w:val="right"/>
              <w:ind w:right="100"/>
              <w:spacing w:after="0"/>
              <w:rPr>
                <w:sz w:val="20"/>
                <w:szCs w:val="20"/>
                <w:color w:val="auto"/>
              </w:rPr>
            </w:pPr>
            <w:r>
              <w:rPr>
                <w:rFonts w:ascii="Arial" w:cs="Arial" w:eastAsia="Arial" w:hAnsi="Arial"/>
                <w:sz w:val="16"/>
                <w:szCs w:val="16"/>
                <w:color w:val="auto"/>
              </w:rPr>
              <w:t>(4,021)</w:t>
            </w: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560" w:type="dxa"/>
            <w:vAlign w:val="bottom"/>
            <w:gridSpan w:val="5"/>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Depreciation expense (Note 4)</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6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(43,734)</w:t>
            </w: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(43,734)</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Vessels as of June 30, 2019</w:t>
            </w:r>
          </w:p>
        </w:tc>
        <w:tc>
          <w:tcPr>
            <w:tcW w:w="158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auto"/>
              <w:bottom w:val="single" w:sz="8" w:color="auto"/>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2,509,283</w:t>
            </w: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2,716</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(47,901</w:t>
            </w:r>
          </w:p>
        </w:tc>
        <w:tc>
          <w:tcPr>
            <w:tcW w:w="1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2,464,098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440" w:type="dxa"/>
            <w:vAlign w:val="bottom"/>
            <w:gridSpan w:val="12"/>
          </w:tcPr>
          <w:p>
            <w:pPr>
              <w:ind w:left="10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6"/>
          </w:tcPr>
          <w:p>
            <w:pPr>
              <w:jc w:val="center"/>
              <w:ind w:right="580"/>
              <w:spacing w:after="0"/>
              <w:rPr>
                <w:sz w:val="20"/>
                <w:szCs w:val="20"/>
                <w:color w:val="auto"/>
              </w:rPr>
            </w:pPr>
            <w:r>
              <w:rPr>
                <w:rFonts w:ascii="Arial" w:cs="Arial" w:eastAsia="Arial" w:hAnsi="Arial"/>
                <w:sz w:val="16"/>
                <w:szCs w:val="16"/>
                <w:b w:val="1"/>
                <w:bCs w:val="1"/>
                <w:color w:val="auto"/>
                <w:w w:val="92"/>
              </w:rPr>
              <w:t>Opening</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6"/>
          </w:tcPr>
          <w:p>
            <w:pPr>
              <w:jc w:val="center"/>
              <w:ind w:right="580"/>
              <w:spacing w:after="0"/>
              <w:rPr>
                <w:sz w:val="20"/>
                <w:szCs w:val="20"/>
                <w:color w:val="auto"/>
              </w:rPr>
            </w:pPr>
            <w:r>
              <w:rPr>
                <w:rFonts w:ascii="Arial" w:cs="Arial" w:eastAsia="Arial" w:hAnsi="Arial"/>
                <w:sz w:val="16"/>
                <w:szCs w:val="16"/>
                <w:b w:val="1"/>
                <w:bCs w:val="1"/>
                <w:color w:val="auto"/>
                <w:w w:val="87"/>
              </w:rPr>
              <w:t>balance</w:t>
            </w:r>
          </w:p>
        </w:tc>
        <w:tc>
          <w:tcPr>
            <w:tcW w:w="40" w:type="dxa"/>
            <w:vAlign w:val="bottom"/>
          </w:tcPr>
          <w:p>
            <w:pPr>
              <w:spacing w:after="0"/>
              <w:rPr>
                <w:sz w:val="18"/>
                <w:szCs w:val="18"/>
                <w:color w:val="auto"/>
              </w:rPr>
            </w:pPr>
          </w:p>
        </w:tc>
        <w:tc>
          <w:tcPr>
            <w:tcW w:w="1460" w:type="dxa"/>
            <w:vAlign w:val="bottom"/>
            <w:gridSpan w:val="5"/>
          </w:tcPr>
          <w:p>
            <w:pPr>
              <w:ind w:left="22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18"/>
                <w:szCs w:val="18"/>
                <w:color w:val="auto"/>
              </w:rPr>
            </w:pPr>
          </w:p>
        </w:tc>
        <w:tc>
          <w:tcPr>
            <w:tcW w:w="1560" w:type="dxa"/>
            <w:vAlign w:val="bottom"/>
            <w:gridSpan w:val="5"/>
          </w:tcPr>
          <w:p>
            <w:pPr>
              <w:ind w:left="14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E5FFFF"/>
            </w:tcBorders>
            <w:gridSpan w:val="4"/>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gridSpan w:val="3"/>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Lease expense (Note 5)</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6"/>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346" w:right="539" w:bottom="1440" w:gutter="0" w:footer="0" w:header="0"/>
        </w:sectPr>
      </w:pPr>
    </w:p>
    <w:bookmarkStart w:id="41" w:name="page42"/>
    <w:bookmarkEnd w:id="41"/>
    <w:tbl>
      <w:tblPr>
        <w:tblLayout w:type="fixed"/>
        <w:tblInd w:w="300" w:type="dxa"/>
        <w:tblCellMar>
          <w:top w:w="0" w:type="dxa"/>
          <w:left w:w="0" w:type="dxa"/>
          <w:bottom w:w="0" w:type="dxa"/>
          <w:right w:w="0" w:type="dxa"/>
        </w:tblCellMar>
      </w:tblPr>
      <w:tr>
        <w:trPr>
          <w:trHeight w:val="203"/>
        </w:trPr>
        <w:tc>
          <w:tcPr>
            <w:tcW w:w="58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(28)</w:t>
            </w:r>
          </w:p>
        </w:tc>
        <w:tc>
          <w:tcPr>
            <w:tcW w:w="20" w:type="dxa"/>
            <w:vAlign w:val="bottom"/>
            <w:shd w:val="clear" w:color="auto" w:fill="E5FFFF"/>
          </w:tcPr>
          <w:p>
            <w:pPr>
              <w:spacing w:after="0"/>
              <w:rPr>
                <w:sz w:val="17"/>
                <w:szCs w:val="17"/>
                <w:color w:val="auto"/>
              </w:rPr>
            </w:pPr>
          </w:p>
        </w:tc>
        <w:tc>
          <w:tcPr>
            <w:tcW w:w="1600" w:type="dxa"/>
            <w:vAlign w:val="bottom"/>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00" w:type="dxa"/>
            <w:vAlign w:val="bottom"/>
            <w:gridSpan w:val="2"/>
          </w:tcPr>
          <w:p>
            <w:pPr>
              <w:jc w:val="right"/>
              <w:ind w:right="39"/>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17"/>
                <w:szCs w:val="17"/>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7"/>
                <w:szCs w:val="17"/>
                <w:color w:val="auto"/>
              </w:rPr>
            </w:pPr>
          </w:p>
        </w:tc>
      </w:tr>
      <w:tr>
        <w:trPr>
          <w:trHeight w:val="210"/>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June 30, 2019</w:t>
            </w:r>
          </w:p>
        </w:tc>
        <w:tc>
          <w:tcPr>
            <w:tcW w:w="940" w:type="dxa"/>
            <w:vAlign w:val="bottom"/>
            <w:tcBorders>
              <w:top w:val="single" w:sz="8" w:color="auto"/>
              <w:bottom w:val="single" w:sz="8" w:color="auto"/>
            </w:tcBorders>
            <w:shd w:val="clear" w:color="auto" w:fill="E5FFFF"/>
          </w:tcPr>
          <w:p>
            <w:pPr>
              <w:spacing w:after="0"/>
              <w:rPr>
                <w:sz w:val="18"/>
                <w:szCs w:val="18"/>
                <w:color w:val="auto"/>
              </w:rPr>
            </w:pPr>
          </w:p>
        </w:tc>
        <w:tc>
          <w:tcPr>
            <w:tcW w:w="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1,393</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(275</w:t>
            </w:r>
          </w:p>
        </w:tc>
        <w:tc>
          <w:tcPr>
            <w:tcW w:w="180" w:type="dxa"/>
            <w:vAlign w:val="bottom"/>
            <w:tcBorders>
              <w:top w:val="single" w:sz="8" w:color="E5FFFF"/>
              <w:bottom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1,123</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3"/>
        </w:trPr>
        <w:tc>
          <w:tcPr>
            <w:tcW w:w="5840" w:type="dxa"/>
            <w:vAlign w:val="bottom"/>
            <w:gridSpan w:val="2"/>
          </w:tcPr>
          <w:p>
            <w:pPr>
              <w:ind w:left="100"/>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4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ind w:left="280"/>
              <w:spacing w:after="0"/>
              <w:rPr>
                <w:sz w:val="20"/>
                <w:szCs w:val="20"/>
                <w:color w:val="auto"/>
              </w:rPr>
            </w:pPr>
            <w:r>
              <w:rPr>
                <w:rFonts w:ascii="Arial" w:cs="Arial" w:eastAsia="Arial" w:hAnsi="Arial"/>
                <w:sz w:val="16"/>
                <w:szCs w:val="16"/>
                <w:b w:val="1"/>
                <w:bCs w:val="1"/>
                <w:color w:val="auto"/>
              </w:rPr>
              <w:t>Cash flows</w:t>
            </w:r>
          </w:p>
        </w:tc>
        <w:tc>
          <w:tcPr>
            <w:tcW w:w="1600" w:type="dxa"/>
            <w:vAlign w:val="bottom"/>
            <w:gridSpan w:val="4"/>
          </w:tcPr>
          <w:p>
            <w:pPr>
              <w:ind w:left="140"/>
              <w:spacing w:after="0"/>
              <w:rPr>
                <w:sz w:val="20"/>
                <w:szCs w:val="20"/>
                <w:color w:val="auto"/>
              </w:rPr>
            </w:pPr>
            <w:r>
              <w:rPr>
                <w:rFonts w:ascii="Arial" w:cs="Arial" w:eastAsia="Arial" w:hAnsi="Arial"/>
                <w:sz w:val="16"/>
                <w:szCs w:val="16"/>
                <w:b w:val="1"/>
                <w:bCs w:val="1"/>
                <w:color w:val="auto"/>
              </w:rPr>
              <w:t>Non-cash items</w:t>
            </w: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79"/>
        </w:trPr>
        <w:tc>
          <w:tcPr>
            <w:tcW w:w="5840" w:type="dxa"/>
            <w:vAlign w:val="bottom"/>
            <w:tcBorders>
              <w:top w:val="single" w:sz="8" w:color="E5FFFF"/>
            </w:tcBorders>
            <w:gridSpan w:val="2"/>
            <w:shd w:val="clear" w:color="auto" w:fill="E5FFFF"/>
          </w:tcPr>
          <w:p>
            <w:pPr>
              <w:spacing w:after="0" w:line="179" w:lineRule="exact"/>
              <w:rPr>
                <w:sz w:val="20"/>
                <w:szCs w:val="20"/>
                <w:color w:val="auto"/>
              </w:rPr>
            </w:pPr>
            <w:r>
              <w:rPr>
                <w:rFonts w:ascii="Arial" w:cs="Arial" w:eastAsia="Arial" w:hAnsi="Arial"/>
                <w:sz w:val="16"/>
                <w:szCs w:val="16"/>
                <w:color w:val="auto"/>
                <w:w w:val="91"/>
              </w:rPr>
              <w:t>Proceeds from public offerings and issuances of common and general partner units (net of</w:t>
            </w:r>
          </w:p>
        </w:tc>
        <w:tc>
          <w:tcPr>
            <w:tcW w:w="4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60" w:type="dxa"/>
            <w:vAlign w:val="bottom"/>
            <w:tcBorders>
              <w:top w:val="single" w:sz="8" w:color="auto"/>
            </w:tcBorders>
            <w:shd w:val="clear" w:color="auto" w:fill="E5FFFF"/>
          </w:tcPr>
          <w:p>
            <w:pPr>
              <w:spacing w:after="0"/>
              <w:rPr>
                <w:sz w:val="15"/>
                <w:szCs w:val="15"/>
                <w:color w:val="auto"/>
              </w:rPr>
            </w:pPr>
          </w:p>
        </w:tc>
        <w:tc>
          <w:tcPr>
            <w:tcW w:w="1220" w:type="dxa"/>
            <w:vAlign w:val="bottom"/>
            <w:tcBorders>
              <w:top w:val="single" w:sz="8" w:color="auto"/>
            </w:tcBorders>
            <w:shd w:val="clear" w:color="auto" w:fill="E5FFFF"/>
          </w:tcPr>
          <w:p>
            <w:pPr>
              <w:spacing w:after="0"/>
              <w:rPr>
                <w:sz w:val="15"/>
                <w:szCs w:val="15"/>
                <w:color w:val="auto"/>
              </w:rPr>
            </w:pPr>
          </w:p>
        </w:tc>
        <w:tc>
          <w:tcPr>
            <w:tcW w:w="80" w:type="dxa"/>
            <w:vAlign w:val="bottom"/>
            <w:tcBorders>
              <w:left w:val="single" w:sz="8" w:color="E5FFFF"/>
            </w:tcBorders>
          </w:tcPr>
          <w:p>
            <w:pPr>
              <w:spacing w:after="0"/>
              <w:rPr>
                <w:sz w:val="15"/>
                <w:szCs w:val="15"/>
                <w:color w:val="auto"/>
              </w:rPr>
            </w:pPr>
          </w:p>
        </w:tc>
      </w:tr>
      <w:tr>
        <w:trPr>
          <w:trHeight w:val="212"/>
        </w:trPr>
        <w:tc>
          <w:tcPr>
            <w:tcW w:w="584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underwriting discounts and commissions)</w:t>
            </w:r>
          </w:p>
        </w:tc>
        <w:tc>
          <w:tcPr>
            <w:tcW w:w="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960</w:t>
            </w: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0" w:type="dxa"/>
            <w:vAlign w:val="bottom"/>
            <w:gridSpan w:val="4"/>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left w:val="single" w:sz="8" w:color="E5FFFF"/>
            </w:tcBorders>
          </w:tcPr>
          <w:p>
            <w:pPr>
              <w:spacing w:after="0"/>
              <w:rPr>
                <w:sz w:val="18"/>
                <w:szCs w:val="18"/>
                <w:color w:val="auto"/>
              </w:rPr>
            </w:pPr>
          </w:p>
        </w:tc>
      </w:tr>
      <w:tr>
        <w:trPr>
          <w:trHeight w:val="193"/>
        </w:trPr>
        <w:tc>
          <w:tcPr>
            <w:tcW w:w="5840" w:type="dxa"/>
            <w:vAlign w:val="bottom"/>
            <w:gridSpan w:val="2"/>
          </w:tcPr>
          <w:p>
            <w:pPr>
              <w:spacing w:after="0"/>
              <w:rPr>
                <w:sz w:val="20"/>
                <w:szCs w:val="20"/>
                <w:color w:val="auto"/>
              </w:rPr>
            </w:pPr>
            <w:r>
              <w:rPr>
                <w:rFonts w:ascii="Arial" w:cs="Arial" w:eastAsia="Arial" w:hAnsi="Arial"/>
                <w:sz w:val="16"/>
                <w:szCs w:val="16"/>
                <w:color w:val="auto"/>
                <w:w w:val="98"/>
              </w:rPr>
              <w:t>Proceeds from public offering of preference units (net of underwriting discounts and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5840" w:type="dxa"/>
            <w:vAlign w:val="bottom"/>
            <w:gridSpan w:val="2"/>
          </w:tcPr>
          <w:p>
            <w:pPr>
              <w:ind w:left="180"/>
              <w:spacing w:after="0"/>
              <w:rPr>
                <w:sz w:val="20"/>
                <w:szCs w:val="20"/>
                <w:color w:val="auto"/>
              </w:rPr>
            </w:pPr>
            <w:r>
              <w:rPr>
                <w:rFonts w:ascii="Arial" w:cs="Arial" w:eastAsia="Arial" w:hAnsi="Arial"/>
                <w:sz w:val="16"/>
                <w:szCs w:val="16"/>
                <w:color w:val="auto"/>
              </w:rPr>
              <w:t>commissions)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111,544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111,544</w:t>
            </w:r>
          </w:p>
        </w:tc>
        <w:tc>
          <w:tcPr>
            <w:tcW w:w="80" w:type="dxa"/>
            <w:vAlign w:val="bottom"/>
          </w:tcPr>
          <w:p>
            <w:pPr>
              <w:spacing w:after="0"/>
              <w:rPr>
                <w:sz w:val="17"/>
                <w:szCs w:val="17"/>
                <w:color w:val="auto"/>
              </w:rPr>
            </w:pPr>
          </w:p>
        </w:tc>
      </w:tr>
      <w:tr>
        <w:trPr>
          <w:trHeight w:val="209"/>
        </w:trPr>
        <w:tc>
          <w:tcPr>
            <w:tcW w:w="58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(662)</w:t>
            </w:r>
          </w:p>
        </w:tc>
        <w:tc>
          <w:tcPr>
            <w:tcW w:w="2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276</w:t>
            </w: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(386)</w:t>
            </w:r>
          </w:p>
        </w:tc>
      </w:tr>
      <w:tr>
        <w:trPr>
          <w:trHeight w:val="196"/>
        </w:trPr>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Net proceeds from equity offerings in the six months ended June 30, 2018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111,842</w:t>
            </w: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112,118</w:t>
            </w: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6"/>
        </w:trPr>
        <w:tc>
          <w:tcPr>
            <w:tcW w:w="4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ind w:left="280"/>
              <w:spacing w:after="0"/>
              <w:rPr>
                <w:sz w:val="20"/>
                <w:szCs w:val="20"/>
                <w:color w:val="auto"/>
              </w:rPr>
            </w:pPr>
            <w:r>
              <w:rPr>
                <w:rFonts w:ascii="Arial" w:cs="Arial" w:eastAsia="Arial" w:hAnsi="Arial"/>
                <w:sz w:val="16"/>
                <w:szCs w:val="16"/>
                <w:b w:val="1"/>
                <w:bCs w:val="1"/>
                <w:color w:val="auto"/>
              </w:rPr>
              <w:t>Cash flows</w:t>
            </w:r>
          </w:p>
        </w:tc>
        <w:tc>
          <w:tcPr>
            <w:tcW w:w="1600" w:type="dxa"/>
            <w:vAlign w:val="bottom"/>
            <w:gridSpan w:val="4"/>
          </w:tcPr>
          <w:p>
            <w:pPr>
              <w:ind w:left="140"/>
              <w:spacing w:after="0"/>
              <w:rPr>
                <w:sz w:val="20"/>
                <w:szCs w:val="20"/>
                <w:color w:val="auto"/>
              </w:rPr>
            </w:pPr>
            <w:r>
              <w:rPr>
                <w:rFonts w:ascii="Arial" w:cs="Arial" w:eastAsia="Arial" w:hAnsi="Arial"/>
                <w:sz w:val="16"/>
                <w:szCs w:val="16"/>
                <w:b w:val="1"/>
                <w:bCs w:val="1"/>
                <w:color w:val="auto"/>
              </w:rPr>
              <w:t>Non-cash items</w:t>
            </w: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99"/>
        </w:trPr>
        <w:tc>
          <w:tcPr>
            <w:tcW w:w="58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4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(890</w:t>
            </w:r>
          </w:p>
        </w:tc>
        <w:tc>
          <w:tcPr>
            <w:tcW w:w="180" w:type="dxa"/>
            <w:vAlign w:val="bottom"/>
            <w:tcBorders>
              <w:top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401</w:t>
            </w:r>
          </w:p>
        </w:tc>
        <w:tc>
          <w:tcPr>
            <w:tcW w:w="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(489)</w:t>
            </w:r>
          </w:p>
        </w:tc>
        <w:tc>
          <w:tcPr>
            <w:tcW w:w="80" w:type="dxa"/>
            <w:vAlign w:val="bottom"/>
            <w:tcBorders>
              <w:left w:val="single" w:sz="8" w:color="E5FFFF"/>
            </w:tcBorders>
          </w:tcPr>
          <w:p>
            <w:pPr>
              <w:spacing w:after="0"/>
              <w:rPr>
                <w:sz w:val="17"/>
                <w:szCs w:val="17"/>
                <w:color w:val="auto"/>
              </w:rPr>
            </w:pPr>
          </w:p>
        </w:tc>
      </w:tr>
      <w:tr>
        <w:trPr>
          <w:trHeight w:val="203"/>
        </w:trPr>
        <w:tc>
          <w:tcPr>
            <w:tcW w:w="5840" w:type="dxa"/>
            <w:vAlign w:val="bottom"/>
            <w:gridSpan w:val="2"/>
          </w:tcPr>
          <w:p>
            <w:pPr>
              <w:spacing w:after="0"/>
              <w:rPr>
                <w:sz w:val="20"/>
                <w:szCs w:val="20"/>
                <w:color w:val="auto"/>
              </w:rPr>
            </w:pPr>
            <w:r>
              <w:rPr>
                <w:rFonts w:ascii="Arial" w:cs="Arial" w:eastAsia="Arial" w:hAnsi="Arial"/>
                <w:sz w:val="16"/>
                <w:szCs w:val="16"/>
                <w:color w:val="auto"/>
              </w:rPr>
              <w:t>Proceeds from issuances of general partner units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1,996</w:t>
            </w:r>
          </w:p>
        </w:tc>
        <w:tc>
          <w:tcPr>
            <w:tcW w:w="80" w:type="dxa"/>
            <w:vAlign w:val="bottom"/>
          </w:tcPr>
          <w:p>
            <w:pPr>
              <w:spacing w:after="0"/>
              <w:rPr>
                <w:sz w:val="17"/>
                <w:szCs w:val="17"/>
                <w:color w:val="auto"/>
              </w:rPr>
            </w:pPr>
          </w:p>
        </w:tc>
      </w:tr>
      <w:tr>
        <w:trPr>
          <w:trHeight w:val="196"/>
        </w:trPr>
        <w:tc>
          <w:tcPr>
            <w:tcW w:w="584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Net proceeds from equity offerings in the six months ended June 30, 2019</w:t>
            </w:r>
          </w:p>
        </w:tc>
        <w:tc>
          <w:tcPr>
            <w:tcW w:w="40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1,106</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w:t>
            </w: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1,507</w:t>
            </w:r>
          </w:p>
        </w:tc>
        <w:tc>
          <w:tcPr>
            <w:tcW w:w="80" w:type="dxa"/>
            <w:vAlign w:val="bottom"/>
            <w:tcBorders>
              <w:left w:val="single" w:sz="8" w:color="E5FFFF"/>
            </w:tcBorders>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Cash Distributions</w:t>
      </w:r>
    </w:p>
    <w:p>
      <w:pPr>
        <w:spacing w:after="0" w:line="239" w:lineRule="exact"/>
        <w:rPr>
          <w:sz w:val="20"/>
          <w:szCs w:val="20"/>
          <w:color w:val="auto"/>
        </w:rPr>
      </w:pPr>
    </w:p>
    <w:p>
      <w:pPr>
        <w:ind w:right="60" w:firstLine="383"/>
        <w:spacing w:after="0" w:line="329" w:lineRule="auto"/>
        <w:rPr>
          <w:sz w:val="20"/>
          <w:szCs w:val="20"/>
          <w:color w:val="auto"/>
        </w:rPr>
      </w:pPr>
      <w:r>
        <w:rPr>
          <w:rFonts w:ascii="Arial" w:cs="Arial" w:eastAsia="Arial" w:hAnsi="Arial"/>
          <w:sz w:val="15"/>
          <w:szCs w:val="15"/>
          <w:color w:val="auto"/>
        </w:rPr>
        <w:t>On January 29, 2019, the board of directors of the Partnership approved and declared a quarterly cash distribution, with respect to the quarter ended December 31, 2018, of $0.55 per common unit. The cash distribution of $26,929 was paid on February 13, 2019 to all unitholders of record as of February 8, 2019.</w:t>
      </w:r>
    </w:p>
    <w:p>
      <w:pPr>
        <w:spacing w:after="0" w:line="148" w:lineRule="exact"/>
        <w:rPr>
          <w:sz w:val="20"/>
          <w:szCs w:val="20"/>
          <w:color w:val="auto"/>
        </w:rPr>
      </w:pPr>
    </w:p>
    <w:p>
      <w:pPr>
        <w:jc w:val="both"/>
        <w:ind w:right="20" w:firstLine="383"/>
        <w:spacing w:after="0" w:line="278" w:lineRule="auto"/>
        <w:rPr>
          <w:sz w:val="20"/>
          <w:szCs w:val="20"/>
          <w:color w:val="auto"/>
        </w:rPr>
      </w:pPr>
      <w:r>
        <w:rPr>
          <w:rFonts w:ascii="Arial" w:cs="Arial" w:eastAsia="Arial" w:hAnsi="Arial"/>
          <w:sz w:val="16"/>
          <w:szCs w:val="16"/>
          <w:color w:val="auto"/>
        </w:rPr>
        <w:t>On February 22,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$0.7083 per preference unit. The aggregate cash distributions of $8,290 were paid on March 15, 2019 to all unitholders of record as of March 8, 2019.</w:t>
      </w:r>
    </w:p>
    <w:p>
      <w:pPr>
        <w:spacing w:after="0" w:line="184" w:lineRule="exact"/>
        <w:rPr>
          <w:sz w:val="20"/>
          <w:szCs w:val="20"/>
          <w:color w:val="auto"/>
        </w:rPr>
      </w:pPr>
    </w:p>
    <w:p>
      <w:pPr>
        <w:ind w:right="280" w:firstLine="383"/>
        <w:spacing w:after="0" w:line="293" w:lineRule="auto"/>
        <w:rPr>
          <w:sz w:val="20"/>
          <w:szCs w:val="20"/>
          <w:color w:val="auto"/>
        </w:rPr>
      </w:pPr>
      <w:r>
        <w:rPr>
          <w:rFonts w:ascii="Arial" w:cs="Arial" w:eastAsia="Arial" w:hAnsi="Arial"/>
          <w:sz w:val="16"/>
          <w:szCs w:val="16"/>
          <w:color w:val="auto"/>
        </w:rPr>
        <w:t>On April 24, 2019, the board of directors of the Partnership approved and declared a quarterly cash distribution, with respect to the quarter ended March 31, 2019, of $0.55 per common unit. The cash distribution of $26,911 was paid on May 10, 2019 to all unitholders of record as of May 6, 2019.</w:t>
      </w:r>
    </w:p>
    <w:p>
      <w:pPr>
        <w:spacing w:after="0" w:line="172"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On May 10,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June 17, 2019 to all unitholders of record as of June 10, 2019.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Earnings per Unit (“EPU”)</w:t>
      </w:r>
    </w:p>
    <w:p>
      <w:pPr>
        <w:spacing w:after="0" w:line="239" w:lineRule="exact"/>
        <w:rPr>
          <w:sz w:val="20"/>
          <w:szCs w:val="20"/>
          <w:color w:val="auto"/>
        </w:rPr>
      </w:pPr>
    </w:p>
    <w:p>
      <w:pPr>
        <w:ind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right="20"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per unit is presented for the period in which the units were outstanding, with earnings calculated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9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ind w:left="50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2019</w:t>
            </w: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2018</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29,602</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69,958</w:t>
            </w:r>
          </w:p>
        </w:tc>
        <w:tc>
          <w:tcPr>
            <w:tcW w:w="1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Less: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(6,701)</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(15,055)</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22,901</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6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54,903</w:t>
            </w:r>
          </w:p>
        </w:tc>
        <w:tc>
          <w:tcPr>
            <w:tcW w:w="1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(5,457)</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(7,582)</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(10,495)</w:t>
            </w:r>
          </w:p>
        </w:tc>
        <w:tc>
          <w:tcPr>
            <w:tcW w:w="1240" w:type="dxa"/>
            <w:vAlign w:val="bottom"/>
          </w:tcPr>
          <w:p>
            <w:pPr>
              <w:jc w:val="right"/>
              <w:spacing w:after="0"/>
              <w:rPr>
                <w:sz w:val="20"/>
                <w:szCs w:val="20"/>
                <w:color w:val="auto"/>
              </w:rPr>
            </w:pPr>
            <w:r>
              <w:rPr>
                <w:rFonts w:ascii="Arial" w:cs="Arial" w:eastAsia="Arial" w:hAnsi="Arial"/>
                <w:sz w:val="16"/>
                <w:szCs w:val="16"/>
                <w:color w:val="auto"/>
              </w:rPr>
              <w:t>(15,164)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17,444</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11,561</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44,408</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24,345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color w:val="auto"/>
              </w:rPr>
              <w:t>Common unitholders</w:t>
            </w: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17,095</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11,329</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41,152</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w:t>
            </w: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349</w:t>
            </w: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232</w:t>
            </w:r>
          </w:p>
        </w:tc>
        <w:tc>
          <w:tcPr>
            <w:tcW w:w="160" w:type="dxa"/>
            <w:vAlign w:val="bottom"/>
            <w:shd w:val="clear" w:color="auto" w:fill="E1FFFF"/>
          </w:tcPr>
          <w:p>
            <w:pPr>
              <w:spacing w:after="0"/>
              <w:rPr>
                <w:sz w:val="17"/>
                <w:szCs w:val="17"/>
                <w:color w:val="auto"/>
              </w:rPr>
            </w:pPr>
          </w:p>
        </w:tc>
        <w:tc>
          <w:tcPr>
            <w:tcW w:w="1340" w:type="dxa"/>
            <w:vAlign w:val="bottom"/>
            <w:shd w:val="clear" w:color="auto" w:fill="E1FFFF"/>
          </w:tcPr>
          <w:p>
            <w:pPr>
              <w:jc w:val="right"/>
              <w:spacing w:after="0"/>
              <w:rPr>
                <w:sz w:val="20"/>
                <w:szCs w:val="20"/>
                <w:color w:val="auto"/>
              </w:rPr>
            </w:pPr>
            <w:r>
              <w:rPr>
                <w:rFonts w:ascii="Arial" w:cs="Arial" w:eastAsia="Arial" w:hAnsi="Arial"/>
                <w:sz w:val="16"/>
                <w:szCs w:val="16"/>
                <w:color w:val="auto"/>
              </w:rPr>
              <w:t>888</w:t>
            </w:r>
          </w:p>
        </w:tc>
        <w:tc>
          <w:tcPr>
            <w:tcW w:w="160" w:type="dxa"/>
            <w:vAlign w:val="bottom"/>
            <w:shd w:val="clear" w:color="auto" w:fill="E1FFFF"/>
          </w:tcPr>
          <w:p>
            <w:pPr>
              <w:spacing w:after="0"/>
              <w:rPr>
                <w:sz w:val="17"/>
                <w:szCs w:val="17"/>
                <w:color w:val="auto"/>
              </w:rPr>
            </w:pPr>
          </w:p>
        </w:tc>
        <w:tc>
          <w:tcPr>
            <w:tcW w:w="1240" w:type="dxa"/>
            <w:vAlign w:val="bottom"/>
            <w:shd w:val="clear" w:color="auto" w:fill="E1FFFF"/>
          </w:tcPr>
          <w:p>
            <w:pPr>
              <w:jc w:val="right"/>
              <w:spacing w:after="0"/>
              <w:rPr>
                <w:sz w:val="20"/>
                <w:szCs w:val="20"/>
                <w:color w:val="auto"/>
              </w:rPr>
            </w:pPr>
            <w:r>
              <w:rPr>
                <w:rFonts w:ascii="Arial" w:cs="Arial" w:eastAsia="Arial" w:hAnsi="Arial"/>
                <w:sz w:val="16"/>
                <w:szCs w:val="16"/>
                <w:color w:val="auto"/>
              </w:rPr>
              <w:t>487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1340" w:type="dxa"/>
            <w:vAlign w:val="bottom"/>
          </w:tcPr>
          <w:p>
            <w:pPr>
              <w:jc w:val="right"/>
              <w:spacing w:after="0"/>
              <w:rPr>
                <w:sz w:val="20"/>
                <w:szCs w:val="20"/>
                <w:color w:val="auto"/>
              </w:rPr>
            </w:pPr>
            <w:r>
              <w:rPr>
                <w:rFonts w:ascii="Arial" w:cs="Arial" w:eastAsia="Arial" w:hAnsi="Arial"/>
                <w:sz w:val="16"/>
                <w:szCs w:val="16"/>
                <w:color w:val="auto"/>
              </w:rPr>
              <w:t>2,368</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32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spacing w:after="0"/>
              <w:rPr>
                <w:sz w:val="17"/>
                <w:szCs w:val="17"/>
                <w:color w:val="auto"/>
              </w:rPr>
            </w:pPr>
          </w:p>
        </w:tc>
        <w:tc>
          <w:tcPr>
            <w:tcW w:w="160" w:type="dxa"/>
            <w:vAlign w:val="bottom"/>
            <w:shd w:val="clear" w:color="auto" w:fill="E1FFFF"/>
          </w:tcPr>
          <w:p>
            <w:pPr>
              <w:spacing w:after="0"/>
              <w:rPr>
                <w:sz w:val="17"/>
                <w:szCs w:val="17"/>
                <w:color w:val="auto"/>
              </w:rPr>
            </w:pPr>
          </w:p>
        </w:tc>
        <w:tc>
          <w:tcPr>
            <w:tcW w:w="1340" w:type="dxa"/>
            <w:vAlign w:val="bottom"/>
            <w:shd w:val="clear" w:color="auto" w:fill="E1FFFF"/>
          </w:tcPr>
          <w:p>
            <w:pPr>
              <w:spacing w:after="0"/>
              <w:rPr>
                <w:sz w:val="17"/>
                <w:szCs w:val="17"/>
                <w:color w:val="auto"/>
              </w:rPr>
            </w:pPr>
          </w:p>
        </w:tc>
        <w:tc>
          <w:tcPr>
            <w:tcW w:w="160" w:type="dxa"/>
            <w:vAlign w:val="bottom"/>
            <w:shd w:val="clear" w:color="auto" w:fill="E1FFFF"/>
          </w:tcPr>
          <w:p>
            <w:pPr>
              <w:spacing w:after="0"/>
              <w:rPr>
                <w:sz w:val="17"/>
                <w:szCs w:val="17"/>
                <w:color w:val="auto"/>
              </w:rPr>
            </w:pPr>
          </w:p>
        </w:tc>
        <w:tc>
          <w:tcPr>
            <w:tcW w:w="1240" w:type="dxa"/>
            <w:vAlign w:val="bottom"/>
            <w:shd w:val="clear" w:color="auto" w:fill="E1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Common units</w:t>
            </w:r>
          </w:p>
        </w:tc>
        <w:tc>
          <w:tcPr>
            <w:tcW w:w="1320" w:type="dxa"/>
            <w:vAlign w:val="bottom"/>
          </w:tcPr>
          <w:p>
            <w:pPr>
              <w:jc w:val="right"/>
              <w:spacing w:after="0"/>
              <w:rPr>
                <w:sz w:val="20"/>
                <w:szCs w:val="20"/>
                <w:color w:val="auto"/>
              </w:rPr>
            </w:pPr>
            <w:r>
              <w:rPr>
                <w:rFonts w:ascii="Arial" w:cs="Arial" w:eastAsia="Arial" w:hAnsi="Arial"/>
                <w:sz w:val="16"/>
                <w:szCs w:val="16"/>
                <w:color w:val="auto"/>
              </w:rPr>
              <w:t>42,363,252</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45,300,760</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41,686,447</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45,374,467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864,381</w:t>
            </w: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930,387</w:t>
            </w:r>
          </w:p>
        </w:tc>
        <w:tc>
          <w:tcPr>
            <w:tcW w:w="160" w:type="dxa"/>
            <w:vAlign w:val="bottom"/>
            <w:shd w:val="clear" w:color="auto" w:fill="E1FFFF"/>
          </w:tcPr>
          <w:p>
            <w:pPr>
              <w:spacing w:after="0"/>
              <w:rPr>
                <w:sz w:val="17"/>
                <w:szCs w:val="17"/>
                <w:color w:val="auto"/>
              </w:rPr>
            </w:pPr>
          </w:p>
        </w:tc>
        <w:tc>
          <w:tcPr>
            <w:tcW w:w="1340" w:type="dxa"/>
            <w:vAlign w:val="bottom"/>
            <w:shd w:val="clear" w:color="auto" w:fill="E1FFFF"/>
          </w:tcPr>
          <w:p>
            <w:pPr>
              <w:jc w:val="right"/>
              <w:spacing w:after="0"/>
              <w:rPr>
                <w:sz w:val="20"/>
                <w:szCs w:val="20"/>
                <w:color w:val="auto"/>
              </w:rPr>
            </w:pPr>
            <w:r>
              <w:rPr>
                <w:rFonts w:ascii="Arial" w:cs="Arial" w:eastAsia="Arial" w:hAnsi="Arial"/>
                <w:sz w:val="16"/>
                <w:szCs w:val="16"/>
                <w:color w:val="auto"/>
              </w:rPr>
              <w:t>850,656</w:t>
            </w:r>
          </w:p>
        </w:tc>
        <w:tc>
          <w:tcPr>
            <w:tcW w:w="160" w:type="dxa"/>
            <w:vAlign w:val="bottom"/>
            <w:shd w:val="clear" w:color="auto" w:fill="E1FFFF"/>
          </w:tcPr>
          <w:p>
            <w:pPr>
              <w:spacing w:after="0"/>
              <w:rPr>
                <w:sz w:val="17"/>
                <w:szCs w:val="17"/>
                <w:color w:val="auto"/>
              </w:rPr>
            </w:pPr>
          </w:p>
        </w:tc>
        <w:tc>
          <w:tcPr>
            <w:tcW w:w="124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928,967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42" w:name="page43"/>
    <w:bookmarkEnd w:id="42"/>
    <w:tbl>
      <w:tblPr>
        <w:tblLayout w:type="fixed"/>
        <w:tblInd w:w="300" w:type="dxa"/>
        <w:tblCellMar>
          <w:top w:w="0" w:type="dxa"/>
          <w:left w:w="0" w:type="dxa"/>
          <w:bottom w:w="0" w:type="dxa"/>
          <w:right w:w="0" w:type="dxa"/>
        </w:tblCellMar>
      </w:tblP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980" w:type="dxa"/>
            <w:vAlign w:val="bottom"/>
            <w:shd w:val="clear" w:color="auto" w:fill="E1FFFF"/>
          </w:tcPr>
          <w:p>
            <w:pPr>
              <w:jc w:val="right"/>
              <w:ind w:right="319"/>
              <w:spacing w:after="0"/>
              <w:rPr>
                <w:sz w:val="20"/>
                <w:szCs w:val="20"/>
                <w:color w:val="auto"/>
              </w:rPr>
            </w:pPr>
            <w:r>
              <w:rPr>
                <w:rFonts w:ascii="Arial" w:cs="Arial" w:eastAsia="Arial" w:hAnsi="Arial"/>
                <w:sz w:val="16"/>
                <w:szCs w:val="16"/>
                <w:color w:val="auto"/>
              </w:rPr>
              <w:t>0.40</w:t>
            </w:r>
          </w:p>
        </w:tc>
        <w:tc>
          <w:tcPr>
            <w:tcW w:w="1480" w:type="dxa"/>
            <w:vAlign w:val="bottom"/>
            <w:shd w:val="clear" w:color="auto" w:fill="E1FFFF"/>
          </w:tcPr>
          <w:p>
            <w:pPr>
              <w:jc w:val="right"/>
              <w:ind w:right="299"/>
              <w:spacing w:after="0"/>
              <w:rPr>
                <w:sz w:val="20"/>
                <w:szCs w:val="20"/>
                <w:color w:val="auto"/>
              </w:rPr>
            </w:pPr>
            <w:r>
              <w:rPr>
                <w:rFonts w:ascii="Arial" w:cs="Arial" w:eastAsia="Arial" w:hAnsi="Arial"/>
                <w:sz w:val="16"/>
                <w:szCs w:val="16"/>
                <w:color w:val="auto"/>
              </w:rPr>
              <w:t>0.25</w:t>
            </w:r>
          </w:p>
        </w:tc>
        <w:tc>
          <w:tcPr>
            <w:tcW w:w="1460" w:type="dxa"/>
            <w:vAlign w:val="bottom"/>
            <w:shd w:val="clear" w:color="auto" w:fill="E1FFFF"/>
          </w:tcPr>
          <w:p>
            <w:pPr>
              <w:jc w:val="right"/>
              <w:ind w:right="259"/>
              <w:spacing w:after="0"/>
              <w:rPr>
                <w:sz w:val="20"/>
                <w:szCs w:val="20"/>
                <w:color w:val="auto"/>
              </w:rPr>
            </w:pPr>
            <w:r>
              <w:rPr>
                <w:rFonts w:ascii="Arial" w:cs="Arial" w:eastAsia="Arial" w:hAnsi="Arial"/>
                <w:sz w:val="16"/>
                <w:szCs w:val="16"/>
                <w:color w:val="auto"/>
              </w:rPr>
              <w:t>0.99</w:t>
            </w:r>
          </w:p>
        </w:tc>
        <w:tc>
          <w:tcPr>
            <w:tcW w:w="10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0.53</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General partner</w:t>
            </w:r>
          </w:p>
        </w:tc>
        <w:tc>
          <w:tcPr>
            <w:tcW w:w="1980" w:type="dxa"/>
            <w:vAlign w:val="bottom"/>
          </w:tcPr>
          <w:p>
            <w:pPr>
              <w:jc w:val="right"/>
              <w:ind w:right="319"/>
              <w:spacing w:after="0"/>
              <w:rPr>
                <w:sz w:val="20"/>
                <w:szCs w:val="20"/>
                <w:color w:val="auto"/>
              </w:rPr>
            </w:pPr>
            <w:r>
              <w:rPr>
                <w:rFonts w:ascii="Arial" w:cs="Arial" w:eastAsia="Arial" w:hAnsi="Arial"/>
                <w:sz w:val="16"/>
                <w:szCs w:val="16"/>
                <w:color w:val="auto"/>
              </w:rPr>
              <w:t>0.40</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0.25</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1.04</w:t>
            </w:r>
          </w:p>
        </w:tc>
        <w:tc>
          <w:tcPr>
            <w:tcW w:w="108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980" w:type="dxa"/>
            <w:vAlign w:val="bottom"/>
            <w:shd w:val="clear" w:color="auto" w:fill="E1FFFF"/>
          </w:tcPr>
          <w:p>
            <w:pPr>
              <w:spacing w:after="0"/>
              <w:rPr>
                <w:sz w:val="17"/>
                <w:szCs w:val="17"/>
                <w:color w:val="auto"/>
              </w:rPr>
            </w:pPr>
          </w:p>
        </w:tc>
        <w:tc>
          <w:tcPr>
            <w:tcW w:w="1480" w:type="dxa"/>
            <w:vAlign w:val="bottom"/>
            <w:shd w:val="clear" w:color="auto" w:fill="E1FFFF"/>
          </w:tcPr>
          <w:p>
            <w:pPr>
              <w:spacing w:after="0"/>
              <w:rPr>
                <w:sz w:val="17"/>
                <w:szCs w:val="17"/>
                <w:color w:val="auto"/>
              </w:rPr>
            </w:pPr>
          </w:p>
        </w:tc>
        <w:tc>
          <w:tcPr>
            <w:tcW w:w="1460" w:type="dxa"/>
            <w:vAlign w:val="bottom"/>
            <w:shd w:val="clear" w:color="auto" w:fill="E1FFFF"/>
          </w:tcPr>
          <w:p>
            <w:pPr>
              <w:spacing w:after="0"/>
              <w:rPr>
                <w:sz w:val="17"/>
                <w:szCs w:val="17"/>
                <w:color w:val="auto"/>
              </w:rPr>
            </w:pPr>
          </w:p>
        </w:tc>
        <w:tc>
          <w:tcPr>
            <w:tcW w:w="1080" w:type="dxa"/>
            <w:vAlign w:val="bottom"/>
            <w:shd w:val="clear" w:color="auto" w:fill="E1FF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Common units***</w:t>
            </w:r>
          </w:p>
        </w:tc>
        <w:tc>
          <w:tcPr>
            <w:tcW w:w="1980" w:type="dxa"/>
            <w:vAlign w:val="bottom"/>
          </w:tcPr>
          <w:p>
            <w:pPr>
              <w:jc w:val="right"/>
              <w:ind w:right="319"/>
              <w:spacing w:after="0"/>
              <w:rPr>
                <w:sz w:val="20"/>
                <w:szCs w:val="20"/>
                <w:color w:val="auto"/>
              </w:rPr>
            </w:pPr>
            <w:r>
              <w:rPr>
                <w:rFonts w:ascii="Arial" w:cs="Arial" w:eastAsia="Arial" w:hAnsi="Arial"/>
                <w:sz w:val="16"/>
                <w:szCs w:val="16"/>
                <w:color w:val="auto"/>
              </w:rPr>
              <w:t>42,422,462</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45,350,113</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41,792,558</w:t>
            </w:r>
          </w:p>
        </w:tc>
        <w:tc>
          <w:tcPr>
            <w:tcW w:w="1080" w:type="dxa"/>
            <w:vAlign w:val="bottom"/>
          </w:tcPr>
          <w:p>
            <w:pPr>
              <w:jc w:val="right"/>
              <w:spacing w:after="0"/>
              <w:rPr>
                <w:sz w:val="20"/>
                <w:szCs w:val="20"/>
                <w:color w:val="auto"/>
              </w:rPr>
            </w:pPr>
            <w:r>
              <w:rPr>
                <w:rFonts w:ascii="Arial" w:cs="Arial" w:eastAsia="Arial" w:hAnsi="Arial"/>
                <w:sz w:val="16"/>
                <w:szCs w:val="16"/>
                <w:color w:val="auto"/>
              </w:rPr>
              <w:t>45,443,822</w:t>
            </w: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980" w:type="dxa"/>
            <w:vAlign w:val="bottom"/>
            <w:shd w:val="clear" w:color="auto" w:fill="E1FFFF"/>
          </w:tcPr>
          <w:p>
            <w:pPr>
              <w:jc w:val="right"/>
              <w:ind w:right="319"/>
              <w:spacing w:after="0"/>
              <w:rPr>
                <w:sz w:val="20"/>
                <w:szCs w:val="20"/>
                <w:color w:val="auto"/>
              </w:rPr>
            </w:pPr>
            <w:r>
              <w:rPr>
                <w:rFonts w:ascii="Arial" w:cs="Arial" w:eastAsia="Arial" w:hAnsi="Arial"/>
                <w:sz w:val="16"/>
                <w:szCs w:val="16"/>
                <w:color w:val="auto"/>
              </w:rPr>
              <w:t>864,381</w:t>
            </w:r>
          </w:p>
        </w:tc>
        <w:tc>
          <w:tcPr>
            <w:tcW w:w="1480" w:type="dxa"/>
            <w:vAlign w:val="bottom"/>
            <w:shd w:val="clear" w:color="auto" w:fill="E1FFFF"/>
          </w:tcPr>
          <w:p>
            <w:pPr>
              <w:jc w:val="right"/>
              <w:ind w:right="299"/>
              <w:spacing w:after="0"/>
              <w:rPr>
                <w:sz w:val="20"/>
                <w:szCs w:val="20"/>
                <w:color w:val="auto"/>
              </w:rPr>
            </w:pPr>
            <w:r>
              <w:rPr>
                <w:rFonts w:ascii="Arial" w:cs="Arial" w:eastAsia="Arial" w:hAnsi="Arial"/>
                <w:sz w:val="16"/>
                <w:szCs w:val="16"/>
                <w:color w:val="auto"/>
              </w:rPr>
              <w:t>930,387</w:t>
            </w:r>
          </w:p>
        </w:tc>
        <w:tc>
          <w:tcPr>
            <w:tcW w:w="1460" w:type="dxa"/>
            <w:vAlign w:val="bottom"/>
            <w:shd w:val="clear" w:color="auto" w:fill="E1FFFF"/>
          </w:tcPr>
          <w:p>
            <w:pPr>
              <w:jc w:val="right"/>
              <w:ind w:right="259"/>
              <w:spacing w:after="0"/>
              <w:rPr>
                <w:sz w:val="20"/>
                <w:szCs w:val="20"/>
                <w:color w:val="auto"/>
              </w:rPr>
            </w:pPr>
            <w:r>
              <w:rPr>
                <w:rFonts w:ascii="Arial" w:cs="Arial" w:eastAsia="Arial" w:hAnsi="Arial"/>
                <w:sz w:val="16"/>
                <w:szCs w:val="16"/>
                <w:color w:val="auto"/>
              </w:rPr>
              <w:t>850,656</w:t>
            </w:r>
          </w:p>
        </w:tc>
        <w:tc>
          <w:tcPr>
            <w:tcW w:w="10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928,967</w:t>
            </w:r>
          </w:p>
        </w:tc>
      </w:tr>
      <w:tr>
        <w:trPr>
          <w:trHeight w:val="203"/>
        </w:trPr>
        <w:tc>
          <w:tcPr>
            <w:tcW w:w="472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980" w:type="dxa"/>
            <w:vAlign w:val="bottom"/>
            <w:shd w:val="clear" w:color="auto" w:fill="E1FFFF"/>
          </w:tcPr>
          <w:p>
            <w:pPr>
              <w:jc w:val="right"/>
              <w:ind w:right="319"/>
              <w:spacing w:after="0"/>
              <w:rPr>
                <w:sz w:val="20"/>
                <w:szCs w:val="20"/>
                <w:color w:val="auto"/>
              </w:rPr>
            </w:pPr>
            <w:r>
              <w:rPr>
                <w:rFonts w:ascii="Arial" w:cs="Arial" w:eastAsia="Arial" w:hAnsi="Arial"/>
                <w:sz w:val="16"/>
                <w:szCs w:val="16"/>
                <w:color w:val="auto"/>
              </w:rPr>
              <w:t>0.40</w:t>
            </w:r>
          </w:p>
        </w:tc>
        <w:tc>
          <w:tcPr>
            <w:tcW w:w="1480" w:type="dxa"/>
            <w:vAlign w:val="bottom"/>
            <w:shd w:val="clear" w:color="auto" w:fill="E1FFFF"/>
          </w:tcPr>
          <w:p>
            <w:pPr>
              <w:jc w:val="right"/>
              <w:ind w:right="299"/>
              <w:spacing w:after="0"/>
              <w:rPr>
                <w:sz w:val="20"/>
                <w:szCs w:val="20"/>
                <w:color w:val="auto"/>
              </w:rPr>
            </w:pPr>
            <w:r>
              <w:rPr>
                <w:rFonts w:ascii="Arial" w:cs="Arial" w:eastAsia="Arial" w:hAnsi="Arial"/>
                <w:sz w:val="16"/>
                <w:szCs w:val="16"/>
                <w:color w:val="auto"/>
              </w:rPr>
              <w:t>0.25</w:t>
            </w:r>
          </w:p>
        </w:tc>
        <w:tc>
          <w:tcPr>
            <w:tcW w:w="1460" w:type="dxa"/>
            <w:vAlign w:val="bottom"/>
            <w:shd w:val="clear" w:color="auto" w:fill="E1FFFF"/>
          </w:tcPr>
          <w:p>
            <w:pPr>
              <w:jc w:val="right"/>
              <w:ind w:right="259"/>
              <w:spacing w:after="0"/>
              <w:rPr>
                <w:sz w:val="20"/>
                <w:szCs w:val="20"/>
                <w:color w:val="auto"/>
              </w:rPr>
            </w:pPr>
            <w:r>
              <w:rPr>
                <w:rFonts w:ascii="Arial" w:cs="Arial" w:eastAsia="Arial" w:hAnsi="Arial"/>
                <w:sz w:val="16"/>
                <w:szCs w:val="16"/>
                <w:color w:val="auto"/>
              </w:rPr>
              <w:t>0.98</w:t>
            </w:r>
          </w:p>
        </w:tc>
        <w:tc>
          <w:tcPr>
            <w:tcW w:w="10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0.52</w:t>
            </w: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General partner</w:t>
            </w:r>
          </w:p>
        </w:tc>
        <w:tc>
          <w:tcPr>
            <w:tcW w:w="1980" w:type="dxa"/>
            <w:vAlign w:val="bottom"/>
          </w:tcPr>
          <w:p>
            <w:pPr>
              <w:jc w:val="right"/>
              <w:ind w:right="319"/>
              <w:spacing w:after="0"/>
              <w:rPr>
                <w:sz w:val="20"/>
                <w:szCs w:val="20"/>
                <w:color w:val="auto"/>
              </w:rPr>
            </w:pPr>
            <w:r>
              <w:rPr>
                <w:rFonts w:ascii="Arial" w:cs="Arial" w:eastAsia="Arial" w:hAnsi="Arial"/>
                <w:sz w:val="16"/>
                <w:szCs w:val="16"/>
                <w:color w:val="auto"/>
              </w:rPr>
              <w:t>0.40</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0.25</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1.04</w:t>
            </w:r>
          </w:p>
        </w:tc>
        <w:tc>
          <w:tcPr>
            <w:tcW w:w="1080" w:type="dxa"/>
            <w:vAlign w:val="bottom"/>
          </w:tcPr>
          <w:p>
            <w:pPr>
              <w:jc w:val="right"/>
              <w:spacing w:after="0"/>
              <w:rPr>
                <w:sz w:val="20"/>
                <w:szCs w:val="20"/>
                <w:color w:val="auto"/>
              </w:rPr>
            </w:pPr>
            <w:r>
              <w:rPr>
                <w:rFonts w:ascii="Arial" w:cs="Arial" w:eastAsia="Arial" w:hAnsi="Arial"/>
                <w:sz w:val="16"/>
                <w:szCs w:val="16"/>
                <w:color w:val="auto"/>
              </w:rPr>
              <w:t>0.52</w:t>
            </w:r>
          </w:p>
        </w:tc>
      </w:tr>
    </w:tbl>
    <w:p>
      <w:pPr>
        <w:spacing w:after="0" w:line="200" w:lineRule="exact"/>
        <w:rPr>
          <w:sz w:val="20"/>
          <w:szCs w:val="20"/>
          <w:color w:val="auto"/>
        </w:rPr>
      </w:pPr>
    </w:p>
    <w:p>
      <w:pPr>
        <w:spacing w:after="0" w:line="237" w:lineRule="exact"/>
        <w:rPr>
          <w:sz w:val="20"/>
          <w:szCs w:val="20"/>
          <w:color w:val="auto"/>
        </w:rPr>
      </w:pPr>
    </w:p>
    <w:p>
      <w:pPr>
        <w:ind w:left="140" w:hanging="132"/>
        <w:spacing w:after="0" w:line="235" w:lineRule="auto"/>
        <w:tabs>
          <w:tab w:leader="none" w:pos="134" w:val="left"/>
        </w:tabs>
        <w:numPr>
          <w:ilvl w:val="0"/>
          <w:numId w:val="28"/>
        </w:numPr>
        <w:rPr>
          <w:rFonts w:ascii="Arial" w:cs="Arial" w:eastAsia="Arial" w:hAnsi="Arial"/>
          <w:sz w:val="16"/>
          <w:szCs w:val="16"/>
          <w:color w:val="auto"/>
        </w:rPr>
      </w:pPr>
      <w:r>
        <w:rPr>
          <w:rFonts w:ascii="Arial" w:cs="Arial" w:eastAsia="Arial" w:hAnsi="Arial"/>
          <w:sz w:val="14"/>
          <w:szCs w:val="14"/>
          <w:color w:val="auto"/>
        </w:rPr>
        <w:t>Includes the aggregate profit of GAS-fourteen Ltd. and GAS-twenty seven Ltd. for the period prior to their transfers to the Partnership on April 26, 2018 and November 14, 2018,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63" w:lineRule="exact"/>
        <w:rPr>
          <w:sz w:val="20"/>
          <w:szCs w:val="20"/>
          <w:color w:val="auto"/>
        </w:rPr>
      </w:pPr>
    </w:p>
    <w:p>
      <w:pPr>
        <w:ind w:left="140" w:right="400" w:hanging="132"/>
        <w:spacing w:after="0" w:line="238" w:lineRule="auto"/>
        <w:tabs>
          <w:tab w:leader="none" w:pos="1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IDRs were eliminated on June 30, 2019 (Note 6). Until their elimination, they represented the right to receive an increasing percentage of quarterly distributions of available cash from operating surplus after the minimum quarterly distribution and the target distribution levels have been achieved. GasLog held the incentive distribution rights following completion of the Partnership’s IPO. Based on the nature of such right, earnings attributable to IDRs could not be allocated on a per unit basis.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***Includes unvested awards (Note 17).</w:t>
      </w:r>
    </w:p>
    <w:p>
      <w:pPr>
        <w:spacing w:after="0" w:line="91" w:lineRule="exact"/>
        <w:rPr>
          <w:sz w:val="20"/>
          <w:szCs w:val="20"/>
          <w:color w:val="auto"/>
        </w:rPr>
      </w:pPr>
    </w:p>
    <w:p>
      <w:pPr>
        <w:jc w:val="both"/>
        <w:ind w:right="240" w:firstLine="324"/>
        <w:spacing w:after="0" w:line="305" w:lineRule="auto"/>
        <w:rPr>
          <w:sz w:val="20"/>
          <w:szCs w:val="20"/>
          <w:color w:val="auto"/>
        </w:rPr>
      </w:pPr>
      <w:r>
        <w:rPr>
          <w:rFonts w:ascii="Arial" w:cs="Arial" w:eastAsia="Arial" w:hAnsi="Arial"/>
          <w:sz w:val="15"/>
          <w:szCs w:val="15"/>
          <w:color w:val="auto"/>
        </w:rPr>
        <w:t>The 2,490,000 Class B units were issued on June 30, 2019 and will be included in the weighted average number of units outstanding for the calculation of diluted EPU from July 1, 2019 and onwards. They will become eligible for conversion on a one-for-one basis into common units at GasLog’s option in six tranches of 415,000 units per annum on July 1 of 2020, 2021, 2022, 2023, 2024 and 2025; as a result, they will not have an impact on the calculation of basic EPU until conversion.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Share-based Compensation</w:t>
      </w:r>
    </w:p>
    <w:p>
      <w:pPr>
        <w:spacing w:after="0" w:line="239" w:lineRule="exact"/>
        <w:rPr>
          <w:sz w:val="20"/>
          <w:szCs w:val="20"/>
          <w:color w:val="auto"/>
        </w:rPr>
      </w:pPr>
    </w:p>
    <w:p>
      <w:pPr>
        <w:ind w:right="440" w:firstLine="383"/>
        <w:spacing w:after="0" w:line="278" w:lineRule="auto"/>
        <w:rPr>
          <w:sz w:val="20"/>
          <w:szCs w:val="20"/>
          <w:color w:val="auto"/>
        </w:rPr>
      </w:pPr>
      <w:r>
        <w:rPr>
          <w:rFonts w:ascii="Arial" w:cs="Arial" w:eastAsia="Arial" w:hAnsi="Arial"/>
          <w:sz w:val="16"/>
          <w:szCs w:val="16"/>
          <w:color w:val="auto"/>
        </w:rPr>
        <w:t>The terms of the 2015 Long-Term Incentive Plan (the “2015 Plan”) and the assumptions for the valuation of Restricted Common Units (“RCUs”) and Performance Common Units (“PCUs”) have been disclosed in Note 20 “Share-Based Compensation” in the annual audited consolidated financial statements for the year ended December 31, 2018.</w:t>
      </w:r>
    </w:p>
    <w:p>
      <w:pPr>
        <w:spacing w:after="0" w:line="18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On April 1, 2019, the Partnership granted to its executives 13,408 RCUs and 13,408 PCUs in accordance with its 2015 Plan. The RCUs and PCUs will vest on April 1, 2022. The holders are entitled to cash distributions that will be accrued and settled on vesting.</w:t>
      </w:r>
    </w:p>
    <w:p>
      <w:pPr>
        <w:spacing w:after="0" w:line="168" w:lineRule="exact"/>
        <w:rPr>
          <w:sz w:val="20"/>
          <w:szCs w:val="20"/>
          <w:color w:val="auto"/>
        </w:rPr>
      </w:pPr>
    </w:p>
    <w:tbl>
      <w:tblPr>
        <w:tblLayout w:type="fixed"/>
        <w:tblInd w:w="218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 at</w:t>
            </w:r>
          </w:p>
        </w:tc>
      </w:tr>
      <w:tr>
        <w:trPr>
          <w:trHeight w:val="213"/>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Number</w:t>
            </w: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Grant date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grant date</w:t>
            </w:r>
          </w:p>
        </w:tc>
      </w:tr>
      <w:tr>
        <w:trPr>
          <w:trHeight w:val="199"/>
        </w:trPr>
        <w:tc>
          <w:tcPr>
            <w:tcW w:w="24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13,408</w:t>
            </w:r>
          </w:p>
        </w:tc>
        <w:tc>
          <w:tcPr>
            <w:tcW w:w="26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1, 2019</w:t>
            </w: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$22.99</w:t>
            </w:r>
          </w:p>
        </w:tc>
      </w:tr>
      <w:tr>
        <w:trPr>
          <w:trHeight w:val="206"/>
        </w:trPr>
        <w:tc>
          <w:tcPr>
            <w:tcW w:w="2540" w:type="dxa"/>
            <w:vAlign w:val="bottom"/>
            <w:gridSpan w:val="2"/>
          </w:tcPr>
          <w:p>
            <w:pPr>
              <w:spacing w:after="0"/>
              <w:rPr>
                <w:sz w:val="20"/>
                <w:szCs w:val="20"/>
                <w:color w:val="auto"/>
              </w:rPr>
            </w:pPr>
            <w:r>
              <w:rPr>
                <w:rFonts w:ascii="Arial" w:cs="Arial" w:eastAsia="Arial" w:hAnsi="Arial"/>
                <w:sz w:val="16"/>
                <w:szCs w:val="16"/>
                <w:color w:val="auto"/>
              </w:rPr>
              <w:t>PCUs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13,408</w:t>
            </w:r>
          </w:p>
        </w:tc>
        <w:tc>
          <w:tcPr>
            <w:tcW w:w="260" w:type="dxa"/>
            <w:vAlign w:val="bottom"/>
          </w:tcPr>
          <w:p>
            <w:pPr>
              <w:spacing w:after="0"/>
              <w:rPr>
                <w:sz w:val="17"/>
                <w:szCs w:val="17"/>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April 1, 2019</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$22.99</w:t>
            </w:r>
          </w:p>
        </w:tc>
      </w:tr>
    </w:tbl>
    <w:p>
      <w:pPr>
        <w:spacing w:after="0" w:line="202" w:lineRule="exact"/>
        <w:rPr>
          <w:sz w:val="20"/>
          <w:szCs w:val="20"/>
          <w:color w:val="auto"/>
        </w:rPr>
      </w:pPr>
    </w:p>
    <w:p>
      <w:pPr>
        <w:jc w:val="both"/>
        <w:ind w:right="140" w:firstLine="324"/>
        <w:spacing w:after="0" w:line="278" w:lineRule="auto"/>
        <w:rPr>
          <w:sz w:val="20"/>
          <w:szCs w:val="20"/>
          <w:color w:val="auto"/>
        </w:rPr>
      </w:pPr>
      <w:r>
        <w:rPr>
          <w:rFonts w:ascii="Arial" w:cs="Arial" w:eastAsia="Arial" w:hAnsi="Arial"/>
          <w:sz w:val="16"/>
          <w:szCs w:val="16"/>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fair value of the RCUs and PCUs in accordance with the Plan was determined by using the grant date closing price of $22.99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54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 of</w:t>
            </w: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awards</w:t>
            </w: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contractual life</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54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44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75,084</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13,408</w:t>
            </w:r>
          </w:p>
        </w:tc>
        <w:tc>
          <w:tcPr>
            <w:tcW w:w="2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(24,925)</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5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2019</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63,567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Arial" w:cs="Arial" w:eastAsia="Arial" w:hAnsi="Arial"/>
                <w:sz w:val="16"/>
                <w:szCs w:val="16"/>
                <w:b w:val="1"/>
                <w:bCs w:val="1"/>
                <w:color w:val="auto"/>
              </w:rPr>
              <w:t>PCUs</w:t>
            </w: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45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75,084</w:t>
            </w: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540" w:type="dxa"/>
            <w:vAlign w:val="bottom"/>
          </w:tcPr>
          <w:p>
            <w:pPr>
              <w:jc w:val="right"/>
              <w:spacing w:after="0"/>
              <w:rPr>
                <w:sz w:val="20"/>
                <w:szCs w:val="20"/>
                <w:color w:val="auto"/>
              </w:rPr>
            </w:pPr>
            <w:r>
              <w:rPr>
                <w:rFonts w:ascii="Arial" w:cs="Arial" w:eastAsia="Arial" w:hAnsi="Arial"/>
                <w:sz w:val="16"/>
                <w:szCs w:val="16"/>
                <w:color w:val="auto"/>
              </w:rPr>
              <w:t>13,408</w:t>
            </w:r>
          </w:p>
        </w:tc>
        <w:tc>
          <w:tcPr>
            <w:tcW w:w="22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308</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(24,925)</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43" w:name="page44"/>
    <w:bookmarkEnd w:id="43"/>
    <w:tbl>
      <w:tblPr>
        <w:tblLayout w:type="fixed"/>
        <w:tblInd w:w="104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6"/>
                <w:szCs w:val="16"/>
                <w:b w:val="1"/>
                <w:bCs w:val="1"/>
                <w:color w:val="auto"/>
              </w:rPr>
              <w:t>Outstanding as of June 30,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63,567</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w:t>
            </w:r>
          </w:p>
        </w:tc>
        <w:tc>
          <w:tcPr>
            <w:tcW w:w="2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w:t>
            </w:r>
          </w:p>
        </w:tc>
      </w:tr>
      <w:tr>
        <w:trPr>
          <w:trHeight w:val="20"/>
        </w:trPr>
        <w:tc>
          <w:tcPr>
            <w:tcW w:w="4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120" w:firstLine="396"/>
        <w:spacing w:after="0" w:line="278" w:lineRule="auto"/>
        <w:rPr>
          <w:sz w:val="20"/>
          <w:szCs w:val="20"/>
          <w:color w:val="auto"/>
        </w:rPr>
      </w:pPr>
      <w:r>
        <w:rPr>
          <w:rFonts w:ascii="Arial" w:cs="Arial" w:eastAsia="Arial" w:hAnsi="Arial"/>
          <w:sz w:val="16"/>
          <w:szCs w:val="16"/>
          <w:color w:val="auto"/>
        </w:rPr>
        <w:t>On April 2, 2019, 24,925 RCUs and 24,925 PCUs vested under the Partnership’s 2015 Plan. The total expense recognized in respect of equity-settled employee benefits for the three and six months ended June 30, 2019 was $247 and $509, respectively (for the three and six months ended June 30, 2018: $263 and $498, respectively). The total accrued cash distribution as of June 30, 2019 is $389 (December 31, 2018: $542).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and Contingencies</w:t>
      </w:r>
    </w:p>
    <w:p>
      <w:pPr>
        <w:spacing w:after="0" w:line="117" w:lineRule="exact"/>
        <w:rPr>
          <w:sz w:val="20"/>
          <w:szCs w:val="20"/>
          <w:color w:val="auto"/>
        </w:rPr>
      </w:pPr>
    </w:p>
    <w:p>
      <w:pPr>
        <w:ind w:right="100"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June 30, 2019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2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June 30, 2019</w:t>
            </w:r>
          </w:p>
        </w:tc>
      </w:tr>
      <w:tr>
        <w:trPr>
          <w:trHeight w:val="199"/>
        </w:trPr>
        <w:tc>
          <w:tcPr>
            <w:tcW w:w="930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2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267,606</w:t>
            </w:r>
          </w:p>
        </w:tc>
      </w:tr>
      <w:tr>
        <w:trPr>
          <w:trHeight w:val="203"/>
        </w:trPr>
        <w:tc>
          <w:tcPr>
            <w:tcW w:w="930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2120" w:type="dxa"/>
            <w:vAlign w:val="bottom"/>
          </w:tcPr>
          <w:p>
            <w:pPr>
              <w:jc w:val="right"/>
              <w:spacing w:after="0"/>
              <w:rPr>
                <w:sz w:val="20"/>
                <w:szCs w:val="20"/>
                <w:color w:val="auto"/>
              </w:rPr>
            </w:pPr>
            <w:r>
              <w:rPr>
                <w:rFonts w:ascii="Arial" w:cs="Arial" w:eastAsia="Arial" w:hAnsi="Arial"/>
                <w:sz w:val="16"/>
                <w:szCs w:val="16"/>
                <w:color w:val="auto"/>
              </w:rPr>
              <w:t>185,730</w:t>
            </w:r>
          </w:p>
        </w:tc>
      </w:tr>
      <w:tr>
        <w:trPr>
          <w:trHeight w:val="203"/>
        </w:trPr>
        <w:tc>
          <w:tcPr>
            <w:tcW w:w="930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2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128,965</w:t>
            </w:r>
          </w:p>
        </w:tc>
      </w:tr>
      <w:tr>
        <w:trPr>
          <w:trHeight w:val="203"/>
        </w:trPr>
        <w:tc>
          <w:tcPr>
            <w:tcW w:w="930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2120" w:type="dxa"/>
            <w:vAlign w:val="bottom"/>
          </w:tcPr>
          <w:p>
            <w:pPr>
              <w:jc w:val="right"/>
              <w:spacing w:after="0"/>
              <w:rPr>
                <w:sz w:val="20"/>
                <w:szCs w:val="20"/>
                <w:color w:val="auto"/>
              </w:rPr>
            </w:pPr>
            <w:r>
              <w:rPr>
                <w:rFonts w:ascii="Arial" w:cs="Arial" w:eastAsia="Arial" w:hAnsi="Arial"/>
                <w:sz w:val="16"/>
                <w:szCs w:val="16"/>
                <w:color w:val="auto"/>
              </w:rPr>
              <w:t>122,494</w:t>
            </w:r>
          </w:p>
        </w:tc>
      </w:tr>
      <w:tr>
        <w:trPr>
          <w:trHeight w:val="203"/>
        </w:trPr>
        <w:tc>
          <w:tcPr>
            <w:tcW w:w="930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2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81,784</w:t>
            </w:r>
          </w:p>
        </w:tc>
      </w:tr>
      <w:tr>
        <w:trPr>
          <w:trHeight w:val="203"/>
        </w:trPr>
        <w:tc>
          <w:tcPr>
            <w:tcW w:w="93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90,099</w:t>
            </w:r>
          </w:p>
        </w:tc>
      </w:tr>
      <w:tr>
        <w:trPr>
          <w:trHeight w:val="196"/>
        </w:trPr>
        <w:tc>
          <w:tcPr>
            <w:tcW w:w="93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876,678</w:t>
            </w:r>
          </w:p>
        </w:tc>
      </w:tr>
      <w:tr>
        <w:trPr>
          <w:trHeight w:val="20"/>
        </w:trPr>
        <w:tc>
          <w:tcPr>
            <w:tcW w:w="93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60" w:firstLine="383"/>
        <w:spacing w:after="0" w:line="293" w:lineRule="auto"/>
        <w:rPr>
          <w:sz w:val="20"/>
          <w:szCs w:val="20"/>
          <w:color w:val="auto"/>
        </w:rPr>
      </w:pPr>
      <w:r>
        <w:rPr>
          <w:rFonts w:ascii="Arial" w:cs="Arial" w:eastAsia="Arial" w:hAnsi="Arial"/>
          <w:sz w:val="16"/>
          <w:szCs w:val="16"/>
          <w:color w:val="auto"/>
        </w:rPr>
        <w:t>In April and May 2017, GasLog LNG Services entered into agreements in relation to investments in certain of the Partnership’s and GasLog’s vessels, with the aim of enhancing their operational performance. Commitments relating to these agreements for the Partnership are as follows:</w:t>
      </w:r>
    </w:p>
    <w:p>
      <w:pPr>
        <w:sectPr>
          <w:pgSz w:w="11900" w:h="16838" w:orient="portrait"/>
          <w:cols w:equalWidth="0" w:num="1">
            <w:col w:w="11420"/>
          </w:cols>
          <w:pgMar w:left="240" w:top="336"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20320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1,511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20320</wp:posOffset>
            </wp:positionV>
            <wp:extent cx="13462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37465</wp:posOffset>
            </wp:positionV>
            <wp:extent cx="1346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-116205</wp:posOffset>
            </wp:positionV>
            <wp:extent cx="13462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60" w:space="720"/>
            <w:col w:w="1540"/>
          </w:cols>
          <w:pgMar w:left="240" w:top="336" w:right="239" w:bottom="1440" w:gutter="0" w:footer="0" w:header="0"/>
          <w:type w:val="continuous"/>
        </w:sectPr>
      </w:pPr>
    </w:p>
    <w:p>
      <w:pPr>
        <w:spacing w:after="0" w:line="66" w:lineRule="exact"/>
        <w:rPr>
          <w:sz w:val="20"/>
          <w:szCs w:val="20"/>
          <w:color w:val="auto"/>
        </w:rPr>
      </w:pPr>
    </w:p>
    <w:p>
      <w:pPr>
        <w:ind w:right="120" w:firstLine="383"/>
        <w:spacing w:after="0" w:line="273" w:lineRule="auto"/>
        <w:rPr>
          <w:sz w:val="20"/>
          <w:szCs w:val="20"/>
          <w:color w:val="auto"/>
        </w:rPr>
      </w:pPr>
      <w:r>
        <w:rPr>
          <w:rFonts w:ascii="Arial" w:cs="Arial" w:eastAsia="Arial" w:hAnsi="Arial"/>
          <w:sz w:val="16"/>
          <w:szCs w:val="16"/>
          <w:color w:val="auto"/>
        </w:rPr>
        <w:t xml:space="preserve">Following the acquisition of (i)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(ii)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the Partnership, through its subsidiaries (i) GAS-sixteen Ltd. and GAS-seventeen Ltd. and (ii) GAS-nineteen Ltd., GAS-twenty Ltd. and GAS-twenty</w:t>
      </w:r>
      <w:r>
        <w:rPr>
          <w:rFonts w:ascii="Arial" w:cs="Arial" w:eastAsia="Arial" w:hAnsi="Arial"/>
          <w:sz w:val="16"/>
          <w:szCs w:val="16"/>
          <w:i w:val="1"/>
          <w:iCs w:val="1"/>
          <w:color w:val="auto"/>
        </w:rPr>
        <w:t xml:space="preserve"> </w:t>
      </w:r>
      <w:r>
        <w:rPr>
          <w:rFonts w:ascii="Arial" w:cs="Arial" w:eastAsia="Arial" w:hAnsi="Arial"/>
          <w:sz w:val="16"/>
          <w:szCs w:val="16"/>
          <w:color w:val="auto"/>
        </w:rPr>
        <w:t>one Ltd., respectively, is counter guarantor for the acquisition from BG Group plc of 83.3% of depot spares with an aggregate value of $6,000, of which $660 have been purchased and paid as of June 30, 2019 by GasLog. These spares should be acquired before March 31, 2020.</w:t>
      </w:r>
    </w:p>
    <w:p>
      <w:pPr>
        <w:spacing w:after="0" w:line="189" w:lineRule="exact"/>
        <w:rPr>
          <w:sz w:val="20"/>
          <w:szCs w:val="20"/>
          <w:color w:val="auto"/>
        </w:rPr>
      </w:pPr>
    </w:p>
    <w:p>
      <w:pPr>
        <w:jc w:val="both"/>
        <w:ind w:right="200" w:firstLine="383"/>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6" w:lineRule="exact"/>
        <w:rPr>
          <w:sz w:val="20"/>
          <w:szCs w:val="20"/>
          <w:color w:val="auto"/>
        </w:rPr>
      </w:pPr>
    </w:p>
    <w:p>
      <w:pPr>
        <w:ind w:right="20" w:firstLine="383"/>
        <w:spacing w:after="0" w:line="278" w:lineRule="auto"/>
        <w:rPr>
          <w:sz w:val="20"/>
          <w:szCs w:val="20"/>
          <w:color w:val="auto"/>
        </w:rPr>
      </w:pPr>
      <w:r>
        <w:rPr>
          <w:rFonts w:ascii="Arial" w:cs="Arial" w:eastAsia="Arial" w:hAnsi="Arial"/>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w:t>
      </w:r>
    </w:p>
    <w:p>
      <w:pPr>
        <w:spacing w:after="0" w:line="184" w:lineRule="exact"/>
        <w:rPr>
          <w:sz w:val="20"/>
          <w:szCs w:val="20"/>
          <w:color w:val="auto"/>
        </w:rPr>
      </w:pPr>
    </w:p>
    <w:p>
      <w:pPr>
        <w:ind w:right="4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239" w:lineRule="exact"/>
        <w:rPr>
          <w:sz w:val="20"/>
          <w:szCs w:val="20"/>
          <w:color w:val="auto"/>
        </w:rPr>
      </w:pPr>
    </w:p>
    <w:p>
      <w:pPr>
        <w:ind w:right="200" w:firstLine="383"/>
        <w:spacing w:after="0" w:line="293" w:lineRule="auto"/>
        <w:rPr>
          <w:sz w:val="20"/>
          <w:szCs w:val="20"/>
          <w:color w:val="auto"/>
        </w:rPr>
      </w:pPr>
      <w:r>
        <w:rPr>
          <w:rFonts w:ascii="Arial" w:cs="Arial" w:eastAsia="Arial" w:hAnsi="Arial"/>
          <w:sz w:val="16"/>
          <w:szCs w:val="16"/>
          <w:color w:val="auto"/>
        </w:rPr>
        <w:t>On July 1, 2019 and July 2, 2019, GasLog Partners repurchased, and subsequently cancelled, an additional 65,190 common units at a weighted average price of $21.20 per unit for a total amount of $1,383 under its unit repurchase programme.</w:t>
      </w:r>
    </w:p>
    <w:p>
      <w:pPr>
        <w:spacing w:after="0" w:line="172" w:lineRule="exact"/>
        <w:rPr>
          <w:sz w:val="20"/>
          <w:szCs w:val="20"/>
          <w:color w:val="auto"/>
        </w:rPr>
      </w:pPr>
    </w:p>
    <w:p>
      <w:pPr>
        <w:ind w:right="80" w:firstLine="383"/>
        <w:spacing w:after="0" w:line="278" w:lineRule="auto"/>
        <w:rPr>
          <w:sz w:val="20"/>
          <w:szCs w:val="20"/>
          <w:color w:val="auto"/>
        </w:rPr>
      </w:pPr>
      <w:r>
        <w:rPr>
          <w:rFonts w:ascii="Arial" w:cs="Arial" w:eastAsia="Arial" w:hAnsi="Arial"/>
          <w:sz w:val="16"/>
          <w:szCs w:val="16"/>
          <w:color w:val="auto"/>
        </w:rPr>
        <w:t>On July 24, 2019, the board of directors of GasLog Partners approved and declared a quarterly cash distribution of $0.55 per common unit for the quarter ended June 30, 2019. The cash distribution is payable on August 9, 2019 to all unitholders of record as of August 5, 2019. The aggregate amount of the declared distribution will be $26,689 based on the number of units issued and outstanding as of June 30, 2019.</w:t>
      </w:r>
    </w:p>
    <w:p>
      <w:pPr>
        <w:spacing w:after="0" w:line="184" w:lineRule="exact"/>
        <w:rPr>
          <w:sz w:val="20"/>
          <w:szCs w:val="20"/>
          <w:color w:val="auto"/>
        </w:rPr>
      </w:pPr>
    </w:p>
    <w:p>
      <w:pPr>
        <w:ind w:right="180" w:firstLine="383"/>
        <w:spacing w:after="0" w:line="278" w:lineRule="auto"/>
        <w:rPr>
          <w:sz w:val="20"/>
          <w:szCs w:val="20"/>
          <w:color w:val="auto"/>
        </w:rPr>
      </w:pPr>
      <w:r>
        <w:rPr>
          <w:rFonts w:ascii="Arial" w:cs="Arial" w:eastAsia="Arial" w:hAnsi="Arial"/>
          <w:sz w:val="16"/>
          <w:szCs w:val="16"/>
          <w:color w:val="auto"/>
        </w:rPr>
        <w:t>On July 24, 2019,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September 16, 2019 to all unitholders of record as of September 9,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 xml:space="preserve">Our IFRS Common Control Reported Results are derived from the consolidated financial statements of the Partnership. The non-GAAP Partnership Performance Results presented below exclude amounts related to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GAS-twenty seven Ltd., the owner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April 26, 2018, November 14, 2018, and April 1, 2019,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Amounts reflected in the Partnership’s unaudited condensed consolidated financial statements for the three months ended June 30, 2019 are fully attributable to the Partnership. The Partnership Performance Results reported in the second quarter of 2019 are the same as the IFRS Common Control Reported Results for the respective period since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was completed on April 1, 2019.</w:t>
      </w:r>
    </w:p>
    <w:p>
      <w:pPr>
        <w:spacing w:after="0" w:line="18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gridSpan w:val="2"/>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Partnership Performance Results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gridSpan w:val="2"/>
            <w:vMerge w:val="continue"/>
          </w:tcPr>
          <w:p>
            <w:pPr>
              <w:spacing w:after="0"/>
              <w:rPr>
                <w:sz w:val="17"/>
                <w:szCs w:val="17"/>
                <w:color w:val="auto"/>
              </w:rPr>
            </w:pPr>
          </w:p>
        </w:tc>
        <w:tc>
          <w:tcPr>
            <w:tcW w:w="3740" w:type="dxa"/>
            <w:vAlign w:val="bottom"/>
            <w:gridSpan w:val="4"/>
            <w:vMerge w:val="restart"/>
          </w:tcPr>
          <w:p>
            <w:pPr>
              <w:jc w:val="right"/>
              <w:ind w:right="959"/>
              <w:spacing w:after="0"/>
              <w:rPr>
                <w:sz w:val="20"/>
                <w:szCs w:val="20"/>
                <w:color w:val="auto"/>
              </w:rPr>
            </w:pPr>
            <w:r>
              <w:rPr>
                <w:rFonts w:ascii="Arial" w:cs="Arial" w:eastAsia="Arial" w:hAnsi="Arial"/>
                <w:sz w:val="16"/>
                <w:szCs w:val="16"/>
                <w:b w:val="1"/>
                <w:bCs w:val="1"/>
                <w:color w:val="auto"/>
              </w:rPr>
              <w:t>For the three months ended</w:t>
            </w:r>
          </w:p>
        </w:tc>
        <w:tc>
          <w:tcPr>
            <w:tcW w:w="3580" w:type="dxa"/>
            <w:vAlign w:val="bottom"/>
            <w:gridSpan w:val="4"/>
            <w:vMerge w:val="restart"/>
          </w:tcPr>
          <w:p>
            <w:pPr>
              <w:jc w:val="right"/>
              <w:ind w:right="935"/>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3740" w:type="dxa"/>
            <w:vAlign w:val="bottom"/>
            <w:gridSpan w:val="4"/>
            <w:vMerge w:val="continue"/>
          </w:tcPr>
          <w:p>
            <w:pPr>
              <w:spacing w:after="0"/>
              <w:rPr>
                <w:sz w:val="17"/>
                <w:szCs w:val="17"/>
                <w:color w:val="auto"/>
              </w:rPr>
            </w:pPr>
          </w:p>
        </w:tc>
        <w:tc>
          <w:tcPr>
            <w:tcW w:w="35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7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 2018</w:t>
            </w:r>
          </w:p>
        </w:tc>
        <w:tc>
          <w:tcPr>
            <w:tcW w:w="19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 2019</w:t>
            </w: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 2018</w:t>
            </w:r>
          </w:p>
        </w:tc>
        <w:tc>
          <w:tcPr>
            <w:tcW w:w="1700" w:type="dxa"/>
            <w:vAlign w:val="bottom"/>
            <w:gridSpan w:val="2"/>
          </w:tcPr>
          <w:p>
            <w:pPr>
              <w:jc w:val="right"/>
              <w:ind w:right="395"/>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03"/>
        </w:trPr>
        <w:tc>
          <w:tcPr>
            <w:tcW w:w="37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18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151,970</w:t>
            </w:r>
          </w:p>
        </w:tc>
        <w:tc>
          <w:tcPr>
            <w:tcW w:w="1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178,130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780" w:type="dxa"/>
            <w:vAlign w:val="bottom"/>
            <w:gridSpan w:val="2"/>
          </w:tcPr>
          <w:p>
            <w:pPr>
              <w:jc w:val="right"/>
              <w:ind w:right="39"/>
              <w:spacing w:after="0"/>
              <w:rPr>
                <w:sz w:val="20"/>
                <w:szCs w:val="20"/>
                <w:color w:val="auto"/>
              </w:rPr>
            </w:pPr>
            <w:r>
              <w:rPr>
                <w:rFonts w:ascii="Arial" w:cs="Arial" w:eastAsia="Arial" w:hAnsi="Arial"/>
                <w:sz w:val="16"/>
                <w:szCs w:val="16"/>
                <w:color w:val="auto"/>
              </w:rPr>
              <w:t>(357)</w:t>
            </w:r>
          </w:p>
        </w:tc>
        <w:tc>
          <w:tcPr>
            <w:tcW w:w="1800" w:type="dxa"/>
            <w:vAlign w:val="bottom"/>
          </w:tcPr>
          <w:p>
            <w:pPr>
              <w:jc w:val="right"/>
              <w:spacing w:after="0"/>
              <w:rPr>
                <w:sz w:val="20"/>
                <w:szCs w:val="20"/>
                <w:color w:val="auto"/>
              </w:rPr>
            </w:pPr>
            <w:r>
              <w:rPr>
                <w:rFonts w:ascii="Arial" w:cs="Arial" w:eastAsia="Arial" w:hAnsi="Arial"/>
                <w:sz w:val="16"/>
                <w:szCs w:val="16"/>
                <w:color w:val="auto"/>
              </w:rPr>
              <w:t>1,024</w:t>
            </w:r>
          </w:p>
        </w:tc>
        <w:tc>
          <w:tcPr>
            <w:tcW w:w="160" w:type="dxa"/>
            <w:vAlign w:val="bottom"/>
          </w:tcPr>
          <w:p>
            <w:pPr>
              <w:spacing w:after="0"/>
              <w:rPr>
                <w:sz w:val="17"/>
                <w:szCs w:val="17"/>
                <w:color w:val="auto"/>
              </w:rPr>
            </w:pPr>
          </w:p>
        </w:tc>
        <w:tc>
          <w:tcPr>
            <w:tcW w:w="1880" w:type="dxa"/>
            <w:vAlign w:val="bottom"/>
            <w:gridSpan w:val="2"/>
          </w:tcPr>
          <w:p>
            <w:pPr>
              <w:jc w:val="right"/>
              <w:ind w:right="19"/>
              <w:spacing w:after="0"/>
              <w:rPr>
                <w:sz w:val="20"/>
                <w:szCs w:val="20"/>
                <w:color w:val="auto"/>
              </w:rPr>
            </w:pPr>
            <w:r>
              <w:rPr>
                <w:rFonts w:ascii="Arial" w:cs="Arial" w:eastAsia="Arial" w:hAnsi="Arial"/>
                <w:sz w:val="16"/>
                <w:szCs w:val="16"/>
                <w:color w:val="auto"/>
              </w:rPr>
              <w:t>(357)</w:t>
            </w:r>
          </w:p>
        </w:tc>
        <w:tc>
          <w:tcPr>
            <w:tcW w:w="1680" w:type="dxa"/>
            <w:vAlign w:val="bottom"/>
          </w:tcPr>
          <w:p>
            <w:pPr>
              <w:jc w:val="right"/>
              <w:spacing w:after="0"/>
              <w:rPr>
                <w:sz w:val="20"/>
                <w:szCs w:val="20"/>
                <w:color w:val="auto"/>
              </w:rPr>
            </w:pPr>
            <w:r>
              <w:rPr>
                <w:rFonts w:ascii="Arial" w:cs="Arial" w:eastAsia="Arial" w:hAnsi="Arial"/>
                <w:sz w:val="16"/>
                <w:szCs w:val="16"/>
                <w:color w:val="auto"/>
              </w:rPr>
              <w:t>1,058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78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(1,511)</w:t>
            </w:r>
          </w:p>
        </w:tc>
        <w:tc>
          <w:tcPr>
            <w:tcW w:w="196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(2,037)</w:t>
            </w:r>
          </w:p>
        </w:tc>
        <w:tc>
          <w:tcPr>
            <w:tcW w:w="18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(2,566)</w:t>
            </w:r>
          </w:p>
        </w:tc>
        <w:tc>
          <w:tcPr>
            <w:tcW w:w="16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780" w:type="dxa"/>
            <w:vAlign w:val="bottom"/>
            <w:gridSpan w:val="2"/>
          </w:tcPr>
          <w:p>
            <w:pPr>
              <w:jc w:val="right"/>
              <w:ind w:right="39"/>
              <w:spacing w:after="0"/>
              <w:rPr>
                <w:sz w:val="20"/>
                <w:szCs w:val="20"/>
                <w:color w:val="auto"/>
              </w:rPr>
            </w:pPr>
            <w:r>
              <w:rPr>
                <w:rFonts w:ascii="Arial" w:cs="Arial" w:eastAsia="Arial" w:hAnsi="Arial"/>
                <w:sz w:val="16"/>
                <w:szCs w:val="16"/>
                <w:color w:val="auto"/>
              </w:rPr>
              <w:t>(15,110)</w:t>
            </w:r>
          </w:p>
        </w:tc>
        <w:tc>
          <w:tcPr>
            <w:tcW w:w="1960" w:type="dxa"/>
            <w:vAlign w:val="bottom"/>
            <w:gridSpan w:val="2"/>
          </w:tcPr>
          <w:p>
            <w:pPr>
              <w:jc w:val="right"/>
              <w:ind w:right="79"/>
              <w:spacing w:after="0"/>
              <w:rPr>
                <w:sz w:val="20"/>
                <w:szCs w:val="20"/>
                <w:color w:val="auto"/>
              </w:rPr>
            </w:pPr>
            <w:r>
              <w:rPr>
                <w:rFonts w:ascii="Arial" w:cs="Arial" w:eastAsia="Arial" w:hAnsi="Arial"/>
                <w:sz w:val="16"/>
                <w:szCs w:val="16"/>
                <w:color w:val="auto"/>
              </w:rPr>
              <w:t>(18,548)</w:t>
            </w:r>
          </w:p>
        </w:tc>
        <w:tc>
          <w:tcPr>
            <w:tcW w:w="1880" w:type="dxa"/>
            <w:vAlign w:val="bottom"/>
            <w:gridSpan w:val="2"/>
          </w:tcPr>
          <w:p>
            <w:pPr>
              <w:jc w:val="right"/>
              <w:ind w:right="19"/>
              <w:spacing w:after="0"/>
              <w:rPr>
                <w:sz w:val="20"/>
                <w:szCs w:val="20"/>
                <w:color w:val="auto"/>
              </w:rPr>
            </w:pPr>
            <w:r>
              <w:rPr>
                <w:rFonts w:ascii="Arial" w:cs="Arial" w:eastAsia="Arial" w:hAnsi="Arial"/>
                <w:sz w:val="16"/>
                <w:szCs w:val="16"/>
                <w:color w:val="auto"/>
              </w:rPr>
              <w:t>(30,701)</w:t>
            </w:r>
          </w:p>
        </w:tc>
        <w:tc>
          <w:tcPr>
            <w:tcW w:w="1680" w:type="dxa"/>
            <w:vAlign w:val="bottom"/>
          </w:tcPr>
          <w:p>
            <w:pPr>
              <w:jc w:val="right"/>
              <w:spacing w:after="0"/>
              <w:rPr>
                <w:sz w:val="20"/>
                <w:szCs w:val="20"/>
                <w:color w:val="auto"/>
              </w:rPr>
            </w:pPr>
            <w:r>
              <w:rPr>
                <w:rFonts w:ascii="Arial" w:cs="Arial" w:eastAsia="Arial" w:hAnsi="Arial"/>
                <w:sz w:val="16"/>
                <w:szCs w:val="16"/>
                <w:color w:val="auto"/>
              </w:rPr>
              <w:t>(35,666)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178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(17,974)</w:t>
            </w:r>
          </w:p>
        </w:tc>
        <w:tc>
          <w:tcPr>
            <w:tcW w:w="196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(22,137)</w:t>
            </w:r>
          </w:p>
        </w:tc>
        <w:tc>
          <w:tcPr>
            <w:tcW w:w="18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(34,760)</w:t>
            </w:r>
          </w:p>
        </w:tc>
        <w:tc>
          <w:tcPr>
            <w:tcW w:w="16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(42,517)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39"/>
              <w:spacing w:after="0"/>
              <w:rPr>
                <w:sz w:val="20"/>
                <w:szCs w:val="20"/>
                <w:color w:val="auto"/>
              </w:rPr>
            </w:pPr>
            <w:r>
              <w:rPr>
                <w:rFonts w:ascii="Arial" w:cs="Arial" w:eastAsia="Arial" w:hAnsi="Arial"/>
                <w:sz w:val="16"/>
                <w:szCs w:val="16"/>
                <w:color w:val="auto"/>
              </w:rPr>
              <w:t>(4,671)</w:t>
            </w:r>
          </w:p>
        </w:tc>
        <w:tc>
          <w:tcPr>
            <w:tcW w:w="1960" w:type="dxa"/>
            <w:vAlign w:val="bottom"/>
            <w:gridSpan w:val="2"/>
          </w:tcPr>
          <w:p>
            <w:pPr>
              <w:jc w:val="right"/>
              <w:ind w:right="79"/>
              <w:spacing w:after="0"/>
              <w:rPr>
                <w:sz w:val="20"/>
                <w:szCs w:val="20"/>
                <w:color w:val="auto"/>
              </w:rPr>
            </w:pPr>
            <w:r>
              <w:rPr>
                <w:rFonts w:ascii="Arial" w:cs="Arial" w:eastAsia="Arial" w:hAnsi="Arial"/>
                <w:sz w:val="16"/>
                <w:szCs w:val="16"/>
                <w:color w:val="auto"/>
              </w:rPr>
              <w:t>(4,741)</w:t>
            </w:r>
          </w:p>
        </w:tc>
        <w:tc>
          <w:tcPr>
            <w:tcW w:w="1880" w:type="dxa"/>
            <w:vAlign w:val="bottom"/>
            <w:gridSpan w:val="2"/>
          </w:tcPr>
          <w:p>
            <w:pPr>
              <w:jc w:val="right"/>
              <w:ind w:right="19"/>
              <w:spacing w:after="0"/>
              <w:rPr>
                <w:sz w:val="20"/>
                <w:szCs w:val="20"/>
                <w:color w:val="auto"/>
              </w:rPr>
            </w:pPr>
            <w:r>
              <w:rPr>
                <w:rFonts w:ascii="Arial" w:cs="Arial" w:eastAsia="Arial" w:hAnsi="Arial"/>
                <w:sz w:val="16"/>
                <w:szCs w:val="16"/>
                <w:color w:val="auto"/>
              </w:rPr>
              <w:t>(9,256)</w:t>
            </w:r>
          </w:p>
        </w:tc>
        <w:tc>
          <w:tcPr>
            <w:tcW w:w="1680" w:type="dxa"/>
            <w:vAlign w:val="bottom"/>
          </w:tcPr>
          <w:p>
            <w:pPr>
              <w:jc w:val="right"/>
              <w:spacing w:after="0"/>
              <w:rPr>
                <w:sz w:val="20"/>
                <w:szCs w:val="20"/>
                <w:color w:val="auto"/>
              </w:rPr>
            </w:pPr>
            <w:r>
              <w:rPr>
                <w:rFonts w:ascii="Arial" w:cs="Arial" w:eastAsia="Arial" w:hAnsi="Arial"/>
                <w:sz w:val="16"/>
                <w:szCs w:val="16"/>
                <w:color w:val="auto"/>
              </w:rPr>
              <w:t>(9,339)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35,286</w:t>
            </w:r>
          </w:p>
        </w:tc>
        <w:tc>
          <w:tcPr>
            <w:tcW w:w="18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1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74,330</w:t>
            </w:r>
          </w:p>
        </w:tc>
        <w:tc>
          <w:tcPr>
            <w:tcW w:w="1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87,887</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600" w:type="dxa"/>
            <w:vAlign w:val="bottom"/>
          </w:tcPr>
          <w:p>
            <w:pPr>
              <w:jc w:val="right"/>
              <w:spacing w:after="0"/>
              <w:rPr>
                <w:sz w:val="20"/>
                <w:szCs w:val="20"/>
                <w:color w:val="auto"/>
              </w:rPr>
            </w:pPr>
            <w:r>
              <w:rPr>
                <w:rFonts w:ascii="Arial" w:cs="Arial" w:eastAsia="Arial" w:hAnsi="Arial"/>
                <w:sz w:val="16"/>
                <w:szCs w:val="16"/>
                <w:color w:val="auto"/>
              </w:rPr>
              <w:t>(14,552</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(18,484</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(28,440</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(36,386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579</w:t>
            </w:r>
          </w:p>
        </w:tc>
        <w:tc>
          <w:tcPr>
            <w:tcW w:w="180" w:type="dxa"/>
            <w:vAlign w:val="bottom"/>
            <w:shd w:val="clear" w:color="auto" w:fill="E5FFFF"/>
          </w:tcPr>
          <w:p>
            <w:pPr>
              <w:spacing w:after="0"/>
              <w:rPr>
                <w:sz w:val="17"/>
                <w:szCs w:val="17"/>
                <w:color w:val="auto"/>
              </w:rPr>
            </w:pP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160" w:type="dxa"/>
            <w:vAlign w:val="bottom"/>
            <w:shd w:val="clear" w:color="auto" w:fill="E5FFFF"/>
          </w:tcPr>
          <w:p>
            <w:pPr>
              <w:spacing w:after="0"/>
              <w:rPr>
                <w:sz w:val="17"/>
                <w:szCs w:val="17"/>
                <w:color w:val="auto"/>
              </w:rPr>
            </w:pPr>
          </w:p>
        </w:tc>
        <w:tc>
          <w:tcPr>
            <w:tcW w:w="18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1,098</w:t>
            </w:r>
          </w:p>
        </w:tc>
        <w:tc>
          <w:tcPr>
            <w:tcW w:w="16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Gain/(loss) on derivatives</w:t>
            </w:r>
          </w:p>
        </w:tc>
        <w:tc>
          <w:tcPr>
            <w:tcW w:w="1600" w:type="dxa"/>
            <w:vAlign w:val="bottom"/>
          </w:tcPr>
          <w:p>
            <w:pPr>
              <w:jc w:val="right"/>
              <w:spacing w:after="0"/>
              <w:rPr>
                <w:sz w:val="20"/>
                <w:szCs w:val="20"/>
                <w:color w:val="auto"/>
              </w:rPr>
            </w:pPr>
            <w:r>
              <w:rPr>
                <w:rFonts w:ascii="Arial" w:cs="Arial" w:eastAsia="Arial" w:hAnsi="Arial"/>
                <w:sz w:val="16"/>
                <w:szCs w:val="16"/>
                <w:color w:val="auto"/>
              </w:rPr>
              <w:t>1,588</w:t>
            </w:r>
          </w:p>
        </w:tc>
        <w:tc>
          <w:tcPr>
            <w:tcW w:w="180" w:type="dxa"/>
            <w:vAlign w:val="bottom"/>
          </w:tcPr>
          <w:p>
            <w:pPr>
              <w:spacing w:after="0"/>
              <w:rPr>
                <w:sz w:val="17"/>
                <w:szCs w:val="17"/>
                <w:color w:val="auto"/>
              </w:rPr>
            </w:pPr>
          </w:p>
        </w:tc>
        <w:tc>
          <w:tcPr>
            <w:tcW w:w="1960" w:type="dxa"/>
            <w:vAlign w:val="bottom"/>
            <w:gridSpan w:val="2"/>
          </w:tcPr>
          <w:p>
            <w:pPr>
              <w:jc w:val="right"/>
              <w:ind w:right="79"/>
              <w:spacing w:after="0"/>
              <w:rPr>
                <w:sz w:val="20"/>
                <w:szCs w:val="20"/>
                <w:color w:val="auto"/>
              </w:rPr>
            </w:pPr>
            <w:r>
              <w:rPr>
                <w:rFonts w:ascii="Arial" w:cs="Arial" w:eastAsia="Arial" w:hAnsi="Arial"/>
                <w:sz w:val="16"/>
                <w:szCs w:val="16"/>
                <w:color w:val="auto"/>
              </w:rPr>
              <w:t>(8,266)</w:t>
            </w:r>
          </w:p>
        </w:tc>
        <w:tc>
          <w:tcPr>
            <w:tcW w:w="1880" w:type="dxa"/>
            <w:vAlign w:val="bottom"/>
            <w:gridSpan w:val="2"/>
          </w:tcPr>
          <w:p>
            <w:pPr>
              <w:jc w:val="right"/>
              <w:ind w:right="79"/>
              <w:spacing w:after="0"/>
              <w:rPr>
                <w:sz w:val="20"/>
                <w:szCs w:val="20"/>
                <w:color w:val="auto"/>
              </w:rPr>
            </w:pPr>
            <w:r>
              <w:rPr>
                <w:rFonts w:ascii="Arial" w:cs="Arial" w:eastAsia="Arial" w:hAnsi="Arial"/>
                <w:sz w:val="16"/>
                <w:szCs w:val="16"/>
                <w:color w:val="auto"/>
              </w:rPr>
              <w:t>7,915</w:t>
            </w:r>
          </w:p>
        </w:tc>
        <w:tc>
          <w:tcPr>
            <w:tcW w:w="1680" w:type="dxa"/>
            <w:vAlign w:val="bottom"/>
          </w:tcPr>
          <w:p>
            <w:pPr>
              <w:jc w:val="right"/>
              <w:spacing w:after="0"/>
              <w:rPr>
                <w:sz w:val="20"/>
                <w:szCs w:val="20"/>
                <w:color w:val="auto"/>
              </w:rPr>
            </w:pPr>
            <w:r>
              <w:rPr>
                <w:rFonts w:ascii="Arial" w:cs="Arial" w:eastAsia="Arial" w:hAnsi="Arial"/>
                <w:sz w:val="16"/>
                <w:szCs w:val="16"/>
                <w:color w:val="auto"/>
              </w:rPr>
              <w:t>(13,143)</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37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(12,385</w:t>
            </w:r>
          </w:p>
        </w:tc>
        <w:tc>
          <w:tcPr>
            <w:tcW w:w="180" w:type="dxa"/>
            <w:vAlign w:val="bottom"/>
            <w:tcBorders>
              <w:top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16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(19,427</w:t>
            </w:r>
          </w:p>
        </w:tc>
        <w:tc>
          <w:tcPr>
            <w:tcW w:w="160" w:type="dxa"/>
            <w:vAlign w:val="bottom"/>
            <w:tcBorders>
              <w:top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6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(48,378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22,901</w:t>
            </w:r>
          </w:p>
        </w:tc>
        <w:tc>
          <w:tcPr>
            <w:tcW w:w="18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6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54,903</w:t>
            </w:r>
          </w:p>
        </w:tc>
        <w:tc>
          <w:tcPr>
            <w:tcW w:w="16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Borders>
              <w:bottom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5560" w:type="dxa"/>
            <w:vAlign w:val="bottom"/>
            <w:gridSpan w:val="7"/>
          </w:tcPr>
          <w:p>
            <w:pPr>
              <w:jc w:val="right"/>
              <w:ind w:right="1360"/>
              <w:spacing w:after="0"/>
              <w:rPr>
                <w:sz w:val="20"/>
                <w:szCs w:val="20"/>
                <w:color w:val="auto"/>
              </w:rPr>
            </w:pPr>
            <w:r>
              <w:rPr>
                <w:rFonts w:ascii="Arial" w:cs="Arial" w:eastAsia="Arial" w:hAnsi="Arial"/>
                <w:sz w:val="16"/>
                <w:szCs w:val="16"/>
                <w:b w:val="1"/>
                <w:bCs w:val="1"/>
                <w:color w:val="auto"/>
              </w:rPr>
              <w:t>For the three months ended June 30, 2018</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1940" w:type="dxa"/>
            <w:vAlign w:val="bottom"/>
            <w:gridSpan w:val="2"/>
            <w:vMerge w:val="restart"/>
          </w:tcPr>
          <w:p>
            <w:pPr>
              <w:jc w:val="right"/>
              <w:ind w:right="279"/>
              <w:spacing w:after="0"/>
              <w:rPr>
                <w:sz w:val="20"/>
                <w:szCs w:val="20"/>
                <w:color w:val="auto"/>
              </w:rPr>
            </w:pPr>
            <w:r>
              <w:rPr>
                <w:rFonts w:ascii="Arial" w:cs="Arial" w:eastAsia="Arial" w:hAnsi="Arial"/>
                <w:sz w:val="16"/>
                <w:szCs w:val="16"/>
                <w:b w:val="1"/>
                <w:bCs w:val="1"/>
                <w:color w:val="auto"/>
              </w:rPr>
              <w:t>Results attributable</w:t>
            </w:r>
          </w:p>
        </w:tc>
        <w:tc>
          <w:tcPr>
            <w:tcW w:w="1900" w:type="dxa"/>
            <w:vAlign w:val="bottom"/>
            <w:gridSpan w:val="2"/>
            <w:vMerge w:val="restart"/>
          </w:tcPr>
          <w:p>
            <w:pPr>
              <w:jc w:val="right"/>
              <w:ind w:right="579"/>
              <w:spacing w:after="0"/>
              <w:rPr>
                <w:sz w:val="20"/>
                <w:szCs w:val="20"/>
                <w:color w:val="auto"/>
              </w:rPr>
            </w:pPr>
            <w:r>
              <w:rPr>
                <w:rFonts w:ascii="Arial" w:cs="Arial" w:eastAsia="Arial" w:hAnsi="Arial"/>
                <w:sz w:val="16"/>
                <w:szCs w:val="16"/>
                <w:b w:val="1"/>
                <w:bCs w:val="1"/>
                <w:color w:val="auto"/>
              </w:rPr>
              <w:t>Partnership</w:t>
            </w:r>
          </w:p>
        </w:tc>
        <w:tc>
          <w:tcPr>
            <w:tcW w:w="17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54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5400" w:type="dxa"/>
            <w:vAlign w:val="bottom"/>
            <w:vMerge w:val="continue"/>
          </w:tcPr>
          <w:p>
            <w:pPr>
              <w:spacing w:after="0"/>
              <w:rPr>
                <w:sz w:val="9"/>
                <w:szCs w:val="9"/>
                <w:color w:val="auto"/>
              </w:rPr>
            </w:pPr>
          </w:p>
        </w:tc>
        <w:tc>
          <w:tcPr>
            <w:tcW w:w="1940" w:type="dxa"/>
            <w:vAlign w:val="bottom"/>
            <w:gridSpan w:val="2"/>
            <w:vMerge w:val="restart"/>
          </w:tcPr>
          <w:p>
            <w:pPr>
              <w:jc w:val="right"/>
              <w:ind w:right="619"/>
              <w:spacing w:after="0"/>
              <w:rPr>
                <w:sz w:val="20"/>
                <w:szCs w:val="20"/>
                <w:color w:val="auto"/>
              </w:rPr>
            </w:pPr>
            <w:r>
              <w:rPr>
                <w:rFonts w:ascii="Arial" w:cs="Arial" w:eastAsia="Arial" w:hAnsi="Arial"/>
                <w:sz w:val="16"/>
                <w:szCs w:val="16"/>
                <w:b w:val="1"/>
                <w:bCs w:val="1"/>
                <w:color w:val="auto"/>
              </w:rPr>
              <w:t>to GasLog</w:t>
            </w:r>
          </w:p>
        </w:tc>
        <w:tc>
          <w:tcPr>
            <w:tcW w:w="1900" w:type="dxa"/>
            <w:vAlign w:val="bottom"/>
            <w:gridSpan w:val="2"/>
            <w:vMerge w:val="restart"/>
          </w:tcPr>
          <w:p>
            <w:pPr>
              <w:jc w:val="right"/>
              <w:ind w:right="279"/>
              <w:spacing w:after="0"/>
              <w:rPr>
                <w:sz w:val="20"/>
                <w:szCs w:val="20"/>
                <w:color w:val="auto"/>
              </w:rPr>
            </w:pPr>
            <w:r>
              <w:rPr>
                <w:rFonts w:ascii="Arial" w:cs="Arial" w:eastAsia="Arial" w:hAnsi="Arial"/>
                <w:sz w:val="16"/>
                <w:szCs w:val="16"/>
                <w:b w:val="1"/>
                <w:bCs w:val="1"/>
                <w:color w:val="auto"/>
                <w:w w:val="97"/>
              </w:rPr>
              <w:t>Performance Results</w:t>
            </w: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00" w:type="dxa"/>
            <w:vAlign w:val="bottom"/>
            <w:vMerge w:val="continue"/>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17,176</w:t>
            </w:r>
          </w:p>
        </w:tc>
        <w:tc>
          <w:tcPr>
            <w:tcW w:w="16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16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92,085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Net pool allocation</w:t>
            </w:r>
          </w:p>
        </w:tc>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(357)</w:t>
            </w:r>
          </w:p>
        </w:tc>
        <w:tc>
          <w:tcPr>
            <w:tcW w:w="1660" w:type="dxa"/>
            <w:vAlign w:val="bottom"/>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94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(214)</w:t>
            </w:r>
          </w:p>
        </w:tc>
        <w:tc>
          <w:tcPr>
            <w:tcW w:w="19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(1,511)</w:t>
            </w: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(3,098)</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(15,110)</w:t>
            </w:r>
          </w:p>
        </w:tc>
        <w:tc>
          <w:tcPr>
            <w:tcW w:w="1660" w:type="dxa"/>
            <w:vAlign w:val="bottom"/>
          </w:tcPr>
          <w:p>
            <w:pPr>
              <w:jc w:val="right"/>
              <w:spacing w:after="0"/>
              <w:rPr>
                <w:sz w:val="20"/>
                <w:szCs w:val="20"/>
                <w:color w:val="auto"/>
              </w:rPr>
            </w:pPr>
            <w:r>
              <w:rPr>
                <w:rFonts w:ascii="Arial" w:cs="Arial" w:eastAsia="Arial" w:hAnsi="Arial"/>
                <w:sz w:val="16"/>
                <w:szCs w:val="16"/>
                <w:color w:val="auto"/>
              </w:rPr>
              <w:t>(18,208)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94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(3,784)</w:t>
            </w:r>
          </w:p>
        </w:tc>
        <w:tc>
          <w:tcPr>
            <w:tcW w:w="19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(17,974)</w:t>
            </w: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(21,758)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(223)</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(4,671)</w:t>
            </w:r>
          </w:p>
        </w:tc>
        <w:tc>
          <w:tcPr>
            <w:tcW w:w="1660" w:type="dxa"/>
            <w:vAlign w:val="bottom"/>
          </w:tcPr>
          <w:p>
            <w:pPr>
              <w:jc w:val="right"/>
              <w:spacing w:after="0"/>
              <w:rPr>
                <w:sz w:val="20"/>
                <w:szCs w:val="20"/>
                <w:color w:val="auto"/>
              </w:rPr>
            </w:pPr>
            <w:r>
              <w:rPr>
                <w:rFonts w:ascii="Arial" w:cs="Arial" w:eastAsia="Arial" w:hAnsi="Arial"/>
                <w:sz w:val="16"/>
                <w:szCs w:val="16"/>
                <w:color w:val="auto"/>
              </w:rPr>
              <w:t>(4,894)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9,857</w:t>
            </w:r>
          </w:p>
        </w:tc>
        <w:tc>
          <w:tcPr>
            <w:tcW w:w="16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35,286</w:t>
            </w:r>
          </w:p>
        </w:tc>
        <w:tc>
          <w:tcPr>
            <w:tcW w:w="16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45,143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6"/>
                <w:szCs w:val="16"/>
                <w:color w:val="auto"/>
              </w:rPr>
              <w:t>Financial costs</w:t>
            </w:r>
          </w:p>
        </w:tc>
        <w:tc>
          <w:tcPr>
            <w:tcW w:w="1780" w:type="dxa"/>
            <w:vAlign w:val="bottom"/>
          </w:tcPr>
          <w:p>
            <w:pPr>
              <w:jc w:val="right"/>
              <w:spacing w:after="0"/>
              <w:rPr>
                <w:sz w:val="20"/>
                <w:szCs w:val="20"/>
                <w:color w:val="auto"/>
              </w:rPr>
            </w:pPr>
            <w:r>
              <w:rPr>
                <w:rFonts w:ascii="Arial" w:cs="Arial" w:eastAsia="Arial" w:hAnsi="Arial"/>
                <w:sz w:val="16"/>
                <w:szCs w:val="16"/>
                <w:color w:val="auto"/>
              </w:rPr>
              <w:t>(3,169</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(14,552</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(17,721)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9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13</w:t>
            </w:r>
          </w:p>
        </w:tc>
        <w:tc>
          <w:tcPr>
            <w:tcW w:w="1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E5FFFF"/>
          </w:tcPr>
          <w:p>
            <w:pPr>
              <w:spacing w:after="0"/>
              <w:rPr>
                <w:sz w:val="17"/>
                <w:szCs w:val="17"/>
                <w:color w:val="auto"/>
              </w:rPr>
            </w:pP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Gain on derivatives</w:t>
            </w:r>
          </w:p>
        </w:tc>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1,588</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1,588</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(3,156</w:t>
            </w:r>
          </w:p>
        </w:tc>
        <w:tc>
          <w:tcPr>
            <w:tcW w:w="160" w:type="dxa"/>
            <w:vAlign w:val="bottom"/>
            <w:tcBorders>
              <w:top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(12,385</w:t>
            </w:r>
          </w:p>
        </w:tc>
        <w:tc>
          <w:tcPr>
            <w:tcW w:w="16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(15,541</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6,701</w:t>
            </w:r>
          </w:p>
        </w:tc>
        <w:tc>
          <w:tcPr>
            <w:tcW w:w="16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22,901</w:t>
            </w:r>
          </w:p>
        </w:tc>
        <w:tc>
          <w:tcPr>
            <w:tcW w:w="16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29,602</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5" w:name="page46"/>
    <w:bookmarkEnd w:id="45"/>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pool allocation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Loss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pool allocation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Gain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pool allocation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Loss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16"/>
          <w:szCs w:val="16"/>
          <w:b w:val="1"/>
          <w:bCs w:val="1"/>
          <w:color w:val="auto"/>
        </w:rPr>
        <w:t>For the three months ended June 30,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194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2"/>
              </w:rPr>
              <w:t>Results attributable</w:t>
            </w:r>
          </w:p>
        </w:tc>
        <w:tc>
          <w:tcPr>
            <w:tcW w:w="190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2"/>
              </w:rPr>
              <w:t>Partnership</w:t>
            </w:r>
          </w:p>
        </w:tc>
        <w:tc>
          <w:tcPr>
            <w:tcW w:w="172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194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8"/>
              </w:rPr>
              <w:t>to GasLog</w:t>
            </w: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89"/>
        </w:trPr>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91,805</w:t>
            </w:r>
          </w:p>
        </w:tc>
        <w:tc>
          <w:tcPr>
            <w:tcW w:w="16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91,805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1,024</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(2,037)</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(18,548)</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(18,548)</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(22,137)</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(22,137)</w:t>
            </w:r>
          </w:p>
        </w:tc>
        <w:tc>
          <w:tcPr>
            <w:tcW w:w="0" w:type="dxa"/>
            <w:vAlign w:val="bottom"/>
          </w:tcPr>
          <w:p>
            <w:pPr>
              <w:spacing w:after="0"/>
              <w:rPr>
                <w:sz w:val="1"/>
                <w:szCs w:val="1"/>
                <w:color w:val="auto"/>
              </w:rPr>
            </w:pPr>
          </w:p>
        </w:tc>
      </w:tr>
      <w:tr>
        <w:trPr>
          <w:trHeight w:val="209"/>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(4,741)</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(4,741)</w:t>
            </w:r>
          </w:p>
        </w:tc>
        <w:tc>
          <w:tcPr>
            <w:tcW w:w="0" w:type="dxa"/>
            <w:vAlign w:val="bottom"/>
          </w:tcPr>
          <w:p>
            <w:pPr>
              <w:spacing w:after="0"/>
              <w:rPr>
                <w:sz w:val="1"/>
                <w:szCs w:val="1"/>
                <w:color w:val="auto"/>
              </w:rPr>
            </w:pPr>
          </w:p>
        </w:tc>
      </w:tr>
      <w:tr>
        <w:trPr>
          <w:trHeight w:val="199"/>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160" w:type="dxa"/>
            <w:vAlign w:val="bottom"/>
            <w:vMerge w:val="restart"/>
          </w:tcPr>
          <w:p>
            <w:pPr>
              <w:jc w:val="right"/>
              <w:ind w:right="79"/>
              <w:spacing w:after="0"/>
              <w:rPr>
                <w:sz w:val="20"/>
                <w:szCs w:val="20"/>
                <w:color w:val="auto"/>
              </w:rPr>
            </w:pPr>
            <w:r>
              <w:rPr>
                <w:rFonts w:ascii="Arial" w:cs="Arial" w:eastAsia="Arial" w:hAnsi="Arial"/>
                <w:sz w:val="8"/>
                <w:szCs w:val="8"/>
                <w:color w:val="auto"/>
                <w:w w:val="73"/>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45,366</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6"/>
        </w:trPr>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(18,484</w:t>
            </w:r>
          </w:p>
        </w:tc>
        <w:tc>
          <w:tcPr>
            <w:tcW w:w="160" w:type="dxa"/>
            <w:vAlign w:val="bottom"/>
            <w:vMerge w:val="continue"/>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(18,484</w:t>
            </w: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527</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(8,266)</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(8,266)</w:t>
            </w:r>
          </w:p>
        </w:tc>
        <w:tc>
          <w:tcPr>
            <w:tcW w:w="0" w:type="dxa"/>
            <w:vAlign w:val="bottom"/>
          </w:tcPr>
          <w:p>
            <w:pPr>
              <w:spacing w:after="0"/>
              <w:rPr>
                <w:sz w:val="1"/>
                <w:szCs w:val="1"/>
                <w:color w:val="auto"/>
              </w:rPr>
            </w:pPr>
          </w:p>
        </w:tc>
      </w:tr>
      <w:tr>
        <w:trPr>
          <w:trHeight w:val="202"/>
        </w:trPr>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(26,223</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(26,223</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6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5560" w:type="dxa"/>
            <w:vAlign w:val="bottom"/>
            <w:gridSpan w:val="8"/>
          </w:tcPr>
          <w:p>
            <w:pPr>
              <w:jc w:val="right"/>
              <w:ind w:right="1435"/>
              <w:spacing w:after="0"/>
              <w:rPr>
                <w:sz w:val="20"/>
                <w:szCs w:val="20"/>
                <w:color w:val="auto"/>
              </w:rPr>
            </w:pPr>
            <w:r>
              <w:rPr>
                <w:rFonts w:ascii="Arial" w:cs="Arial" w:eastAsia="Arial" w:hAnsi="Arial"/>
                <w:sz w:val="16"/>
                <w:szCs w:val="16"/>
                <w:b w:val="1"/>
                <w:bCs w:val="1"/>
                <w:color w:val="auto"/>
              </w:rPr>
              <w:t>For the six months ended June 30, 2018</w:t>
            </w:r>
          </w:p>
        </w:tc>
        <w:tc>
          <w:tcPr>
            <w:tcW w:w="0" w:type="dxa"/>
            <w:vAlign w:val="bottom"/>
          </w:tcPr>
          <w:p>
            <w:pPr>
              <w:spacing w:after="0"/>
              <w:rPr>
                <w:sz w:val="1"/>
                <w:szCs w:val="1"/>
                <w:color w:val="auto"/>
              </w:rPr>
            </w:pPr>
          </w:p>
        </w:tc>
      </w:tr>
      <w:tr>
        <w:trPr>
          <w:trHeight w:val="235"/>
        </w:trPr>
        <w:tc>
          <w:tcPr>
            <w:tcW w:w="1940" w:type="dxa"/>
            <w:vAlign w:val="bottom"/>
            <w:gridSpan w:val="2"/>
            <w:vMerge w:val="restart"/>
          </w:tcPr>
          <w:p>
            <w:pPr>
              <w:jc w:val="center"/>
              <w:ind w:right="79"/>
              <w:spacing w:after="0"/>
              <w:rPr>
                <w:sz w:val="20"/>
                <w:szCs w:val="20"/>
                <w:color w:val="auto"/>
              </w:rPr>
            </w:pPr>
            <w:r>
              <w:rPr>
                <w:rFonts w:ascii="Arial" w:cs="Arial" w:eastAsia="Arial" w:hAnsi="Arial"/>
                <w:sz w:val="16"/>
                <w:szCs w:val="16"/>
                <w:b w:val="1"/>
                <w:bCs w:val="1"/>
                <w:color w:val="auto"/>
                <w:w w:val="92"/>
              </w:rPr>
              <w:t>Results attributable</w:t>
            </w:r>
          </w:p>
        </w:tc>
        <w:tc>
          <w:tcPr>
            <w:tcW w:w="1900" w:type="dxa"/>
            <w:vAlign w:val="bottom"/>
            <w:gridSpan w:val="2"/>
            <w:vMerge w:val="restart"/>
          </w:tcPr>
          <w:p>
            <w:pPr>
              <w:jc w:val="center"/>
              <w:ind w:right="119"/>
              <w:spacing w:after="0"/>
              <w:rPr>
                <w:sz w:val="20"/>
                <w:szCs w:val="20"/>
                <w:color w:val="auto"/>
              </w:rPr>
            </w:pPr>
            <w:r>
              <w:rPr>
                <w:rFonts w:ascii="Arial" w:cs="Arial" w:eastAsia="Arial" w:hAnsi="Arial"/>
                <w:sz w:val="16"/>
                <w:szCs w:val="16"/>
                <w:b w:val="1"/>
                <w:bCs w:val="1"/>
                <w:color w:val="auto"/>
                <w:w w:val="92"/>
              </w:rPr>
              <w:t>Partnership</w:t>
            </w:r>
          </w:p>
        </w:tc>
        <w:tc>
          <w:tcPr>
            <w:tcW w:w="172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4"/>
            <w:vMerge w:val="restart"/>
          </w:tcPr>
          <w:p>
            <w:pPr>
              <w:jc w:val="center"/>
              <w:ind w:right="55"/>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1940" w:type="dxa"/>
            <w:vAlign w:val="bottom"/>
            <w:gridSpan w:val="2"/>
            <w:vMerge w:val="restart"/>
          </w:tcPr>
          <w:p>
            <w:pPr>
              <w:jc w:val="center"/>
              <w:ind w:right="79"/>
              <w:spacing w:after="0"/>
              <w:rPr>
                <w:sz w:val="20"/>
                <w:szCs w:val="20"/>
                <w:color w:val="auto"/>
              </w:rPr>
            </w:pPr>
            <w:r>
              <w:rPr>
                <w:rFonts w:ascii="Arial" w:cs="Arial" w:eastAsia="Arial" w:hAnsi="Arial"/>
                <w:sz w:val="16"/>
                <w:szCs w:val="16"/>
                <w:b w:val="1"/>
                <w:bCs w:val="1"/>
                <w:color w:val="auto"/>
                <w:w w:val="88"/>
              </w:rPr>
              <w:t>to GasLog</w:t>
            </w:r>
          </w:p>
        </w:tc>
        <w:tc>
          <w:tcPr>
            <w:tcW w:w="190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4"/>
            <w:vMerge w:val="restart"/>
          </w:tcPr>
          <w:p>
            <w:pPr>
              <w:jc w:val="center"/>
              <w:ind w:right="55"/>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11"/>
        </w:trPr>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39,451</w:t>
            </w:r>
          </w:p>
        </w:tc>
        <w:tc>
          <w:tcPr>
            <w:tcW w:w="16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151,970</w:t>
            </w:r>
          </w:p>
        </w:tc>
        <w:tc>
          <w:tcPr>
            <w:tcW w:w="16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191,421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(357)</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(493)</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(2,566)</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(7,632)</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(30,701)</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(38,333)</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(8,565)</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(34,760)</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(43,325)</w:t>
            </w:r>
          </w:p>
        </w:tc>
        <w:tc>
          <w:tcPr>
            <w:tcW w:w="0" w:type="dxa"/>
            <w:vAlign w:val="bottom"/>
          </w:tcPr>
          <w:p>
            <w:pPr>
              <w:spacing w:after="0"/>
              <w:rPr>
                <w:sz w:val="1"/>
                <w:szCs w:val="1"/>
                <w:color w:val="auto"/>
              </w:rPr>
            </w:pPr>
          </w:p>
        </w:tc>
      </w:tr>
      <w:tr>
        <w:trPr>
          <w:trHeight w:val="206"/>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(530)</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(9,256)</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02"/>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22,231</w:t>
            </w:r>
          </w:p>
        </w:tc>
        <w:tc>
          <w:tcPr>
            <w:tcW w:w="160" w:type="dxa"/>
            <w:vAlign w:val="bottom"/>
            <w:vMerge w:val="restart"/>
          </w:tcPr>
          <w:p>
            <w:pPr>
              <w:jc w:val="right"/>
              <w:ind w:right="19"/>
              <w:spacing w:after="0"/>
              <w:rPr>
                <w:sz w:val="20"/>
                <w:szCs w:val="20"/>
                <w:color w:val="auto"/>
              </w:rPr>
            </w:pPr>
            <w:r>
              <w:rPr>
                <w:rFonts w:ascii="Arial" w:cs="Arial" w:eastAsia="Arial" w:hAnsi="Arial"/>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74,330</w:t>
            </w:r>
          </w:p>
        </w:tc>
        <w:tc>
          <w:tcPr>
            <w:tcW w:w="160" w:type="dxa"/>
            <w:vAlign w:val="bottom"/>
            <w:vMerge w:val="restart"/>
          </w:tcPr>
          <w:p>
            <w:pPr>
              <w:jc w:val="right"/>
              <w:ind w:right="79"/>
              <w:spacing w:after="0"/>
              <w:rPr>
                <w:sz w:val="20"/>
                <w:szCs w:val="20"/>
                <w:color w:val="auto"/>
              </w:rPr>
            </w:pPr>
            <w:r>
              <w:rPr>
                <w:rFonts w:ascii="Arial" w:cs="Arial" w:eastAsia="Arial" w:hAnsi="Arial"/>
                <w:sz w:val="8"/>
                <w:szCs w:val="8"/>
                <w:color w:val="auto"/>
                <w:w w:val="73"/>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96,561</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6"/>
        </w:trPr>
        <w:tc>
          <w:tcPr>
            <w:tcW w:w="1780" w:type="dxa"/>
            <w:vAlign w:val="bottom"/>
          </w:tcPr>
          <w:p>
            <w:pPr>
              <w:jc w:val="right"/>
              <w:spacing w:after="0"/>
              <w:rPr>
                <w:sz w:val="20"/>
                <w:szCs w:val="20"/>
                <w:color w:val="auto"/>
              </w:rPr>
            </w:pPr>
            <w:r>
              <w:rPr>
                <w:rFonts w:ascii="Arial" w:cs="Arial" w:eastAsia="Arial" w:hAnsi="Arial"/>
                <w:sz w:val="16"/>
                <w:szCs w:val="16"/>
                <w:color w:val="auto"/>
              </w:rPr>
              <w:t>(7,203</w:t>
            </w:r>
          </w:p>
        </w:tc>
        <w:tc>
          <w:tcPr>
            <w:tcW w:w="160" w:type="dxa"/>
            <w:vAlign w:val="bottom"/>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(28,440</w:t>
            </w:r>
          </w:p>
        </w:tc>
        <w:tc>
          <w:tcPr>
            <w:tcW w:w="160" w:type="dxa"/>
            <w:vAlign w:val="bottom"/>
            <w:vMerge w:val="continue"/>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(35,643</w:t>
            </w: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27</w:t>
            </w:r>
          </w:p>
        </w:tc>
        <w:tc>
          <w:tcPr>
            <w:tcW w:w="1740" w:type="dxa"/>
            <w:vAlign w:val="bottom"/>
          </w:tcPr>
          <w:p>
            <w:pPr>
              <w:jc w:val="right"/>
              <w:spacing w:after="0"/>
              <w:rPr>
                <w:sz w:val="20"/>
                <w:szCs w:val="20"/>
                <w:color w:val="auto"/>
              </w:rPr>
            </w:pPr>
            <w:r>
              <w:rPr>
                <w:rFonts w:ascii="Arial" w:cs="Arial" w:eastAsia="Arial" w:hAnsi="Arial"/>
                <w:sz w:val="16"/>
                <w:szCs w:val="16"/>
                <w:color w:val="auto"/>
              </w:rPr>
              <w:t>1,098</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1,125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7,915</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7,915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(7,176</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(19,427</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(26,603</w:t>
            </w:r>
          </w:p>
        </w:tc>
        <w:tc>
          <w:tcPr>
            <w:tcW w:w="4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15,055</w:t>
            </w:r>
          </w:p>
        </w:tc>
        <w:tc>
          <w:tcPr>
            <w:tcW w:w="16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54,903</w:t>
            </w:r>
          </w:p>
        </w:tc>
        <w:tc>
          <w:tcPr>
            <w:tcW w:w="16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5560" w:type="dxa"/>
            <w:vAlign w:val="bottom"/>
            <w:gridSpan w:val="8"/>
          </w:tcPr>
          <w:p>
            <w:pPr>
              <w:jc w:val="right"/>
              <w:ind w:right="1435"/>
              <w:spacing w:after="0"/>
              <w:rPr>
                <w:sz w:val="20"/>
                <w:szCs w:val="20"/>
                <w:color w:val="auto"/>
              </w:rPr>
            </w:pPr>
            <w:r>
              <w:rPr>
                <w:rFonts w:ascii="Arial" w:cs="Arial" w:eastAsia="Arial" w:hAnsi="Arial"/>
                <w:sz w:val="16"/>
                <w:szCs w:val="16"/>
                <w:b w:val="1"/>
                <w:bCs w:val="1"/>
                <w:color w:val="auto"/>
              </w:rPr>
              <w:t>For the six months ended June 30, 2019</w:t>
            </w:r>
          </w:p>
        </w:tc>
        <w:tc>
          <w:tcPr>
            <w:tcW w:w="0" w:type="dxa"/>
            <w:vAlign w:val="bottom"/>
          </w:tcPr>
          <w:p>
            <w:pPr>
              <w:spacing w:after="0"/>
              <w:rPr>
                <w:sz w:val="1"/>
                <w:szCs w:val="1"/>
                <w:color w:val="auto"/>
              </w:rPr>
            </w:pPr>
          </w:p>
        </w:tc>
      </w:tr>
      <w:tr>
        <w:trPr>
          <w:trHeight w:val="235"/>
        </w:trPr>
        <w:tc>
          <w:tcPr>
            <w:tcW w:w="1940" w:type="dxa"/>
            <w:vAlign w:val="bottom"/>
            <w:gridSpan w:val="2"/>
            <w:vMerge w:val="restart"/>
          </w:tcPr>
          <w:p>
            <w:pPr>
              <w:jc w:val="center"/>
              <w:ind w:right="79"/>
              <w:spacing w:after="0"/>
              <w:rPr>
                <w:sz w:val="20"/>
                <w:szCs w:val="20"/>
                <w:color w:val="auto"/>
              </w:rPr>
            </w:pPr>
            <w:r>
              <w:rPr>
                <w:rFonts w:ascii="Arial" w:cs="Arial" w:eastAsia="Arial" w:hAnsi="Arial"/>
                <w:sz w:val="16"/>
                <w:szCs w:val="16"/>
                <w:b w:val="1"/>
                <w:bCs w:val="1"/>
                <w:color w:val="auto"/>
                <w:w w:val="92"/>
              </w:rPr>
              <w:t>Results attributable</w:t>
            </w:r>
          </w:p>
        </w:tc>
        <w:tc>
          <w:tcPr>
            <w:tcW w:w="1900" w:type="dxa"/>
            <w:vAlign w:val="bottom"/>
            <w:gridSpan w:val="2"/>
            <w:vMerge w:val="restart"/>
          </w:tcPr>
          <w:p>
            <w:pPr>
              <w:jc w:val="center"/>
              <w:ind w:right="119"/>
              <w:spacing w:after="0"/>
              <w:rPr>
                <w:sz w:val="20"/>
                <w:szCs w:val="20"/>
                <w:color w:val="auto"/>
              </w:rPr>
            </w:pPr>
            <w:r>
              <w:rPr>
                <w:rFonts w:ascii="Arial" w:cs="Arial" w:eastAsia="Arial" w:hAnsi="Arial"/>
                <w:sz w:val="16"/>
                <w:szCs w:val="16"/>
                <w:b w:val="1"/>
                <w:bCs w:val="1"/>
                <w:color w:val="auto"/>
                <w:w w:val="92"/>
              </w:rPr>
              <w:t>Partnership</w:t>
            </w:r>
          </w:p>
        </w:tc>
        <w:tc>
          <w:tcPr>
            <w:tcW w:w="172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4"/>
            <w:vMerge w:val="restart"/>
          </w:tcPr>
          <w:p>
            <w:pPr>
              <w:jc w:val="center"/>
              <w:ind w:right="55"/>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1940" w:type="dxa"/>
            <w:vAlign w:val="bottom"/>
            <w:gridSpan w:val="2"/>
            <w:vMerge w:val="restart"/>
          </w:tcPr>
          <w:p>
            <w:pPr>
              <w:jc w:val="center"/>
              <w:ind w:right="79"/>
              <w:spacing w:after="0"/>
              <w:rPr>
                <w:sz w:val="20"/>
                <w:szCs w:val="20"/>
                <w:color w:val="auto"/>
              </w:rPr>
            </w:pPr>
            <w:r>
              <w:rPr>
                <w:rFonts w:ascii="Arial" w:cs="Arial" w:eastAsia="Arial" w:hAnsi="Arial"/>
                <w:sz w:val="16"/>
                <w:szCs w:val="16"/>
                <w:b w:val="1"/>
                <w:bCs w:val="1"/>
                <w:color w:val="auto"/>
                <w:w w:val="88"/>
              </w:rPr>
              <w:t>to GasLog</w:t>
            </w:r>
          </w:p>
        </w:tc>
        <w:tc>
          <w:tcPr>
            <w:tcW w:w="190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4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20" w:type="dxa"/>
            <w:vAlign w:val="bottom"/>
            <w:gridSpan w:val="4"/>
            <w:vMerge w:val="restart"/>
          </w:tcPr>
          <w:p>
            <w:pPr>
              <w:jc w:val="center"/>
              <w:ind w:right="55"/>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11"/>
        </w:trPr>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7,560</w:t>
            </w:r>
          </w:p>
        </w:tc>
        <w:tc>
          <w:tcPr>
            <w:tcW w:w="16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178,130</w:t>
            </w:r>
          </w:p>
        </w:tc>
        <w:tc>
          <w:tcPr>
            <w:tcW w:w="16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185,690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1,058</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1,058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(95)</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(3,779)</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(1,513)</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(35,666)</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(37,179)</w:t>
            </w: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(1,490)</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(42,517)</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(44,007)</w:t>
            </w:r>
          </w:p>
        </w:tc>
        <w:tc>
          <w:tcPr>
            <w:tcW w:w="0" w:type="dxa"/>
            <w:vAlign w:val="bottom"/>
          </w:tcPr>
          <w:p>
            <w:pPr>
              <w:spacing w:after="0"/>
              <w:rPr>
                <w:sz w:val="1"/>
                <w:szCs w:val="1"/>
                <w:color w:val="auto"/>
              </w:rPr>
            </w:pPr>
          </w:p>
        </w:tc>
      </w:tr>
      <w:tr>
        <w:trPr>
          <w:trHeight w:val="206"/>
        </w:trPr>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(96)</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(9,339)</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(9,435)</w:t>
            </w:r>
          </w:p>
        </w:tc>
        <w:tc>
          <w:tcPr>
            <w:tcW w:w="0" w:type="dxa"/>
            <w:vAlign w:val="bottom"/>
          </w:tcPr>
          <w:p>
            <w:pPr>
              <w:spacing w:after="0"/>
              <w:rPr>
                <w:sz w:val="1"/>
                <w:szCs w:val="1"/>
                <w:color w:val="auto"/>
              </w:rPr>
            </w:pPr>
          </w:p>
        </w:tc>
      </w:tr>
      <w:tr>
        <w:trPr>
          <w:trHeight w:val="202"/>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4,366</w:t>
            </w:r>
          </w:p>
        </w:tc>
        <w:tc>
          <w:tcPr>
            <w:tcW w:w="160" w:type="dxa"/>
            <w:vAlign w:val="bottom"/>
            <w:vMerge w:val="restart"/>
          </w:tcPr>
          <w:p>
            <w:pPr>
              <w:jc w:val="right"/>
              <w:ind w:right="19"/>
              <w:spacing w:after="0"/>
              <w:rPr>
                <w:sz w:val="20"/>
                <w:szCs w:val="20"/>
                <w:color w:val="auto"/>
              </w:rPr>
            </w:pPr>
            <w:r>
              <w:rPr>
                <w:rFonts w:ascii="Arial" w:cs="Arial" w:eastAsia="Arial" w:hAnsi="Arial"/>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87,887</w:t>
            </w:r>
          </w:p>
        </w:tc>
        <w:tc>
          <w:tcPr>
            <w:tcW w:w="160" w:type="dxa"/>
            <w:vAlign w:val="bottom"/>
            <w:vMerge w:val="restart"/>
          </w:tcPr>
          <w:p>
            <w:pPr>
              <w:jc w:val="right"/>
              <w:ind w:right="79"/>
              <w:spacing w:after="0"/>
              <w:rPr>
                <w:sz w:val="20"/>
                <w:szCs w:val="20"/>
                <w:color w:val="auto"/>
              </w:rPr>
            </w:pPr>
            <w:r>
              <w:rPr>
                <w:rFonts w:ascii="Arial" w:cs="Arial" w:eastAsia="Arial" w:hAnsi="Arial"/>
                <w:sz w:val="8"/>
                <w:szCs w:val="8"/>
                <w:color w:val="auto"/>
                <w:w w:val="73"/>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92,253</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6"/>
        </w:trPr>
        <w:tc>
          <w:tcPr>
            <w:tcW w:w="1780" w:type="dxa"/>
            <w:vAlign w:val="bottom"/>
          </w:tcPr>
          <w:p>
            <w:pPr>
              <w:jc w:val="right"/>
              <w:spacing w:after="0"/>
              <w:rPr>
                <w:sz w:val="20"/>
                <w:szCs w:val="20"/>
                <w:color w:val="auto"/>
              </w:rPr>
            </w:pPr>
            <w:r>
              <w:rPr>
                <w:rFonts w:ascii="Arial" w:cs="Arial" w:eastAsia="Arial" w:hAnsi="Arial"/>
                <w:sz w:val="16"/>
                <w:szCs w:val="16"/>
                <w:color w:val="auto"/>
              </w:rPr>
              <w:t>(1,730</w:t>
            </w:r>
          </w:p>
        </w:tc>
        <w:tc>
          <w:tcPr>
            <w:tcW w:w="160" w:type="dxa"/>
            <w:vAlign w:val="bottom"/>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(36,386</w:t>
            </w:r>
          </w:p>
        </w:tc>
        <w:tc>
          <w:tcPr>
            <w:tcW w:w="160" w:type="dxa"/>
            <w:vAlign w:val="bottom"/>
            <w:vMerge w:val="continue"/>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(38,116</w:t>
            </w: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14</w:t>
            </w:r>
          </w:p>
        </w:tc>
        <w:tc>
          <w:tcPr>
            <w:tcW w:w="1740" w:type="dxa"/>
            <w:vAlign w:val="bottom"/>
          </w:tcPr>
          <w:p>
            <w:pPr>
              <w:jc w:val="right"/>
              <w:spacing w:after="0"/>
              <w:rPr>
                <w:sz w:val="20"/>
                <w:szCs w:val="20"/>
                <w:color w:val="auto"/>
              </w:rPr>
            </w:pPr>
            <w:r>
              <w:rPr>
                <w:rFonts w:ascii="Arial" w:cs="Arial" w:eastAsia="Arial" w:hAnsi="Arial"/>
                <w:sz w:val="16"/>
                <w:szCs w:val="16"/>
                <w:color w:val="auto"/>
              </w:rPr>
              <w:t>1,151</w:t>
            </w:r>
          </w:p>
        </w:tc>
        <w:tc>
          <w:tcPr>
            <w:tcW w:w="16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1,165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(13,143)</w:t>
            </w: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(13,143)</w:t>
            </w:r>
          </w:p>
        </w:tc>
        <w:tc>
          <w:tcPr>
            <w:tcW w:w="0" w:type="dxa"/>
            <w:vAlign w:val="bottom"/>
          </w:tcPr>
          <w:p>
            <w:pPr>
              <w:spacing w:after="0"/>
              <w:rPr>
                <w:sz w:val="1"/>
                <w:szCs w:val="1"/>
                <w:color w:val="auto"/>
              </w:rPr>
            </w:pPr>
          </w:p>
        </w:tc>
      </w:tr>
      <w:tr>
        <w:trPr>
          <w:trHeight w:val="202"/>
        </w:trPr>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(1,716</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(48,378</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(50,094</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2,650</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160" w:type="dxa"/>
            <w:vAlign w:val="bottom"/>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42,159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-6431280</wp:posOffset>
            </wp:positionV>
            <wp:extent cx="69208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-6165215</wp:posOffset>
            </wp:positionV>
            <wp:extent cx="692086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-5908040</wp:posOffset>
            </wp:positionV>
            <wp:extent cx="692086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-5650865</wp:posOffset>
            </wp:positionV>
            <wp:extent cx="692086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-5376545</wp:posOffset>
            </wp:positionV>
            <wp:extent cx="692086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-5119370</wp:posOffset>
            </wp:positionV>
            <wp:extent cx="692086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-4021455</wp:posOffset>
            </wp:positionV>
            <wp:extent cx="692086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-3755390</wp:posOffset>
            </wp:positionV>
            <wp:extent cx="692086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-3498215</wp:posOffset>
            </wp:positionV>
            <wp:extent cx="692086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-3241040</wp:posOffset>
            </wp:positionV>
            <wp:extent cx="692086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-2966720</wp:posOffset>
            </wp:positionV>
            <wp:extent cx="692086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-2709545</wp:posOffset>
            </wp:positionV>
            <wp:extent cx="692086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-1611630</wp:posOffset>
            </wp:positionV>
            <wp:extent cx="692086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-1345565</wp:posOffset>
            </wp:positionV>
            <wp:extent cx="692086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-1088390</wp:posOffset>
            </wp:positionV>
            <wp:extent cx="692086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-831215</wp:posOffset>
            </wp:positionV>
            <wp:extent cx="692086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20865"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-556895</wp:posOffset>
            </wp:positionV>
            <wp:extent cx="692086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20865"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-299720</wp:posOffset>
            </wp:positionV>
            <wp:extent cx="692086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2">
        <w:col w:w="4680" w:space="720"/>
        <w:col w:w="5560"/>
      </w:cols>
      <w:pgMar w:left="240" w:top="34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3"/>
    </w:lvl>
  </w:abstractNum>
  <w:abstractNum w:abstractNumId="22">
    <w:nsid w:val="B03E0C6"/>
    <w:multiLevelType w:val="hybridMultilevel"/>
    <w:lvl w:ilvl="0">
      <w:lvlJc w:val="left"/>
      <w:lvlText w:val="(%1)"/>
      <w:numFmt w:val="lowerLetter"/>
      <w:start w:val="3"/>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10" Type="http://schemas.openxmlformats.org/officeDocument/2006/relationships/hyperlink" Target="file:///data/convert/a19-12354_1ex99d1.htm#Exhibit99_1_030152" TargetMode="External"/><Relationship Id="rId11" Type="http://schemas.openxmlformats.org/officeDocument/2006/relationships/hyperlink" Target="file:///data/convert/a19-12354_1ex99d2.htm#Exhibit99_2_0320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2019-11-30T19:23:25Z</dcterms:created>
  <dcterms:modified xsi:type="dcterms:W3CDTF">2019-11-30T19:23:25Z</dcterms:modified>
</cp:coreProperties>
</file>