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158750</wp:posOffset>
            </wp:positionV>
            <wp:extent cx="106299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2540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SCHEDULE 13E-3</w:t>
      </w:r>
    </w:p>
    <w:p>
      <w:pPr>
        <w:spacing w:after="0" w:line="3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RULE 13 E-3 TRANSACTION STATEMENT UNDER SECTION 13(E)</w:t>
      </w:r>
    </w:p>
    <w:p>
      <w:pPr>
        <w:spacing w:after="0" w:line="1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OF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359"/>
        <w:spacing w:after="0"/>
        <w:rPr>
          <w:sz w:val="20"/>
          <w:szCs w:val="20"/>
          <w:color w:val="auto"/>
        </w:rPr>
      </w:pPr>
      <w:r>
        <w:rPr>
          <w:rFonts w:ascii="Arial" w:cs="Arial" w:eastAsia="Arial" w:hAnsi="Arial"/>
          <w:sz w:val="43"/>
          <w:szCs w:val="43"/>
          <w:b w:val="1"/>
          <w:bCs w:val="1"/>
          <w:color w:val="auto"/>
        </w:rPr>
        <w:t>GasLog Partners LP</w:t>
      </w:r>
    </w:p>
    <w:p>
      <w:pPr>
        <w:spacing w:after="0" w:line="45" w:lineRule="exact"/>
        <w:rPr>
          <w:sz w:val="24"/>
          <w:szCs w:val="24"/>
          <w:color w:val="auto"/>
        </w:rPr>
      </w:pPr>
    </w:p>
    <w:p>
      <w:pPr>
        <w:jc w:val="center"/>
        <w:ind w:right="-359"/>
        <w:spacing w:after="0"/>
        <w:rPr>
          <w:sz w:val="20"/>
          <w:szCs w:val="20"/>
          <w:color w:val="auto"/>
        </w:rPr>
      </w:pPr>
      <w:r>
        <w:rPr>
          <w:rFonts w:ascii="Arial" w:cs="Arial" w:eastAsia="Arial" w:hAnsi="Arial"/>
          <w:sz w:val="22"/>
          <w:szCs w:val="22"/>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GasLog Ltd.</w:t>
      </w:r>
    </w:p>
    <w:p>
      <w:pPr>
        <w:spacing w:after="0" w:line="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GasLog Partners GP LLC</w:t>
      </w:r>
    </w:p>
    <w:p>
      <w:pPr>
        <w:jc w:val="center"/>
        <w:ind w:right="-359"/>
        <w:spacing w:after="0" w:line="230" w:lineRule="auto"/>
        <w:rPr>
          <w:sz w:val="20"/>
          <w:szCs w:val="20"/>
          <w:color w:val="auto"/>
        </w:rPr>
      </w:pPr>
      <w:r>
        <w:rPr>
          <w:rFonts w:ascii="Arial" w:cs="Arial" w:eastAsia="Arial" w:hAnsi="Arial"/>
          <w:sz w:val="22"/>
          <w:szCs w:val="22"/>
          <w:b w:val="1"/>
          <w:bCs w:val="1"/>
          <w:color w:val="auto"/>
        </w:rPr>
        <w:t>Saturn Merger Sub LLC</w:t>
      </w:r>
    </w:p>
    <w:p>
      <w:pPr>
        <w:jc w:val="center"/>
        <w:ind w:right="-359"/>
        <w:spacing w:after="0" w:line="231" w:lineRule="auto"/>
        <w:rPr>
          <w:sz w:val="20"/>
          <w:szCs w:val="20"/>
          <w:color w:val="auto"/>
        </w:rPr>
      </w:pPr>
      <w:r>
        <w:rPr>
          <w:rFonts w:ascii="Arial" w:cs="Arial" w:eastAsia="Arial" w:hAnsi="Arial"/>
          <w:sz w:val="22"/>
          <w:szCs w:val="22"/>
          <w:b w:val="1"/>
          <w:bCs w:val="1"/>
          <w:color w:val="auto"/>
        </w:rPr>
        <w:t>GasLog Partners LP</w:t>
      </w:r>
    </w:p>
    <w:p>
      <w:pPr>
        <w:jc w:val="center"/>
        <w:ind w:right="-359"/>
        <w:spacing w:after="0"/>
        <w:rPr>
          <w:sz w:val="20"/>
          <w:szCs w:val="20"/>
          <w:color w:val="auto"/>
        </w:rPr>
      </w:pPr>
      <w:r>
        <w:rPr>
          <w:rFonts w:ascii="Arial" w:cs="Arial" w:eastAsia="Arial" w:hAnsi="Arial"/>
          <w:sz w:val="22"/>
          <w:szCs w:val="22"/>
          <w:color w:val="auto"/>
        </w:rPr>
        <w:t>(Names of Person(s) Filing Statement)</w:t>
      </w:r>
    </w:p>
    <w:p>
      <w:pPr>
        <w:spacing w:after="0" w:line="209"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Common Units Representing Limited Partner Interests</w:t>
      </w:r>
    </w:p>
    <w:p>
      <w:pPr>
        <w:spacing w:after="0" w:line="14" w:lineRule="exact"/>
        <w:rPr>
          <w:sz w:val="24"/>
          <w:szCs w:val="24"/>
          <w:color w:val="auto"/>
        </w:rPr>
      </w:pPr>
    </w:p>
    <w:p>
      <w:pPr>
        <w:jc w:val="center"/>
        <w:ind w:right="-35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Y2687W108</w:t>
      </w:r>
    </w:p>
    <w:p>
      <w:pPr>
        <w:spacing w:after="0" w:line="14" w:lineRule="exact"/>
        <w:rPr>
          <w:sz w:val="24"/>
          <w:szCs w:val="24"/>
          <w:color w:val="auto"/>
        </w:rPr>
      </w:pPr>
    </w:p>
    <w:p>
      <w:pPr>
        <w:jc w:val="center"/>
        <w:ind w:right="-359"/>
        <w:spacing w:after="0"/>
        <w:rPr>
          <w:sz w:val="20"/>
          <w:szCs w:val="20"/>
          <w:color w:val="auto"/>
        </w:rPr>
      </w:pPr>
      <w:r>
        <w:rPr>
          <w:rFonts w:ascii="Arial" w:cs="Arial" w:eastAsia="Arial" w:hAnsi="Arial"/>
          <w:sz w:val="22"/>
          <w:szCs w:val="22"/>
          <w:color w:val="auto"/>
        </w:rPr>
        <w:t>(CUSIP Number of Class of Securities)</w:t>
      </w:r>
    </w:p>
    <w:p>
      <w:pPr>
        <w:spacing w:after="0" w:line="209"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Alexandros Laios, General Counsel</w:t>
      </w:r>
    </w:p>
    <w:p>
      <w:pPr>
        <w:spacing w:after="0" w:line="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c/o GasLog LNG Services Ltd.</w:t>
      </w:r>
    </w:p>
    <w:p>
      <w:pPr>
        <w:jc w:val="center"/>
        <w:ind w:right="-359"/>
        <w:spacing w:after="0" w:line="230" w:lineRule="auto"/>
        <w:rPr>
          <w:sz w:val="20"/>
          <w:szCs w:val="20"/>
          <w:color w:val="auto"/>
        </w:rPr>
      </w:pPr>
      <w:r>
        <w:rPr>
          <w:rFonts w:ascii="Arial" w:cs="Arial" w:eastAsia="Arial" w:hAnsi="Arial"/>
          <w:sz w:val="22"/>
          <w:szCs w:val="22"/>
          <w:b w:val="1"/>
          <w:bCs w:val="1"/>
          <w:color w:val="auto"/>
        </w:rPr>
        <w:t>69 Akti Miaouli</w:t>
      </w:r>
    </w:p>
    <w:p>
      <w:pPr>
        <w:jc w:val="center"/>
        <w:ind w:right="-359"/>
        <w:spacing w:after="0" w:line="231" w:lineRule="auto"/>
        <w:rPr>
          <w:sz w:val="20"/>
          <w:szCs w:val="20"/>
          <w:color w:val="auto"/>
        </w:rPr>
      </w:pPr>
      <w:r>
        <w:rPr>
          <w:rFonts w:ascii="Arial" w:cs="Arial" w:eastAsia="Arial" w:hAnsi="Arial"/>
          <w:sz w:val="22"/>
          <w:szCs w:val="22"/>
          <w:b w:val="1"/>
          <w:bCs w:val="1"/>
          <w:color w:val="auto"/>
        </w:rPr>
        <w:t>18537 Piraeus</w:t>
      </w:r>
    </w:p>
    <w:p>
      <w:pPr>
        <w:jc w:val="center"/>
        <w:ind w:right="-359"/>
        <w:spacing w:after="0" w:line="230" w:lineRule="auto"/>
        <w:rPr>
          <w:sz w:val="20"/>
          <w:szCs w:val="20"/>
          <w:color w:val="auto"/>
        </w:rPr>
      </w:pPr>
      <w:r>
        <w:rPr>
          <w:rFonts w:ascii="Arial" w:cs="Arial" w:eastAsia="Arial" w:hAnsi="Arial"/>
          <w:sz w:val="22"/>
          <w:szCs w:val="22"/>
          <w:b w:val="1"/>
          <w:bCs w:val="1"/>
          <w:color w:val="auto"/>
        </w:rPr>
        <w:t>Greece</w:t>
      </w:r>
    </w:p>
    <w:p>
      <w:pPr>
        <w:jc w:val="center"/>
        <w:ind w:right="-359"/>
        <w:spacing w:after="0" w:line="231" w:lineRule="auto"/>
        <w:rPr>
          <w:sz w:val="20"/>
          <w:szCs w:val="20"/>
          <w:color w:val="auto"/>
        </w:rPr>
      </w:pPr>
      <w:r>
        <w:rPr>
          <w:rFonts w:ascii="Arial" w:cs="Arial" w:eastAsia="Arial" w:hAnsi="Arial"/>
          <w:sz w:val="22"/>
          <w:szCs w:val="22"/>
          <w:b w:val="1"/>
          <w:bCs w:val="1"/>
          <w:color w:val="auto"/>
        </w:rPr>
        <w:t>+30 210 459 1000</w:t>
      </w:r>
    </w:p>
    <w:p>
      <w:pPr>
        <w:jc w:val="center"/>
        <w:ind w:right="-359"/>
        <w:spacing w:after="0"/>
        <w:rPr>
          <w:sz w:val="20"/>
          <w:szCs w:val="20"/>
          <w:color w:val="auto"/>
        </w:rPr>
      </w:pPr>
      <w:r>
        <w:rPr>
          <w:rFonts w:ascii="Arial" w:cs="Arial" w:eastAsia="Arial" w:hAnsi="Arial"/>
          <w:sz w:val="19"/>
          <w:szCs w:val="19"/>
          <w:color w:val="auto"/>
        </w:rPr>
        <w:t>(Name, Address, and Telephone Numbers of Person Authorized to Receive Notices and Communications on Behalf of the</w:t>
      </w:r>
    </w:p>
    <w:p>
      <w:pPr>
        <w:spacing w:after="0" w:line="25" w:lineRule="exact"/>
        <w:rPr>
          <w:sz w:val="24"/>
          <w:szCs w:val="24"/>
          <w:color w:val="auto"/>
        </w:rPr>
      </w:pPr>
    </w:p>
    <w:p>
      <w:pPr>
        <w:jc w:val="center"/>
        <w:ind w:right="-359"/>
        <w:spacing w:after="0"/>
        <w:rPr>
          <w:sz w:val="20"/>
          <w:szCs w:val="20"/>
          <w:color w:val="auto"/>
        </w:rPr>
      </w:pPr>
      <w:r>
        <w:rPr>
          <w:rFonts w:ascii="Arial" w:cs="Arial" w:eastAsia="Arial" w:hAnsi="Arial"/>
          <w:sz w:val="22"/>
          <w:szCs w:val="22"/>
          <w:color w:val="auto"/>
        </w:rPr>
        <w:t>Persons Filing Statement)</w:t>
      </w:r>
      <w:r>
        <w:rPr>
          <w:rFonts w:ascii="Arial" w:cs="Arial" w:eastAsia="Arial" w:hAnsi="Arial"/>
          <w:sz w:val="22"/>
          <w:szCs w:val="22"/>
          <w:b w:val="1"/>
          <w:bCs w:val="1"/>
          <w:i w:val="1"/>
          <w:iCs w:val="1"/>
          <w:color w:val="auto"/>
        </w:rPr>
        <w:t>:</w:t>
      </w:r>
    </w:p>
    <w:p>
      <w:pPr>
        <w:spacing w:after="0" w:line="215" w:lineRule="exact"/>
        <w:rPr>
          <w:sz w:val="24"/>
          <w:szCs w:val="24"/>
          <w:color w:val="auto"/>
        </w:rPr>
      </w:pPr>
    </w:p>
    <w:tbl>
      <w:tblPr>
        <w:tblLayout w:type="fixed"/>
        <w:tblInd w:w="1600" w:type="dxa"/>
        <w:tblCellMar>
          <w:top w:w="0" w:type="dxa"/>
          <w:left w:w="0" w:type="dxa"/>
          <w:bottom w:w="0" w:type="dxa"/>
          <w:right w:w="0" w:type="dxa"/>
        </w:tblCellMar>
      </w:tblPr>
      <w:tr>
        <w:trPr>
          <w:trHeight w:val="274"/>
        </w:trPr>
        <w:tc>
          <w:tcPr>
            <w:tcW w:w="2920" w:type="dxa"/>
            <w:vAlign w:val="bottom"/>
          </w:tcPr>
          <w:p>
            <w:pPr>
              <w:spacing w:after="0"/>
              <w:rPr>
                <w:sz w:val="23"/>
                <w:szCs w:val="23"/>
                <w:color w:val="auto"/>
              </w:rPr>
            </w:pPr>
          </w:p>
        </w:tc>
        <w:tc>
          <w:tcPr>
            <w:tcW w:w="5320" w:type="dxa"/>
            <w:vAlign w:val="bottom"/>
          </w:tcPr>
          <w:p>
            <w:pPr>
              <w:ind w:left="480"/>
              <w:spacing w:after="0"/>
              <w:rPr>
                <w:sz w:val="20"/>
                <w:szCs w:val="20"/>
                <w:color w:val="auto"/>
              </w:rPr>
            </w:pPr>
            <w:r>
              <w:rPr>
                <w:rFonts w:ascii="Arial" w:cs="Arial" w:eastAsia="Arial" w:hAnsi="Arial"/>
                <w:sz w:val="22"/>
                <w:szCs w:val="22"/>
                <w:b w:val="1"/>
                <w:bCs w:val="1"/>
                <w:i w:val="1"/>
                <w:iCs w:val="1"/>
                <w:color w:val="auto"/>
              </w:rPr>
              <w:t>With copies to</w:t>
            </w:r>
          </w:p>
        </w:tc>
      </w:tr>
      <w:tr>
        <w:trPr>
          <w:trHeight w:val="431"/>
        </w:trPr>
        <w:tc>
          <w:tcPr>
            <w:tcW w:w="292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D. Scott Bennett</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2"/>
              </w:rPr>
              <w:t>Kenneth Jackman</w:t>
            </w:r>
          </w:p>
        </w:tc>
      </w:tr>
      <w:tr>
        <w:trPr>
          <w:trHeight w:val="216"/>
        </w:trPr>
        <w:tc>
          <w:tcPr>
            <w:tcW w:w="292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Andrew C. Elken</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3"/>
              </w:rPr>
              <w:t>Srinivas M. Raju</w:t>
            </w:r>
          </w:p>
        </w:tc>
      </w:tr>
      <w:tr>
        <w:trPr>
          <w:trHeight w:val="216"/>
        </w:trPr>
        <w:tc>
          <w:tcPr>
            <w:tcW w:w="2920" w:type="dxa"/>
            <w:vAlign w:val="bottom"/>
          </w:tcPr>
          <w:p>
            <w:pPr>
              <w:jc w:val="center"/>
              <w:ind w:right="410"/>
              <w:spacing w:after="0"/>
              <w:rPr>
                <w:sz w:val="20"/>
                <w:szCs w:val="20"/>
                <w:color w:val="auto"/>
              </w:rPr>
            </w:pPr>
            <w:r>
              <w:rPr>
                <w:rFonts w:ascii="Arial" w:cs="Arial" w:eastAsia="Arial" w:hAnsi="Arial"/>
                <w:sz w:val="18"/>
                <w:szCs w:val="18"/>
                <w:b w:val="1"/>
                <w:bCs w:val="1"/>
                <w:color w:val="auto"/>
                <w:w w:val="92"/>
              </w:rPr>
              <w:t>Jin-Kyu Baek</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1"/>
              </w:rPr>
              <w:t>Richards, Layton &amp; Finger, P.A.</w:t>
            </w:r>
          </w:p>
        </w:tc>
      </w:tr>
      <w:tr>
        <w:trPr>
          <w:trHeight w:val="216"/>
        </w:trPr>
        <w:tc>
          <w:tcPr>
            <w:tcW w:w="2920" w:type="dxa"/>
            <w:vAlign w:val="bottom"/>
          </w:tcPr>
          <w:p>
            <w:pPr>
              <w:jc w:val="center"/>
              <w:ind w:right="410"/>
              <w:spacing w:after="0"/>
              <w:rPr>
                <w:sz w:val="20"/>
                <w:szCs w:val="20"/>
                <w:color w:val="auto"/>
              </w:rPr>
            </w:pPr>
            <w:r>
              <w:rPr>
                <w:rFonts w:ascii="Arial" w:cs="Arial" w:eastAsia="Arial" w:hAnsi="Arial"/>
                <w:sz w:val="18"/>
                <w:szCs w:val="18"/>
                <w:b w:val="1"/>
                <w:bCs w:val="1"/>
                <w:color w:val="auto"/>
                <w:w w:val="94"/>
              </w:rPr>
              <w:t>Cravath, Swaine &amp; Moore LLP</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0"/>
              </w:rPr>
              <w:t>One Rodney Square, 920 King Street</w:t>
            </w:r>
          </w:p>
        </w:tc>
      </w:tr>
      <w:tr>
        <w:trPr>
          <w:trHeight w:val="216"/>
        </w:trPr>
        <w:tc>
          <w:tcPr>
            <w:tcW w:w="292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825 Eighth Avenue</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2"/>
              </w:rPr>
              <w:t>Wilmington, DE 19801</w:t>
            </w:r>
          </w:p>
        </w:tc>
      </w:tr>
      <w:tr>
        <w:trPr>
          <w:trHeight w:val="216"/>
        </w:trPr>
        <w:tc>
          <w:tcPr>
            <w:tcW w:w="292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New York, NY 10019</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2"/>
              </w:rPr>
              <w:t>(302) 651-7700</w:t>
            </w:r>
          </w:p>
        </w:tc>
      </w:tr>
      <w:tr>
        <w:trPr>
          <w:trHeight w:val="234"/>
        </w:trPr>
        <w:tc>
          <w:tcPr>
            <w:tcW w:w="292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(212) 474-1000</w:t>
            </w:r>
          </w:p>
        </w:tc>
        <w:tc>
          <w:tcPr>
            <w:tcW w:w="5320" w:type="dxa"/>
            <w:vAlign w:val="bottom"/>
          </w:tcPr>
          <w:p>
            <w:pPr>
              <w:spacing w:after="0"/>
              <w:rPr>
                <w:sz w:val="20"/>
                <w:szCs w:val="20"/>
                <w:color w:val="auto"/>
              </w:rPr>
            </w:pPr>
          </w:p>
        </w:tc>
      </w:tr>
    </w:tbl>
    <w:p>
      <w:pPr>
        <w:spacing w:after="0" w:line="222" w:lineRule="exact"/>
        <w:rPr>
          <w:sz w:val="24"/>
          <w:szCs w:val="24"/>
          <w:color w:val="auto"/>
        </w:rPr>
      </w:pPr>
    </w:p>
    <w:p>
      <w:pPr>
        <w:spacing w:after="0"/>
        <w:rPr>
          <w:sz w:val="20"/>
          <w:szCs w:val="20"/>
          <w:color w:val="auto"/>
        </w:rPr>
      </w:pPr>
      <w:r>
        <w:rPr>
          <w:rFonts w:ascii="Arial" w:cs="Arial" w:eastAsia="Arial" w:hAnsi="Arial"/>
          <w:sz w:val="22"/>
          <w:szCs w:val="22"/>
          <w:color w:val="auto"/>
        </w:rPr>
        <w:t>This statement is filed in connection with (check the appropriate box):</w:t>
      </w:r>
    </w:p>
    <w:p>
      <w:pPr>
        <w:spacing w:after="0" w:line="195" w:lineRule="exact"/>
        <w:rPr>
          <w:sz w:val="24"/>
          <w:szCs w:val="24"/>
          <w:color w:val="auto"/>
        </w:rPr>
      </w:pPr>
    </w:p>
    <w:p>
      <w:pPr>
        <w:ind w:left="900" w:right="360" w:hanging="892"/>
        <w:spacing w:after="0" w:line="245" w:lineRule="exact"/>
        <w:tabs>
          <w:tab w:leader="none" w:pos="576"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filing of solicitation materials or an information statement subject to Regulation 14A, Regulation 14C or Rule 13e-3(c) under the Securities Exchange Act of 1934.</w:t>
      </w:r>
    </w:p>
    <w:p>
      <w:pPr>
        <w:spacing w:after="0" w:line="185" w:lineRule="exact"/>
        <w:rPr>
          <w:rFonts w:ascii="Arial" w:cs="Arial" w:eastAsia="Arial" w:hAnsi="Arial"/>
          <w:sz w:val="18"/>
          <w:szCs w:val="18"/>
          <w:color w:val="auto"/>
        </w:rPr>
      </w:pPr>
    </w:p>
    <w:p>
      <w:pPr>
        <w:ind w:left="600" w:hanging="592"/>
        <w:spacing w:after="0" w:line="207" w:lineRule="exact"/>
        <w:tabs>
          <w:tab w:leader="none" w:pos="60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filing of a registration statement under the Securities Act of 1933.</w:t>
      </w:r>
    </w:p>
    <w:p>
      <w:pPr>
        <w:spacing w:after="0" w:line="252"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tender offer.</w:t>
      </w:r>
    </w:p>
    <w:p>
      <w:pPr>
        <w:spacing w:after="0" w:line="252" w:lineRule="exact"/>
        <w:rPr>
          <w:rFonts w:ascii="Arial" w:cs="Arial" w:eastAsia="Arial" w:hAnsi="Arial"/>
          <w:sz w:val="18"/>
          <w:szCs w:val="18"/>
          <w:color w:val="auto"/>
        </w:rPr>
      </w:pPr>
    </w:p>
    <w:p>
      <w:pPr>
        <w:ind w:left="600" w:hanging="592"/>
        <w:spacing w:after="0" w:line="207" w:lineRule="exact"/>
        <w:tabs>
          <w:tab w:leader="none" w:pos="60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None of the above.</w:t>
      </w:r>
    </w:p>
    <w:p>
      <w:pPr>
        <w:sectPr>
          <w:pgSz w:w="11900" w:h="16838" w:orient="portrait"/>
          <w:cols w:equalWidth="0" w:num="1">
            <w:col w:w="10880"/>
          </w:cols>
          <w:pgMar w:left="320" w:top="1129" w:right="699" w:bottom="312" w:gutter="0" w:footer="0" w:header="0"/>
        </w:sectPr>
      </w:pPr>
    </w:p>
    <w:bookmarkStart w:id="1" w:name="page2"/>
    <w:bookmarkEnd w:id="1"/>
    <w:p>
      <w:pPr>
        <w:spacing w:after="0" w:line="283" w:lineRule="exact"/>
        <w:rPr>
          <w:sz w:val="20"/>
          <w:szCs w:val="20"/>
          <w:color w:val="auto"/>
        </w:rPr>
      </w:pPr>
      <w:r>
        <w:rPr>
          <w:rFonts w:ascii="Arial" w:cs="Arial" w:eastAsia="Arial" w:hAnsi="Arial"/>
          <w:sz w:val="22"/>
          <w:szCs w:val="22"/>
          <w:color w:val="auto"/>
        </w:rPr>
        <w:t xml:space="preserve">Check the following box if the soliciting materials or information statement referred to in checking box (a) are preliminary copies: </w:t>
      </w:r>
      <w:r>
        <w:rPr>
          <w:rFonts w:ascii="MS PGothic" w:cs="MS PGothic" w:eastAsia="MS PGothic" w:hAnsi="MS PGothic"/>
          <w:sz w:val="22"/>
          <w:szCs w:val="22"/>
          <w:color w:val="auto"/>
        </w:rPr>
        <w:t>☐</w:t>
      </w:r>
    </w:p>
    <w:p>
      <w:pPr>
        <w:spacing w:after="0" w:line="138"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Check the following box if the filing is a final amendment reporting the results of the transaction: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18" w:right="9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INTRODUCTION</w:t>
      </w:r>
    </w:p>
    <w:p>
      <w:pPr>
        <w:spacing w:after="0" w:line="240"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This Amendment No. 5 to the Transaction Statement on Schedule 13E-3 (as amended, this “Transaction Statement”), together with the exhibits hereto, is being filed with the Securities and Exchange Commission (the “SEC”) pursuant to Section 13(e) of the Securities Exchange Act of 1934, as amended (the “Exchange Act”), and Rule 13e-3 thereunder, by: (a) GasLog Partners LP, a Marshall Islands limited partnership (the “Partnership”) and the issuer of the common units representing limited partner interests in the Partnership (“Common Units”) that are subject to the Rule 13e-3 transaction, (b) GasLog Ltd., a Bermuda exempted company (“Parent”), (c) GasLog Partners GP LLC, a Marshall Islands limited liability company and the general partner of the Partnership (the “General Partner”), and (d) Saturn Merger Sub LLC, a Marshall Islands limited liability company and a direct wholly owned subsidiary of Parent (“Merger Sub”). Collectively, the persons named in (a) through (c) filing this Transaction Statement are referred to as the “filing persons”.</w:t>
      </w:r>
    </w:p>
    <w:p>
      <w:pPr>
        <w:spacing w:after="0" w:line="185"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auto"/>
        </w:rPr>
        <w:t>This Transaction Statement relates to the Agreement and Plan of Merger, dated April 6, 2023 (as it may be amended from time to time, the “Merger Agreement”), by and among the Partnership, the General Partner, Parent and Merger Sub, pursuant to which Merger Sub was merged with and into the Partnership (the “Merger”), with the Partnership surviving the Merger as a Marshall Islands limited partnership and as a direct subsidiary of Parent. As a result of the Merger, Merger Sub ceased to exist as an independent entity and, therefore, is no longer a filing person.</w:t>
      </w:r>
    </w:p>
    <w:p>
      <w:pPr>
        <w:spacing w:after="0" w:line="205"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This final Amendment is being filed pursuant to Rule 13e-3(d)(3) to report the results of the transaction that is subject to the Transaction Statement. All information in this final Amendment should be read in conjunction with the information contained or incorporated by reference in the Transaction Statement, as amended to date.</w:t>
      </w:r>
    </w:p>
    <w:p>
      <w:pPr>
        <w:spacing w:after="0" w:line="213"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While each of the filing persons acknowledges that the Merger is a going private transaction for purposes of Rule 13e-3 under the Exchange Act, the filing of this Transaction Statement shall not be construed as an admission by any filing person, or by any affiliate of a filing person, that the Partnership is “controlled” by any of the filing persons and/or their respective affiliates.</w:t>
      </w:r>
    </w:p>
    <w:p>
      <w:pPr>
        <w:spacing w:after="0" w:line="161"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All information concerning the Partnership contained in, or incorporated by reference into, this Transaction Statement was supplied by the Partnership. Similarly, all information concerning each other filing person contained in, or incorporated by reference into, this Transaction Statement was supplied by such filing person.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ADDITIONAL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 Other Material Information. Item 15(c) is hereby amended and supplemented as follows:</w:t>
      </w:r>
    </w:p>
    <w:p>
      <w:pPr>
        <w:spacing w:after="0" w:line="233"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On July 7, 2023, at 10:00 a.m. Eastern Time, a special meeting of the common unitholders of the Partnership was held. At the special meeting, the Partnership’s common unitholders voted to approve the Merger Agreement and the transactions contemplated thereby, including the Merger, by the affirmative vote (in person or by proxy) of the holders of at least a majority of the Common Units entitled to vote thereon, voting as a single class, subject to a cutback for certain unitholders beneficially owning more than 4.9% of the outstanding Common Units (as provided for in the Partnership’s Seventh Amended and Restated Agreement of Limited Partnership (the “Partnership Agreement”) and described in the proxy statement of the Partnership dated June 5, 2022 (the “Proxy Statement”) attached as exhibit (a)(1) to the Transaction Statement).</w:t>
      </w:r>
    </w:p>
    <w:p>
      <w:pPr>
        <w:spacing w:after="0" w:line="179"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On July 13, 2023, the Partnership completed the Merger, upon which the separate existence of Merger Sub ceased, with the Partnership as the surviving entity in the Merger. The Merger became effective at 6:30 a.m. Eastern Time on July 13, 2023 (the “Effective Time”) pursuant to the certificate of merger that was issued by the Registrar of Corporations in the Marshall Islands on such date.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ind w:right="60" w:firstLine="648"/>
        <w:spacing w:after="0" w:line="238" w:lineRule="auto"/>
        <w:rPr>
          <w:sz w:val="20"/>
          <w:szCs w:val="20"/>
          <w:color w:val="auto"/>
        </w:rPr>
      </w:pPr>
      <w:r>
        <w:rPr>
          <w:rFonts w:ascii="Arial" w:cs="Arial" w:eastAsia="Arial" w:hAnsi="Arial"/>
          <w:sz w:val="22"/>
          <w:szCs w:val="22"/>
          <w:color w:val="auto"/>
        </w:rPr>
        <w:t>At the Effective Time, each Common Unit that was issued and outstanding immediately prior to the Effective Time (other than Common Units that, as of immediately prior to the Effective Time, were held by Parent) was converted into the right to receive $5.37 in cash, without interest and reduced by any applicable tax withholding, for each Common Unit (the “Merger Consideration”).</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Additionally, at the Effective Time, each limited liability company interest in Merger Sub that was issued and outstanding immediately prior to the Effective Time was converted into and became a number of common units representing limited partner interests in the surviving entity equal to the number of Common Units converted into the right to receive the Merger Consideration. Also at the Effective Time, each of the Partnership’s Class B Units issued and outstanding immediately prior to the Effective Time was canceled, ceased to exist and no consideration was delivered in respect thereof. Further, at the Effective Time, the Partnership’s Series A Preference Units, Series B Preference Units and Series C Preference Units (in each case as defined in the Partnership Agreement) issued and outstanding immediately prior to the Effective Time remained unchanged and issued and outstanding in the Partnership and no consideration was delivered in respect thereof. Lastly, at the Effective Time, the General Partner Interest (as defined in the Partnership Agreement) issued and outstanding immediately prior to the Effective Time remained issued and outstanding in the Surviving Entity.</w:t>
      </w:r>
    </w:p>
    <w:p>
      <w:pPr>
        <w:spacing w:after="0" w:line="188" w:lineRule="exact"/>
        <w:rPr>
          <w:sz w:val="20"/>
          <w:szCs w:val="20"/>
          <w:color w:val="auto"/>
        </w:rPr>
      </w:pPr>
    </w:p>
    <w:p>
      <w:pPr>
        <w:ind w:right="120" w:firstLine="648"/>
        <w:spacing w:after="0" w:line="245" w:lineRule="auto"/>
        <w:rPr>
          <w:sz w:val="20"/>
          <w:szCs w:val="20"/>
          <w:color w:val="auto"/>
        </w:rPr>
      </w:pPr>
      <w:r>
        <w:rPr>
          <w:rFonts w:ascii="Arial" w:cs="Arial" w:eastAsia="Arial" w:hAnsi="Arial"/>
          <w:sz w:val="21"/>
          <w:szCs w:val="21"/>
          <w:color w:val="auto"/>
        </w:rPr>
        <w:t>On July 13, 2023, in connection with the completion of the Merger, the Partnership notified the New York Stock Exchange (“NYSE”) of the completion of the Merger and requested that trading in the Common Units be suspended and that the Common Units be withdrawn from listing on the NYSE. The Partnership also requested that the NYSE file a notification of removal from listing on Form 25 with the SEC with respect to each Common Unit to report the delisting of the Common Units from the NYSE. The Partnership intends to file with the SEC a certificate and notice of termination on Form 15 with respect to the Common Units, requesting that the Common Units be deregistered under the Exchange Act and that the issuer’s reporting obligations with respect to the Common Units under Sections 13 and 15(d) of the Exchange Act be suspended. The Partnership’s Series A Preference Units, Series B Preference Units and Series C Preference Units remain outstanding and continue to trade on the NYSE.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Regulation M-A Item 1016</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Item 16 is hereby amended and supplemented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8"/>
          </w:tcPr>
          <w:p>
            <w:pPr>
              <w:ind w:left="24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0" w:type="dxa"/>
            <w:vAlign w:val="bottom"/>
            <w:gridSpan w:val="6"/>
          </w:tcPr>
          <w:p>
            <w:pPr>
              <w:ind w:left="920"/>
              <w:spacing w:after="0"/>
              <w:rPr>
                <w:sz w:val="20"/>
                <w:szCs w:val="20"/>
                <w:color w:val="auto"/>
              </w:rPr>
            </w:pPr>
            <w:r>
              <w:rPr>
                <w:rFonts w:ascii="Arial" w:cs="Arial" w:eastAsia="Arial" w:hAnsi="Arial"/>
                <w:sz w:val="18"/>
                <w:szCs w:val="18"/>
                <w:b w:val="1"/>
                <w:bCs w:val="1"/>
                <w:color w:val="auto"/>
              </w:rPr>
              <w:t>Description</w:t>
            </w:r>
          </w:p>
        </w:tc>
      </w:tr>
      <w:tr>
        <w:trPr>
          <w:trHeight w:val="61"/>
        </w:trPr>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230"/>
        </w:trPr>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0000EE"/>
            </w:tcBorders>
            <w:gridSpan w:val="4"/>
          </w:tcPr>
          <w:p>
            <w:pPr>
              <w:jc w:val="center"/>
              <w:ind w:right="20"/>
              <w:spacing w:after="0"/>
              <w:rPr>
                <w:rFonts w:ascii="Arial" w:cs="Arial" w:eastAsia="Arial" w:hAnsi="Arial"/>
                <w:sz w:val="18"/>
                <w:szCs w:val="18"/>
                <w:color w:val="0000EE"/>
              </w:rPr>
            </w:pPr>
            <w:hyperlink r:id="rId18">
              <w:r>
                <w:rPr>
                  <w:rFonts w:ascii="Arial" w:cs="Arial" w:eastAsia="Arial" w:hAnsi="Arial"/>
                  <w:sz w:val="18"/>
                  <w:szCs w:val="18"/>
                  <w:color w:val="0000EE"/>
                </w:rPr>
                <w:t>(a)(1)***</w:t>
              </w:r>
            </w:hyperlink>
          </w:p>
        </w:tc>
        <w:tc>
          <w:tcPr>
            <w:tcW w:w="3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60" w:type="dxa"/>
            <w:vAlign w:val="bottom"/>
            <w:tcBorders>
              <w:bottom w:val="single" w:sz="8" w:color="0000EE"/>
            </w:tcBorders>
          </w:tcPr>
          <w:p>
            <w:pPr>
              <w:spacing w:after="0"/>
              <w:rPr>
                <w:rFonts w:ascii="Arial" w:cs="Arial" w:eastAsia="Arial" w:hAnsi="Arial"/>
                <w:sz w:val="18"/>
                <w:szCs w:val="18"/>
                <w:color w:val="0000EE"/>
                <w:w w:val="89"/>
              </w:rPr>
            </w:pPr>
            <w:hyperlink r:id="rId18">
              <w:r>
                <w:rPr>
                  <w:rFonts w:ascii="Arial" w:cs="Arial" w:eastAsia="Arial" w:hAnsi="Arial"/>
                  <w:sz w:val="18"/>
                  <w:szCs w:val="18"/>
                  <w:color w:val="0000EE"/>
                  <w:w w:val="89"/>
                </w:rPr>
                <w:t>Proxy Statement of the Partnership.</w:t>
              </w:r>
            </w:hyperlink>
          </w:p>
        </w:tc>
        <w:tc>
          <w:tcPr>
            <w:tcW w:w="7040" w:type="dxa"/>
            <w:vAlign w:val="bottom"/>
            <w:gridSpan w:val="8"/>
          </w:tcPr>
          <w:p>
            <w:pPr>
              <w:spacing w:after="0"/>
              <w:rPr>
                <w:sz w:val="19"/>
                <w:szCs w:val="19"/>
                <w:color w:val="auto"/>
              </w:rPr>
            </w:pPr>
          </w:p>
        </w:tc>
      </w:tr>
      <w:tr>
        <w:trPr>
          <w:trHeight w:val="304"/>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bottom w:val="single" w:sz="8" w:color="0000EE"/>
            </w:tcBorders>
            <w:gridSpan w:val="4"/>
          </w:tcPr>
          <w:p>
            <w:pPr>
              <w:jc w:val="center"/>
              <w:ind w:right="20"/>
              <w:spacing w:after="0"/>
              <w:rPr>
                <w:rFonts w:ascii="Arial" w:cs="Arial" w:eastAsia="Arial" w:hAnsi="Arial"/>
                <w:sz w:val="18"/>
                <w:szCs w:val="18"/>
                <w:color w:val="0000EE"/>
              </w:rPr>
            </w:pPr>
            <w:hyperlink r:id="rId19">
              <w:r>
                <w:rPr>
                  <w:rFonts w:ascii="Arial" w:cs="Arial" w:eastAsia="Arial" w:hAnsi="Arial"/>
                  <w:sz w:val="18"/>
                  <w:szCs w:val="18"/>
                  <w:color w:val="0000EE"/>
                </w:rPr>
                <w:t>(a)(2)***</w:t>
              </w:r>
            </w:hyperlink>
          </w:p>
        </w:tc>
        <w:tc>
          <w:tcPr>
            <w:tcW w:w="3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Borders>
              <w:bottom w:val="single" w:sz="8" w:color="0000EE"/>
            </w:tcBorders>
            <w:gridSpan w:val="4"/>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Form of Proxy Card (incorporated herein by reference to Annex D of the Proxy Statement).</w:t>
              </w:r>
            </w:hyperlink>
          </w:p>
        </w:tc>
        <w:tc>
          <w:tcPr>
            <w:tcW w:w="3020" w:type="dxa"/>
            <w:vAlign w:val="bottom"/>
            <w:gridSpan w:val="5"/>
          </w:tcPr>
          <w:p>
            <w:pPr>
              <w:spacing w:after="0"/>
              <w:rPr>
                <w:sz w:val="24"/>
                <w:szCs w:val="24"/>
                <w:color w:val="auto"/>
              </w:rPr>
            </w:pPr>
          </w:p>
        </w:tc>
      </w:tr>
      <w:tr>
        <w:trPr>
          <w:trHeight w:val="304"/>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4"/>
          </w:tcPr>
          <w:p>
            <w:pPr>
              <w:jc w:val="center"/>
              <w:ind w:right="20"/>
              <w:spacing w:after="0"/>
              <w:rPr>
                <w:rFonts w:ascii="Arial" w:cs="Arial" w:eastAsia="Arial" w:hAnsi="Arial"/>
                <w:sz w:val="18"/>
                <w:szCs w:val="18"/>
                <w:color w:val="0000EE"/>
              </w:rPr>
            </w:pPr>
            <w:hyperlink r:id="rId18">
              <w:r>
                <w:rPr>
                  <w:rFonts w:ascii="Arial" w:cs="Arial" w:eastAsia="Arial" w:hAnsi="Arial"/>
                  <w:sz w:val="18"/>
                  <w:szCs w:val="18"/>
                  <w:color w:val="0000EE"/>
                </w:rPr>
                <w:t>(a)(3)***</w:t>
              </w:r>
            </w:hyperlink>
          </w:p>
        </w:tc>
        <w:tc>
          <w:tcPr>
            <w:tcW w:w="3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9"/>
          </w:tcPr>
          <w:p>
            <w:pPr>
              <w:spacing w:after="0"/>
              <w:rPr>
                <w:rFonts w:ascii="Arial" w:cs="Arial" w:eastAsia="Arial" w:hAnsi="Arial"/>
                <w:sz w:val="18"/>
                <w:szCs w:val="18"/>
                <w:color w:val="0000EE"/>
              </w:rPr>
            </w:pPr>
            <w:hyperlink r:id="rId18">
              <w:r>
                <w:rPr>
                  <w:rFonts w:ascii="Arial" w:cs="Arial" w:eastAsia="Arial" w:hAnsi="Arial"/>
                  <w:sz w:val="18"/>
                  <w:szCs w:val="18"/>
                  <w:color w:val="0000EE"/>
                </w:rPr>
                <w:t>Letter to the Common Unitholders of the Partnership (incorporated herein by reference to the Proxy Statement).</w:t>
              </w:r>
            </w:hyperlink>
          </w:p>
        </w:tc>
      </w:tr>
      <w:tr>
        <w:trPr>
          <w:trHeight w:val="304"/>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0000EE"/>
            </w:tcBorders>
            <w:gridSpan w:val="4"/>
          </w:tcPr>
          <w:p>
            <w:pPr>
              <w:jc w:val="center"/>
              <w:ind w:right="20"/>
              <w:spacing w:after="0"/>
              <w:rPr>
                <w:rFonts w:ascii="Arial" w:cs="Arial" w:eastAsia="Arial" w:hAnsi="Arial"/>
                <w:sz w:val="18"/>
                <w:szCs w:val="18"/>
                <w:color w:val="0000EE"/>
              </w:rPr>
            </w:pPr>
            <w:hyperlink r:id="rId20">
              <w:r>
                <w:rPr>
                  <w:rFonts w:ascii="Arial" w:cs="Arial" w:eastAsia="Arial" w:hAnsi="Arial"/>
                  <w:sz w:val="18"/>
                  <w:szCs w:val="18"/>
                  <w:color w:val="0000EE"/>
                </w:rPr>
                <w:t>(a)(4)***</w:t>
              </w:r>
            </w:hyperlink>
          </w:p>
        </w:tc>
        <w:tc>
          <w:tcPr>
            <w:tcW w:w="3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40" w:type="dxa"/>
            <w:vAlign w:val="bottom"/>
            <w:tcBorders>
              <w:top w:val="single" w:sz="8" w:color="0000EE"/>
            </w:tcBorders>
            <w:gridSpan w:val="6"/>
          </w:tcPr>
          <w:p>
            <w:pPr>
              <w:spacing w:after="0"/>
              <w:rPr>
                <w:rFonts w:ascii="Arial" w:cs="Arial" w:eastAsia="Arial" w:hAnsi="Arial"/>
                <w:sz w:val="18"/>
                <w:szCs w:val="18"/>
                <w:color w:val="0000EE"/>
                <w:w w:val="92"/>
              </w:rPr>
            </w:pPr>
            <w:hyperlink r:id="rId20">
              <w:r>
                <w:rPr>
                  <w:rFonts w:ascii="Arial" w:cs="Arial" w:eastAsia="Arial" w:hAnsi="Arial"/>
                  <w:sz w:val="18"/>
                  <w:szCs w:val="18"/>
                  <w:color w:val="0000EE"/>
                  <w:w w:val="92"/>
                </w:rPr>
                <w:t>Notice of Special Meeting of Common Unitholders (incorporated herein by reference to the Proxy Statement).</w:t>
              </w:r>
            </w:hyperlink>
          </w:p>
        </w:tc>
        <w:tc>
          <w:tcPr>
            <w:tcW w:w="1560" w:type="dxa"/>
            <w:vAlign w:val="bottom"/>
            <w:gridSpan w:val="3"/>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0000EE"/>
            </w:tcBorders>
          </w:tcPr>
          <w:p>
            <w:pPr>
              <w:jc w:val="center"/>
              <w:spacing w:after="0"/>
              <w:rPr>
                <w:rFonts w:ascii="Arial" w:cs="Arial" w:eastAsia="Arial" w:hAnsi="Arial"/>
                <w:sz w:val="18"/>
                <w:szCs w:val="18"/>
                <w:color w:val="0000EE"/>
                <w:w w:val="97"/>
              </w:rPr>
            </w:pPr>
            <w:hyperlink r:id="rId21">
              <w:r>
                <w:rPr>
                  <w:rFonts w:ascii="Arial" w:cs="Arial" w:eastAsia="Arial" w:hAnsi="Arial"/>
                  <w:sz w:val="18"/>
                  <w:szCs w:val="18"/>
                  <w:color w:val="0000EE"/>
                  <w:w w:val="97"/>
                </w:rPr>
                <w:t>(a)(5)*</w:t>
              </w:r>
            </w:hyperlink>
          </w:p>
        </w:tc>
        <w:tc>
          <w:tcPr>
            <w:tcW w:w="8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120" w:type="dxa"/>
            <w:vAlign w:val="bottom"/>
            <w:tcBorders>
              <w:bottom w:val="single" w:sz="8" w:color="0000EE"/>
            </w:tcBorders>
            <w:gridSpan w:val="7"/>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Press Release of the Partnership, dated April 6, 2023 (incorporated herein by reference to Exhibit 99.1 to Partnership’s Current</w:t>
              </w:r>
            </w:hyperlink>
          </w:p>
        </w:tc>
        <w:tc>
          <w:tcPr>
            <w:tcW w:w="480" w:type="dxa"/>
            <w:vAlign w:val="bottom"/>
            <w:gridSpan w:val="2"/>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0" w:type="dxa"/>
            <w:vAlign w:val="bottom"/>
            <w:gridSpan w:val="9"/>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Report on Form 6-K, furnished April 6, 2023).</w:t>
              </w:r>
            </w:hyperlink>
          </w:p>
        </w:tc>
      </w:tr>
      <w:tr>
        <w:trPr>
          <w:trHeight w:val="20"/>
        </w:trPr>
        <w:tc>
          <w:tcPr>
            <w:tcW w:w="30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060" w:type="dxa"/>
            <w:vAlign w:val="bottom"/>
            <w:gridSpan w:val="7"/>
          </w:tcPr>
          <w:p>
            <w:pPr>
              <w:jc w:val="center"/>
              <w:ind w:right="300"/>
              <w:spacing w:after="0"/>
              <w:rPr>
                <w:rFonts w:ascii="Arial" w:cs="Arial" w:eastAsia="Arial" w:hAnsi="Arial"/>
                <w:sz w:val="18"/>
                <w:szCs w:val="18"/>
                <w:color w:val="0000EE"/>
              </w:rPr>
            </w:pPr>
            <w:hyperlink r:id="rId22">
              <w:r>
                <w:rPr>
                  <w:rFonts w:ascii="Arial" w:cs="Arial" w:eastAsia="Arial" w:hAnsi="Arial"/>
                  <w:sz w:val="18"/>
                  <w:szCs w:val="18"/>
                  <w:color w:val="0000EE"/>
                </w:rPr>
                <w:t>(a)(6)****</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9"/>
          </w:tcPr>
          <w:p>
            <w:pPr>
              <w:spacing w:after="0"/>
              <w:rPr>
                <w:rFonts w:ascii="Arial" w:cs="Arial" w:eastAsia="Arial" w:hAnsi="Arial"/>
                <w:sz w:val="18"/>
                <w:szCs w:val="18"/>
                <w:color w:val="0000EE"/>
                <w:w w:val="93"/>
              </w:rPr>
            </w:pPr>
            <w:hyperlink r:id="rId22">
              <w:r>
                <w:rPr>
                  <w:rFonts w:ascii="Arial" w:cs="Arial" w:eastAsia="Arial" w:hAnsi="Arial"/>
                  <w:sz w:val="18"/>
                  <w:szCs w:val="18"/>
                  <w:color w:val="0000EE"/>
                  <w:w w:val="93"/>
                </w:rPr>
                <w:t>Press Release of the Partnership, dated June 28, 2023 (incorporated herein by reference to Exhibit 99.1 to Partnership’s Current</w:t>
              </w:r>
            </w:hyperlink>
          </w:p>
        </w:tc>
      </w:tr>
      <w:tr>
        <w:trPr>
          <w:trHeight w:val="196"/>
        </w:trPr>
        <w:tc>
          <w:tcPr>
            <w:tcW w:w="3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Report on Form 6-K, furnished June 28, 2023).</w:t>
              </w:r>
            </w:hyperlink>
          </w:p>
        </w:tc>
        <w:tc>
          <w:tcPr>
            <w:tcW w:w="5760" w:type="dxa"/>
            <w:vAlign w:val="bottom"/>
            <w:tcBorders>
              <w:top w:val="single" w:sz="8" w:color="0000EE"/>
            </w:tcBorders>
            <w:gridSpan w:val="5"/>
          </w:tcPr>
          <w:p>
            <w:pPr>
              <w:spacing w:after="0"/>
              <w:rPr>
                <w:sz w:val="17"/>
                <w:szCs w:val="17"/>
                <w:color w:val="auto"/>
              </w:rPr>
            </w:pPr>
          </w:p>
        </w:tc>
        <w:tc>
          <w:tcPr>
            <w:tcW w:w="440" w:type="dxa"/>
            <w:vAlign w:val="bottom"/>
          </w:tcPr>
          <w:p>
            <w:pPr>
              <w:spacing w:after="0"/>
              <w:rPr>
                <w:sz w:val="17"/>
                <w:szCs w:val="17"/>
                <w:color w:val="auto"/>
              </w:rPr>
            </w:pPr>
          </w:p>
        </w:tc>
      </w:tr>
      <w:tr>
        <w:trPr>
          <w:trHeight w:val="657"/>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60" w:type="dxa"/>
            <w:vAlign w:val="bottom"/>
            <w:gridSpan w:val="6"/>
          </w:tcPr>
          <w:p>
            <w:pPr>
              <w:jc w:val="right"/>
              <w:ind w:right="2470"/>
              <w:spacing w:after="0"/>
              <w:rPr>
                <w:sz w:val="20"/>
                <w:szCs w:val="20"/>
                <w:color w:val="auto"/>
              </w:rPr>
            </w:pPr>
            <w:r>
              <w:rPr>
                <w:rFonts w:ascii="Arial" w:cs="Arial" w:eastAsia="Arial" w:hAnsi="Arial"/>
                <w:sz w:val="14"/>
                <w:szCs w:val="14"/>
                <w:color w:val="auto"/>
              </w:rPr>
              <w:t>3</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6"/>
        </w:trPr>
        <w:tc>
          <w:tcPr>
            <w:tcW w:w="30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500" w:type="dxa"/>
            <w:vAlign w:val="bottom"/>
            <w:tcBorders>
              <w:bottom w:val="single" w:sz="8" w:color="BFBFBF"/>
            </w:tcBorders>
          </w:tcPr>
          <w:p>
            <w:pPr>
              <w:spacing w:after="0"/>
              <w:rPr>
                <w:sz w:val="4"/>
                <w:szCs w:val="4"/>
                <w:color w:val="auto"/>
              </w:rPr>
            </w:pPr>
          </w:p>
        </w:tc>
        <w:tc>
          <w:tcPr>
            <w:tcW w:w="80" w:type="dxa"/>
            <w:vAlign w:val="bottom"/>
            <w:tcBorders>
              <w:bottom w:val="single" w:sz="8" w:color="BFBFBF"/>
            </w:tcBorders>
          </w:tcPr>
          <w:p>
            <w:pPr>
              <w:spacing w:after="0"/>
              <w:rPr>
                <w:sz w:val="4"/>
                <w:szCs w:val="4"/>
                <w:color w:val="auto"/>
              </w:rPr>
            </w:pPr>
          </w:p>
        </w:tc>
        <w:tc>
          <w:tcPr>
            <w:tcW w:w="20" w:type="dxa"/>
            <w:vAlign w:val="bottom"/>
            <w:tcBorders>
              <w:bottom w:val="single" w:sz="8" w:color="BFBFBF"/>
            </w:tcBorders>
          </w:tcPr>
          <w:p>
            <w:pPr>
              <w:spacing w:after="0"/>
              <w:rPr>
                <w:sz w:val="4"/>
                <w:szCs w:val="4"/>
                <w:color w:val="auto"/>
              </w:rPr>
            </w:pPr>
          </w:p>
        </w:tc>
        <w:tc>
          <w:tcPr>
            <w:tcW w:w="20" w:type="dxa"/>
            <w:vAlign w:val="bottom"/>
            <w:tcBorders>
              <w:bottom w:val="single" w:sz="8" w:color="BFBFBF"/>
            </w:tcBorders>
          </w:tcPr>
          <w:p>
            <w:pPr>
              <w:spacing w:after="0"/>
              <w:rPr>
                <w:sz w:val="4"/>
                <w:szCs w:val="4"/>
                <w:color w:val="auto"/>
              </w:rPr>
            </w:pPr>
          </w:p>
        </w:tc>
        <w:tc>
          <w:tcPr>
            <w:tcW w:w="300" w:type="dxa"/>
            <w:vAlign w:val="bottom"/>
            <w:tcBorders>
              <w:bottom w:val="single" w:sz="8" w:color="BFBFBF"/>
            </w:tcBorders>
          </w:tcPr>
          <w:p>
            <w:pPr>
              <w:spacing w:after="0"/>
              <w:rPr>
                <w:sz w:val="4"/>
                <w:szCs w:val="4"/>
                <w:color w:val="auto"/>
              </w:rPr>
            </w:pPr>
          </w:p>
        </w:tc>
        <w:tc>
          <w:tcPr>
            <w:tcW w:w="220" w:type="dxa"/>
            <w:vAlign w:val="bottom"/>
            <w:tcBorders>
              <w:bottom w:val="single" w:sz="8" w:color="BFBFBF"/>
            </w:tcBorders>
          </w:tcPr>
          <w:p>
            <w:pPr>
              <w:spacing w:after="0"/>
              <w:rPr>
                <w:sz w:val="4"/>
                <w:szCs w:val="4"/>
                <w:color w:val="auto"/>
              </w:rPr>
            </w:pPr>
          </w:p>
        </w:tc>
        <w:tc>
          <w:tcPr>
            <w:tcW w:w="60" w:type="dxa"/>
            <w:vAlign w:val="bottom"/>
            <w:tcBorders>
              <w:bottom w:val="single" w:sz="8" w:color="BFBFBF"/>
            </w:tcBorders>
          </w:tcPr>
          <w:p>
            <w:pPr>
              <w:spacing w:after="0"/>
              <w:rPr>
                <w:sz w:val="4"/>
                <w:szCs w:val="4"/>
                <w:color w:val="auto"/>
              </w:rPr>
            </w:pPr>
          </w:p>
        </w:tc>
        <w:tc>
          <w:tcPr>
            <w:tcW w:w="2560" w:type="dxa"/>
            <w:vAlign w:val="bottom"/>
            <w:tcBorders>
              <w:bottom w:val="single" w:sz="8" w:color="BFBFBF"/>
            </w:tcBorders>
          </w:tcPr>
          <w:p>
            <w:pPr>
              <w:spacing w:after="0"/>
              <w:rPr>
                <w:sz w:val="4"/>
                <w:szCs w:val="4"/>
                <w:color w:val="auto"/>
              </w:rPr>
            </w:pPr>
          </w:p>
        </w:tc>
        <w:tc>
          <w:tcPr>
            <w:tcW w:w="780" w:type="dxa"/>
            <w:vAlign w:val="bottom"/>
            <w:tcBorders>
              <w:bottom w:val="single" w:sz="8" w:color="BFBFBF"/>
            </w:tcBorders>
          </w:tcPr>
          <w:p>
            <w:pPr>
              <w:spacing w:after="0"/>
              <w:rPr>
                <w:sz w:val="4"/>
                <w:szCs w:val="4"/>
                <w:color w:val="auto"/>
              </w:rPr>
            </w:pPr>
          </w:p>
        </w:tc>
        <w:tc>
          <w:tcPr>
            <w:tcW w:w="60" w:type="dxa"/>
            <w:vAlign w:val="bottom"/>
            <w:tcBorders>
              <w:bottom w:val="single" w:sz="8" w:color="BFBFBF"/>
            </w:tcBorders>
          </w:tcPr>
          <w:p>
            <w:pPr>
              <w:spacing w:after="0"/>
              <w:rPr>
                <w:sz w:val="4"/>
                <w:szCs w:val="4"/>
                <w:color w:val="auto"/>
              </w:rPr>
            </w:pPr>
          </w:p>
        </w:tc>
        <w:tc>
          <w:tcPr>
            <w:tcW w:w="3180" w:type="dxa"/>
            <w:vAlign w:val="bottom"/>
            <w:tcBorders>
              <w:bottom w:val="single" w:sz="8" w:color="BFBFBF"/>
            </w:tcBorders>
          </w:tcPr>
          <w:p>
            <w:pPr>
              <w:spacing w:after="0"/>
              <w:rPr>
                <w:sz w:val="4"/>
                <w:szCs w:val="4"/>
                <w:color w:val="auto"/>
              </w:rPr>
            </w:pPr>
          </w:p>
        </w:tc>
        <w:tc>
          <w:tcPr>
            <w:tcW w:w="136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108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440" w:type="dxa"/>
            <w:vAlign w:val="bottom"/>
            <w:tcBorders>
              <w:bottom w:val="single" w:sz="8" w:color="BFBFBF"/>
            </w:tcBorders>
          </w:tcPr>
          <w:p>
            <w:pPr>
              <w:spacing w:after="0"/>
              <w:rPr>
                <w:sz w:val="4"/>
                <w:szCs w:val="4"/>
                <w:color w:val="auto"/>
              </w:rPr>
            </w:pPr>
          </w:p>
        </w:tc>
      </w:tr>
    </w:tbl>
    <w:p>
      <w:pPr>
        <w:sectPr>
          <w:pgSz w:w="11900" w:h="16838" w:orient="portrait"/>
          <w:cols w:equalWidth="0" w:num="1">
            <w:col w:w="11240"/>
          </w:cols>
          <w:pgMar w:left="320" w:top="361"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9"/>
          </w:tcPr>
          <w:p>
            <w:pPr>
              <w:ind w:left="24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40" w:type="dxa"/>
            <w:vAlign w:val="bottom"/>
            <w:gridSpan w:val="18"/>
          </w:tcPr>
          <w:p>
            <w:pPr>
              <w:ind w:left="960"/>
              <w:spacing w:after="0"/>
              <w:rPr>
                <w:sz w:val="20"/>
                <w:szCs w:val="20"/>
                <w:color w:val="auto"/>
              </w:rPr>
            </w:pPr>
            <w:r>
              <w:rPr>
                <w:rFonts w:ascii="Arial" w:cs="Arial" w:eastAsia="Arial" w:hAnsi="Arial"/>
                <w:sz w:val="18"/>
                <w:szCs w:val="18"/>
                <w:b w:val="1"/>
                <w:bCs w:val="1"/>
                <w:color w:val="auto"/>
              </w:rPr>
              <w:t>Description</w:t>
            </w:r>
          </w:p>
        </w:tc>
      </w:tr>
      <w:tr>
        <w:trPr>
          <w:trHeight w:val="61"/>
        </w:trPr>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r>
      <w:tr>
        <w:trPr>
          <w:trHeight w:val="229"/>
        </w:trPr>
        <w:tc>
          <w:tcPr>
            <w:tcW w:w="1360" w:type="dxa"/>
            <w:vAlign w:val="bottom"/>
            <w:gridSpan w:val="9"/>
          </w:tcPr>
          <w:p>
            <w:pPr>
              <w:jc w:val="center"/>
              <w:spacing w:after="0"/>
              <w:rPr>
                <w:rFonts w:ascii="Arial" w:cs="Arial" w:eastAsia="Arial" w:hAnsi="Arial"/>
                <w:sz w:val="18"/>
                <w:szCs w:val="18"/>
                <w:color w:val="0000EE"/>
              </w:rPr>
            </w:pPr>
            <w:hyperlink r:id="rId23">
              <w:r>
                <w:rPr>
                  <w:rFonts w:ascii="Arial" w:cs="Arial" w:eastAsia="Arial" w:hAnsi="Arial"/>
                  <w:sz w:val="18"/>
                  <w:szCs w:val="18"/>
                  <w:color w:val="0000EE"/>
                </w:rPr>
                <w:t>(a)(7)*****</w:t>
              </w:r>
            </w:hyperlink>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0" w:type="dxa"/>
            <w:vAlign w:val="bottom"/>
            <w:gridSpan w:val="20"/>
          </w:tcPr>
          <w:p>
            <w:pPr>
              <w:spacing w:after="0"/>
              <w:rPr>
                <w:rFonts w:ascii="Arial" w:cs="Arial" w:eastAsia="Arial" w:hAnsi="Arial"/>
                <w:sz w:val="18"/>
                <w:szCs w:val="18"/>
                <w:color w:val="0000EE"/>
              </w:rPr>
            </w:pPr>
            <w:hyperlink r:id="rId23">
              <w:r>
                <w:rPr>
                  <w:rFonts w:ascii="Arial" w:cs="Arial" w:eastAsia="Arial" w:hAnsi="Arial"/>
                  <w:sz w:val="18"/>
                  <w:szCs w:val="18"/>
                  <w:color w:val="0000EE"/>
                </w:rPr>
                <w:t>Current Report on Form 6-K of the Partnership, furnished July 3, 2023 (incorporated herein by reference).</w:t>
              </w:r>
            </w:hyperlink>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5"/>
          </w:tcPr>
          <w:p>
            <w:pPr>
              <w:jc w:val="center"/>
              <w:ind w:right="240"/>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(a)(8)</w:t>
              </w:r>
            </w:hyperlink>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5"/>
              </w:rPr>
            </w:pPr>
            <w:hyperlink r:id="rId24">
              <w:r>
                <w:rPr>
                  <w:rFonts w:ascii="Arial" w:cs="Arial" w:eastAsia="Arial" w:hAnsi="Arial"/>
                  <w:sz w:val="18"/>
                  <w:szCs w:val="18"/>
                  <w:color w:val="0000EE"/>
                  <w:w w:val="95"/>
                </w:rPr>
                <w:t>Press Release of the Partnership, dated July 7, 2023 (incorporated herein by reference to Exhibit 99.1 to Partnership’s Current</w:t>
              </w:r>
            </w:hyperlink>
          </w:p>
        </w:tc>
      </w:t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Report on Form 6-K, furnished July 7, 2023).</w:t>
              </w:r>
            </w:hyperlink>
          </w:p>
        </w:tc>
        <w:tc>
          <w:tcPr>
            <w:tcW w:w="5760" w:type="dxa"/>
            <w:vAlign w:val="bottom"/>
            <w:tcBorders>
              <w:top w:val="single" w:sz="8" w:color="0000EE"/>
            </w:tcBorders>
            <w:gridSpan w:val="15"/>
          </w:tcPr>
          <w:p>
            <w:pPr>
              <w:spacing w:after="0"/>
              <w:rPr>
                <w:sz w:val="17"/>
                <w:szCs w:val="17"/>
                <w:color w:val="auto"/>
              </w:rPr>
            </w:pPr>
          </w:p>
        </w:tc>
        <w:tc>
          <w:tcPr>
            <w:tcW w:w="560" w:type="dxa"/>
            <w:vAlign w:val="bottom"/>
            <w:gridSpan w:val="4"/>
          </w:tcPr>
          <w:p>
            <w:pPr>
              <w:spacing w:after="0"/>
              <w:rPr>
                <w:sz w:val="17"/>
                <w:szCs w:val="17"/>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6"/>
          </w:tcPr>
          <w:p>
            <w:pPr>
              <w:jc w:val="center"/>
              <w:ind w:right="480"/>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(a)(9)</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4"/>
              </w:rPr>
            </w:pPr>
            <w:hyperlink r:id="rId25">
              <w:r>
                <w:rPr>
                  <w:rFonts w:ascii="Arial" w:cs="Arial" w:eastAsia="Arial" w:hAnsi="Arial"/>
                  <w:sz w:val="18"/>
                  <w:szCs w:val="18"/>
                  <w:color w:val="0000EE"/>
                  <w:w w:val="94"/>
                </w:rPr>
                <w:t>Press Release of the Partnership, dated July 13, 2023 (incorporated herein by reference to Exhibit 99.1 to Partnership’s Current</w:t>
              </w:r>
            </w:hyperlink>
          </w:p>
        </w:tc>
      </w:t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Report on Form 6-K, furnished July 13, 2023).</w:t>
              </w:r>
            </w:hyperlink>
          </w:p>
        </w:tc>
        <w:tc>
          <w:tcPr>
            <w:tcW w:w="460" w:type="dxa"/>
            <w:vAlign w:val="bottom"/>
            <w:gridSpan w:val="3"/>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bottom w:val="single" w:sz="8" w:color="0000EE"/>
            </w:tcBorders>
            <w:gridSpan w:val="4"/>
          </w:tcPr>
          <w:p>
            <w:pPr>
              <w:jc w:val="center"/>
              <w:ind w:right="20"/>
              <w:spacing w:after="0"/>
              <w:rPr>
                <w:rFonts w:ascii="Arial" w:cs="Arial" w:eastAsia="Arial" w:hAnsi="Arial"/>
                <w:sz w:val="18"/>
                <w:szCs w:val="18"/>
                <w:color w:val="0000EE"/>
                <w:w w:val="97"/>
              </w:rPr>
            </w:pPr>
            <w:hyperlink r:id="rId26">
              <w:r>
                <w:rPr>
                  <w:rFonts w:ascii="Arial" w:cs="Arial" w:eastAsia="Arial" w:hAnsi="Arial"/>
                  <w:sz w:val="18"/>
                  <w:szCs w:val="18"/>
                  <w:color w:val="0000EE"/>
                  <w:w w:val="97"/>
                </w:rPr>
                <w:t>(b)(1)*</w:t>
              </w:r>
            </w:hyperlink>
          </w:p>
        </w:tc>
        <w:tc>
          <w:tcPr>
            <w:tcW w:w="4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80" w:type="dxa"/>
            <w:vAlign w:val="bottom"/>
            <w:tcBorders>
              <w:bottom w:val="single" w:sz="8" w:color="0000EE"/>
            </w:tcBorders>
            <w:gridSpan w:val="7"/>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Debt Commitment Letter, dated April 6, 2023, between Parent and DNB (UK) Ltd.</w:t>
              </w:r>
            </w:hyperlink>
          </w:p>
        </w:tc>
        <w:tc>
          <w:tcPr>
            <w:tcW w:w="3620" w:type="dxa"/>
            <w:vAlign w:val="bottom"/>
            <w:gridSpan w:val="13"/>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7"/>
          </w:tcPr>
          <w:p>
            <w:pPr>
              <w:jc w:val="center"/>
              <w:ind w:right="340"/>
              <w:spacing w:after="0"/>
              <w:rPr>
                <w:rFonts w:ascii="Arial" w:cs="Arial" w:eastAsia="Arial" w:hAnsi="Arial"/>
                <w:sz w:val="18"/>
                <w:szCs w:val="18"/>
                <w:color w:val="0000EE"/>
                <w:w w:val="90"/>
              </w:rPr>
            </w:pPr>
            <w:hyperlink r:id="rId27">
              <w:r>
                <w:rPr>
                  <w:rFonts w:ascii="Arial" w:cs="Arial" w:eastAsia="Arial" w:hAnsi="Arial"/>
                  <w:sz w:val="18"/>
                  <w:szCs w:val="18"/>
                  <w:color w:val="0000EE"/>
                  <w:w w:val="90"/>
                </w:rPr>
                <w:t>(c)(1)***</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27">
              <w:r>
                <w:rPr>
                  <w:rFonts w:ascii="Arial" w:cs="Arial" w:eastAsia="Arial" w:hAnsi="Arial"/>
                  <w:sz w:val="18"/>
                  <w:szCs w:val="18"/>
                  <w:color w:val="0000EE"/>
                </w:rPr>
                <w:t>Opinion of Evercore, dated April, 6 2023 (incorporated herein by reference to Annex C of the Proxy Statement).</w:t>
              </w:r>
            </w:hyperlink>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3"/>
          </w:tcPr>
          <w:p>
            <w:pPr>
              <w:jc w:val="center"/>
              <w:spacing w:after="0"/>
              <w:rPr>
                <w:rFonts w:ascii="Arial" w:cs="Arial" w:eastAsia="Arial" w:hAnsi="Arial"/>
                <w:sz w:val="18"/>
                <w:szCs w:val="18"/>
                <w:color w:val="0000EE"/>
                <w:w w:val="99"/>
              </w:rPr>
            </w:pPr>
            <w:hyperlink r:id="rId28">
              <w:r>
                <w:rPr>
                  <w:rFonts w:ascii="Arial" w:cs="Arial" w:eastAsia="Arial" w:hAnsi="Arial"/>
                  <w:sz w:val="18"/>
                  <w:szCs w:val="18"/>
                  <w:color w:val="0000EE"/>
                  <w:w w:val="99"/>
                </w:rPr>
                <w:t>(c)(2)*</w:t>
              </w:r>
            </w:hyperlink>
          </w:p>
        </w:tc>
        <w:tc>
          <w:tcPr>
            <w:tcW w:w="4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8"/>
              </w:rPr>
            </w:pPr>
            <w:hyperlink r:id="rId28">
              <w:r>
                <w:rPr>
                  <w:rFonts w:ascii="Arial" w:cs="Arial" w:eastAsia="Arial" w:hAnsi="Arial"/>
                  <w:sz w:val="18"/>
                  <w:szCs w:val="18"/>
                  <w:color w:val="0000EE"/>
                  <w:w w:val="98"/>
                </w:rPr>
                <w:t>Discussion materials prepared by Evercore, dated February 3, 2023, for the Conflicts Committee of the Partnership Board.</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3"/>
          </w:tcPr>
          <w:p>
            <w:pPr>
              <w:jc w:val="center"/>
              <w:spacing w:after="0"/>
              <w:rPr>
                <w:rFonts w:ascii="Arial" w:cs="Arial" w:eastAsia="Arial" w:hAnsi="Arial"/>
                <w:sz w:val="18"/>
                <w:szCs w:val="18"/>
                <w:color w:val="0000EE"/>
                <w:w w:val="99"/>
              </w:rPr>
            </w:pPr>
            <w:hyperlink r:id="rId29">
              <w:r>
                <w:rPr>
                  <w:rFonts w:ascii="Arial" w:cs="Arial" w:eastAsia="Arial" w:hAnsi="Arial"/>
                  <w:sz w:val="18"/>
                  <w:szCs w:val="18"/>
                  <w:color w:val="0000EE"/>
                  <w:w w:val="99"/>
                </w:rPr>
                <w:t>(c)(3)*</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8"/>
              </w:rPr>
            </w:pPr>
            <w:hyperlink r:id="rId29">
              <w:r>
                <w:rPr>
                  <w:rFonts w:ascii="Arial" w:cs="Arial" w:eastAsia="Arial" w:hAnsi="Arial"/>
                  <w:sz w:val="18"/>
                  <w:szCs w:val="18"/>
                  <w:color w:val="0000EE"/>
                  <w:w w:val="98"/>
                </w:rPr>
                <w:t>Discussion materials prepared by Evercore, dated February 9, 2023, for the Conflicts Committee of the Partnership Board.</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0">
              <w:r>
                <w:rPr>
                  <w:rFonts w:ascii="Arial" w:cs="Arial" w:eastAsia="Arial" w:hAnsi="Arial"/>
                  <w:sz w:val="18"/>
                  <w:szCs w:val="18"/>
                  <w:color w:val="0000EE"/>
                  <w:w w:val="99"/>
                </w:rPr>
                <w:t>(c)(4)*</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00" w:type="dxa"/>
            <w:vAlign w:val="bottom"/>
            <w:tcBorders>
              <w:bottom w:val="single" w:sz="8" w:color="0000EE"/>
            </w:tcBorders>
            <w:gridSpan w:val="15"/>
          </w:tcPr>
          <w:p>
            <w:pP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Discussion materials prepared by Evercore, dated February 27, 2023, for the Conflicts Committee of the Partnership Board.</w:t>
              </w:r>
            </w:hyperlink>
          </w:p>
        </w:tc>
        <w:tc>
          <w:tcPr>
            <w:tcW w:w="700" w:type="dxa"/>
            <w:vAlign w:val="bottom"/>
            <w:gridSpan w:val="5"/>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3"/>
          </w:tcPr>
          <w:p>
            <w:pPr>
              <w:jc w:val="center"/>
              <w:spacing w:after="0"/>
              <w:rPr>
                <w:rFonts w:ascii="Arial" w:cs="Arial" w:eastAsia="Arial" w:hAnsi="Arial"/>
                <w:sz w:val="18"/>
                <w:szCs w:val="18"/>
                <w:color w:val="0000EE"/>
                <w:w w:val="99"/>
              </w:rPr>
            </w:pPr>
            <w:hyperlink r:id="rId31">
              <w:r>
                <w:rPr>
                  <w:rFonts w:ascii="Arial" w:cs="Arial" w:eastAsia="Arial" w:hAnsi="Arial"/>
                  <w:sz w:val="18"/>
                  <w:szCs w:val="18"/>
                  <w:color w:val="0000EE"/>
                  <w:w w:val="99"/>
                </w:rPr>
                <w:t>(c)(5)*</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1">
              <w:r>
                <w:rPr>
                  <w:rFonts w:ascii="Arial" w:cs="Arial" w:eastAsia="Arial" w:hAnsi="Arial"/>
                  <w:sz w:val="18"/>
                  <w:szCs w:val="18"/>
                  <w:color w:val="0000EE"/>
                </w:rPr>
                <w:t>Discussion materials prepared by Evercore, dated March 3, 2023, for the Conflicts Committee of the Partnership Board.</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2">
              <w:r>
                <w:rPr>
                  <w:rFonts w:ascii="Arial" w:cs="Arial" w:eastAsia="Arial" w:hAnsi="Arial"/>
                  <w:sz w:val="18"/>
                  <w:szCs w:val="18"/>
                  <w:color w:val="0000EE"/>
                  <w:w w:val="99"/>
                </w:rPr>
                <w:t>(c)(6)*</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Discussion materials prepared by Evercore, dated March 13, 2023, for the Conflicts Committee of the Partnership Board.</w:t>
              </w:r>
            </w:hyperlink>
          </w:p>
        </w:tc>
        <w:tc>
          <w:tcPr>
            <w:tcW w:w="880" w:type="dxa"/>
            <w:vAlign w:val="bottom"/>
            <w:gridSpan w:val="7"/>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3">
              <w:r>
                <w:rPr>
                  <w:rFonts w:ascii="Arial" w:cs="Arial" w:eastAsia="Arial" w:hAnsi="Arial"/>
                  <w:sz w:val="18"/>
                  <w:szCs w:val="18"/>
                  <w:color w:val="0000EE"/>
                  <w:w w:val="99"/>
                </w:rPr>
                <w:t>(c)(7)*</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Discussion materials prepared by Evercore, dated March 14, 2023, for the Conflicts Committee of the Partnership Board.</w:t>
              </w:r>
            </w:hyperlink>
          </w:p>
        </w:tc>
        <w:tc>
          <w:tcPr>
            <w:tcW w:w="880" w:type="dxa"/>
            <w:vAlign w:val="bottom"/>
            <w:gridSpan w:val="7"/>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4">
              <w:r>
                <w:rPr>
                  <w:rFonts w:ascii="Arial" w:cs="Arial" w:eastAsia="Arial" w:hAnsi="Arial"/>
                  <w:sz w:val="18"/>
                  <w:szCs w:val="18"/>
                  <w:color w:val="0000EE"/>
                  <w:w w:val="99"/>
                </w:rPr>
                <w:t>(c)(8)*</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Arial" w:cs="Arial" w:eastAsia="Arial" w:hAnsi="Arial"/>
                <w:sz w:val="18"/>
                <w:szCs w:val="18"/>
                <w:color w:val="0000EE"/>
                <w:w w:val="90"/>
              </w:rPr>
            </w:pPr>
            <w:hyperlink r:id="rId34">
              <w:r>
                <w:rPr>
                  <w:rFonts w:ascii="Arial" w:cs="Arial" w:eastAsia="Arial" w:hAnsi="Arial"/>
                  <w:sz w:val="18"/>
                  <w:szCs w:val="18"/>
                  <w:color w:val="0000EE"/>
                  <w:w w:val="90"/>
                </w:rPr>
                <w:t>Discussion materials prepared by Evercore, dated March 19, 2023, for the Conflicts Committee of the Partnership Board.</w:t>
              </w:r>
            </w:hyperlink>
          </w:p>
        </w:tc>
        <w:tc>
          <w:tcPr>
            <w:tcW w:w="880" w:type="dxa"/>
            <w:vAlign w:val="bottom"/>
            <w:gridSpan w:val="7"/>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5">
              <w:r>
                <w:rPr>
                  <w:rFonts w:ascii="Arial" w:cs="Arial" w:eastAsia="Arial" w:hAnsi="Arial"/>
                  <w:sz w:val="18"/>
                  <w:szCs w:val="18"/>
                  <w:color w:val="0000EE"/>
                  <w:w w:val="99"/>
                </w:rPr>
                <w:t>(c)(9)*</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Arial" w:cs="Arial" w:eastAsia="Arial" w:hAnsi="Arial"/>
                <w:sz w:val="18"/>
                <w:szCs w:val="18"/>
                <w:color w:val="0000EE"/>
                <w:w w:val="90"/>
              </w:rPr>
            </w:pPr>
            <w:hyperlink r:id="rId35">
              <w:r>
                <w:rPr>
                  <w:rFonts w:ascii="Arial" w:cs="Arial" w:eastAsia="Arial" w:hAnsi="Arial"/>
                  <w:sz w:val="18"/>
                  <w:szCs w:val="18"/>
                  <w:color w:val="0000EE"/>
                  <w:w w:val="90"/>
                </w:rPr>
                <w:t>Discussion materials prepared by Evercore, dated March 30, 2023, for the Conflicts Committee of the Partnership Board.</w:t>
              </w:r>
            </w:hyperlink>
          </w:p>
        </w:tc>
        <w:tc>
          <w:tcPr>
            <w:tcW w:w="880" w:type="dxa"/>
            <w:vAlign w:val="bottom"/>
            <w:gridSpan w:val="7"/>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5"/>
          </w:tcPr>
          <w:p>
            <w:pPr>
              <w:jc w:val="center"/>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(c)(10)*</w:t>
              </w:r>
            </w:hyperlink>
          </w:p>
        </w:tc>
        <w:tc>
          <w:tcPr>
            <w:tcW w:w="3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6">
              <w:r>
                <w:rPr>
                  <w:rFonts w:ascii="Arial" w:cs="Arial" w:eastAsia="Arial" w:hAnsi="Arial"/>
                  <w:sz w:val="18"/>
                  <w:szCs w:val="18"/>
                  <w:color w:val="0000EE"/>
                </w:rPr>
                <w:t>Discussion materials prepared by Evercore, dated April 1, 2023, for the Conflicts Committee of the Partnership Board.</w:t>
              </w:r>
            </w:hyperlink>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5"/>
          </w:tcPr>
          <w:p>
            <w:pPr>
              <w:jc w:val="center"/>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(c)(11)*</w:t>
              </w:r>
            </w:hyperlink>
          </w:p>
        </w:tc>
        <w:tc>
          <w:tcPr>
            <w:tcW w:w="3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7">
              <w:r>
                <w:rPr>
                  <w:rFonts w:ascii="Arial" w:cs="Arial" w:eastAsia="Arial" w:hAnsi="Arial"/>
                  <w:sz w:val="18"/>
                  <w:szCs w:val="18"/>
                  <w:color w:val="0000EE"/>
                </w:rPr>
                <w:t>Discussion materials prepared by Evercore, dated April 6, 2023, for the Conflicts Committee of the Partnership Board.</w:t>
              </w:r>
            </w:hyperlink>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7"/>
          </w:tcPr>
          <w:p>
            <w:pPr>
              <w:jc w:val="center"/>
              <w:ind w:right="340"/>
              <w:spacing w:after="0"/>
              <w:rPr>
                <w:rFonts w:ascii="Arial" w:cs="Arial" w:eastAsia="Arial" w:hAnsi="Arial"/>
                <w:sz w:val="18"/>
                <w:szCs w:val="18"/>
                <w:color w:val="0000EE"/>
                <w:w w:val="86"/>
              </w:rPr>
            </w:pPr>
            <w:hyperlink r:id="rId38">
              <w:r>
                <w:rPr>
                  <w:rFonts w:ascii="Arial" w:cs="Arial" w:eastAsia="Arial" w:hAnsi="Arial"/>
                  <w:sz w:val="18"/>
                  <w:szCs w:val="18"/>
                  <w:color w:val="0000EE"/>
                  <w:w w:val="86"/>
                </w:rPr>
                <w:t>(c)(12)**</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8">
              <w:r>
                <w:rPr>
                  <w:rFonts w:ascii="Arial" w:cs="Arial" w:eastAsia="Arial" w:hAnsi="Arial"/>
                  <w:sz w:val="18"/>
                  <w:szCs w:val="18"/>
                  <w:color w:val="0000EE"/>
                </w:rPr>
                <w:t>Certificates of Valuation prepared by Fearnleys, dated December 21, 2022.</w:t>
              </w:r>
            </w:hyperlink>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7"/>
          </w:tcPr>
          <w:p>
            <w:pPr>
              <w:jc w:val="center"/>
              <w:ind w:right="340"/>
              <w:spacing w:after="0"/>
              <w:rPr>
                <w:rFonts w:ascii="Arial" w:cs="Arial" w:eastAsia="Arial" w:hAnsi="Arial"/>
                <w:sz w:val="18"/>
                <w:szCs w:val="18"/>
                <w:color w:val="0000EE"/>
                <w:w w:val="86"/>
              </w:rPr>
            </w:pPr>
            <w:hyperlink r:id="rId39">
              <w:r>
                <w:rPr>
                  <w:rFonts w:ascii="Arial" w:cs="Arial" w:eastAsia="Arial" w:hAnsi="Arial"/>
                  <w:sz w:val="18"/>
                  <w:szCs w:val="18"/>
                  <w:color w:val="0000EE"/>
                  <w:w w:val="86"/>
                </w:rPr>
                <w:t>(c)(13)**</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9">
              <w:r>
                <w:rPr>
                  <w:rFonts w:ascii="Arial" w:cs="Arial" w:eastAsia="Arial" w:hAnsi="Arial"/>
                  <w:sz w:val="18"/>
                  <w:szCs w:val="18"/>
                  <w:color w:val="0000EE"/>
                </w:rPr>
                <w:t>Certificates of Valuation prepared by Braemar, dated December 20, 2022.</w:t>
              </w:r>
            </w:hyperlink>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gridSpan w:val="3"/>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7"/>
          </w:tcPr>
          <w:p>
            <w:pPr>
              <w:jc w:val="center"/>
              <w:ind w:right="340"/>
              <w:spacing w:after="0"/>
              <w:rPr>
                <w:rFonts w:ascii="Arial" w:cs="Arial" w:eastAsia="Arial" w:hAnsi="Arial"/>
                <w:sz w:val="18"/>
                <w:szCs w:val="18"/>
                <w:color w:val="0000EE"/>
                <w:w w:val="86"/>
              </w:rPr>
            </w:pPr>
            <w:hyperlink r:id="rId40">
              <w:r>
                <w:rPr>
                  <w:rFonts w:ascii="Arial" w:cs="Arial" w:eastAsia="Arial" w:hAnsi="Arial"/>
                  <w:sz w:val="18"/>
                  <w:szCs w:val="18"/>
                  <w:color w:val="0000EE"/>
                  <w:w w:val="86"/>
                </w:rPr>
                <w:t>(c)(14)**</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40">
              <w:r>
                <w:rPr>
                  <w:rFonts w:ascii="Arial" w:cs="Arial" w:eastAsia="Arial" w:hAnsi="Arial"/>
                  <w:sz w:val="18"/>
                  <w:szCs w:val="18"/>
                  <w:color w:val="0000EE"/>
                </w:rPr>
                <w:t>Certificates of Valuation prepared by Fearnleys, dated February 28, 2023.</w:t>
              </w:r>
            </w:hyperlink>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7"/>
          </w:tcPr>
          <w:p>
            <w:pPr>
              <w:jc w:val="center"/>
              <w:ind w:right="340"/>
              <w:spacing w:after="0"/>
              <w:rPr>
                <w:rFonts w:ascii="Arial" w:cs="Arial" w:eastAsia="Arial" w:hAnsi="Arial"/>
                <w:sz w:val="18"/>
                <w:szCs w:val="18"/>
                <w:color w:val="0000EE"/>
                <w:w w:val="86"/>
              </w:rPr>
            </w:pPr>
            <w:hyperlink r:id="rId41">
              <w:r>
                <w:rPr>
                  <w:rFonts w:ascii="Arial" w:cs="Arial" w:eastAsia="Arial" w:hAnsi="Arial"/>
                  <w:sz w:val="18"/>
                  <w:szCs w:val="18"/>
                  <w:color w:val="0000EE"/>
                  <w:w w:val="86"/>
                </w:rPr>
                <w:t>(c)(15)**</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41">
              <w:r>
                <w:rPr>
                  <w:rFonts w:ascii="Arial" w:cs="Arial" w:eastAsia="Arial" w:hAnsi="Arial"/>
                  <w:sz w:val="18"/>
                  <w:szCs w:val="18"/>
                  <w:color w:val="0000EE"/>
                </w:rPr>
                <w:t>Certificates of Valuation prepared by Braemar, dated February 28, 2023.</w:t>
              </w:r>
            </w:hyperlink>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100" w:type="dxa"/>
            <w:vAlign w:val="bottom"/>
            <w:gridSpan w:val="8"/>
          </w:tcPr>
          <w:p>
            <w:pPr>
              <w:jc w:val="center"/>
              <w:ind w:right="260"/>
              <w:spacing w:after="0"/>
              <w:rPr>
                <w:rFonts w:ascii="Arial" w:cs="Arial" w:eastAsia="Arial" w:hAnsi="Arial"/>
                <w:sz w:val="18"/>
                <w:szCs w:val="18"/>
                <w:color w:val="0000EE"/>
              </w:rPr>
            </w:pPr>
            <w:hyperlink r:id="rId42">
              <w:r>
                <w:rPr>
                  <w:rFonts w:ascii="Arial" w:cs="Arial" w:eastAsia="Arial" w:hAnsi="Arial"/>
                  <w:sz w:val="18"/>
                  <w:szCs w:val="18"/>
                  <w:color w:val="0000EE"/>
                </w:rPr>
                <w:t>(d)(1)***</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3"/>
              </w:rPr>
            </w:pPr>
            <w:hyperlink r:id="rId42">
              <w:r>
                <w:rPr>
                  <w:rFonts w:ascii="Arial" w:cs="Arial" w:eastAsia="Arial" w:hAnsi="Arial"/>
                  <w:sz w:val="18"/>
                  <w:szCs w:val="18"/>
                  <w:color w:val="0000EE"/>
                  <w:w w:val="93"/>
                </w:rPr>
                <w:t>Agreement and Plan of Merger, dated April 6, 2023, by and among the Partnership, the General Partner, Parent and Merger Sub</w:t>
              </w:r>
            </w:hyperlink>
          </w:p>
        </w:tc>
      </w:t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(incorporated herein by reference to Annex A of the Proxy Statement).</w:t>
              </w:r>
            </w:hyperlink>
          </w:p>
        </w:tc>
        <w:tc>
          <w:tcPr>
            <w:tcW w:w="4160" w:type="dxa"/>
            <w:vAlign w:val="bottom"/>
            <w:tcBorders>
              <w:top w:val="single" w:sz="8" w:color="0000EE"/>
            </w:tcBorders>
            <w:gridSpan w:val="15"/>
          </w:tcPr>
          <w:p>
            <w:pPr>
              <w:spacing w:after="0"/>
              <w:rPr>
                <w:sz w:val="17"/>
                <w:szCs w:val="17"/>
                <w:color w:val="auto"/>
              </w:rPr>
            </w:pPr>
          </w:p>
        </w:tc>
        <w:tc>
          <w:tcPr>
            <w:tcW w:w="380" w:type="dxa"/>
            <w:vAlign w:val="bottom"/>
            <w:gridSpan w:val="2"/>
          </w:tcPr>
          <w:p>
            <w:pPr>
              <w:spacing w:after="0"/>
              <w:rPr>
                <w:sz w:val="17"/>
                <w:szCs w:val="17"/>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bottom w:val="single" w:sz="8" w:color="0000EE"/>
            </w:tcBorders>
            <w:gridSpan w:val="4"/>
          </w:tcPr>
          <w:p>
            <w:pPr>
              <w:jc w:val="center"/>
              <w:ind w:right="20"/>
              <w:spacing w:after="0"/>
              <w:rPr>
                <w:rFonts w:ascii="Arial" w:cs="Arial" w:eastAsia="Arial" w:hAnsi="Arial"/>
                <w:sz w:val="18"/>
                <w:szCs w:val="18"/>
                <w:color w:val="0000EE"/>
                <w:w w:val="97"/>
              </w:rPr>
            </w:pPr>
            <w:hyperlink r:id="rId43">
              <w:r>
                <w:rPr>
                  <w:rFonts w:ascii="Arial" w:cs="Arial" w:eastAsia="Arial" w:hAnsi="Arial"/>
                  <w:sz w:val="18"/>
                  <w:szCs w:val="18"/>
                  <w:color w:val="0000EE"/>
                  <w:w w:val="97"/>
                </w:rPr>
                <w:t>(d)(2)*</w:t>
              </w:r>
            </w:hyperlink>
          </w:p>
        </w:tc>
        <w:tc>
          <w:tcPr>
            <w:tcW w:w="4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60" w:type="dxa"/>
            <w:vAlign w:val="bottom"/>
            <w:tcBorders>
              <w:bottom w:val="single" w:sz="8" w:color="0000EE"/>
            </w:tcBorders>
            <w:gridSpan w:val="19"/>
          </w:tcPr>
          <w:p>
            <w:pPr>
              <w:spacing w:after="0"/>
              <w:rPr>
                <w:rFonts w:ascii="Arial" w:cs="Arial" w:eastAsia="Arial" w:hAnsi="Arial"/>
                <w:sz w:val="18"/>
                <w:szCs w:val="18"/>
                <w:color w:val="0000EE"/>
                <w:w w:val="89"/>
              </w:rPr>
            </w:pPr>
            <w:hyperlink r:id="rId43">
              <w:r>
                <w:rPr>
                  <w:rFonts w:ascii="Arial" w:cs="Arial" w:eastAsia="Arial" w:hAnsi="Arial"/>
                  <w:sz w:val="18"/>
                  <w:szCs w:val="18"/>
                  <w:color w:val="0000EE"/>
                  <w:w w:val="89"/>
                </w:rPr>
                <w:t>Seventh Amended and Restated Agreement of Limited Partnership of the Partnership, dated as of August 5, 2020 (incorporated by</w:t>
              </w:r>
            </w:hyperlink>
          </w:p>
        </w:tc>
        <w:tc>
          <w:tcPr>
            <w:tcW w:w="24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reference to Exhibit 3.2 to the Current Report on Form 6-K, filed by the Partnership on August 5, 2020).</w:t>
              </w:r>
            </w:hyperlink>
          </w:p>
        </w:tc>
        <w:tc>
          <w:tcPr>
            <w:tcW w:w="2100" w:type="dxa"/>
            <w:vAlign w:val="bottom"/>
            <w:gridSpan w:val="12"/>
          </w:tcPr>
          <w:p>
            <w:pPr>
              <w:spacing w:after="0"/>
              <w:rPr>
                <w:sz w:val="17"/>
                <w:szCs w:val="17"/>
                <w:color w:val="auto"/>
              </w:rPr>
            </w:pPr>
          </w:p>
        </w:tc>
      </w:tr>
      <w:tr>
        <w:trPr>
          <w:trHeight w:val="900"/>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gridSpan w:val="5"/>
          </w:tcPr>
          <w:p>
            <w:pPr>
              <w:jc w:val="right"/>
              <w:ind w:right="95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6"/>
        </w:trPr>
        <w:tc>
          <w:tcPr>
            <w:tcW w:w="260" w:type="dxa"/>
            <w:vAlign w:val="bottom"/>
            <w:tcBorders>
              <w:bottom w:val="single" w:sz="8" w:color="BFBFBF"/>
            </w:tcBorders>
          </w:tcPr>
          <w:p>
            <w:pPr>
              <w:spacing w:after="0"/>
              <w:rPr>
                <w:sz w:val="4"/>
                <w:szCs w:val="4"/>
                <w:color w:val="auto"/>
              </w:rPr>
            </w:pPr>
          </w:p>
        </w:tc>
        <w:tc>
          <w:tcPr>
            <w:tcW w:w="180" w:type="dxa"/>
            <w:vAlign w:val="bottom"/>
            <w:tcBorders>
              <w:bottom w:val="single" w:sz="8" w:color="BFBFBF"/>
            </w:tcBorders>
          </w:tcPr>
          <w:p>
            <w:pPr>
              <w:spacing w:after="0"/>
              <w:rPr>
                <w:sz w:val="4"/>
                <w:szCs w:val="4"/>
                <w:color w:val="auto"/>
              </w:rPr>
            </w:pPr>
          </w:p>
        </w:tc>
        <w:tc>
          <w:tcPr>
            <w:tcW w:w="40" w:type="dxa"/>
            <w:vAlign w:val="bottom"/>
            <w:tcBorders>
              <w:bottom w:val="single" w:sz="8" w:color="BFBFBF"/>
            </w:tcBorders>
          </w:tcPr>
          <w:p>
            <w:pPr>
              <w:spacing w:after="0"/>
              <w:rPr>
                <w:sz w:val="4"/>
                <w:szCs w:val="4"/>
                <w:color w:val="auto"/>
              </w:rPr>
            </w:pPr>
          </w:p>
        </w:tc>
        <w:tc>
          <w:tcPr>
            <w:tcW w:w="400" w:type="dxa"/>
            <w:vAlign w:val="bottom"/>
            <w:tcBorders>
              <w:bottom w:val="single" w:sz="8" w:color="BFBFBF"/>
            </w:tcBorders>
          </w:tcPr>
          <w:p>
            <w:pPr>
              <w:spacing w:after="0"/>
              <w:rPr>
                <w:sz w:val="4"/>
                <w:szCs w:val="4"/>
                <w:color w:val="auto"/>
              </w:rPr>
            </w:pPr>
          </w:p>
        </w:tc>
        <w:tc>
          <w:tcPr>
            <w:tcW w:w="60" w:type="dxa"/>
            <w:vAlign w:val="bottom"/>
            <w:tcBorders>
              <w:bottom w:val="single" w:sz="8" w:color="BFBFBF"/>
            </w:tcBorders>
          </w:tcPr>
          <w:p>
            <w:pPr>
              <w:spacing w:after="0"/>
              <w:rPr>
                <w:sz w:val="4"/>
                <w:szCs w:val="4"/>
                <w:color w:val="auto"/>
              </w:rPr>
            </w:pPr>
          </w:p>
        </w:tc>
        <w:tc>
          <w:tcPr>
            <w:tcW w:w="20" w:type="dxa"/>
            <w:vAlign w:val="bottom"/>
            <w:tcBorders>
              <w:bottom w:val="single" w:sz="8" w:color="BFBFBF"/>
            </w:tcBorders>
          </w:tcPr>
          <w:p>
            <w:pPr>
              <w:spacing w:after="0"/>
              <w:rPr>
                <w:sz w:val="4"/>
                <w:szCs w:val="4"/>
                <w:color w:val="auto"/>
              </w:rPr>
            </w:pPr>
          </w:p>
        </w:tc>
        <w:tc>
          <w:tcPr>
            <w:tcW w:w="20" w:type="dxa"/>
            <w:vAlign w:val="bottom"/>
            <w:tcBorders>
              <w:bottom w:val="single" w:sz="8" w:color="BFBFBF"/>
            </w:tcBorders>
          </w:tcPr>
          <w:p>
            <w:pPr>
              <w:spacing w:after="0"/>
              <w:rPr>
                <w:sz w:val="4"/>
                <w:szCs w:val="4"/>
                <w:color w:val="auto"/>
              </w:rPr>
            </w:pPr>
          </w:p>
        </w:tc>
        <w:tc>
          <w:tcPr>
            <w:tcW w:w="14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c>
          <w:tcPr>
            <w:tcW w:w="220" w:type="dxa"/>
            <w:vAlign w:val="bottom"/>
            <w:tcBorders>
              <w:bottom w:val="single" w:sz="8" w:color="BFBFBF"/>
            </w:tcBorders>
          </w:tcPr>
          <w:p>
            <w:pPr>
              <w:spacing w:after="0"/>
              <w:rPr>
                <w:sz w:val="4"/>
                <w:szCs w:val="4"/>
                <w:color w:val="auto"/>
              </w:rPr>
            </w:pPr>
          </w:p>
        </w:tc>
        <w:tc>
          <w:tcPr>
            <w:tcW w:w="60" w:type="dxa"/>
            <w:vAlign w:val="bottom"/>
            <w:tcBorders>
              <w:bottom w:val="single" w:sz="8" w:color="BFBFBF"/>
            </w:tcBorders>
          </w:tcPr>
          <w:p>
            <w:pPr>
              <w:spacing w:after="0"/>
              <w:rPr>
                <w:sz w:val="4"/>
                <w:szCs w:val="4"/>
                <w:color w:val="auto"/>
              </w:rPr>
            </w:pPr>
          </w:p>
        </w:tc>
        <w:tc>
          <w:tcPr>
            <w:tcW w:w="3280" w:type="dxa"/>
            <w:vAlign w:val="bottom"/>
            <w:tcBorders>
              <w:bottom w:val="single" w:sz="8" w:color="BFBFBF"/>
            </w:tcBorders>
          </w:tcPr>
          <w:p>
            <w:pPr>
              <w:spacing w:after="0"/>
              <w:rPr>
                <w:sz w:val="4"/>
                <w:szCs w:val="4"/>
                <w:color w:val="auto"/>
              </w:rPr>
            </w:pPr>
          </w:p>
        </w:tc>
        <w:tc>
          <w:tcPr>
            <w:tcW w:w="80" w:type="dxa"/>
            <w:vAlign w:val="bottom"/>
            <w:tcBorders>
              <w:bottom w:val="single" w:sz="8" w:color="BFBFBF"/>
            </w:tcBorders>
          </w:tcPr>
          <w:p>
            <w:pPr>
              <w:spacing w:after="0"/>
              <w:rPr>
                <w:sz w:val="4"/>
                <w:szCs w:val="4"/>
                <w:color w:val="auto"/>
              </w:rPr>
            </w:pPr>
          </w:p>
        </w:tc>
        <w:tc>
          <w:tcPr>
            <w:tcW w:w="1700" w:type="dxa"/>
            <w:vAlign w:val="bottom"/>
            <w:tcBorders>
              <w:bottom w:val="single" w:sz="8" w:color="BFBFBF"/>
            </w:tcBorders>
          </w:tcPr>
          <w:p>
            <w:pPr>
              <w:spacing w:after="0"/>
              <w:rPr>
                <w:sz w:val="4"/>
                <w:szCs w:val="4"/>
                <w:color w:val="auto"/>
              </w:rPr>
            </w:pPr>
          </w:p>
        </w:tc>
        <w:tc>
          <w:tcPr>
            <w:tcW w:w="140" w:type="dxa"/>
            <w:vAlign w:val="bottom"/>
            <w:tcBorders>
              <w:bottom w:val="single" w:sz="8" w:color="BFBFBF"/>
            </w:tcBorders>
          </w:tcPr>
          <w:p>
            <w:pPr>
              <w:spacing w:after="0"/>
              <w:rPr>
                <w:sz w:val="4"/>
                <w:szCs w:val="4"/>
                <w:color w:val="auto"/>
              </w:rPr>
            </w:pPr>
          </w:p>
        </w:tc>
        <w:tc>
          <w:tcPr>
            <w:tcW w:w="8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600" w:type="dxa"/>
            <w:vAlign w:val="bottom"/>
            <w:tcBorders>
              <w:bottom w:val="single" w:sz="8" w:color="BFBFBF"/>
            </w:tcBorders>
          </w:tcPr>
          <w:p>
            <w:pPr>
              <w:spacing w:after="0"/>
              <w:rPr>
                <w:sz w:val="4"/>
                <w:szCs w:val="4"/>
                <w:color w:val="auto"/>
              </w:rPr>
            </w:pPr>
          </w:p>
        </w:tc>
        <w:tc>
          <w:tcPr>
            <w:tcW w:w="1520" w:type="dxa"/>
            <w:vAlign w:val="bottom"/>
            <w:tcBorders>
              <w:bottom w:val="single" w:sz="8" w:color="BFBFBF"/>
            </w:tcBorders>
          </w:tcPr>
          <w:p>
            <w:pPr>
              <w:spacing w:after="0"/>
              <w:rPr>
                <w:sz w:val="4"/>
                <w:szCs w:val="4"/>
                <w:color w:val="auto"/>
              </w:rPr>
            </w:pPr>
          </w:p>
        </w:tc>
        <w:tc>
          <w:tcPr>
            <w:tcW w:w="140" w:type="dxa"/>
            <w:vAlign w:val="bottom"/>
            <w:tcBorders>
              <w:bottom w:val="single" w:sz="8" w:color="BFBFBF"/>
            </w:tcBorders>
          </w:tcPr>
          <w:p>
            <w:pPr>
              <w:spacing w:after="0"/>
              <w:rPr>
                <w:sz w:val="4"/>
                <w:szCs w:val="4"/>
                <w:color w:val="auto"/>
              </w:rPr>
            </w:pPr>
          </w:p>
        </w:tc>
        <w:tc>
          <w:tcPr>
            <w:tcW w:w="420" w:type="dxa"/>
            <w:vAlign w:val="bottom"/>
            <w:tcBorders>
              <w:bottom w:val="single" w:sz="8" w:color="BFBFBF"/>
            </w:tcBorders>
          </w:tcPr>
          <w:p>
            <w:pPr>
              <w:spacing w:after="0"/>
              <w:rPr>
                <w:sz w:val="4"/>
                <w:szCs w:val="4"/>
                <w:color w:val="auto"/>
              </w:rPr>
            </w:pPr>
          </w:p>
        </w:tc>
        <w:tc>
          <w:tcPr>
            <w:tcW w:w="46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8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140" w:type="dxa"/>
            <w:vAlign w:val="bottom"/>
            <w:tcBorders>
              <w:bottom w:val="single" w:sz="8" w:color="BFBFBF"/>
            </w:tcBorders>
          </w:tcPr>
          <w:p>
            <w:pPr>
              <w:spacing w:after="0"/>
              <w:rPr>
                <w:sz w:val="4"/>
                <w:szCs w:val="4"/>
                <w:color w:val="auto"/>
              </w:rPr>
            </w:pPr>
          </w:p>
        </w:tc>
        <w:tc>
          <w:tcPr>
            <w:tcW w:w="100" w:type="dxa"/>
            <w:vAlign w:val="bottom"/>
            <w:tcBorders>
              <w:bottom w:val="single" w:sz="8" w:color="BFBFBF"/>
            </w:tcBorders>
          </w:tcPr>
          <w:p>
            <w:pPr>
              <w:spacing w:after="0"/>
              <w:rPr>
                <w:sz w:val="4"/>
                <w:szCs w:val="4"/>
                <w:color w:val="auto"/>
              </w:rPr>
            </w:pPr>
          </w:p>
        </w:tc>
        <w:tc>
          <w:tcPr>
            <w:tcW w:w="80" w:type="dxa"/>
            <w:vAlign w:val="bottom"/>
            <w:tcBorders>
              <w:bottom w:val="single" w:sz="8" w:color="BFBFBF"/>
            </w:tcBorders>
          </w:tcPr>
          <w:p>
            <w:pPr>
              <w:spacing w:after="0"/>
              <w:rPr>
                <w:sz w:val="4"/>
                <w:szCs w:val="4"/>
                <w:color w:val="auto"/>
              </w:rPr>
            </w:pPr>
          </w:p>
        </w:tc>
        <w:tc>
          <w:tcPr>
            <w:tcW w:w="140" w:type="dxa"/>
            <w:vAlign w:val="bottom"/>
            <w:tcBorders>
              <w:bottom w:val="single" w:sz="8" w:color="BFBFBF"/>
            </w:tcBorders>
          </w:tcPr>
          <w:p>
            <w:pPr>
              <w:spacing w:after="0"/>
              <w:rPr>
                <w:sz w:val="4"/>
                <w:szCs w:val="4"/>
                <w:color w:val="auto"/>
              </w:rPr>
            </w:pPr>
          </w:p>
        </w:tc>
        <w:tc>
          <w:tcPr>
            <w:tcW w:w="240" w:type="dxa"/>
            <w:vAlign w:val="bottom"/>
            <w:tcBorders>
              <w:bottom w:val="single" w:sz="8" w:color="BFBFBF"/>
            </w:tcBorders>
          </w:tcPr>
          <w:p>
            <w:pPr>
              <w:spacing w:after="0"/>
              <w:rPr>
                <w:sz w:val="4"/>
                <w:szCs w:val="4"/>
                <w:color w:val="auto"/>
              </w:rPr>
            </w:pPr>
          </w:p>
        </w:tc>
      </w:tr>
    </w:tbl>
    <w:p>
      <w:pPr>
        <w:sectPr>
          <w:pgSz w:w="11900" w:h="16838" w:orient="portrait"/>
          <w:cols w:equalWidth="0" w:num="1">
            <w:col w:w="11240"/>
          </w:cols>
          <w:pgMar w:left="320" w:top="66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280" w:type="dxa"/>
            <w:vAlign w:val="bottom"/>
            <w:gridSpan w:val="2"/>
          </w:tcPr>
          <w:p>
            <w:pPr>
              <w:ind w:left="1000"/>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56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16"/>
        </w:trPr>
        <w:tc>
          <w:tcPr>
            <w:tcW w:w="1360" w:type="dxa"/>
            <w:vAlign w:val="bottom"/>
            <w:gridSpan w:val="3"/>
          </w:tcPr>
          <w:p>
            <w:pPr>
              <w:jc w:val="center"/>
              <w:spacing w:after="0"/>
              <w:rPr>
                <w:rFonts w:ascii="Arial" w:cs="Arial" w:eastAsia="Arial" w:hAnsi="Arial"/>
                <w:sz w:val="18"/>
                <w:szCs w:val="18"/>
                <w:color w:val="0000EE"/>
              </w:rPr>
            </w:pPr>
            <w:hyperlink r:id="rId44">
              <w:r>
                <w:rPr>
                  <w:rFonts w:ascii="Arial" w:cs="Arial" w:eastAsia="Arial" w:hAnsi="Arial"/>
                  <w:sz w:val="18"/>
                  <w:szCs w:val="18"/>
                  <w:color w:val="0000EE"/>
                </w:rPr>
                <w:t>(d)(3)***</w:t>
              </w:r>
            </w:hyperlink>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gridSpan w:val="3"/>
          </w:tcPr>
          <w:p>
            <w:pPr>
              <w:spacing w:after="0"/>
              <w:rPr>
                <w:rFonts w:ascii="Arial" w:cs="Arial" w:eastAsia="Arial" w:hAnsi="Arial"/>
                <w:sz w:val="18"/>
                <w:szCs w:val="18"/>
                <w:color w:val="0000EE"/>
                <w:w w:val="96"/>
              </w:rPr>
            </w:pPr>
            <w:hyperlink r:id="rId44">
              <w:r>
                <w:rPr>
                  <w:rFonts w:ascii="Arial" w:cs="Arial" w:eastAsia="Arial" w:hAnsi="Arial"/>
                  <w:sz w:val="18"/>
                  <w:szCs w:val="18"/>
                  <w:color w:val="0000EE"/>
                  <w:w w:val="96"/>
                </w:rPr>
                <w:t>Voting and Support Agreement, dated as of April 6, 2023, by and between Parent and the Partnership (incorporated herein by</w:t>
              </w:r>
            </w:hyperlink>
          </w:p>
        </w:tc>
      </w:tr>
      <w:tr>
        <w:trPr>
          <w:trHeight w:val="196"/>
        </w:trPr>
        <w:tc>
          <w:tcPr>
            <w:tcW w:w="340" w:type="dxa"/>
            <w:vAlign w:val="bottom"/>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reference to Annex B of the Proxy Statement).</w:t>
              </w:r>
            </w:hyperlink>
          </w:p>
        </w:tc>
        <w:tc>
          <w:tcPr>
            <w:tcW w:w="566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r>
    </w:tbl>
    <w:p>
      <w:pPr>
        <w:spacing w:after="0" w:line="94" w:lineRule="exact"/>
        <w:rPr>
          <w:sz w:val="20"/>
          <w:szCs w:val="20"/>
          <w:color w:val="auto"/>
        </w:rPr>
      </w:pPr>
    </w:p>
    <w:p>
      <w:pPr>
        <w:ind w:left="1620" w:hanging="1028"/>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sz w:val="20"/>
          <w:szCs w:val="20"/>
          <w:color w:val="auto"/>
        </w:rPr>
      </w:pPr>
    </w:p>
    <w:p>
      <w:pPr>
        <w:ind w:left="1620" w:hanging="1043"/>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sz w:val="20"/>
          <w:szCs w:val="20"/>
          <w:color w:val="auto"/>
        </w:rPr>
      </w:pPr>
    </w:p>
    <w:p>
      <w:pPr>
        <w:ind w:left="500"/>
        <w:spacing w:after="0"/>
        <w:tabs>
          <w:tab w:leader="none" w:pos="160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107*</w:t>
      </w:r>
      <w:r>
        <w:rPr>
          <w:sz w:val="20"/>
          <w:szCs w:val="20"/>
          <w:color w:val="auto"/>
        </w:rPr>
        <w:tab/>
      </w:r>
      <w:hyperlink r:id="rId45">
        <w:r>
          <w:rPr>
            <w:rFonts w:ascii="Arial" w:cs="Arial" w:eastAsia="Arial" w:hAnsi="Arial"/>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07124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extLst>
                    </a:blip>
                    <a:srcRect/>
                    <a:stretch>
                      <a:fillRect/>
                    </a:stretch>
                  </pic:blipFill>
                  <pic:spPr bwMode="auto">
                    <a:xfrm>
                      <a:off x="0" y="0"/>
                      <a:ext cx="1071245" cy="2540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Previously filed on May 5, 2023 as an exhibit to the Schedule 13E-3.</w:t>
      </w:r>
    </w:p>
    <w:p>
      <w:pPr>
        <w:ind w:left="660" w:hanging="652"/>
        <w:spacing w:after="0" w:line="238"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Previously filed on May 25, 2023 as an exhibit to Amendment No. 1 to the Schedule 13E-3.</w:t>
      </w:r>
    </w:p>
    <w:p>
      <w:pPr>
        <w:ind w:left="660" w:hanging="652"/>
        <w:spacing w:after="0" w:line="230"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Previously filed on June 5, 2023 as an exhibit to Amendment No. 2 to the Schedule 13E-3.</w:t>
      </w:r>
    </w:p>
    <w:p>
      <w:pPr>
        <w:ind w:left="660" w:hanging="652"/>
        <w:spacing w:after="0" w:line="230"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Previously filed on June 28, 2023 as an exhibit to Amendment No. 3 to the Schedule 13E-3.</w:t>
      </w:r>
    </w:p>
    <w:p>
      <w:pPr>
        <w:ind w:left="66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Previously filed on July 3, 2023 as an exhibit to Amendment No. 4 to the Schedule 13E-3.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due inquiry and to the best of each of the undersigned’s knowledge and belief, each of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as of July 13, 2023</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 &amp; CEO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GASLOG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GASLOG PARTNERS GP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 of GasLog Ltd., the sole member of</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GasLog Partners GP LLC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SATURN MERGER SUB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494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sectPr>
      <w:pgSz w:w="11900" w:h="16838" w:orient="portrait"/>
      <w:cols w:equalWidth="0" w:num="1">
        <w:col w:w="11160"/>
      </w:cols>
      <w:pgMar w:left="320" w:top="35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6"/>
    </w:lvl>
  </w:abstractNum>
  <w:abstractNum w:abstractNumId="2">
    <w:nsid w:val="3D1B58BA"/>
    <w:multiLevelType w:val="hybridMultilevel"/>
    <w:lvl w:ilvl="0">
      <w:lvlJc w:val="left"/>
      <w:lvlText w:val="(%1)"/>
      <w:numFmt w:val="lowerLetter"/>
      <w:start w:val="7"/>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46" Type="http://schemas.openxmlformats.org/officeDocument/2006/relationships/image" Target="media/image11.png"/><Relationship Id="rId47" Type="http://schemas.openxmlformats.org/officeDocument/2006/relationships/image" Target="media/image12.png"/><Relationship Id="rId48" Type="http://schemas.openxmlformats.org/officeDocument/2006/relationships/image" Target="media/image13.png"/><Relationship Id="rId49" Type="http://schemas.openxmlformats.org/officeDocument/2006/relationships/image" Target="media/image14.png"/><Relationship Id="rId50" Type="http://schemas.openxmlformats.org/officeDocument/2006/relationships/image" Target="media/image15.png"/><Relationship Id="rId51" Type="http://schemas.openxmlformats.org/officeDocument/2006/relationships/image" Target="media/image16.png"/><Relationship Id="rId18" Type="http://schemas.openxmlformats.org/officeDocument/2006/relationships/hyperlink" Target="https://www.sec.gov/Archives/edgar/data/1598655/000110465923068119/tm2316904d3_ex99-a1.htm" TargetMode="External"/><Relationship Id="rId19" Type="http://schemas.openxmlformats.org/officeDocument/2006/relationships/hyperlink" Target="https://www.sec.gov/Archives/edgar/data/1598655/000110465923068119/tm2316904d3_ex99-a1.htm#ad_001" TargetMode="External"/><Relationship Id="rId20" Type="http://schemas.openxmlformats.org/officeDocument/2006/relationships/hyperlink" Target="https://www.sec.gov/Archives/edgar/data/1598655/000110465923068119/tm2316904d3_ex99-a1.htm#exa4" TargetMode="External"/><Relationship Id="rId21" Type="http://schemas.openxmlformats.org/officeDocument/2006/relationships/hyperlink" Target="https://www.sec.gov/Archives/edgar/data/1598655/000110465923042698/tm2311977d1_ex99-1.htm" TargetMode="External"/><Relationship Id="rId22" Type="http://schemas.openxmlformats.org/officeDocument/2006/relationships/hyperlink" Target="https://www.sec.gov/Archives/edgar/data/1598655/000095015723000714/ex99-1.htm" TargetMode="External"/><Relationship Id="rId23" Type="http://schemas.openxmlformats.org/officeDocument/2006/relationships/hyperlink" Target="https://www.sec.gov/Archives/edgar/data/1598655/000095015723000730/form6-k.htm" TargetMode="External"/><Relationship Id="rId24" Type="http://schemas.openxmlformats.org/officeDocument/2006/relationships/hyperlink" Target="https://www.sec.gov/Archives/edgar/data/1598655/000095015723000767/ex99-1.htm" TargetMode="External"/><Relationship Id="rId25" Type="http://schemas.openxmlformats.org/officeDocument/2006/relationships/hyperlink" Target="https://www.sec.gov/Archives/edgar/data/1598655/000095015723000772/ex99-1.htm" TargetMode="External"/><Relationship Id="rId26" Type="http://schemas.openxmlformats.org/officeDocument/2006/relationships/hyperlink" Target="https://www.sec.gov/Archives/edgar/data/1598655/000110465923056630/tm2314213d1_ex99-b1.htm" TargetMode="External"/><Relationship Id="rId27" Type="http://schemas.openxmlformats.org/officeDocument/2006/relationships/hyperlink" Target="https://www.sec.gov/Archives/edgar/data/1598655/000110465923068119/tm2316904d3_ex99-a1.htm#sss_003" TargetMode="External"/><Relationship Id="rId28" Type="http://schemas.openxmlformats.org/officeDocument/2006/relationships/hyperlink" Target="https://www.sec.gov/Archives/edgar/data/1598655/000110465923056630/tm2314213d1_ex99-c2.htm" TargetMode="External"/><Relationship Id="rId29" Type="http://schemas.openxmlformats.org/officeDocument/2006/relationships/hyperlink" Target="https://www.sec.gov/Archives/edgar/data/1598655/000110465923056630/tm2314213d1_ex99-c3.htm" TargetMode="External"/><Relationship Id="rId30" Type="http://schemas.openxmlformats.org/officeDocument/2006/relationships/hyperlink" Target="https://www.sec.gov/Archives/edgar/data/1598655/000110465923056630/tm2314213d1_ex99-c4.htm" TargetMode="External"/><Relationship Id="rId31" Type="http://schemas.openxmlformats.org/officeDocument/2006/relationships/hyperlink" Target="https://www.sec.gov/Archives/edgar/data/1598655/000110465923056630/tm2314213d1_ex99-c5.htm" TargetMode="External"/><Relationship Id="rId32" Type="http://schemas.openxmlformats.org/officeDocument/2006/relationships/hyperlink" Target="https://www.sec.gov/Archives/edgar/data/1598655/000110465923056630/tm2314213d1_ex99-c6.htm" TargetMode="External"/><Relationship Id="rId33" Type="http://schemas.openxmlformats.org/officeDocument/2006/relationships/hyperlink" Target="https://www.sec.gov/Archives/edgar/data/1598655/000110465923056630/tm2314213d1_ex99-c7.htm" TargetMode="External"/><Relationship Id="rId34" Type="http://schemas.openxmlformats.org/officeDocument/2006/relationships/hyperlink" Target="https://www.sec.gov/Archives/edgar/data/1598655/000110465923056630/tm2314213d1_ex99-c8.htm" TargetMode="External"/><Relationship Id="rId35" Type="http://schemas.openxmlformats.org/officeDocument/2006/relationships/hyperlink" Target="https://www.sec.gov/Archives/edgar/data/1598655/000110465923056630/tm2314213d1_ex99-c9.htm" TargetMode="External"/><Relationship Id="rId36" Type="http://schemas.openxmlformats.org/officeDocument/2006/relationships/hyperlink" Target="https://www.sec.gov/Archives/edgar/data/1598655/000110465923056630/tm2314213d1_ex99-c10.htm" TargetMode="External"/><Relationship Id="rId37" Type="http://schemas.openxmlformats.org/officeDocument/2006/relationships/hyperlink" Target="https://www.sec.gov/Archives/edgar/data/1598655/000110465923056630/tm2314213d1_ex99-c11.htm" TargetMode="External"/><Relationship Id="rId38" Type="http://schemas.openxmlformats.org/officeDocument/2006/relationships/hyperlink" Target="https://www.sec.gov/Archives/edgar/data/1598655/000110465923064246/tm2316904d1_ex99-c12.htm" TargetMode="External"/><Relationship Id="rId39" Type="http://schemas.openxmlformats.org/officeDocument/2006/relationships/hyperlink" Target="https://www.sec.gov/Archives/edgar/data/1598655/000110465923064246/tm2316904d1_ex99-c13.htm" TargetMode="External"/><Relationship Id="rId40" Type="http://schemas.openxmlformats.org/officeDocument/2006/relationships/hyperlink" Target="https://www.sec.gov/Archives/edgar/data/1598655/000110465923064246/tm2316904d1_ex99-c14.htm" TargetMode="External"/><Relationship Id="rId41" Type="http://schemas.openxmlformats.org/officeDocument/2006/relationships/hyperlink" Target="https://www.sec.gov/Archives/edgar/data/1598655/000110465923064246/tm2316904d1_ex99-c15.htm" TargetMode="External"/><Relationship Id="rId42" Type="http://schemas.openxmlformats.org/officeDocument/2006/relationships/hyperlink" Target="https://www.sec.gov/Archives/edgar/data/1598655/000110465923068119/tm2316904d3_ex99-a1.htm#sss_001" TargetMode="External"/><Relationship Id="rId43" Type="http://schemas.openxmlformats.org/officeDocument/2006/relationships/hyperlink" Target="https://www.sec.gov/Archives/edgar/data/1598655/000110465920090547/a20-22824_4ex3d2.htm" TargetMode="External"/><Relationship Id="rId44" Type="http://schemas.openxmlformats.org/officeDocument/2006/relationships/hyperlink" Target="https://www.sec.gov/Archives/edgar/data/1598655/000110465923068119/tm2316904d3_ex99-a1.htm#sss_002" TargetMode="External"/><Relationship Id="rId45" Type="http://schemas.openxmlformats.org/officeDocument/2006/relationships/hyperlink" Target="https://www.sec.gov/Archives/edgar/data/1598655/000110465923056630/tm2314213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2023-07-13T07:06:24Z</dcterms:created>
  <dcterms:modified xsi:type="dcterms:W3CDTF">2023-07-13T07:06:24Z</dcterms:modified>
</cp:coreProperties>
</file>