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July 14, 2023</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231F20"/>
        </w:rPr>
        <w:t>Registration No. 333-203139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218440</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Post-Effective Amendment No. 1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jc w:val="center"/>
        <w:spacing w:after="0" w:line="231"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218440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GasLog Partners LP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218440</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1020"/>
        <w:spacing w:after="0"/>
        <w:tabs>
          <w:tab w:leader="none" w:pos="8580" w:val="left"/>
        </w:tabs>
        <w:rPr>
          <w:sz w:val="20"/>
          <w:szCs w:val="20"/>
          <w:color w:val="auto"/>
        </w:rPr>
      </w:pPr>
      <w:r>
        <w:rPr>
          <w:rFonts w:ascii="Arial" w:cs="Arial" w:eastAsia="Arial" w:hAnsi="Arial"/>
          <w:sz w:val="18"/>
          <w:szCs w:val="18"/>
          <w:b w:val="1"/>
          <w:bCs w:val="1"/>
          <w:color w:val="auto"/>
        </w:rPr>
        <w:t>Republic of the Marshall Islands</w:t>
      </w:r>
      <w:r>
        <w:rPr>
          <w:sz w:val="20"/>
          <w:szCs w:val="20"/>
          <w:color w:val="auto"/>
        </w:rPr>
        <w:tab/>
      </w:r>
      <w:r>
        <w:rPr>
          <w:rFonts w:ascii="Arial" w:cs="Arial" w:eastAsia="Arial" w:hAnsi="Arial"/>
          <w:sz w:val="16"/>
          <w:szCs w:val="16"/>
          <w:b w:val="1"/>
          <w:bCs w:val="1"/>
          <w:color w:val="auto"/>
        </w:rPr>
        <w:t>98-1160877</w:t>
      </w:r>
    </w:p>
    <w:p>
      <w:pPr>
        <w:spacing w:after="0" w:line="27" w:lineRule="exact"/>
        <w:rPr>
          <w:sz w:val="24"/>
          <w:szCs w:val="24"/>
          <w:color w:val="auto"/>
        </w:rPr>
      </w:pPr>
    </w:p>
    <w:p>
      <w:pPr>
        <w:ind w:left="100"/>
        <w:spacing w:after="0"/>
        <w:tabs>
          <w:tab w:leader="none" w:pos="770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7"/>
          <w:szCs w:val="17"/>
          <w:color w:val="auto"/>
        </w:rPr>
        <w:t>(I.R.S. Employer Identification No.)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 GasLog LNG Services Ltd</w:t>
      </w:r>
    </w:p>
    <w:p>
      <w:pPr>
        <w:jc w:val="center"/>
        <w:spacing w:after="0" w:line="230" w:lineRule="auto"/>
        <w:rPr>
          <w:sz w:val="20"/>
          <w:szCs w:val="20"/>
          <w:color w:val="auto"/>
        </w:rPr>
      </w:pPr>
      <w:r>
        <w:rPr>
          <w:rFonts w:ascii="Arial" w:cs="Arial" w:eastAsia="Arial" w:hAnsi="Arial"/>
          <w:sz w:val="22"/>
          <w:szCs w:val="22"/>
          <w:b w:val="1"/>
          <w:bCs w:val="1"/>
          <w:color w:val="auto"/>
        </w:rPr>
        <w:t>69 Akti Miaouli</w:t>
      </w:r>
    </w:p>
    <w:p>
      <w:pPr>
        <w:jc w:val="center"/>
        <w:spacing w:after="0" w:line="231" w:lineRule="auto"/>
        <w:rPr>
          <w:sz w:val="20"/>
          <w:szCs w:val="20"/>
          <w:color w:val="auto"/>
        </w:rPr>
      </w:pPr>
      <w:r>
        <w:rPr>
          <w:rFonts w:ascii="Arial" w:cs="Arial" w:eastAsia="Arial" w:hAnsi="Arial"/>
          <w:sz w:val="22"/>
          <w:szCs w:val="22"/>
          <w:b w:val="1"/>
          <w:bCs w:val="1"/>
          <w:color w:val="auto"/>
        </w:rPr>
        <w:t>18537 Piraeus Greece</w:t>
      </w:r>
    </w:p>
    <w:p>
      <w:pPr>
        <w:jc w:val="center"/>
        <w:spacing w:after="0"/>
        <w:rPr>
          <w:sz w:val="20"/>
          <w:szCs w:val="20"/>
          <w:color w:val="auto"/>
        </w:rPr>
      </w:pPr>
      <w:r>
        <w:rPr>
          <w:rFonts w:ascii="Arial" w:cs="Arial" w:eastAsia="Arial" w:hAnsi="Arial"/>
          <w:sz w:val="22"/>
          <w:szCs w:val="22"/>
          <w:color w:val="auto"/>
        </w:rPr>
        <w:t>(Address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218440</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GasLog Partners LP 2015 Long-Term Incentive Plan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218440</wp:posOffset>
            </wp:positionV>
            <wp:extent cx="10629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Mr. Donald J. Puglisi</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Managing Director</w:t>
      </w:r>
    </w:p>
    <w:p>
      <w:pPr>
        <w:jc w:val="center"/>
        <w:spacing w:after="0" w:line="230" w:lineRule="auto"/>
        <w:rPr>
          <w:sz w:val="20"/>
          <w:szCs w:val="20"/>
          <w:color w:val="auto"/>
        </w:rPr>
      </w:pPr>
      <w:r>
        <w:rPr>
          <w:rFonts w:ascii="Arial" w:cs="Arial" w:eastAsia="Arial" w:hAnsi="Arial"/>
          <w:sz w:val="22"/>
          <w:szCs w:val="22"/>
          <w:b w:val="1"/>
          <w:bCs w:val="1"/>
          <w:color w:val="auto"/>
        </w:rPr>
        <w:t>Puglisi &amp; Associates</w:t>
      </w:r>
    </w:p>
    <w:p>
      <w:pPr>
        <w:jc w:val="center"/>
        <w:spacing w:after="0" w:line="231" w:lineRule="auto"/>
        <w:rPr>
          <w:sz w:val="20"/>
          <w:szCs w:val="20"/>
          <w:color w:val="auto"/>
        </w:rPr>
      </w:pPr>
      <w:r>
        <w:rPr>
          <w:rFonts w:ascii="Arial" w:cs="Arial" w:eastAsia="Arial" w:hAnsi="Arial"/>
          <w:sz w:val="22"/>
          <w:szCs w:val="22"/>
          <w:b w:val="1"/>
          <w:bCs w:val="1"/>
          <w:color w:val="auto"/>
        </w:rPr>
        <w:t>850 Library Avenue, Suite 204</w:t>
      </w:r>
    </w:p>
    <w:p>
      <w:pPr>
        <w:jc w:val="center"/>
        <w:spacing w:after="0" w:line="230" w:lineRule="auto"/>
        <w:rPr>
          <w:sz w:val="20"/>
          <w:szCs w:val="20"/>
          <w:color w:val="auto"/>
        </w:rPr>
      </w:pPr>
      <w:r>
        <w:rPr>
          <w:rFonts w:ascii="Arial" w:cs="Arial" w:eastAsia="Arial" w:hAnsi="Arial"/>
          <w:sz w:val="22"/>
          <w:szCs w:val="22"/>
          <w:b w:val="1"/>
          <w:bCs w:val="1"/>
          <w:color w:val="auto"/>
        </w:rPr>
        <w:t>Newark, Delaware 19711</w:t>
      </w:r>
    </w:p>
    <w:p>
      <w:pPr>
        <w:jc w:val="center"/>
        <w:spacing w:after="0" w:line="231" w:lineRule="auto"/>
        <w:rPr>
          <w:sz w:val="20"/>
          <w:szCs w:val="20"/>
          <w:color w:val="auto"/>
        </w:rPr>
      </w:pPr>
      <w:r>
        <w:rPr>
          <w:rFonts w:ascii="Arial" w:cs="Arial" w:eastAsia="Arial" w:hAnsi="Arial"/>
          <w:sz w:val="22"/>
          <w:szCs w:val="22"/>
          <w:b w:val="1"/>
          <w:bCs w:val="1"/>
          <w:color w:val="auto"/>
        </w:rPr>
        <w:t>+1 302-738-6680</w:t>
      </w:r>
    </w:p>
    <w:p>
      <w:pPr>
        <w:jc w:val="center"/>
        <w:ind w:right="100"/>
        <w:spacing w:after="0"/>
        <w:rPr>
          <w:sz w:val="20"/>
          <w:szCs w:val="20"/>
          <w:color w:val="auto"/>
        </w:rPr>
      </w:pPr>
      <w:r>
        <w:rPr>
          <w:rFonts w:ascii="Arial" w:cs="Arial" w:eastAsia="Arial" w:hAnsi="Arial"/>
          <w:sz w:val="22"/>
          <w:szCs w:val="22"/>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218440</wp:posOffset>
            </wp:positionV>
            <wp:extent cx="10629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Copies to:</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 Scott Bennett, Esq.</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Cravath, Swaine &amp; Moore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Worldwide Plaza</w:t>
      </w:r>
    </w:p>
    <w:p>
      <w:pPr>
        <w:spacing w:after="0" w:line="9" w:lineRule="exact"/>
        <w:rPr>
          <w:sz w:val="24"/>
          <w:szCs w:val="24"/>
          <w:color w:val="auto"/>
        </w:rPr>
      </w:pPr>
    </w:p>
    <w:p>
      <w:pPr>
        <w:ind w:left="4840" w:right="4840" w:firstLine="96"/>
        <w:spacing w:after="0" w:line="281" w:lineRule="auto"/>
        <w:tabs>
          <w:tab w:leader="none" w:pos="5251" w:val="left"/>
        </w:tabs>
        <w:numPr>
          <w:ilvl w:val="0"/>
          <w:numId w:val="1"/>
        </w:numPr>
        <w:rPr>
          <w:rFonts w:ascii="Arial" w:cs="Arial" w:eastAsia="Arial" w:hAnsi="Arial"/>
          <w:sz w:val="16"/>
          <w:szCs w:val="16"/>
          <w:color w:val="auto"/>
        </w:rPr>
      </w:pPr>
      <w:r>
        <w:rPr>
          <w:rFonts w:ascii="Arial" w:cs="Arial" w:eastAsia="Arial" w:hAnsi="Arial"/>
          <w:sz w:val="16"/>
          <w:szCs w:val="16"/>
          <w:color w:val="auto"/>
        </w:rPr>
        <w:t>Eighth Avenue New York, NY 10019</w:t>
      </w:r>
    </w:p>
    <w:p>
      <w:pPr>
        <w:spacing w:after="0" w:line="1" w:lineRule="exact"/>
        <w:rPr>
          <w:rFonts w:ascii="Arial" w:cs="Arial" w:eastAsia="Arial" w:hAnsi="Arial"/>
          <w:sz w:val="16"/>
          <w:szCs w:val="16"/>
          <w:color w:val="auto"/>
        </w:rPr>
      </w:pPr>
    </w:p>
    <w:p>
      <w:pPr>
        <w:ind w:left="5500" w:hanging="438"/>
        <w:spacing w:after="0"/>
        <w:tabs>
          <w:tab w:leader="none" w:pos="5500" w:val="left"/>
        </w:tabs>
        <w:numPr>
          <w:ilvl w:val="1"/>
          <w:numId w:val="1"/>
        </w:numPr>
        <w:rPr>
          <w:rFonts w:ascii="Arial" w:cs="Arial" w:eastAsia="Arial" w:hAnsi="Arial"/>
          <w:sz w:val="18"/>
          <w:szCs w:val="18"/>
          <w:color w:val="auto"/>
        </w:rPr>
      </w:pPr>
      <w:r>
        <w:rPr>
          <w:rFonts w:ascii="Arial" w:cs="Arial" w:eastAsia="Arial" w:hAnsi="Arial"/>
          <w:sz w:val="18"/>
          <w:szCs w:val="18"/>
          <w:color w:val="auto"/>
        </w:rPr>
        <w:t>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228600</wp:posOffset>
            </wp:positionV>
            <wp:extent cx="10629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right="160"/>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0" w:right="339" w:bottom="0" w:gutter="0" w:footer="0" w:header="0"/>
        </w:sectPr>
      </w:pPr>
    </w:p>
    <w:p>
      <w:pPr>
        <w:spacing w:after="0" w:line="172" w:lineRule="exact"/>
        <w:rPr>
          <w:sz w:val="24"/>
          <w:szCs w:val="24"/>
          <w:color w:val="auto"/>
        </w:rPr>
      </w:pPr>
    </w:p>
    <w:p>
      <w:pPr>
        <w:spacing w:after="0" w:line="207" w:lineRule="exact"/>
        <w:tabs>
          <w:tab w:leader="none" w:pos="2460" w:val="left"/>
          <w:tab w:leader="none" w:pos="7180" w:val="left"/>
          <w:tab w:leader="none" w:pos="96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220" w:right="339" w:bottom="0" w:gutter="0" w:footer="0" w:header="0"/>
          <w:type w:val="continuous"/>
        </w:sectPr>
      </w:pPr>
    </w:p>
    <w:bookmarkStart w:id="1" w:name="page2"/>
    <w:bookmarkEnd w:id="1"/>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r>
        <w:rPr>
          <w:rFonts w:ascii="MS PGothic" w:cs="MS PGothic" w:eastAsia="MS PGothic" w:hAnsi="MS PGothic"/>
          <w:sz w:val="16"/>
          <w:szCs w:val="16"/>
          <w:color w:val="auto"/>
        </w:rPr>
        <w:t>☐</w:t>
      </w:r>
    </w:p>
    <w:p>
      <w:pPr>
        <w:spacing w:after="0" w:line="255" w:lineRule="exact"/>
        <w:rPr>
          <w:sz w:val="20"/>
          <w:szCs w:val="20"/>
          <w:color w:val="auto"/>
        </w:rPr>
      </w:pPr>
    </w:p>
    <w:p>
      <w:pPr>
        <w:sectPr>
          <w:pgSz w:w="11900" w:h="16838" w:orient="portrait"/>
          <w:cols w:equalWidth="0" w:num="5">
            <w:col w:w="1760" w:space="720"/>
            <w:col w:w="160" w:space="40"/>
            <w:col w:w="3800" w:space="720"/>
            <w:col w:w="1960" w:space="500"/>
            <w:col w:w="1440"/>
          </w:cols>
          <w:pgMar w:left="320" w:top="297" w:right="479" w:bottom="1440" w:gutter="0" w:footer="0" w:header="0"/>
        </w:sectPr>
      </w:pPr>
    </w:p>
    <w:p>
      <w:pPr>
        <w:spacing w:after="0" w:line="48"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r>
        <w:rPr>
          <w:rFonts w:ascii="MS PGothic" w:cs="MS PGothic" w:eastAsia="MS PGothic" w:hAnsi="MS PGothic"/>
          <w:sz w:val="16"/>
          <w:szCs w:val="16"/>
          <w:color w:val="auto"/>
        </w:rPr>
        <w:t>☐</w:t>
      </w:r>
    </w:p>
    <w:p>
      <w:pPr>
        <w:spacing w:after="0" w:line="255" w:lineRule="exact"/>
        <w:rPr>
          <w:sz w:val="20"/>
          <w:szCs w:val="20"/>
          <w:color w:val="auto"/>
        </w:rPr>
      </w:pPr>
    </w:p>
    <w:p>
      <w:pPr>
        <w:sectPr>
          <w:pgSz w:w="11900" w:h="16838" w:orient="portrait"/>
          <w:cols w:equalWidth="0" w:num="2">
            <w:col w:w="9160" w:space="500"/>
            <w:col w:w="1440"/>
          </w:cols>
          <w:pgMar w:left="320" w:top="297" w:right="479" w:bottom="1440" w:gutter="0" w:footer="0" w:header="0"/>
          <w:type w:val="continuous"/>
        </w:sectPr>
      </w:pP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97" w:right="4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3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This Post-Effective Amendment No. 1 relates to the Registration Statement on Form S-8 (Registration No. 333-203139) filed by GasLog Partners LP (the “Registrant”) with the Securities and Exchange Commission on March 31, 2015 (the “Registration Statement”) registering 241,447 common units representing limited partner interests, issuable pursuant to the GasLog Partners LP 2015 Long-Term Incentive Plan. The Registrant is filing this Post-Effective Amendment No. 1 to the Registration Statement to terminate the offering and remove from registration the securities that have not been sold pursuant to the prospectus contained in the Registration Statement.</w:t>
      </w:r>
    </w:p>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On April 6, 2023, the Registrant entered into an Agreement and Plan of Merger (the “Merger Agreement”) with GasLog Partners GP LLC, the general partner of the Registrant, GasLog Ltd. (“GasLog”), and Saturn Merger Sub LLC, a wholly owned subsidiary of GasLog (“Merger Sub”). On July 13, 2023, pursuant to the Merger Agreement, Merger Sub merged with and into the Registrant, with the Registrant surviving as a direct subsidiary of GasLog (the “Merger”).</w:t>
      </w:r>
    </w:p>
    <w:p>
      <w:pPr>
        <w:spacing w:after="0" w:line="20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In connection with the Merger, the offerings of securities pursuant to the Registration Statement have been terminated. In accordance with an undertaking in the Registration Statement to remove from registration by means of a post-effective amendment any of the securities which had been registered under the Registration Statement but remain unsold at the termination of the offering, the Registrant hereby removes from registration any and all securities of the Registrant which have been registered for issuance under the Registration Statement but remain unsold. The Registration Statement is hereby amended to reflect the termination of the offering and the removal from registration of any and all securities of the Registrant which have been registered for issuance under the Registration Statement but remain unsold as of the date of this Post-Effective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Pursuant to the requirements of the Securities Act of 1933, as amended, and Rule 478 thereunder, the undersigned Registrant certifies that it has reasonable grounds to believe that it meets all of the requirements for filing on Form S-8 and has duly caused this Post-Effective Amendment No. 1 to the Registration Statement on Form S-8 to be signed on its behalf by the undersigned, thereunto duly authorized, in the City of New York, State of New York, on July 14, 2023.</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560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594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74"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No other person is required to sign this Post-Effective Amendment No. 1 to the Registration Statement in reliance upon Rule 478 under the Securities Act of 1933, as amended.</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25"/>
    </w:lvl>
    <w:lvl w:ilvl="1">
      <w:lvlJc w:val="left"/>
      <w:lvlText w:val="(%2)"/>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2023-07-14T15:28:46Z</dcterms:created>
  <dcterms:modified xsi:type="dcterms:W3CDTF">2023-07-14T15:28:46Z</dcterms:modified>
</cp:coreProperties>
</file>