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Form 6-K</w:t>
      </w:r>
    </w:p>
    <w:p>
      <w:pPr>
        <w:spacing w:after="0" w:line="238" w:lineRule="exact"/>
        <w:rPr>
          <w:sz w:val="24"/>
          <w:szCs w:val="24"/>
          <w:color w:val="auto"/>
        </w:rPr>
      </w:pPr>
    </w:p>
    <w:p>
      <w:pPr>
        <w:jc w:val="center"/>
        <w:ind w:left="420"/>
        <w:spacing w:after="0" w:line="262" w:lineRule="auto"/>
        <w:rPr>
          <w:sz w:val="20"/>
          <w:szCs w:val="20"/>
          <w:color w:val="auto"/>
        </w:rPr>
      </w:pPr>
      <w:r>
        <w:rPr>
          <w:rFonts w:ascii="Arial" w:cs="Arial" w:eastAsia="Arial" w:hAnsi="Arial"/>
          <w:sz w:val="23"/>
          <w:szCs w:val="23"/>
          <w:b w:val="1"/>
          <w:bCs w:val="1"/>
          <w:color w:val="auto"/>
        </w:rPr>
        <w:t>REPORT OF FOREIGN PRIVATE ISSUER PURSUANT TO RULE 13a-16 OR 15d-16 UNDER THE SECURITIES EXCHANGE ACT OF 1934</w:t>
      </w:r>
    </w:p>
    <w:p>
      <w:pPr>
        <w:spacing w:after="0" w:line="174"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For the month of January 2019</w:t>
      </w:r>
    </w:p>
    <w:p>
      <w:pPr>
        <w:spacing w:after="0" w:line="238"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Commission File Number 001-36433</w:t>
      </w:r>
    </w:p>
    <w:p>
      <w:pPr>
        <w:spacing w:after="0" w:line="213" w:lineRule="exact"/>
        <w:rPr>
          <w:sz w:val="24"/>
          <w:szCs w:val="24"/>
          <w:color w:val="auto"/>
        </w:rPr>
      </w:pPr>
    </w:p>
    <w:p>
      <w:pPr>
        <w:jc w:val="center"/>
        <w:ind w:right="-299"/>
        <w:spacing w:after="0"/>
        <w:rPr>
          <w:sz w:val="20"/>
          <w:szCs w:val="20"/>
          <w:color w:val="auto"/>
        </w:rPr>
      </w:pPr>
      <w:r>
        <w:rPr>
          <w:rFonts w:ascii="Arial" w:cs="Arial" w:eastAsia="Arial" w:hAnsi="Arial"/>
          <w:sz w:val="34"/>
          <w:szCs w:val="34"/>
          <w:b w:val="1"/>
          <w:bCs w:val="1"/>
          <w:color w:val="auto"/>
        </w:rPr>
        <w:t>GasLog Partners LP</w:t>
      </w:r>
    </w:p>
    <w:p>
      <w:pPr>
        <w:spacing w:after="0" w:line="41"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(Translation of registrant’s name into English)</w:t>
      </w:r>
    </w:p>
    <w:p>
      <w:pPr>
        <w:spacing w:after="0" w:line="216"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Gildo Pastor Center</w:t>
      </w:r>
    </w:p>
    <w:p>
      <w:pPr>
        <w:spacing w:after="0" w:line="29"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7 Rue du Gabian</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MC 98000, Monaco</w:t>
      </w:r>
    </w:p>
    <w:p>
      <w:pPr>
        <w:spacing w:after="0" w:line="10" w:lineRule="exact"/>
        <w:rPr>
          <w:sz w:val="24"/>
          <w:szCs w:val="24"/>
          <w:color w:val="auto"/>
        </w:rPr>
      </w:pPr>
    </w:p>
    <w:p>
      <w:pPr>
        <w:jc w:val="center"/>
        <w:ind w:right="-299"/>
        <w:spacing w:after="0"/>
        <w:rPr>
          <w:sz w:val="20"/>
          <w:szCs w:val="20"/>
          <w:color w:val="auto"/>
        </w:rPr>
      </w:pPr>
      <w:r>
        <w:rPr>
          <w:rFonts w:ascii="Arial" w:cs="Arial" w:eastAsia="Arial" w:hAnsi="Arial"/>
          <w:sz w:val="19"/>
          <w:szCs w:val="19"/>
          <w:color w:val="auto"/>
        </w:rPr>
        <w:t>(Address of principal executive office)</w:t>
      </w:r>
    </w:p>
    <w:p>
      <w:pPr>
        <w:spacing w:after="0" w:line="22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files or will file annual reports under cover of Form 20-F or Form 40-F.</w:t>
      </w:r>
    </w:p>
    <w:p>
      <w:pPr>
        <w:spacing w:after="0" w:line="238" w:lineRule="exact"/>
        <w:rPr>
          <w:sz w:val="24"/>
          <w:szCs w:val="24"/>
          <w:color w:val="auto"/>
        </w:rPr>
      </w:pPr>
    </w:p>
    <w:p>
      <w:pPr>
        <w:spacing w:after="0"/>
        <w:tabs>
          <w:tab w:leader="none" w:pos="1220" w:val="left"/>
        </w:tabs>
        <w:rPr>
          <w:sz w:val="20"/>
          <w:szCs w:val="20"/>
          <w:color w:val="auto"/>
        </w:rPr>
      </w:pPr>
      <w:r>
        <w:rPr>
          <w:rFonts w:ascii="Arial" w:cs="Arial" w:eastAsia="Arial" w:hAnsi="Arial"/>
          <w:sz w:val="19"/>
          <w:szCs w:val="19"/>
          <w:color w:val="auto"/>
        </w:rPr>
        <w:t>Form 20-F x</w:t>
      </w:r>
      <w:r>
        <w:rPr>
          <w:sz w:val="20"/>
          <w:szCs w:val="20"/>
          <w:color w:val="auto"/>
        </w:rPr>
        <w:tab/>
      </w:r>
      <w:r>
        <w:rPr>
          <w:rFonts w:ascii="Arial" w:cs="Arial" w:eastAsia="Arial" w:hAnsi="Arial"/>
          <w:sz w:val="18"/>
          <w:szCs w:val="18"/>
          <w:color w:val="auto"/>
        </w:rPr>
        <w:t>Form 40-F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o</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160020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205105</wp:posOffset>
            </wp:positionV>
            <wp:extent cx="7625080" cy="36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700"/>
          </w:cols>
          <w:pgMar w:left="120" w:top="425" w:right="420" w:bottom="1440" w:gutter="0" w:footer="0" w:header="0"/>
        </w:sectPr>
      </w:pPr>
    </w:p>
    <w:bookmarkStart w:id="1" w:name="page2"/>
    <w:bookmarkEnd w:id="1"/>
    <w:p>
      <w:pPr>
        <w:ind w:right="520" w:firstLine="405"/>
        <w:spacing w:after="0" w:line="275" w:lineRule="auto"/>
        <w:rPr>
          <w:sz w:val="20"/>
          <w:szCs w:val="20"/>
          <w:color w:val="auto"/>
        </w:rPr>
      </w:pPr>
      <w:r>
        <w:rPr>
          <w:rFonts w:ascii="Arial" w:cs="Arial" w:eastAsia="Arial" w:hAnsi="Arial"/>
          <w:sz w:val="19"/>
          <w:szCs w:val="19"/>
          <w:color w:val="auto"/>
        </w:rPr>
        <w:t>The press release issued by GasLog Partners LP on January 30, 2019 relating to its 2019 Annual Meeting of Limited Partners is attached hereto as Exhibit 99.1 and is incorporated herein by reference.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0" w:type="dxa"/>
            <w:vAlign w:val="bottom"/>
          </w:tcPr>
          <w:p>
            <w:pPr>
              <w:jc w:val="center"/>
              <w:ind w:right="1114"/>
              <w:spacing w:after="0"/>
              <w:rPr>
                <w:sz w:val="20"/>
                <w:szCs w:val="20"/>
                <w:color w:val="auto"/>
              </w:rPr>
            </w:pPr>
            <w:r>
              <w:rPr>
                <w:rFonts w:ascii="Arial" w:cs="Arial" w:eastAsia="Arial" w:hAnsi="Arial"/>
                <w:sz w:val="19"/>
                <w:szCs w:val="19"/>
                <w:color w:val="auto"/>
              </w:rPr>
              <w:t>EXHIBIT LIST</w:t>
            </w:r>
          </w:p>
        </w:tc>
        <w:tc>
          <w:tcPr>
            <w:tcW w:w="40" w:type="dxa"/>
            <w:vAlign w:val="bottom"/>
          </w:tcPr>
          <w:p>
            <w:pPr>
              <w:spacing w:after="0"/>
              <w:rPr>
                <w:sz w:val="20"/>
                <w:szCs w:val="20"/>
                <w:color w:val="auto"/>
              </w:rPr>
            </w:pPr>
          </w:p>
        </w:tc>
      </w:tr>
      <w:tr>
        <w:trPr>
          <w:trHeight w:val="386"/>
        </w:trPr>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w:t>
            </w:r>
          </w:p>
        </w:tc>
        <w:tc>
          <w:tcPr>
            <w:tcW w:w="360" w:type="dxa"/>
            <w:vAlign w:val="bottom"/>
          </w:tcPr>
          <w:p>
            <w:pPr>
              <w:spacing w:after="0"/>
              <w:rPr>
                <w:sz w:val="24"/>
                <w:szCs w:val="24"/>
                <w:color w:val="auto"/>
              </w:rPr>
            </w:pPr>
          </w:p>
        </w:tc>
        <w:tc>
          <w:tcPr>
            <w:tcW w:w="10800" w:type="dxa"/>
            <w:vAlign w:val="bottom"/>
            <w:tcBorders>
              <w:bottom w:val="single" w:sz="8" w:color="auto"/>
            </w:tcBorders>
          </w:tcPr>
          <w:p>
            <w:pPr>
              <w:ind w:left="5020"/>
              <w:spacing w:after="0"/>
              <w:rPr>
                <w:sz w:val="20"/>
                <w:szCs w:val="20"/>
                <w:color w:val="auto"/>
              </w:rPr>
            </w:pPr>
            <w:r>
              <w:rPr>
                <w:rFonts w:ascii="Arial" w:cs="Arial" w:eastAsia="Arial" w:hAnsi="Arial"/>
                <w:sz w:val="15"/>
                <w:szCs w:val="15"/>
                <w:b w:val="1"/>
                <w:bCs w:val="1"/>
                <w:color w:val="auto"/>
              </w:rPr>
              <w:t>Description</w:t>
            </w:r>
          </w:p>
        </w:tc>
        <w:tc>
          <w:tcPr>
            <w:tcW w:w="40" w:type="dxa"/>
            <w:vAlign w:val="bottom"/>
          </w:tcPr>
          <w:p>
            <w:pPr>
              <w:spacing w:after="0"/>
              <w:rPr>
                <w:sz w:val="24"/>
                <w:szCs w:val="24"/>
                <w:color w:val="auto"/>
              </w:rPr>
            </w:pPr>
          </w:p>
        </w:tc>
      </w:tr>
      <w:tr>
        <w:trPr>
          <w:trHeight w:val="450"/>
        </w:trPr>
        <w:tc>
          <w:tcPr>
            <w:tcW w:w="840" w:type="dxa"/>
            <w:vAlign w:val="bottom"/>
          </w:tcPr>
          <w:p>
            <w:pPr>
              <w:spacing w:after="0"/>
              <w:rPr>
                <w:sz w:val="20"/>
                <w:szCs w:val="20"/>
                <w:color w:val="auto"/>
              </w:rPr>
            </w:pPr>
            <w:r>
              <w:rPr>
                <w:rFonts w:ascii="Arial" w:cs="Arial" w:eastAsia="Arial" w:hAnsi="Arial"/>
                <w:sz w:val="19"/>
                <w:szCs w:val="19"/>
                <w:color w:val="auto"/>
              </w:rPr>
              <w:t>99.1</w:t>
            </w:r>
          </w:p>
        </w:tc>
        <w:tc>
          <w:tcPr>
            <w:tcW w:w="11160" w:type="dxa"/>
            <w:vAlign w:val="bottom"/>
            <w:gridSpan w:val="2"/>
          </w:tcPr>
          <w:p>
            <w:pPr>
              <w:ind w:left="360"/>
              <w:spacing w:after="0"/>
              <w:rPr>
                <w:sz w:val="20"/>
                <w:szCs w:val="20"/>
                <w:color w:val="auto"/>
              </w:rPr>
            </w:pPr>
            <w:r>
              <w:rPr>
                <w:rFonts w:ascii="Arial" w:cs="Arial" w:eastAsia="Arial" w:hAnsi="Arial"/>
                <w:sz w:val="19"/>
                <w:szCs w:val="19"/>
                <w:color w:val="auto"/>
              </w:rPr>
              <w:t>Press Release Dated January 30, 2019</w:t>
            </w:r>
          </w:p>
        </w:tc>
        <w:tc>
          <w:tcPr>
            <w:tcW w:w="40" w:type="dxa"/>
            <w:vAlign w:val="bottom"/>
          </w:tcPr>
          <w:p>
            <w:pPr>
              <w:spacing w:after="0"/>
              <w:rPr>
                <w:sz w:val="24"/>
                <w:szCs w:val="24"/>
                <w:color w:val="auto"/>
              </w:rPr>
            </w:pPr>
          </w:p>
        </w:tc>
      </w:tr>
      <w:tr>
        <w:trPr>
          <w:trHeight w:val="456"/>
        </w:trPr>
        <w:tc>
          <w:tcPr>
            <w:tcW w:w="840" w:type="dxa"/>
            <w:vAlign w:val="bottom"/>
          </w:tcPr>
          <w:p>
            <w:pPr>
              <w:spacing w:after="0"/>
              <w:rPr>
                <w:sz w:val="24"/>
                <w:szCs w:val="24"/>
                <w:color w:val="auto"/>
              </w:rPr>
            </w:pPr>
          </w:p>
        </w:tc>
        <w:tc>
          <w:tcPr>
            <w:tcW w:w="11160" w:type="dxa"/>
            <w:vAlign w:val="bottom"/>
            <w:gridSpan w:val="2"/>
          </w:tcPr>
          <w:p>
            <w:pPr>
              <w:jc w:val="right"/>
              <w:ind w:right="5874"/>
              <w:spacing w:after="0"/>
              <w:rPr>
                <w:sz w:val="20"/>
                <w:szCs w:val="20"/>
                <w:color w:val="auto"/>
              </w:rPr>
            </w:pPr>
            <w:r>
              <w:rPr>
                <w:rFonts w:ascii="Arial" w:cs="Arial" w:eastAsia="Arial" w:hAnsi="Arial"/>
                <w:sz w:val="19"/>
                <w:szCs w:val="19"/>
                <w:color w:val="auto"/>
              </w:rPr>
              <w:t>2</w:t>
            </w:r>
          </w:p>
        </w:tc>
        <w:tc>
          <w:tcPr>
            <w:tcW w:w="40" w:type="dxa"/>
            <w:vAlign w:val="bottom"/>
          </w:tcPr>
          <w:p>
            <w:pPr>
              <w:spacing w:after="0"/>
              <w:rPr>
                <w:sz w:val="24"/>
                <w:szCs w:val="24"/>
                <w:color w:val="auto"/>
              </w:rPr>
            </w:pPr>
          </w:p>
        </w:tc>
      </w:tr>
      <w:tr>
        <w:trPr>
          <w:trHeight w:val="141"/>
        </w:trPr>
        <w:tc>
          <w:tcPr>
            <w:tcW w:w="8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80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13" w:right="80"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9"/>
          <w:szCs w:val="19"/>
          <w:color w:val="auto"/>
        </w:rPr>
        <w:t>SIGNATURES</w:t>
      </w:r>
    </w:p>
    <w:p>
      <w:pPr>
        <w:spacing w:after="0" w:line="238" w:lineRule="exact"/>
        <w:rPr>
          <w:sz w:val="20"/>
          <w:szCs w:val="20"/>
          <w:color w:val="auto"/>
        </w:rPr>
      </w:pPr>
    </w:p>
    <w:p>
      <w:pPr>
        <w:ind w:firstLine="397"/>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 January 30, 2019</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PARTNERS LP</w:t>
      </w:r>
    </w:p>
    <w:p>
      <w:pPr>
        <w:spacing w:after="0" w:line="238" w:lineRule="exact"/>
        <w:rPr>
          <w:sz w:val="20"/>
          <w:szCs w:val="20"/>
          <w:color w:val="auto"/>
        </w:rPr>
      </w:pPr>
    </w:p>
    <w:p>
      <w:pPr>
        <w:ind w:left="6420"/>
        <w:spacing w:after="0"/>
        <w:tabs>
          <w:tab w:leader="none" w:pos="680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Andrew Orekar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15240</wp:posOffset>
            </wp:positionV>
            <wp:extent cx="3296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6285" cy="8890"/>
                    </a:xfrm>
                    <a:prstGeom prst="rect">
                      <a:avLst/>
                    </a:prstGeom>
                    <a:noFill/>
                  </pic:spPr>
                </pic:pic>
              </a:graphicData>
            </a:graphic>
          </wp:anchor>
        </w:drawing>
      </w:r>
    </w:p>
    <w:p>
      <w:pPr>
        <w:spacing w:after="0" w:line="4" w:lineRule="exact"/>
        <w:rPr>
          <w:sz w:val="20"/>
          <w:szCs w:val="20"/>
          <w:color w:val="auto"/>
        </w:rPr>
      </w:pPr>
    </w:p>
    <w:p>
      <w:pPr>
        <w:ind w:left="6820"/>
        <w:spacing w:after="0"/>
        <w:rPr>
          <w:sz w:val="20"/>
          <w:szCs w:val="20"/>
          <w:color w:val="auto"/>
        </w:rPr>
      </w:pPr>
      <w:r>
        <w:rPr>
          <w:rFonts w:ascii="Arial" w:cs="Arial" w:eastAsia="Arial" w:hAnsi="Arial"/>
          <w:sz w:val="19"/>
          <w:szCs w:val="19"/>
          <w:color w:val="auto"/>
        </w:rPr>
        <w:t>Name: Andrew Orekar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9"/>
          <w:szCs w:val="19"/>
          <w:color w:val="auto"/>
        </w:rPr>
        <w:t>Title:  Chief Executive Officer</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240"/>
          </w:cols>
          <w:pgMar w:left="120" w:top="213" w:right="880"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color w:val="auto"/>
        </w:rPr>
        <w:t>Exhibit 99.1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GasLog Partners LP Announces 2019 Annual Meeting of Limited Partners</w:t>
      </w:r>
    </w:p>
    <w:p>
      <w:pPr>
        <w:spacing w:after="0" w:line="238" w:lineRule="exact"/>
        <w:rPr>
          <w:sz w:val="20"/>
          <w:szCs w:val="20"/>
          <w:color w:val="auto"/>
        </w:rPr>
      </w:pPr>
    </w:p>
    <w:p>
      <w:pPr>
        <w:ind w:right="460"/>
        <w:spacing w:after="0" w:line="282" w:lineRule="auto"/>
        <w:rPr>
          <w:sz w:val="20"/>
          <w:szCs w:val="20"/>
          <w:color w:val="auto"/>
        </w:rPr>
      </w:pPr>
      <w:r>
        <w:rPr>
          <w:rFonts w:ascii="Arial" w:cs="Arial" w:eastAsia="Arial" w:hAnsi="Arial"/>
          <w:sz w:val="19"/>
          <w:szCs w:val="19"/>
          <w:b w:val="1"/>
          <w:bCs w:val="1"/>
          <w:color w:val="auto"/>
        </w:rPr>
        <w:t xml:space="preserve">MONACO — January 30, 2019 - </w:t>
      </w:r>
      <w:r>
        <w:rPr>
          <w:rFonts w:ascii="Arial" w:cs="Arial" w:eastAsia="Arial" w:hAnsi="Arial"/>
          <w:sz w:val="19"/>
          <w:szCs w:val="19"/>
          <w:color w:val="auto"/>
        </w:rPr>
        <w:t>GasLog Partners LP (“GasLog Partners”) (NYSE: GLOP) announced today that its Board of Directors has called an</w:t>
      </w:r>
      <w:r>
        <w:rPr>
          <w:rFonts w:ascii="Arial" w:cs="Arial" w:eastAsia="Arial" w:hAnsi="Arial"/>
          <w:sz w:val="19"/>
          <w:szCs w:val="19"/>
          <w:b w:val="1"/>
          <w:bCs w:val="1"/>
          <w:color w:val="auto"/>
        </w:rPr>
        <w:t xml:space="preserve"> </w:t>
      </w:r>
      <w:r>
        <w:rPr>
          <w:rFonts w:ascii="Arial" w:cs="Arial" w:eastAsia="Arial" w:hAnsi="Arial"/>
          <w:sz w:val="19"/>
          <w:szCs w:val="19"/>
          <w:color w:val="auto"/>
        </w:rPr>
        <w:t>annual meeting of limited partners to be held in Monaco on Friday, May 10, 2019.</w:t>
      </w:r>
    </w:p>
    <w:p>
      <w:pPr>
        <w:spacing w:after="0" w:line="177" w:lineRule="exact"/>
        <w:rPr>
          <w:sz w:val="20"/>
          <w:szCs w:val="20"/>
          <w:color w:val="auto"/>
        </w:rPr>
      </w:pPr>
    </w:p>
    <w:p>
      <w:pPr>
        <w:ind w:right="300"/>
        <w:spacing w:after="0" w:line="275" w:lineRule="auto"/>
        <w:rPr>
          <w:sz w:val="20"/>
          <w:szCs w:val="20"/>
          <w:color w:val="auto"/>
        </w:rPr>
      </w:pPr>
      <w:r>
        <w:rPr>
          <w:rFonts w:ascii="Arial" w:cs="Arial" w:eastAsia="Arial" w:hAnsi="Arial"/>
          <w:sz w:val="19"/>
          <w:szCs w:val="19"/>
          <w:color w:val="auto"/>
        </w:rPr>
        <w:t>Unitholders of record at the close of business on Friday, March 15, 2019 will be entitled to receive notice of, and to vote at, the annual meeting and at any adjournments or postponements thereof.</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Formal notice of the meeting and GasLog Partners’ proxy statement will be sent to unitholders of GasLog Partners in due course.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About GasLog Partners</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GasLog Partners is a growth-oriented master limited partnership focused on owning, operating and acquiring LNG carriers under multi-year charters. GasLog Partners’ fleet consists of 14 LNG carriers with an average carrying capacity of approximately 157,000 cbm. GasLog Partners’ principal executive offices are located at Gildo Pastor Center, 7 Rue du Gabian, MC 98000, Monaco. Visit GasLog Partners’ website at http://www.gaslogmlp.com</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+44-203-388-3116</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Deputy Head of Investor Relations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Phone: +1-212-223-0643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2019-12-15T18:00:08Z</dcterms:created>
  <dcterms:modified xsi:type="dcterms:W3CDTF">2019-12-15T18:00:08Z</dcterms:modified>
</cp:coreProperties>
</file>