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6-K/A</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April,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This Report of Foreign Private Issuer on Form 6-K/A (the “Amended Report”) is furnished to amend the Report of Foreign Private Issuer on Form 6-K of GasLog Partners LP originally furnished to the Securities and Exchange Commission on March 23, 2018 (the “Original Report”), solely to furnish a corrected version of the Proxy Statement for the 2018 Annual Meeting of Limited Partners of GasLog Partners LP, which was furnished as Exhibit 99.1 to the Original Report. The corrected Proxy Statement for the 2018 Annual Meeting of Limited Partners of GasLog Partners LP, furnished as Exhibit 99.1 hereto, contains only the following modification: in the first sentence under the title “Voting Rights and Outstanding Units”, the number of common units representing limited partnership units of GasLog Partners LP issued and outstanding on the record date for the 2018 annual meeting has been changed to “41,002,121” from “28,442,358”.</w:t>
      </w:r>
    </w:p>
    <w:p>
      <w:pPr>
        <w:spacing w:after="0" w:line="189"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Other than as expressly set forth above, this Amended Report does not, and does not purport to, amend, modify or update the information in the Original Report, or reflect any events that have occurred after the Original Report was initially furnished.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3368"/>
              <w:spacing w:after="0"/>
              <w:rPr>
                <w:sz w:val="20"/>
                <w:szCs w:val="20"/>
                <w:color w:val="auto"/>
              </w:rPr>
            </w:pPr>
            <w:r>
              <w:rPr>
                <w:rFonts w:ascii="Arial" w:cs="Arial" w:eastAsia="Arial" w:hAnsi="Arial"/>
                <w:sz w:val="18"/>
                <w:szCs w:val="18"/>
                <w:color w:val="auto"/>
                <w:w w:val="95"/>
              </w:rPr>
              <w:t>Proxy Statement for the 2018 Annual Meeting of Limited Partners of GasLog Partners LP</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April 3,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4"/>
          <w:szCs w:val="24"/>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Andrew J. Orekar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4"/>
          <w:szCs w:val="24"/>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bookmarkStart w:id="1" w:name="page2"/>
    <w:bookmarkEnd w:id="1"/>
    <w:p>
      <w:pPr>
        <w:ind w:left="10540"/>
        <w:spacing w:after="0"/>
        <w:rPr>
          <w:sz w:val="20"/>
          <w:szCs w:val="20"/>
          <w:color w:val="auto"/>
        </w:rPr>
      </w:pPr>
      <w:r>
        <w:rPr>
          <w:rFonts w:ascii="Arial" w:cs="Arial" w:eastAsia="Arial" w:hAnsi="Arial"/>
          <w:sz w:val="16"/>
          <w:szCs w:val="16"/>
          <w:color w:val="auto"/>
        </w:rPr>
        <w:t>Exhibit 99.1</w:t>
      </w:r>
    </w:p>
    <w:p>
      <w:pPr>
        <w:spacing w:after="0" w:line="248"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APPENDIX 99.1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 98000, Monaco</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Limited Partner:</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behalf of the Board of Directors, you are cordially invited to attend the 2018 Annual Meeting of the limited partners (the “Limited Partners”) holding common units representing limited partner interests in GasLog Partners LP. The meeting will be held at:</w:t>
      </w:r>
    </w:p>
    <w:p>
      <w:pPr>
        <w:spacing w:after="0" w:line="166" w:lineRule="exact"/>
        <w:rPr>
          <w:sz w:val="20"/>
          <w:szCs w:val="20"/>
          <w:color w:val="auto"/>
        </w:rPr>
      </w:pPr>
    </w:p>
    <w:p>
      <w:pPr>
        <w:ind w:left="340"/>
        <w:spacing w:after="0"/>
        <w:tabs>
          <w:tab w:leader="none" w:pos="10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Beau-Rivage Palace – Salon Beaux-Arts, Chemin de Beau-Rivage 21, 1006 Lausanne, Switzerland</w:t>
      </w:r>
    </w:p>
    <w:p>
      <w:pPr>
        <w:spacing w:after="0" w:line="22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Friday, May 11, 2018</w:t>
      </w:r>
    </w:p>
    <w:p>
      <w:pPr>
        <w:spacing w:after="0" w:line="22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3:00 p.m. (Central European time)</w:t>
      </w:r>
    </w:p>
    <w:p>
      <w:pPr>
        <w:spacing w:after="0" w:line="22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Notice of the 2018 Annual Meeting and Proxy Statement describe the items to be considered by the Limited Partners at such meeting and contain certain information about us and our executive officers and directors. The principal business to be transacted at the 2018 Annual Meeting will be:</w:t>
      </w:r>
    </w:p>
    <w:p>
      <w:pPr>
        <w:spacing w:after="0" w:line="124" w:lineRule="exact"/>
        <w:rPr>
          <w:sz w:val="20"/>
          <w:szCs w:val="20"/>
          <w:color w:val="auto"/>
        </w:rPr>
      </w:pPr>
    </w:p>
    <w:p>
      <w:pPr>
        <w:ind w:left="660" w:right="460" w:hanging="328"/>
        <w:spacing w:after="0" w:line="277" w:lineRule="auto"/>
        <w:tabs>
          <w:tab w:leader="none" w:pos="696"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Daniel R. Bradshaw as a Class III Director to serve for a three-year term until the 2021 annual meeting or until his successor has been elected or appointed;</w:t>
      </w:r>
    </w:p>
    <w:p>
      <w:pPr>
        <w:spacing w:after="0" w:line="170" w:lineRule="exact"/>
        <w:rPr>
          <w:rFonts w:ascii="Arial" w:cs="Arial" w:eastAsia="Arial" w:hAnsi="Arial"/>
          <w:sz w:val="18"/>
          <w:szCs w:val="18"/>
          <w:color w:val="auto"/>
        </w:rPr>
      </w:pPr>
    </w:p>
    <w:p>
      <w:pPr>
        <w:ind w:left="700" w:hanging="368"/>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Deloitte LLP as our independent auditors for the fiscal year ending December 31, 2018;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2018 Annual Meeting and any adjournments or postponements thereof.</w:t>
      </w:r>
    </w:p>
    <w:p>
      <w:pPr>
        <w:spacing w:after="0" w:line="23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Board of Directors unanimously recommends that Limited Partners vote for the election of the nominated director and the ratification of the appointment of Deloitte LLP as our independent auditors.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understand that many of our Limited Partners may be unable to attend the meeting in person.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 We look forward to seeing you.</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200660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066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Curtis V. Anastasio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134620</wp:posOffset>
            </wp:positionV>
            <wp:extent cx="1174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MEETING OF LIMITED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FRIDAY, MAY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134620</wp:posOffset>
            </wp:positionV>
            <wp:extent cx="1174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93"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NOTICE IS HEREBY GIVEN that the 2018 Annual Meeting of the limited partners holding common units representing limited partner interests in GasLog Partners LP, a Marshall Islands limited partnership (the “Partnership”), will be held at 3:00 p.m. Central European local time, on Friday, May 11, 2018, at Beau-Rivage Palace – Salon Beaux-Arts, Chemin de Beau-Rivage 21, 1006 Lausanne, Switzerland for the following purposes:</w:t>
      </w:r>
    </w:p>
    <w:p>
      <w:pPr>
        <w:spacing w:after="0" w:line="166" w:lineRule="exact"/>
        <w:rPr>
          <w:sz w:val="20"/>
          <w:szCs w:val="20"/>
          <w:color w:val="auto"/>
        </w:rPr>
      </w:pPr>
    </w:p>
    <w:p>
      <w:pPr>
        <w:ind w:left="660" w:right="460" w:hanging="328"/>
        <w:spacing w:after="0" w:line="277" w:lineRule="auto"/>
        <w:tabs>
          <w:tab w:leader="none" w:pos="696"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Daniel R. Bradshaw as a Class III Director to serve for a three-year term until the 2021 annual meeting or until his successor has been elected or appointed;</w:t>
      </w:r>
    </w:p>
    <w:p>
      <w:pPr>
        <w:spacing w:after="0" w:line="170" w:lineRule="exact"/>
        <w:rPr>
          <w:rFonts w:ascii="Arial" w:cs="Arial" w:eastAsia="Arial" w:hAnsi="Arial"/>
          <w:sz w:val="18"/>
          <w:szCs w:val="18"/>
          <w:color w:val="auto"/>
        </w:rPr>
      </w:pPr>
    </w:p>
    <w:p>
      <w:pPr>
        <w:ind w:left="700" w:hanging="36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Deloitte LLP as our independent auditors for the fiscal year ending December 31, 2018;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2018 Annual Meeting and any adjournments or postponements thereof.</w:t>
      </w:r>
    </w:p>
    <w:p>
      <w:pPr>
        <w:sectPr>
          <w:pgSz w:w="11900" w:h="16838" w:orient="portrait"/>
          <w:cols w:equalWidth="0" w:num="1">
            <w:col w:w="11420"/>
          </w:cols>
          <w:pgMar w:left="240" w:top="125" w:right="239" w:bottom="0" w:gutter="0" w:footer="0" w:header="0"/>
        </w:sectPr>
      </w:pPr>
    </w:p>
    <w:bookmarkStart w:id="2" w:name="page3"/>
    <w:bookmarkEnd w:id="2"/>
    <w:p>
      <w:pPr>
        <w:spacing w:after="0" w:line="9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Only holders of record of our common units at the close of business on Friday, March 16, 2018, will be entitled to receive notice of, and to vote at, the 2018 Annual Meeting and at any adjournments or postponements thereof.</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You are cordially invited to attend the 2018 Annual Meeting. Whether or not you expect to attend the 2018 Annual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in person, should you decide to attend the 2018 Annual Meeting. We look forward to seeing you.</w:t>
      </w:r>
    </w:p>
    <w:p>
      <w:pPr>
        <w:spacing w:after="0" w:line="188"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 xml:space="preserve">For further information regarding the Partnership, please see our Annual Report on Form 20-F filed with the Securities and Exchange Commission on February 12, 2018. The Annual Report can be accessed on the Partnership’s website, </w:t>
      </w:r>
      <w:r>
        <w:rPr>
          <w:rFonts w:ascii="Arial" w:cs="Arial" w:eastAsia="Arial" w:hAnsi="Arial"/>
          <w:sz w:val="18"/>
          <w:szCs w:val="18"/>
          <w:u w:val="single" w:color="auto"/>
          <w:color w:val="auto"/>
        </w:rPr>
        <w:t>http://www.gaslogmlp.com</w:t>
      </w:r>
      <w:r>
        <w:rPr>
          <w:rFonts w:ascii="Arial" w:cs="Arial" w:eastAsia="Arial" w:hAnsi="Arial"/>
          <w:sz w:val="18"/>
          <w:szCs w:val="18"/>
          <w:color w:val="auto"/>
        </w:rPr>
        <w:t>, in the “Investor Relations” section under “SEC Filings”.</w:t>
      </w:r>
    </w:p>
    <w:p>
      <w:pPr>
        <w:spacing w:after="0" w:line="18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109220</wp:posOffset>
            </wp:positionV>
            <wp:extent cx="1372235" cy="951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Sarah Larkins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notice of the 2018 Annual Meeting and proxy statement and form of proxy are being distributed on or about 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Gildo Pastor Center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134620</wp:posOffset>
            </wp:positionV>
            <wp:extent cx="1174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ANNUAL MEETING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FRIDAY, MAY 11,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146050</wp:posOffset>
            </wp:positionV>
            <wp:extent cx="1174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The enclosed proxy is solicited on behalf of the Board of Directors (the “Board”) of GasLog Partners LP, a Marshall Islands limited partnership (the “Partnership”), for use at the 2018 Annual Meeting of Limited Partners to be held at 3:00 p.m. Central European local time, on Friday, May 11, 2018, at Beau-Rivage Palace – Salon Beaux-Arts, Chemin de Beau-Rivage 21, 1006 Lausanne, Switzerland, or at any adjournment or postponement thereof (the “Meeting”), for the purposes set forth herein and in the accompanying Notice of the Meeting. This Proxy Statement and the accompanying proxy card are expected to be mailed on or about March 23, 2018 to the limited partners (the “Limited Partners”) who are entitled to vote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OUTSTANDING UNITS</w:t>
      </w:r>
    </w:p>
    <w:p>
      <w:pPr>
        <w:spacing w:after="0" w:line="229" w:lineRule="exact"/>
        <w:rPr>
          <w:sz w:val="20"/>
          <w:szCs w:val="20"/>
          <w:color w:val="auto"/>
        </w:rPr>
      </w:pPr>
    </w:p>
    <w:p>
      <w:pPr>
        <w:ind w:firstLine="259"/>
        <w:spacing w:after="0" w:line="280" w:lineRule="auto"/>
        <w:rPr>
          <w:sz w:val="20"/>
          <w:szCs w:val="20"/>
          <w:color w:val="auto"/>
        </w:rPr>
      </w:pPr>
      <w:r>
        <w:rPr>
          <w:rFonts w:ascii="Arial" w:cs="Arial" w:eastAsia="Arial" w:hAnsi="Arial"/>
          <w:sz w:val="16"/>
          <w:szCs w:val="16"/>
          <w:color w:val="auto"/>
        </w:rPr>
        <w:t>On March 16, 2018, (the “Record Date”), the Partnership had issued and outstanding 41,002,121 common units representing limited partner interests (the “Common Units”). Each Limited Partner of record at the close of business on the Record Date is entitled to one vote for each Common Unit then held, subject to the restrictions described below. Holders of at least 33</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2018 Annual Meeting. As of the Record Date, GasLog Ltd. (“GasLog”) owns 23.9% of our outstanding Common Units and all of our general partner units, representing a 25.9% partnership interest in us. As a result of GasLog’s ownership of our general partner, GasLog Partners GP LLC (our “General Partner”) and the fact that our General Partner elects the majority of the Partnership’s directors in accordance with our Third Amended and Restated Agreement of Limited Partnership, dated as of January 17, 2018 (the “Partnership Agreement”), GasLog has the ability to control the Partnership’s affairs and policies.</w:t>
      </w:r>
    </w:p>
    <w:p>
      <w:pPr>
        <w:spacing w:after="0" w:line="17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Pursuant to the Partnership Agreement, holders of preference units, general partner units and incentive distribution rights are not entitled to vote on the proposals to elect the Partnership’s Elected Directors (as defined below).</w:t>
      </w:r>
    </w:p>
    <w:p>
      <w:pPr>
        <w:spacing w:after="0" w:line="170"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Our Partnership Agreement, restricts Limited Partners’ voting rights by providing that if at any time any person or group beneficially owns more than 4.9% of the outstanding Partnership interests of any class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 Partners holding less than 4.9% of the voting power of all classes of units entitled to vote. Our General Partner, its affiliates and persons who acquired more</w:t>
      </w:r>
    </w:p>
    <w:p>
      <w:pPr>
        <w:sectPr>
          <w:pgSz w:w="11900" w:h="16932" w:orient="portrait"/>
          <w:cols w:equalWidth="0" w:num="1">
            <w:col w:w="11420"/>
          </w:cols>
          <w:pgMar w:left="240" w:top="341" w:right="239" w:bottom="0" w:gutter="0" w:footer="0" w:header="0"/>
        </w:sectPr>
      </w:pPr>
    </w:p>
    <w:bookmarkStart w:id="3" w:name="page4"/>
    <w:bookmarkEnd w:id="3"/>
    <w:p>
      <w:pPr>
        <w:ind w:right="440"/>
        <w:spacing w:after="0" w:line="277" w:lineRule="auto"/>
        <w:rPr>
          <w:sz w:val="20"/>
          <w:szCs w:val="20"/>
          <w:color w:val="auto"/>
        </w:rPr>
      </w:pPr>
      <w:r>
        <w:rPr>
          <w:rFonts w:ascii="Arial" w:cs="Arial" w:eastAsia="Arial" w:hAnsi="Arial"/>
          <w:sz w:val="18"/>
          <w:szCs w:val="18"/>
          <w:color w:val="auto"/>
        </w:rPr>
        <w:t>than 4.9% of any Partnership interests with the prior approval of our Board will not be subject to this 4.9% limitation, except with respect to voting their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election of directors at the Meeting. As GasLog owns 23.9% of our Common Units, it will be subject to the 4.9% limitation when voting in favour of the election of Mr. Daniel R. Bradshaw, but it will be able to vote all of its Common Units with respect to all other items proposed for a vote at the Meeting.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Units are listed on the New York Stock Exchange (the “NYSE”) under the symbol “GLOP”.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 Limited Partner giving a proxy may revoke it at any time before it is exercised. A proxy may be revoked by filing with Sarah Larkins, Partnership Secretary of the Partnership, at the Partnership’s principal executive offices at Gildo Pastor Center, 7 Rue du Gabian, MC 98000, Monaco, or submitting by Internet or telephone, a duly executed proxy bearing a later date, by filing with the Partnership,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The Partnership’s Board currently consists of seven individuals, four of whom were appointed by our General Partner in its sole discretion (the “Appointed Directors”) and three of whom were elected by the Limited Partners (the “Elected Directors”). The Elected Directors are divided into classes serving staggered three year terms. </w:t>
      </w:r>
      <w:r>
        <w:rPr>
          <w:rFonts w:ascii="Arial" w:cs="Arial" w:eastAsia="Arial" w:hAnsi="Arial"/>
          <w:sz w:val="16"/>
          <w:szCs w:val="16"/>
          <w:color w:val="auto"/>
        </w:rPr>
        <w:t>At our 2015 annual meeting, the Class I elected director, Robert B. Allardice III, was elected to serve for a one year term</w:t>
      </w:r>
      <w:r>
        <w:rPr>
          <w:rFonts w:ascii="Arial" w:cs="Arial" w:eastAsia="Arial" w:hAnsi="Arial"/>
          <w:sz w:val="17"/>
          <w:szCs w:val="17"/>
          <w:color w:val="auto"/>
        </w:rPr>
        <w:t xml:space="preserve"> </w:t>
      </w:r>
      <w:r>
        <w:rPr>
          <w:rFonts w:ascii="Arial" w:cs="Arial" w:eastAsia="Arial" w:hAnsi="Arial"/>
          <w:sz w:val="16"/>
          <w:szCs w:val="16"/>
          <w:color w:val="auto"/>
        </w:rPr>
        <w:t xml:space="preserve">expiring on the date of the succeeding annual meeting, the Class II elected director, Pamela M. Gibson, was elected to serve for a two-year term expiring on the second succeeding annual meeting and the Class III elected director, Daniel R. Bradshaw, was elected to serve for a three-year term expiring on the third succeeding annual meeting. </w:t>
      </w:r>
      <w:r>
        <w:rPr>
          <w:rFonts w:ascii="Arial" w:cs="Arial" w:eastAsia="Arial" w:hAnsi="Arial"/>
          <w:sz w:val="17"/>
          <w:szCs w:val="17"/>
          <w:color w:val="auto"/>
        </w:rPr>
        <w:t>Robert B. Allardice III was re-elected as a Class I director at the 2016 annual meeting to hold office until the 2019 annual meeting</w:t>
      </w:r>
      <w:r>
        <w:rPr>
          <w:rFonts w:ascii="Arial" w:cs="Arial" w:eastAsia="Arial" w:hAnsi="Arial"/>
          <w:sz w:val="16"/>
          <w:szCs w:val="16"/>
          <w:color w:val="auto"/>
        </w:rPr>
        <w:t xml:space="preserve"> </w:t>
      </w:r>
      <w:r>
        <w:rPr>
          <w:rFonts w:ascii="Arial" w:cs="Arial" w:eastAsia="Arial" w:hAnsi="Arial"/>
          <w:sz w:val="17"/>
          <w:szCs w:val="17"/>
          <w:color w:val="auto"/>
        </w:rPr>
        <w:t>and Pamela M. Gibson was re-elected as a Class II director at the 2017 annual meeting to hold office until the 2020 annual meeting, or in each case, until his or her successor has been elected or appointed as the case may be.</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Overview—Taxation of the Partnership” in our Annual Report on Form 20-F filed with the U.S. Securities and Exchange Commission (the “SEC”) on February 12, 2018.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 3. Key Information—D. Risk Factors—Holders of our Preference Units have extremely limited voting rights” in our Annual Report on Form 20-F filed with the SEC on February 12, 2018.</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nominee for the Elected Director position shall be elected by a plurality of the votes of the outstanding Common Units present in person or represented by proxy at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Board has nominated the following individual to serve as a Class III Director until the annual meeting of Limited Partners in 2021 or until his successor has been elected or appointed, as the case may be.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426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Positions</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Class</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8"/>
        </w:trPr>
        <w:tc>
          <w:tcPr>
            <w:tcW w:w="3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2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Expires</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90"/>
        </w:trPr>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92"/>
              </w:rPr>
              <w:t>Daniel</w:t>
            </w:r>
          </w:p>
        </w:tc>
        <w:tc>
          <w:tcPr>
            <w:tcW w:w="2940" w:type="dxa"/>
            <w:vAlign w:val="bottom"/>
            <w:tcBorders>
              <w:bottom w:val="single" w:sz="8" w:color="auto"/>
            </w:tcBorders>
          </w:tcPr>
          <w:p>
            <w:pPr>
              <w:ind w:left="40"/>
              <w:spacing w:after="0" w:line="170" w:lineRule="exact"/>
              <w:rPr>
                <w:sz w:val="20"/>
                <w:szCs w:val="20"/>
                <w:color w:val="auto"/>
              </w:rPr>
            </w:pPr>
            <w:r>
              <w:rPr>
                <w:rFonts w:ascii="Arial" w:cs="Arial" w:eastAsia="Arial" w:hAnsi="Arial"/>
                <w:sz w:val="16"/>
                <w:szCs w:val="16"/>
                <w:color w:val="auto"/>
              </w:rPr>
              <w:t>R. Bradshaw</w:t>
            </w:r>
          </w:p>
        </w:tc>
        <w:tc>
          <w:tcPr>
            <w:tcW w:w="300" w:type="dxa"/>
            <w:vAlign w:val="bottom"/>
          </w:tcPr>
          <w:p>
            <w:pPr>
              <w:spacing w:after="0"/>
              <w:rPr>
                <w:sz w:val="16"/>
                <w:szCs w:val="16"/>
                <w:color w:val="auto"/>
              </w:rPr>
            </w:pPr>
          </w:p>
        </w:tc>
        <w:tc>
          <w:tcPr>
            <w:tcW w:w="58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6"/>
                <w:szCs w:val="16"/>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Director</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III</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2014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Concerning the Nominee for Election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R. Bradshaw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w:t>
      </w:r>
    </w:p>
    <w:p>
      <w:pPr>
        <w:spacing w:after="0" w:line="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7"/>
          <w:szCs w:val="17"/>
          <w:color w:val="auto"/>
        </w:rPr>
        <w:t xml:space="preserve">Mr. Bradshaw </w:t>
      </w:r>
      <w:r>
        <w:rPr>
          <w:rFonts w:ascii="Arial" w:cs="Arial" w:eastAsia="Arial" w:hAnsi="Arial"/>
          <w:sz w:val="16"/>
          <w:szCs w:val="16"/>
          <w:color w:val="auto"/>
        </w:rPr>
        <w:t>has been a director since the closing of our initial public offering (“IPO”). Since 1978, Mr. Bradshaw has worked at the law firm of</w:t>
      </w:r>
      <w:r>
        <w:rPr>
          <w:rFonts w:ascii="Arial" w:cs="Arial" w:eastAsia="Arial" w:hAnsi="Arial"/>
          <w:sz w:val="17"/>
          <w:szCs w:val="17"/>
          <w:color w:val="auto"/>
        </w:rPr>
        <w:t xml:space="preserve"> </w:t>
      </w:r>
      <w:r>
        <w:rPr>
          <w:rFonts w:ascii="Arial" w:cs="Arial" w:eastAsia="Arial" w:hAnsi="Arial"/>
          <w:sz w:val="16"/>
          <w:szCs w:val="16"/>
          <w:color w:val="auto"/>
        </w:rPr>
        <w:t>Johnson Stokes &amp; Master, now Mayer Brown JSM, in Hong Kong, from 1983 to 2003 as a partner and since 2003 as a senior consultant. In addition,</w:t>
      </w:r>
    </w:p>
    <w:p>
      <w:pPr>
        <w:ind w:right="180"/>
        <w:spacing w:after="0" w:line="255" w:lineRule="auto"/>
        <w:rPr>
          <w:sz w:val="20"/>
          <w:szCs w:val="20"/>
          <w:color w:val="auto"/>
        </w:rPr>
      </w:pPr>
      <w:r>
        <w:rPr>
          <w:rFonts w:ascii="Arial" w:cs="Arial" w:eastAsia="Arial" w:hAnsi="Arial"/>
          <w:sz w:val="18"/>
          <w:szCs w:val="18"/>
          <w:color w:val="auto"/>
        </w:rPr>
        <w:t>Mr. Bradshaw is an independent non-executive director of Pacific Basin Shipping Company Limited, an independent non-executive director of IRC Limited, an affiliate of Petropavlovsk PLC and a non-executive director of Euronav NV. Mr. Bradshaw received a Master of Laws degree from the Victoria University of Wellington in 1971.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Elected Directors</w:t>
      </w:r>
    </w:p>
    <w:p>
      <w:pPr>
        <w:sectPr>
          <w:pgSz w:w="11900" w:h="16838" w:orient="portrait"/>
          <w:cols w:equalWidth="0" w:num="1">
            <w:col w:w="11420"/>
          </w:cols>
          <w:pgMar w:left="240" w:top="125" w:right="239" w:bottom="0" w:gutter="0" w:footer="0" w:header="0"/>
        </w:sectPr>
      </w:pPr>
    </w:p>
    <w:bookmarkStart w:id="4" w:name="page5"/>
    <w:bookmarkEnd w:id="4"/>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biographical information about the Elected Directors not currently standing for re-election is set forth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B. Allardice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w:t>
      </w:r>
    </w:p>
    <w:p>
      <w:pPr>
        <w:spacing w:after="0" w:line="9"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Mr. Allardice has been a member of our Board since October 2014. Mr. Allardice has had a long career in the financial services industry, having worked for Morgan Stanley in a number of roles for 19 years as well as with Smith Barney and Deutsche Bank Americas Holding Corp. 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Pamela M.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w:t>
      </w:r>
    </w:p>
    <w:p>
      <w:pPr>
        <w:spacing w:after="0" w:line="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Ms. Gibson has been a director since the closing of our IPO. Since 1984, Ms. Gibson has worked at the law firm of Shearman &amp; Sterling LLP, from 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 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Appointed Directors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Following the Meeting, our Appointed Directors are expected to be Curtis V. Anastasio, our Chairman, Peter G. Livanos, Andrew J. Orekar, our Chief Executive Officer (“CEO”), and Anthony S. Papadimitriou, all of whom currently serve on our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biographical information about the individuals expected to serve as Appointed Directors following the Meeting are set forth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Curtis V. Anastasio</w:t>
      </w:r>
    </w:p>
    <w:p>
      <w:pPr>
        <w:spacing w:after="0" w:line="2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7"/>
          <w:szCs w:val="17"/>
          <w:color w:val="auto"/>
        </w:rPr>
        <w:t xml:space="preserve">Mr. Anastasio </w:t>
      </w:r>
      <w:r>
        <w:rPr>
          <w:rFonts w:ascii="Arial" w:cs="Arial" w:eastAsia="Arial" w:hAnsi="Arial"/>
          <w:sz w:val="16"/>
          <w:szCs w:val="16"/>
          <w:color w:val="auto"/>
        </w:rPr>
        <w:t>has been the Executive Chairman of our Board since our inception to May 2016 and Non-Executive Chairman from May 2016 to date.</w:t>
      </w:r>
      <w:r>
        <w:rPr>
          <w:rFonts w:ascii="Arial" w:cs="Arial" w:eastAsia="Arial" w:hAnsi="Arial"/>
          <w:sz w:val="17"/>
          <w:szCs w:val="17"/>
          <w:color w:val="auto"/>
        </w:rPr>
        <w:t xml:space="preserve"> </w:t>
      </w:r>
      <w:r>
        <w:rPr>
          <w:rFonts w:ascii="Arial" w:cs="Arial" w:eastAsia="Arial" w:hAnsi="Arial"/>
          <w:sz w:val="16"/>
          <w:szCs w:val="16"/>
          <w:color w:val="auto"/>
        </w:rPr>
        <w:t>From the time he led the IPO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IPO in 2006. NuStar GP owns general and limited partner interests and the incentive distribution rights in NuStar Energy and manages its business affairs. In addition, Mr. Anastasio serves as a director and chairman of the Audit Committee of Par Pacific Holdings (previously Par Petroleum Corporation), a growth-orientated company that manages and maintains interests in energy related assets. He also serves on the board of the Federal Reserve Bank of Dallas and in June 2015 was appointed to the board of the Chemours Company. Mr. Anastasio received a Juris Doctorate degree from Harvard Law School in 1981 and a Bachelor of Arts degree, Magna cum Laude, from Cornell University in 1978.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G. Livanos</w:t>
      </w:r>
    </w:p>
    <w:p>
      <w:pPr>
        <w:spacing w:after="0" w:line="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Mr. Livanos has been a director since the closing of our IPO. Mr. Livanos is the Chairman of GasLog and a member of GasLog’s board of 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S. Papadimitriou</w:t>
      </w:r>
    </w:p>
    <w:p>
      <w:pPr>
        <w:spacing w:after="0" w:line="2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Mr. Papadimitriou </w:t>
      </w:r>
      <w:r>
        <w:rPr>
          <w:rFonts w:ascii="Arial" w:cs="Arial" w:eastAsia="Arial" w:hAnsi="Arial"/>
          <w:sz w:val="17"/>
          <w:szCs w:val="17"/>
          <w:color w:val="auto"/>
        </w:rPr>
        <w:t>has been a director since our 2015 annual meeting. Mr. Papadimitriou is a member of GasLog’s board of directors. From 1986 until</w:t>
      </w:r>
      <w:r>
        <w:rPr>
          <w:rFonts w:ascii="Arial" w:cs="Arial" w:eastAsia="Arial" w:hAnsi="Arial"/>
          <w:sz w:val="18"/>
          <w:szCs w:val="18"/>
          <w:color w:val="auto"/>
        </w:rPr>
        <w:t xml:space="preserve"> </w:t>
      </w:r>
      <w:r>
        <w:rPr>
          <w:rFonts w:ascii="Arial" w:cs="Arial" w:eastAsia="Arial" w:hAnsi="Arial"/>
          <w:sz w:val="17"/>
          <w:szCs w:val="17"/>
          <w:color w:val="auto"/>
        </w:rPr>
        <w:t>2005, Mr. Papadimitriou served as legal counsel for Olympic Shipping &amp; Management S.A, an affiliate of the Onassis Foundation, and from 1995 to 2005 he was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the founding partner of A.S. Papadimitriou and Partners Law Firm. Mr. Papadimitriou is a graduate of the Athens University Law School and holds a postgraduate degree in maritime and transport law from the University Aix-en-Provence, a B.Sc. from the London School of Economics and a Ph.D. from the National and Kapodistrian University of Athens.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J. Orekar</w:t>
      </w:r>
    </w:p>
    <w:p>
      <w:pPr>
        <w:spacing w:after="0" w:line="2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Mr. Orekar </w:t>
      </w:r>
      <w:r>
        <w:rPr>
          <w:rFonts w:ascii="Arial" w:cs="Arial" w:eastAsia="Arial" w:hAnsi="Arial"/>
          <w:sz w:val="17"/>
          <w:szCs w:val="17"/>
          <w:color w:val="auto"/>
        </w:rPr>
        <w:t>has served as our CEO since the closing of our IPO and was appointed a director in May 2016. Prior to joining the Partnership, Mr. Orekar</w:t>
      </w:r>
      <w:r>
        <w:rPr>
          <w:rFonts w:ascii="Arial" w:cs="Arial" w:eastAsia="Arial" w:hAnsi="Arial"/>
          <w:sz w:val="18"/>
          <w:szCs w:val="18"/>
          <w:color w:val="auto"/>
        </w:rPr>
        <w:t xml:space="preserve"> </w:t>
      </w:r>
      <w:r>
        <w:rPr>
          <w:rFonts w:ascii="Arial" w:cs="Arial" w:eastAsia="Arial" w:hAnsi="Arial"/>
          <w:sz w:val="17"/>
          <w:szCs w:val="17"/>
          <w:color w:val="auto"/>
        </w:rPr>
        <w:t>served as Managing Director at Goldman, Sachs &amp; Co. (“Goldman Sachs”), where he advised global natural resources and energy companies on mergers and acquisitions, corporate finance and capital markets transactions. Mr. Orekar joined Goldman Sachs in 1998 and held positions of increasing responsibility within the Investment Banking Division during his 15-year career. He was appointed Managing Director in 2009. Mr. Orekar received B.S. (Wharton School) and B.A. degrees from the University of Pennsylvania in 1998.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Mr. Bradshaw, the nominee for the Class III Elected Director position, as well the other Elected Directors and Mr. Papadimitriou have been determined by our Board to be independent under the standards of the NYSE and the rules and regulations of the SEC.</w:t>
      </w:r>
    </w:p>
    <w:p>
      <w:pPr>
        <w:spacing w:after="0" w:line="14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Mr. Bradshaw and the other Elected Directors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w:t>
      </w:r>
    </w:p>
    <w:p>
      <w:pPr>
        <w:sectPr>
          <w:pgSz w:w="11900" w:h="16885" w:orient="portrait"/>
          <w:cols w:equalWidth="0" w:num="1">
            <w:col w:w="11380"/>
          </w:cols>
          <w:pgMar w:left="240" w:top="125" w:right="279" w:bottom="0" w:gutter="0" w:footer="0" w:header="0"/>
        </w:sectPr>
      </w:pPr>
    </w:p>
    <w:bookmarkStart w:id="5" w:name="page6"/>
    <w:bookmarkEnd w:id="5"/>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0" w:firstLine="648"/>
        <w:spacing w:after="0" w:line="282" w:lineRule="auto"/>
        <w:rPr>
          <w:sz w:val="20"/>
          <w:szCs w:val="20"/>
          <w:color w:val="auto"/>
        </w:rPr>
      </w:pPr>
      <w:r>
        <w:rPr>
          <w:rFonts w:ascii="Arial" w:cs="Arial" w:eastAsia="Arial" w:hAnsi="Arial"/>
          <w:sz w:val="17"/>
          <w:szCs w:val="17"/>
          <w:color w:val="auto"/>
        </w:rPr>
        <w:t xml:space="preserve">In accordance with our Partnership Agreement, our General Partner has delegated to our Board the authority to oversee and direct our operations, management and policies on an exclusive basis, and such delegation will be binding on any successor General Partner of the Partnership. </w:t>
      </w:r>
      <w:r>
        <w:rPr>
          <w:rFonts w:ascii="Arial" w:cs="Arial" w:eastAsia="Arial" w:hAnsi="Arial"/>
          <w:sz w:val="16"/>
          <w:szCs w:val="16"/>
          <w:color w:val="auto"/>
        </w:rPr>
        <w:t>Our board leadership</w:t>
      </w:r>
      <w:r>
        <w:rPr>
          <w:rFonts w:ascii="Arial" w:cs="Arial" w:eastAsia="Arial" w:hAnsi="Arial"/>
          <w:sz w:val="17"/>
          <w:szCs w:val="17"/>
          <w:color w:val="auto"/>
        </w:rPr>
        <w:t xml:space="preserve"> </w:t>
      </w:r>
      <w:r>
        <w:rPr>
          <w:rFonts w:ascii="Arial" w:cs="Arial" w:eastAsia="Arial" w:hAnsi="Arial"/>
          <w:sz w:val="16"/>
          <w:szCs w:val="16"/>
          <w:color w:val="auto"/>
        </w:rPr>
        <w:t>structure consists of our Chairman and the chairmen of our 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2017, the amount of compensation we paid to our executive officers, including annual and long-term cash incentive compensation, as well as aggregate fees for administrative services provided under the administrative services agreement, totaled $1.68 million.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2017 to provide pension, retirement or similar benefits to our senior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Each non-management director receives cash compensation for being a member of our Board, as well as for being a member or chairperson of a committee. During 2017, non-management directors each received a director fee of $100,000 per year. In addition, members of the audit and conflicts committees each received a committee fee of $25,000 per year whereas the chairpersons of such committees received a fee of $50,000 per year. From January 1, 2018, non-management directors will receive a director fee of $110,000 per year. Pursuant to the administrative services agreement, we pay directly to GasLog the director fees for any appointed directors who are also directors of GasLog. Our chairman receives an additional chair fee and received director fees totaling $250,000 in 2017 (inclusive of the chair fee). In addition, each director is reimbursed for out-of-pocket expenses in connection with attending meetings of the Board or committees.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set aside or accrue any amounts in the year ended December 31, 2017 to provide pension, retirement or similar benefits to our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January 2015, our Board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1.7% of the 14,322,358 common units outstanding as of December 31, 2014), subject to adjustment for changes in capitalization as provided in the Plan. The Plan is administered by our Board, or such committee of our Board as may be designated by our Board to administer the Plan.</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April 1, 2016, we granted our executive officers an aggregate of 24,925 restricted common units and 24,925 phantom performance common units, with an aggregate fair value as of the grant date of $0.8 million. On April 1, 2017, we granted our executive officers 20,309 restricted common units and 20,309 phantom performance common units, with an aggregate fair value as of the grant date of $1.0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currently comprised of Robert B. Allardice III, Daniel R. Bradshaw and Pamela M. Gibson, with Robert B. Allardice III serving as the chair of the audit committee. Our Board has determined that each of Robert B. Allardice III, Daniel R. Bradshaw and Pamela M. Gibson satisfies the independence standards established by the NYSE, and that Robert B. Allardice III qualifies as an “audit committee financial expert” for purposes of SEC rules and regulations. Following the Meeting, the audit committee will continue to consist of Mr. Allardice, Ms. Gibson and Mr. Bradshaw, assuming that Mr. Bradshaw is re-elected as an Elected Director at the Meeting. Mr. Allardice will continue to serve as chair of the audit committee.</w:t>
      </w:r>
    </w:p>
    <w:p>
      <w:pPr>
        <w:sectPr>
          <w:pgSz w:w="11900" w:h="16839" w:orient="portrait"/>
          <w:cols w:equalWidth="0" w:num="1">
            <w:col w:w="11420"/>
          </w:cols>
          <w:pgMar w:left="240" w:top="125" w:right="239" w:bottom="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Conflicts Committee</w:t>
      </w:r>
    </w:p>
    <w:p>
      <w:pPr>
        <w:sectPr>
          <w:pgSz w:w="11900" w:h="16839" w:orient="portrait"/>
          <w:cols w:equalWidth="0" w:num="1">
            <w:col w:w="11420"/>
          </w:cols>
          <w:pgMar w:left="240" w:top="125" w:right="239" w:bottom="0" w:gutter="0" w:footer="0" w:header="0"/>
          <w:type w:val="continuous"/>
        </w:sectPr>
      </w:pPr>
    </w:p>
    <w:bookmarkStart w:id="6" w:name="page7"/>
    <w:bookmarkEnd w:id="6"/>
    <w:p>
      <w:pPr>
        <w:spacing w:after="0" w:line="7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currently comprised of Robert B. Allardice III, Daniel R. Bradshaw and Pamela M. Gibson, with Daniel R. Bradshaw serving as chair of the conflicts committee. Following the Meeting, the conflicts committee will continue to consist of Mr. Allardice, Ms. Gibson and Mr. Bradshaw, assuming that Mr. Bradshaw is re-elected as an Elected Director at the Meeting. Mr. Bradshaw will continue to serve as chair of the conflicts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and our Partnership’s management engage in an ongoing review of our corporate governance practices in order to oversee our compliance with the applicable corporate governance rules of the NYSE and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This document and other important information on our governance are posted on our website and may be viewed at </w:t>
      </w:r>
      <w:r>
        <w:rPr>
          <w:rFonts w:ascii="Arial" w:cs="Arial" w:eastAsia="Arial" w:hAnsi="Arial"/>
          <w:sz w:val="17"/>
          <w:szCs w:val="17"/>
          <w:i w:val="1"/>
          <w:iCs w:val="1"/>
          <w:color w:val="auto"/>
        </w:rPr>
        <w:t>http://www.gaslogmlp.com.</w:t>
      </w:r>
      <w:r>
        <w:rPr>
          <w:rFonts w:ascii="Arial" w:cs="Arial" w:eastAsia="Arial" w:hAnsi="Arial"/>
          <w:sz w:val="17"/>
          <w:szCs w:val="17"/>
          <w:color w:val="auto"/>
        </w:rPr>
        <w:t xml:space="preserve"> Reference to our website is for informational purposes only; our website is not incorporated by reference in this proxy statement. We will also provide a paper copy of any of these documents upon the written request of a unitholder at no cost. Unitholders may direct their requests to the attention of our General Counsel, c/o GasLog Monaco S.A.M., Gildo Pastor Center, 7 Rue du Gabian, MC 98000, Monaco.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do not require limited partnerships like us to have boards of directors comprised of a majority of independent directors. Accordingly, our Board is not required to be comprised of a majority of independent directors.</w:t>
      </w:r>
    </w:p>
    <w:p>
      <w:pPr>
        <w:spacing w:after="0" w:line="17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Nominations for Annual Meeting</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Directors elected by our Limited Partners are nominated by the Board or by any Limited Partner or group of Limited Partners that holds at least 10% of the outstanding Common Units.</w:t>
      </w:r>
    </w:p>
    <w:p>
      <w:pPr>
        <w:spacing w:after="0" w:line="17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Limited Partners who wish to send communications on any topic to the Board, may do so by writing to Sarah Larkins, Partnership Secretary, at Gildo Pastor Center, 7 Rue du Gabian, MC 98000, Monaco.</w:t>
      </w:r>
    </w:p>
    <w:p>
      <w:pPr>
        <w:spacing w:after="0" w:line="3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AUDITORS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Board is submitting for ratification at the Meeting the appointment of Deloitte LLP as the Partnership’s independent auditors for the fiscal year ending December 31, 2018.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LLP for ratification by Limited Partners as a matter of good corporate practice. If the Limited Partners fail to ratify the selection, the audit committee may consider whether or not to retain Deloitte LLP.</w:t>
      </w:r>
    </w:p>
    <w:p>
      <w:pPr>
        <w:sectPr>
          <w:pgSz w:w="11900" w:h="16911" w:orient="portrait"/>
          <w:cols w:equalWidth="0" w:num="1">
            <w:col w:w="11420"/>
          </w:cols>
          <w:pgMar w:left="240" w:top="341" w:right="239" w:bottom="0" w:gutter="0" w:footer="0" w:header="0"/>
        </w:sectPr>
      </w:pPr>
    </w:p>
    <w:bookmarkStart w:id="7" w:name="page8"/>
    <w:bookmarkEnd w:id="7"/>
    <w:p>
      <w:pPr>
        <w:ind w:firstLine="648"/>
        <w:spacing w:after="0" w:line="342" w:lineRule="auto"/>
        <w:rPr>
          <w:sz w:val="20"/>
          <w:szCs w:val="20"/>
          <w:color w:val="auto"/>
        </w:rPr>
      </w:pPr>
      <w:r>
        <w:rPr>
          <w:rFonts w:ascii="Arial" w:cs="Arial" w:eastAsia="Arial" w:hAnsi="Arial"/>
          <w:sz w:val="16"/>
          <w:szCs w:val="16"/>
          <w:color w:val="auto"/>
        </w:rPr>
        <w:t>Deloitte LLP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services rendered by the independent auditors are subject to approval by the Partnership’s 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 Two requires the majority of the votes cast at the Meeting.</w:t>
      </w:r>
    </w:p>
    <w:p>
      <w:pPr>
        <w:spacing w:after="0" w:line="200" w:lineRule="exact"/>
        <w:rPr>
          <w:sz w:val="20"/>
          <w:szCs w:val="20"/>
          <w:color w:val="auto"/>
        </w:rPr>
      </w:pPr>
    </w:p>
    <w:p>
      <w:pPr>
        <w:spacing w:after="0" w:line="23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THE BOARD UNANIMOUSLY RECOMMENDS A VOTE FOR RATIFICATION OF THE APPOINTMENT OF DELOITTE LLP AS INDEPENDENT AUDITORS OF THE PARTNERSHIP FOR THE FISCAL YEAR ENDING DECEMBER 31, 2018. UNLESS REVOKED AS PROVIDED ABOVE, PROXIES RECEIVED BY MANAGEMENT WILL BE VOTED IN FAVOR OF SUCH APPROVAL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cost of preparing and soliciting proxies will be borne by the Partnership. Solicitation will be made primarily by mail, but Limited Partners may be solicited by telephone, e-mail, or personal contact.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1320800" cy="823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Sarah Larkins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 Secretary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2019-12-08T10:15:59Z</dcterms:created>
  <dcterms:modified xsi:type="dcterms:W3CDTF">2019-12-08T10:15:59Z</dcterms:modified>
</cp:coreProperties>
</file>