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April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tabs>
          <w:tab w:leader="none" w:pos="1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sz w:val="20"/>
          <w:szCs w:val="20"/>
          <w:color w:val="auto"/>
        </w:rPr>
        <w:tab/>
      </w:r>
      <w:r>
        <w:rPr>
          <w:rFonts w:ascii="Arial" w:cs="Arial" w:eastAsia="Arial" w:hAnsi="Arial"/>
          <w:sz w:val="17"/>
          <w:szCs w:val="17"/>
          <w:color w:val="auto"/>
        </w:rPr>
        <w:t>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435" w:right="1440" w:bottom="1440" w:gutter="0" w:footer="0" w:header="0"/>
        </w:sectPr>
      </w:pPr>
    </w:p>
    <w:bookmarkStart w:id="1" w:name="page2"/>
    <w:bookmarkEnd w:id="1"/>
    <w:p>
      <w:pPr>
        <w:ind w:right="260"/>
        <w:spacing w:after="0" w:line="277" w:lineRule="auto"/>
        <w:rPr>
          <w:sz w:val="20"/>
          <w:szCs w:val="20"/>
          <w:color w:val="auto"/>
        </w:rPr>
      </w:pPr>
      <w:r>
        <w:rPr>
          <w:rFonts w:ascii="Arial" w:cs="Arial" w:eastAsia="Arial" w:hAnsi="Arial"/>
          <w:sz w:val="18"/>
          <w:szCs w:val="18"/>
          <w:color w:val="auto"/>
        </w:rPr>
        <w:t>The press release issued by GasLog Partners LP and GasLog Ltd. on April 2, 2020 announcing that GasLog Ltd. Takes Delivery of the GasLog Windsor Newbuilding and GasLog Ltd. and GasLog Partners LP Provide Business Update is attached hereto as Exhibit 99.1.</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75"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 on Form F-3 (File No. 333-204616), filed with the Securities and Exchange Commission (the “SEC”) on June 1, 2015,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50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April 2, 2020</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Andrew Orekar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1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Andrew Orekar</w:t>
            </w:r>
          </w:p>
        </w:tc>
        <w:tc>
          <w:tcPr>
            <w:tcW w:w="40" w:type="dxa"/>
            <w:vAlign w:val="bottom"/>
          </w:tcPr>
          <w:p>
            <w:pPr>
              <w:spacing w:after="0"/>
              <w:rPr>
                <w:sz w:val="18"/>
                <w:szCs w:val="18"/>
                <w:color w:val="auto"/>
              </w:rPr>
            </w:pPr>
          </w:p>
        </w:tc>
      </w:tr>
      <w:tr>
        <w:trPr>
          <w:trHeight w:val="230"/>
        </w:trPr>
        <w:tc>
          <w:tcPr>
            <w:tcW w:w="6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16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GasLog Ltd. Takes Delivery of the </w:t>
      </w:r>
      <w:r>
        <w:rPr>
          <w:rFonts w:ascii="Arial" w:cs="Arial" w:eastAsia="Arial" w:hAnsi="Arial"/>
          <w:sz w:val="17"/>
          <w:szCs w:val="17"/>
          <w:b w:val="1"/>
          <w:bCs w:val="1"/>
          <w:i w:val="1"/>
          <w:iCs w:val="1"/>
          <w:color w:val="auto"/>
        </w:rPr>
        <w:t>GasLog Windsor</w:t>
      </w:r>
      <w:r>
        <w:rPr>
          <w:rFonts w:ascii="Arial" w:cs="Arial" w:eastAsia="Arial" w:hAnsi="Arial"/>
          <w:sz w:val="17"/>
          <w:szCs w:val="17"/>
          <w:b w:val="1"/>
          <w:bCs w:val="1"/>
          <w:color w:val="auto"/>
        </w:rPr>
        <w:t xml:space="preserve"> Newbuilding and GasLog Ltd. and GasLog Partners LP Provide Business Update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Piraeus, Greece, April 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Delivery of the </w:t>
      </w:r>
      <w:r>
        <w:rPr>
          <w:rFonts w:ascii="Arial" w:cs="Arial" w:eastAsia="Arial" w:hAnsi="Arial"/>
          <w:sz w:val="18"/>
          <w:szCs w:val="18"/>
          <w:b w:val="1"/>
          <w:bCs w:val="1"/>
          <w:i w:val="1"/>
          <w:iCs w:val="1"/>
          <w:color w:val="auto"/>
        </w:rPr>
        <w:t>GasLog Windsor</w:t>
      </w:r>
    </w:p>
    <w:p>
      <w:pPr>
        <w:spacing w:after="0" w:line="229"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 xml:space="preserve">GasLog Ltd. (“GasLog” or “the Company”) (NYSE: GLOG) yesterday took delivery of the </w:t>
      </w:r>
      <w:r>
        <w:rPr>
          <w:rFonts w:ascii="Arial" w:cs="Arial" w:eastAsia="Arial" w:hAnsi="Arial"/>
          <w:sz w:val="16"/>
          <w:szCs w:val="16"/>
          <w:i w:val="1"/>
          <w:iCs w:val="1"/>
          <w:color w:val="auto"/>
        </w:rPr>
        <w:t>GasLog Windsor,</w:t>
      </w:r>
      <w:r>
        <w:rPr>
          <w:rFonts w:ascii="Arial" w:cs="Arial" w:eastAsia="Arial" w:hAnsi="Arial"/>
          <w:sz w:val="16"/>
          <w:szCs w:val="16"/>
          <w:color w:val="auto"/>
        </w:rPr>
        <w:t xml:space="preserve"> a 180,000 cubic meter cargo capacity LNG carrier with X-DF propulsion and Mark III Flex containment system. Despite the industrial disruption in South Korea caused by the COVID-19 outbreak, the vessel was delivered on time and on budget. It will immediately commence a seven-year charter with a wholly owned subsidiary of Centrica plc.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GasLog and GasLog Partners LP (“GasLog Partners” or the “Partnership” and together with GasLog, the “Group”) (NYSE: GLOP) remain focused on securing the health and safety of their employees whilst ensuring safe and reliable operations for their customers and the global natural gas supply chain. To date, there have been no known cases of COVID-19 infection amongst the Group’s sea-going or shore-based personnel. During the first quarter, extensive measures were taken to limit the impact of COVID-19 on GasLog’s and GasLog Partners’ business. These have included:</w:t>
      </w:r>
    </w:p>
    <w:p>
      <w:pPr>
        <w:spacing w:after="0" w:line="171" w:lineRule="exact"/>
        <w:rPr>
          <w:sz w:val="20"/>
          <w:szCs w:val="20"/>
          <w:color w:val="auto"/>
        </w:rPr>
      </w:pPr>
    </w:p>
    <w:p>
      <w:pPr>
        <w:ind w:left="620" w:hanging="288"/>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Establishing a dedicated COVID-19 task force to implement and constantly review and amend the Group’s business continuity plan as required;</w:t>
      </w:r>
    </w:p>
    <w:p>
      <w:pPr>
        <w:spacing w:after="0" w:line="248" w:lineRule="exact"/>
        <w:rPr>
          <w:rFonts w:ascii="Arial" w:cs="Arial" w:eastAsia="Arial" w:hAnsi="Arial"/>
          <w:sz w:val="16"/>
          <w:szCs w:val="16"/>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Instituting a world-wide work from home policy for all onshore employees;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Developing strict guidelines restricting access to all vessels and suspending shore leave and all crew changes for 30 days from mid-March.</w:t>
      </w:r>
    </w:p>
    <w:p>
      <w:pPr>
        <w:spacing w:after="0" w:line="23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measures, combined with the dedication of employees both onshore and onboard the Group’s vessels, have delivered fleet availability of close to 100%. It has also allowed GasLog and GasLog Partners to accelerate opportunistically their dry-docking schedules during the slowdown of LNG trade in February and March. Four dry-dockings will have completed by mid-April, all of which are expected to be on time and within budget, including the installation of ballast water treatment systems.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Update</w:t>
      </w:r>
    </w:p>
    <w:p>
      <w:pPr>
        <w:spacing w:after="0" w:line="229"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charter parties for all of the Group’s term-chartered vessels remain in effect with revenues as per the contract terms;</w:t>
      </w:r>
    </w:p>
    <w:p>
      <w:pPr>
        <w:spacing w:after="0" w:line="23" w:lineRule="exact"/>
        <w:rPr>
          <w:rFonts w:ascii="Arial" w:cs="Arial" w:eastAsia="Arial" w:hAnsi="Arial"/>
          <w:sz w:val="18"/>
          <w:szCs w:val="18"/>
          <w:color w:val="auto"/>
        </w:rPr>
      </w:pPr>
    </w:p>
    <w:p>
      <w:pPr>
        <w:ind w:left="660" w:right="500" w:hanging="328"/>
        <w:spacing w:after="0" w:line="250"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first quarter of 2020, the Group’s tri-fuel diesel electric vessels operating in the spot and short-term market delivered time charter equivalent earnings of c.$44,000/day;</w:t>
      </w:r>
    </w:p>
    <w:p>
      <w:pPr>
        <w:ind w:left="660" w:right="120" w:hanging="328"/>
        <w:spacing w:after="0" w:line="250"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Presently, all of the Group’s vessels operating in the spot and short-term market that are not undergoing dry-dockings are on charters through to at least May. There has been a marked increase in activity in the spot and short-term market in recent weeks, primarily driven by a resumption in industrial activity in China. As a result, the Company expects to secure additional employment for its vessels ahead of the conclusion of their current fixtures.</w:t>
      </w:r>
    </w:p>
    <w:p>
      <w:pPr>
        <w:spacing w:after="0" w:line="1" w:lineRule="exact"/>
        <w:rPr>
          <w:rFonts w:ascii="Arial" w:cs="Arial" w:eastAsia="Arial" w:hAnsi="Arial"/>
          <w:sz w:val="18"/>
          <w:szCs w:val="18"/>
          <w:color w:val="auto"/>
        </w:rPr>
      </w:pPr>
    </w:p>
    <w:p>
      <w:pPr>
        <w:ind w:left="660" w:right="80" w:hanging="328"/>
        <w:spacing w:after="0" w:line="242" w:lineRule="auto"/>
        <w:tabs>
          <w:tab w:leader="none" w:pos="624"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March 26</w:t>
      </w:r>
      <w:r>
        <w:rPr>
          <w:rFonts w:ascii="Arial" w:cs="Arial" w:eastAsia="Arial" w:hAnsi="Arial"/>
          <w:sz w:val="22"/>
          <w:szCs w:val="22"/>
          <w:color w:val="auto"/>
          <w:vertAlign w:val="superscript"/>
        </w:rPr>
        <w:t>th</w:t>
      </w:r>
      <w:r>
        <w:rPr>
          <w:rFonts w:ascii="Arial" w:cs="Arial" w:eastAsia="Arial" w:hAnsi="Arial"/>
          <w:sz w:val="17"/>
          <w:szCs w:val="17"/>
          <w:color w:val="auto"/>
        </w:rPr>
        <w:t>, 2020, the Greek utility company Gastrade S.A (20% owned by GasLog) announced the successful conclusion of the binding phase of the market test for reservation of capacity at the floating LNG terminal being developed at Alexandroupolis in northern Greece. This reservation of 2.6 billion cubic meters of capacity for periods out to 15 years represents a key milestone for the project.</w:t>
      </w:r>
    </w:p>
    <w:p>
      <w:pPr>
        <w:spacing w:after="0" w:line="20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Paul Wogan, Chief Executive Officer of GasLog, stated “Against a backdrop of unprecedented global uncertainty, I am very proud of the dedication of all our employees, whose health and safety remains our first priority. The COVID-19 outbreak has presented many challenges to our business, and I have been deeply impressed with how our people have risen to these and maintained the highest standards of customer service. I especially thank our seafarers for their commitment and professionalism while apart from their families and friends.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 am also delighted that, through working closely with our partners at Samsung, we have taken delivery as planned of the </w:t>
      </w:r>
      <w:r>
        <w:rPr>
          <w:rFonts w:ascii="Arial" w:cs="Arial" w:eastAsia="Arial" w:hAnsi="Arial"/>
          <w:sz w:val="18"/>
          <w:szCs w:val="18"/>
          <w:i w:val="1"/>
          <w:iCs w:val="1"/>
          <w:color w:val="auto"/>
        </w:rPr>
        <w:t>GasLog Windsor</w:t>
      </w:r>
      <w:r>
        <w:rPr>
          <w:rFonts w:ascii="Arial" w:cs="Arial" w:eastAsia="Arial" w:hAnsi="Arial"/>
          <w:sz w:val="18"/>
          <w:szCs w:val="18"/>
          <w:color w:val="auto"/>
        </w:rPr>
        <w:t xml:space="preserve"> which immediately delivered into an attractive seven-year charter to Centrica. This vessel is the first of seven newbuildings due to deliver by the third quarter of 2021, representing $145 million of additional aggregate EBITDA. On a fully delivered basis, 60% of GasLog’s directly owned fleet will be modern X-DF vessels on multi-year term charters.”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Philip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GasLog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19 (13 on the water and six on order) are owned by GasLog, one has been sold to a subsidiary of Mitsui &amp; Co., Ltd. and leased back to GasLog under a long-term bareboat charter and the remaining 15 LNG carriers are owned by the Company’s subsidiary, GasLog Partners. GasLog’s principal executive offices are at 69 Akti Miaouli, 18537 Piraeus, Greece. Visit GasLog’s website at http://www.gaslogltd.com.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http://www.gaslogmlp.com.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52" w:lineRule="exact"/>
        <w:rPr>
          <w:sz w:val="20"/>
          <w:szCs w:val="20"/>
          <w:color w:val="auto"/>
        </w:rPr>
      </w:pPr>
    </w:p>
    <w:p>
      <w:pPr>
        <w:ind w:left="660" w:right="120" w:hanging="328"/>
        <w:spacing w:after="0" w:line="238" w:lineRule="auto"/>
        <w:tabs>
          <w:tab w:leader="none" w:pos="619" w:val="left"/>
        </w:tabs>
        <w:numPr>
          <w:ilvl w:val="0"/>
          <w:numId w:val="3"/>
        </w:numPr>
        <w:rPr>
          <w:rFonts w:ascii="Arial" w:cs="Arial" w:eastAsia="Arial" w:hAnsi="Arial"/>
          <w:sz w:val="22"/>
          <w:szCs w:val="22"/>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ind w:left="620" w:hanging="28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fluctuations in charter hire rates, vessel utilization and vessel values;</w:t>
      </w:r>
    </w:p>
    <w:p>
      <w:pPr>
        <w:spacing w:after="0" w:line="10" w:lineRule="exact"/>
        <w:rPr>
          <w:rFonts w:ascii="Arial" w:cs="Arial" w:eastAsia="Arial" w:hAnsi="Arial"/>
          <w:sz w:val="22"/>
          <w:szCs w:val="22"/>
          <w:color w:val="auto"/>
        </w:rPr>
      </w:pPr>
    </w:p>
    <w:p>
      <w:pPr>
        <w:ind w:left="620" w:hanging="288"/>
        <w:spacing w:after="0" w:line="221"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increased exposure to the spot market and fluctuations in spot charter rates;</w:t>
      </w:r>
    </w:p>
    <w:p>
      <w:pPr>
        <w:spacing w:after="0" w:line="12" w:lineRule="exact"/>
        <w:rPr>
          <w:rFonts w:ascii="Arial" w:cs="Arial" w:eastAsia="Arial" w:hAnsi="Arial"/>
          <w:sz w:val="22"/>
          <w:szCs w:val="22"/>
          <w:color w:val="auto"/>
        </w:rPr>
      </w:pPr>
    </w:p>
    <w:p>
      <w:pPr>
        <w:ind w:left="660" w:right="500" w:hanging="328"/>
        <w:spacing w:after="0" w:line="238" w:lineRule="auto"/>
        <w:tabs>
          <w:tab w:leader="none" w:pos="619"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ind w:left="620" w:hanging="28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10" w:lineRule="exact"/>
        <w:rPr>
          <w:rFonts w:ascii="Arial" w:cs="Arial" w:eastAsia="Arial" w:hAnsi="Arial"/>
          <w:sz w:val="22"/>
          <w:szCs w:val="22"/>
          <w:color w:val="auto"/>
        </w:rPr>
      </w:pPr>
    </w:p>
    <w:p>
      <w:pPr>
        <w:ind w:left="620" w:hanging="288"/>
        <w:spacing w:after="0" w:line="231" w:lineRule="auto"/>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10" w:lineRule="exact"/>
        <w:rPr>
          <w:rFonts w:ascii="Arial" w:cs="Arial" w:eastAsia="Arial" w:hAnsi="Arial"/>
          <w:sz w:val="21"/>
          <w:szCs w:val="21"/>
          <w:color w:val="auto"/>
        </w:rPr>
      </w:pPr>
    </w:p>
    <w:p>
      <w:pPr>
        <w:ind w:left="620" w:hanging="288"/>
        <w:spacing w:after="0" w:line="221"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planned capital expenditures and availability of capital resources to fund capital expenditures;</w:t>
      </w:r>
    </w:p>
    <w:p>
      <w:pPr>
        <w:spacing w:after="0" w:line="10" w:lineRule="exact"/>
        <w:rPr>
          <w:rFonts w:ascii="Arial" w:cs="Arial" w:eastAsia="Arial" w:hAnsi="Arial"/>
          <w:sz w:val="22"/>
          <w:szCs w:val="22"/>
          <w:color w:val="auto"/>
        </w:rPr>
      </w:pPr>
    </w:p>
    <w:p>
      <w:pPr>
        <w:ind w:left="620" w:hanging="288"/>
        <w:spacing w:after="0" w:line="221"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maintain long term relationships and enter into time charters with new and existing customers;</w:t>
      </w:r>
    </w:p>
    <w:p>
      <w:pPr>
        <w:spacing w:after="0" w:line="10" w:lineRule="exact"/>
        <w:rPr>
          <w:rFonts w:ascii="Arial" w:cs="Arial" w:eastAsia="Arial" w:hAnsi="Arial"/>
          <w:sz w:val="22"/>
          <w:szCs w:val="22"/>
          <w:color w:val="auto"/>
        </w:rPr>
      </w:pPr>
    </w:p>
    <w:p>
      <w:pPr>
        <w:ind w:left="620" w:hanging="288"/>
        <w:spacing w:after="0" w:line="221"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fluctuations in prices for crude oil, petroleum products and natural gas;</w:t>
      </w:r>
    </w:p>
    <w:p>
      <w:pPr>
        <w:spacing w:after="0" w:line="10" w:lineRule="exact"/>
        <w:rPr>
          <w:rFonts w:ascii="Arial" w:cs="Arial" w:eastAsia="Arial" w:hAnsi="Arial"/>
          <w:sz w:val="22"/>
          <w:szCs w:val="22"/>
          <w:color w:val="auto"/>
        </w:rPr>
      </w:pPr>
    </w:p>
    <w:p>
      <w:pPr>
        <w:ind w:left="620" w:hanging="288"/>
        <w:spacing w:after="0" w:line="221"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changes in the ownership of our charterers;</w:t>
      </w:r>
    </w:p>
    <w:p>
      <w:pPr>
        <w:spacing w:after="0" w:line="10" w:lineRule="exact"/>
        <w:rPr>
          <w:rFonts w:ascii="Arial" w:cs="Arial" w:eastAsia="Arial" w:hAnsi="Arial"/>
          <w:sz w:val="22"/>
          <w:szCs w:val="22"/>
          <w:color w:val="auto"/>
        </w:rPr>
      </w:pPr>
    </w:p>
    <w:p>
      <w:pPr>
        <w:ind w:left="620" w:hanging="288"/>
        <w:spacing w:after="0" w:line="221"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customers’ performance of their obligations under our time charters and other contracts;</w:t>
      </w:r>
    </w:p>
    <w:p>
      <w:pPr>
        <w:spacing w:after="0" w:line="10" w:lineRule="exact"/>
        <w:rPr>
          <w:rFonts w:ascii="Arial" w:cs="Arial" w:eastAsia="Arial" w:hAnsi="Arial"/>
          <w:sz w:val="22"/>
          <w:szCs w:val="22"/>
          <w:color w:val="auto"/>
        </w:rPr>
      </w:pPr>
    </w:p>
    <w:p>
      <w:pPr>
        <w:ind w:left="620" w:hanging="288"/>
        <w:spacing w:after="0" w:line="221"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12" w:lineRule="exact"/>
        <w:rPr>
          <w:rFonts w:ascii="Arial" w:cs="Arial" w:eastAsia="Arial" w:hAnsi="Arial"/>
          <w:sz w:val="22"/>
          <w:szCs w:val="22"/>
          <w:color w:val="auto"/>
        </w:rPr>
      </w:pPr>
    </w:p>
    <w:p>
      <w:pPr>
        <w:ind w:left="660" w:right="40" w:hanging="328"/>
        <w:spacing w:after="0" w:line="266" w:lineRule="auto"/>
        <w:tabs>
          <w:tab w:leader="none" w:pos="619" w:val="left"/>
        </w:tabs>
        <w:numPr>
          <w:ilvl w:val="0"/>
          <w:numId w:val="3"/>
        </w:numPr>
        <w:rPr>
          <w:rFonts w:ascii="Arial" w:cs="Arial" w:eastAsia="Arial" w:hAnsi="Arial"/>
          <w:sz w:val="19"/>
          <w:szCs w:val="19"/>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spacing w:after="0" w:line="12" w:lineRule="exact"/>
        <w:rPr>
          <w:rFonts w:ascii="Arial" w:cs="Arial" w:eastAsia="Arial" w:hAnsi="Arial"/>
          <w:sz w:val="19"/>
          <w:szCs w:val="19"/>
          <w:color w:val="auto"/>
        </w:rPr>
      </w:pPr>
    </w:p>
    <w:p>
      <w:pPr>
        <w:ind w:left="660" w:right="420" w:hanging="328"/>
        <w:spacing w:after="0" w:line="232" w:lineRule="auto"/>
        <w:tabs>
          <w:tab w:leader="none" w:pos="619" w:val="left"/>
        </w:tabs>
        <w:numPr>
          <w:ilvl w:val="0"/>
          <w:numId w:val="3"/>
        </w:numPr>
        <w:rPr>
          <w:rFonts w:ascii="Arial" w:cs="Arial" w:eastAsia="Arial" w:hAnsi="Arial"/>
          <w:sz w:val="22"/>
          <w:szCs w:val="22"/>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spacing w:after="0" w:line="1"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time that it may take to construct and deliver newbuildings and the useful lives of our 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 w:name="page6"/>
    <w:bookmarkEnd w:id="5"/>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18"/>
          <w:szCs w:val="18"/>
          <w:color w:val="auto"/>
        </w:rPr>
        <w:t>fluctuations in currencies and interest rates;</w:t>
      </w:r>
    </w:p>
    <w:p>
      <w:pPr>
        <w:spacing w:after="0" w:line="12" w:lineRule="exact"/>
        <w:rPr>
          <w:rFonts w:ascii="Arial" w:cs="Arial" w:eastAsia="Arial" w:hAnsi="Arial"/>
          <w:sz w:val="22"/>
          <w:szCs w:val="22"/>
          <w:color w:val="auto"/>
        </w:rPr>
      </w:pPr>
    </w:p>
    <w:p>
      <w:pPr>
        <w:ind w:left="660" w:right="260" w:hanging="328"/>
        <w:spacing w:after="0" w:line="251" w:lineRule="auto"/>
        <w:tabs>
          <w:tab w:leader="none" w:pos="619" w:val="left"/>
        </w:tabs>
        <w:numPr>
          <w:ilvl w:val="0"/>
          <w:numId w:val="4"/>
        </w:numPr>
        <w:rPr>
          <w:rFonts w:ascii="Arial" w:cs="Arial" w:eastAsia="Arial" w:hAnsi="Arial"/>
          <w:sz w:val="21"/>
          <w:szCs w:val="21"/>
          <w:color w:val="auto"/>
        </w:rPr>
      </w:pPr>
      <w:r>
        <w:rPr>
          <w:rFonts w:ascii="Arial" w:cs="Arial" w:eastAsia="Arial" w:hAnsi="Arial"/>
          <w:sz w:val="17"/>
          <w:szCs w:val="17"/>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620" w:hanging="288"/>
        <w:spacing w:after="0" w:line="230" w:lineRule="auto"/>
        <w:tabs>
          <w:tab w:leader="none" w:pos="620"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inherent in ship operation, including the discharge of pollutants;</w:t>
      </w:r>
    </w:p>
    <w:p>
      <w:pPr>
        <w:spacing w:after="0" w:line="10" w:lineRule="exact"/>
        <w:rPr>
          <w:rFonts w:ascii="Arial" w:cs="Arial" w:eastAsia="Arial" w:hAnsi="Arial"/>
          <w:sz w:val="22"/>
          <w:szCs w:val="22"/>
          <w:color w:val="auto"/>
        </w:rPr>
      </w:pPr>
    </w:p>
    <w:p>
      <w:pPr>
        <w:ind w:left="620" w:hanging="288"/>
        <w:spacing w:after="0" w:line="221" w:lineRule="auto"/>
        <w:tabs>
          <w:tab w:leader="none" w:pos="62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impact of environmental liabilities on us and the shipping industry, including climate change;</w:t>
      </w:r>
    </w:p>
    <w:p>
      <w:pPr>
        <w:spacing w:after="0" w:line="10" w:lineRule="exact"/>
        <w:rPr>
          <w:rFonts w:ascii="Arial" w:cs="Arial" w:eastAsia="Arial" w:hAnsi="Arial"/>
          <w:sz w:val="22"/>
          <w:szCs w:val="22"/>
          <w:color w:val="auto"/>
        </w:rPr>
      </w:pPr>
    </w:p>
    <w:p>
      <w:pPr>
        <w:ind w:left="620" w:hanging="288"/>
        <w:spacing w:after="0" w:line="221" w:lineRule="auto"/>
        <w:tabs>
          <w:tab w:leader="none" w:pos="62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retain key employees and the availability of skilled labor, ship crews and management;</w:t>
      </w:r>
    </w:p>
    <w:p>
      <w:pPr>
        <w:spacing w:after="0" w:line="10" w:lineRule="exact"/>
        <w:rPr>
          <w:rFonts w:ascii="Arial" w:cs="Arial" w:eastAsia="Arial" w:hAnsi="Arial"/>
          <w:sz w:val="22"/>
          <w:szCs w:val="22"/>
          <w:color w:val="auto"/>
        </w:rPr>
      </w:pPr>
    </w:p>
    <w:p>
      <w:pPr>
        <w:ind w:left="620" w:hanging="288"/>
        <w:spacing w:after="0" w:line="221" w:lineRule="auto"/>
        <w:tabs>
          <w:tab w:leader="none" w:pos="620" w:val="left"/>
        </w:tabs>
        <w:numPr>
          <w:ilvl w:val="0"/>
          <w:numId w:val="4"/>
        </w:numPr>
        <w:rPr>
          <w:rFonts w:ascii="Arial" w:cs="Arial" w:eastAsia="Arial" w:hAnsi="Arial"/>
          <w:sz w:val="22"/>
          <w:szCs w:val="22"/>
          <w:color w:val="auto"/>
        </w:rPr>
      </w:pPr>
      <w:r>
        <w:rPr>
          <w:rFonts w:ascii="Arial" w:cs="Arial" w:eastAsia="Arial" w:hAnsi="Arial"/>
          <w:sz w:val="18"/>
          <w:szCs w:val="18"/>
          <w:color w:val="auto"/>
        </w:rPr>
        <w:t>potential disruption of shipping routes due to accidents, diseases, pandemics, political events, piracy or acts by terrorists;</w:t>
      </w:r>
    </w:p>
    <w:p>
      <w:pPr>
        <w:spacing w:after="0" w:line="10" w:lineRule="exact"/>
        <w:rPr>
          <w:rFonts w:ascii="Arial" w:cs="Arial" w:eastAsia="Arial" w:hAnsi="Arial"/>
          <w:sz w:val="22"/>
          <w:szCs w:val="22"/>
          <w:color w:val="auto"/>
        </w:rPr>
      </w:pPr>
    </w:p>
    <w:p>
      <w:pPr>
        <w:ind w:left="620" w:hanging="288"/>
        <w:spacing w:after="0" w:line="221" w:lineRule="auto"/>
        <w:tabs>
          <w:tab w:leader="none" w:pos="620" w:val="left"/>
        </w:tabs>
        <w:numPr>
          <w:ilvl w:val="0"/>
          <w:numId w:val="4"/>
        </w:numPr>
        <w:rPr>
          <w:rFonts w:ascii="Arial" w:cs="Arial" w:eastAsia="Arial" w:hAnsi="Arial"/>
          <w:sz w:val="22"/>
          <w:szCs w:val="22"/>
          <w:color w:val="auto"/>
        </w:rPr>
      </w:pPr>
      <w:r>
        <w:rPr>
          <w:rFonts w:ascii="Arial" w:cs="Arial" w:eastAsia="Arial" w:hAnsi="Arial"/>
          <w:sz w:val="18"/>
          <w:szCs w:val="18"/>
          <w:color w:val="auto"/>
        </w:rPr>
        <w:t>potential liability from future litigation;</w:t>
      </w:r>
    </w:p>
    <w:p>
      <w:pPr>
        <w:spacing w:after="0" w:line="12" w:lineRule="exact"/>
        <w:rPr>
          <w:rFonts w:ascii="Arial" w:cs="Arial" w:eastAsia="Arial" w:hAnsi="Arial"/>
          <w:sz w:val="22"/>
          <w:szCs w:val="22"/>
          <w:color w:val="auto"/>
        </w:rPr>
      </w:pPr>
    </w:p>
    <w:p>
      <w:pPr>
        <w:ind w:left="660" w:right="920" w:hanging="328"/>
        <w:spacing w:after="0" w:line="232" w:lineRule="auto"/>
        <w:tabs>
          <w:tab w:leader="none" w:pos="619" w:val="left"/>
        </w:tabs>
        <w:numPr>
          <w:ilvl w:val="0"/>
          <w:numId w:val="4"/>
        </w:numPr>
        <w:rPr>
          <w:rFonts w:ascii="Arial" w:cs="Arial" w:eastAsia="Arial" w:hAnsi="Arial"/>
          <w:sz w:val="22"/>
          <w:szCs w:val="22"/>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spacing w:after="0" w:line="14" w:lineRule="exact"/>
        <w:rPr>
          <w:rFonts w:ascii="Arial" w:cs="Arial" w:eastAsia="Arial" w:hAnsi="Arial"/>
          <w:sz w:val="22"/>
          <w:szCs w:val="22"/>
          <w:color w:val="auto"/>
        </w:rPr>
      </w:pPr>
    </w:p>
    <w:p>
      <w:pPr>
        <w:ind w:left="660" w:right="440" w:hanging="328"/>
        <w:spacing w:after="0" w:line="232" w:lineRule="auto"/>
        <w:tabs>
          <w:tab w:leader="none" w:pos="619" w:val="left"/>
        </w:tabs>
        <w:numPr>
          <w:ilvl w:val="0"/>
          <w:numId w:val="4"/>
        </w:numPr>
        <w:rPr>
          <w:rFonts w:ascii="Arial" w:cs="Arial" w:eastAsia="Arial" w:hAnsi="Arial"/>
          <w:sz w:val="22"/>
          <w:szCs w:val="22"/>
          <w:color w:val="auto"/>
        </w:rPr>
      </w:pPr>
      <w:r>
        <w:rPr>
          <w:rFonts w:ascii="Arial" w:cs="Arial" w:eastAsia="Arial" w:hAnsi="Arial"/>
          <w:sz w:val="18"/>
          <w:szCs w:val="18"/>
          <w:color w:val="auto"/>
        </w:rPr>
        <w:t>other risks and uncertainties described in the Company’s Annual Report on Form 20-F filed with the SEC on March 6, 2020 and available at http://www.sec.gov.</w:t>
      </w:r>
    </w:p>
    <w:p>
      <w:pPr>
        <w:spacing w:after="0" w:line="20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160"/>
      </w:cols>
      <w:pgMar w:left="320" w:top="34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2020-04-02T05:47:06Z</dcterms:created>
  <dcterms:modified xsi:type="dcterms:W3CDTF">2020-04-02T05:47:06Z</dcterms:modified>
</cp:coreProperties>
</file>