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color w:val="auto"/>
        </w:rPr>
        <w:t>FREE WRITING PROSPECTUS</w:t>
      </w:r>
    </w:p>
    <w:p>
      <w:pPr>
        <w:spacing w:after="0" w:line="23"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Filed pursuant to Rule 433</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Registration Statement No. 333-220736</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January 9, 2018</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9160" w:type="dxa"/>
            <w:vAlign w:val="bottom"/>
          </w:tcPr>
          <w:p>
            <w:pPr>
              <w:jc w:val="center"/>
              <w:ind w:right="2250"/>
              <w:spacing w:after="0"/>
              <w:rPr>
                <w:sz w:val="20"/>
                <w:szCs w:val="20"/>
                <w:color w:val="auto"/>
              </w:rPr>
            </w:pPr>
            <w:r>
              <w:rPr>
                <w:rFonts w:ascii="Arial" w:cs="Arial" w:eastAsia="Arial" w:hAnsi="Arial"/>
                <w:sz w:val="18"/>
                <w:szCs w:val="18"/>
                <w:color w:val="auto"/>
                <w:w w:val="94"/>
              </w:rPr>
              <w:t>PRICING TERM SHEET</w:t>
            </w:r>
          </w:p>
        </w:tc>
      </w:tr>
      <w:tr>
        <w:trPr>
          <w:trHeight w:val="432"/>
        </w:trPr>
        <w:tc>
          <w:tcPr>
            <w:tcW w:w="2300" w:type="dxa"/>
            <w:vAlign w:val="bottom"/>
          </w:tcPr>
          <w:p>
            <w:pPr>
              <w:spacing w:after="0"/>
              <w:rPr>
                <w:sz w:val="24"/>
                <w:szCs w:val="24"/>
                <w:color w:val="auto"/>
              </w:rPr>
            </w:pPr>
          </w:p>
        </w:tc>
        <w:tc>
          <w:tcPr>
            <w:tcW w:w="9160" w:type="dxa"/>
            <w:vAlign w:val="bottom"/>
          </w:tcPr>
          <w:p>
            <w:pPr>
              <w:jc w:val="center"/>
              <w:ind w:right="2250"/>
              <w:spacing w:after="0"/>
              <w:rPr>
                <w:sz w:val="20"/>
                <w:szCs w:val="20"/>
                <w:color w:val="auto"/>
              </w:rPr>
            </w:pPr>
            <w:r>
              <w:rPr>
                <w:rFonts w:ascii="Arial" w:cs="Arial" w:eastAsia="Arial" w:hAnsi="Arial"/>
                <w:sz w:val="18"/>
                <w:szCs w:val="18"/>
                <w:color w:val="auto"/>
                <w:w w:val="89"/>
              </w:rPr>
              <w:t>GasLog Partners LP</w:t>
            </w:r>
          </w:p>
        </w:tc>
      </w:tr>
      <w:tr>
        <w:trPr>
          <w:trHeight w:val="418"/>
        </w:trPr>
        <w:tc>
          <w:tcPr>
            <w:tcW w:w="2300" w:type="dxa"/>
            <w:vAlign w:val="bottom"/>
          </w:tcPr>
          <w:p>
            <w:pPr>
              <w:spacing w:after="0"/>
              <w:rPr>
                <w:sz w:val="24"/>
                <w:szCs w:val="24"/>
                <w:color w:val="auto"/>
              </w:rPr>
            </w:pPr>
          </w:p>
        </w:tc>
        <w:tc>
          <w:tcPr>
            <w:tcW w:w="9160" w:type="dxa"/>
            <w:vAlign w:val="bottom"/>
          </w:tcPr>
          <w:p>
            <w:pPr>
              <w:jc w:val="center"/>
              <w:ind w:right="2250"/>
              <w:spacing w:after="0"/>
              <w:rPr>
                <w:sz w:val="20"/>
                <w:szCs w:val="20"/>
                <w:color w:val="auto"/>
              </w:rPr>
            </w:pPr>
            <w:r>
              <w:rPr>
                <w:rFonts w:ascii="Arial" w:cs="Arial" w:eastAsia="Arial" w:hAnsi="Arial"/>
                <w:sz w:val="18"/>
                <w:szCs w:val="18"/>
                <w:color w:val="auto"/>
                <w:w w:val="90"/>
              </w:rPr>
              <w:t>8.200% Series B Cumulative Redeemable Perpetual Fixed to Floating Rate Preference Units</w:t>
            </w:r>
          </w:p>
        </w:tc>
      </w:tr>
      <w:tr>
        <w:trPr>
          <w:trHeight w:val="230"/>
        </w:trPr>
        <w:tc>
          <w:tcPr>
            <w:tcW w:w="2300" w:type="dxa"/>
            <w:vAlign w:val="bottom"/>
          </w:tcPr>
          <w:p>
            <w:pPr>
              <w:spacing w:after="0"/>
              <w:rPr>
                <w:sz w:val="20"/>
                <w:szCs w:val="20"/>
                <w:color w:val="auto"/>
              </w:rPr>
            </w:pPr>
          </w:p>
        </w:tc>
        <w:tc>
          <w:tcPr>
            <w:tcW w:w="9160" w:type="dxa"/>
            <w:vAlign w:val="bottom"/>
          </w:tcPr>
          <w:p>
            <w:pPr>
              <w:jc w:val="center"/>
              <w:ind w:right="2230"/>
              <w:spacing w:after="0"/>
              <w:rPr>
                <w:sz w:val="20"/>
                <w:szCs w:val="20"/>
                <w:color w:val="auto"/>
              </w:rPr>
            </w:pPr>
            <w:r>
              <w:rPr>
                <w:rFonts w:ascii="Arial" w:cs="Arial" w:eastAsia="Arial" w:hAnsi="Arial"/>
                <w:sz w:val="18"/>
                <w:szCs w:val="18"/>
                <w:color w:val="auto"/>
                <w:w w:val="92"/>
              </w:rPr>
              <w:t>(Liquidation Preference $25.00 per Unit)</w:t>
            </w:r>
          </w:p>
        </w:tc>
      </w:tr>
      <w:tr>
        <w:trPr>
          <w:trHeight w:val="432"/>
        </w:trPr>
        <w:tc>
          <w:tcPr>
            <w:tcW w:w="2300" w:type="dxa"/>
            <w:vAlign w:val="bottom"/>
          </w:tcPr>
          <w:p>
            <w:pPr>
              <w:spacing w:after="0"/>
              <w:rPr>
                <w:sz w:val="20"/>
                <w:szCs w:val="20"/>
                <w:color w:val="auto"/>
              </w:rPr>
            </w:pPr>
            <w:r>
              <w:rPr>
                <w:rFonts w:ascii="Arial" w:cs="Arial" w:eastAsia="Arial" w:hAnsi="Arial"/>
                <w:sz w:val="18"/>
                <w:szCs w:val="18"/>
                <w:b w:val="1"/>
                <w:bCs w:val="1"/>
                <w:color w:val="auto"/>
              </w:rPr>
              <w:t>Issuer</w:t>
            </w:r>
            <w:r>
              <w:rPr>
                <w:rFonts w:ascii="Arial" w:cs="Arial" w:eastAsia="Arial" w:hAnsi="Arial"/>
                <w:sz w:val="18"/>
                <w:szCs w:val="18"/>
                <w:color w:val="auto"/>
              </w:rPr>
              <w:t>:</w:t>
            </w:r>
          </w:p>
        </w:tc>
        <w:tc>
          <w:tcPr>
            <w:tcW w:w="9160" w:type="dxa"/>
            <w:vAlign w:val="bottom"/>
          </w:tcPr>
          <w:p>
            <w:pPr>
              <w:ind w:left="1160"/>
              <w:spacing w:after="0"/>
              <w:rPr>
                <w:sz w:val="20"/>
                <w:szCs w:val="20"/>
                <w:color w:val="auto"/>
              </w:rPr>
            </w:pPr>
            <w:r>
              <w:rPr>
                <w:rFonts w:ascii="Arial" w:cs="Arial" w:eastAsia="Arial" w:hAnsi="Arial"/>
                <w:sz w:val="18"/>
                <w:szCs w:val="18"/>
                <w:color w:val="auto"/>
              </w:rPr>
              <w:t>GasLog Partners LP</w:t>
            </w:r>
          </w:p>
        </w:tc>
      </w:tr>
      <w:tr>
        <w:trPr>
          <w:trHeight w:val="418"/>
        </w:trPr>
        <w:tc>
          <w:tcPr>
            <w:tcW w:w="2300" w:type="dxa"/>
            <w:vAlign w:val="bottom"/>
          </w:tcPr>
          <w:p>
            <w:pPr>
              <w:spacing w:after="0"/>
              <w:rPr>
                <w:sz w:val="20"/>
                <w:szCs w:val="20"/>
                <w:color w:val="auto"/>
              </w:rPr>
            </w:pPr>
            <w:r>
              <w:rPr>
                <w:rFonts w:ascii="Arial" w:cs="Arial" w:eastAsia="Arial" w:hAnsi="Arial"/>
                <w:sz w:val="18"/>
                <w:szCs w:val="18"/>
                <w:b w:val="1"/>
                <w:bCs w:val="1"/>
                <w:color w:val="auto"/>
              </w:rPr>
              <w:t>Securities Offered</w:t>
            </w:r>
            <w:r>
              <w:rPr>
                <w:rFonts w:ascii="Arial" w:cs="Arial" w:eastAsia="Arial" w:hAnsi="Arial"/>
                <w:sz w:val="18"/>
                <w:szCs w:val="18"/>
                <w:color w:val="auto"/>
              </w:rPr>
              <w:t>:</w:t>
            </w:r>
          </w:p>
        </w:tc>
        <w:tc>
          <w:tcPr>
            <w:tcW w:w="9160" w:type="dxa"/>
            <w:vAlign w:val="bottom"/>
          </w:tcPr>
          <w:p>
            <w:pPr>
              <w:ind w:left="1160"/>
              <w:spacing w:after="0"/>
              <w:rPr>
                <w:sz w:val="20"/>
                <w:szCs w:val="20"/>
                <w:color w:val="auto"/>
              </w:rPr>
            </w:pPr>
            <w:r>
              <w:rPr>
                <w:rFonts w:ascii="Arial" w:cs="Arial" w:eastAsia="Arial" w:hAnsi="Arial"/>
                <w:sz w:val="18"/>
                <w:szCs w:val="18"/>
                <w:color w:val="auto"/>
                <w:w w:val="94"/>
              </w:rPr>
              <w:t>8.200% Series B Cumulative Redeemable Perpetual Fixed to Floating Rate Preference Units representing</w:t>
            </w:r>
          </w:p>
        </w:tc>
      </w:tr>
      <w:tr>
        <w:trPr>
          <w:trHeight w:val="230"/>
        </w:trPr>
        <w:tc>
          <w:tcPr>
            <w:tcW w:w="2300" w:type="dxa"/>
            <w:vAlign w:val="bottom"/>
          </w:tcPr>
          <w:p>
            <w:pPr>
              <w:spacing w:after="0"/>
              <w:rPr>
                <w:sz w:val="20"/>
                <w:szCs w:val="20"/>
                <w:color w:val="auto"/>
              </w:rPr>
            </w:pPr>
          </w:p>
        </w:tc>
        <w:tc>
          <w:tcPr>
            <w:tcW w:w="9160" w:type="dxa"/>
            <w:vAlign w:val="bottom"/>
          </w:tcPr>
          <w:p>
            <w:pPr>
              <w:ind w:left="1160"/>
              <w:spacing w:after="0"/>
              <w:rPr>
                <w:sz w:val="20"/>
                <w:szCs w:val="20"/>
                <w:color w:val="auto"/>
              </w:rPr>
            </w:pPr>
            <w:r>
              <w:rPr>
                <w:rFonts w:ascii="Arial" w:cs="Arial" w:eastAsia="Arial" w:hAnsi="Arial"/>
                <w:sz w:val="18"/>
                <w:szCs w:val="18"/>
                <w:color w:val="auto"/>
              </w:rPr>
              <w:t>limited partner interests in the Partnership (the “Series B Preference Units”).</w:t>
            </w:r>
          </w:p>
        </w:tc>
      </w:tr>
      <w:tr>
        <w:trPr>
          <w:trHeight w:val="432"/>
        </w:trPr>
        <w:tc>
          <w:tcPr>
            <w:tcW w:w="2300" w:type="dxa"/>
            <w:vAlign w:val="bottom"/>
          </w:tcPr>
          <w:p>
            <w:pPr>
              <w:spacing w:after="0"/>
              <w:rPr>
                <w:sz w:val="20"/>
                <w:szCs w:val="20"/>
                <w:color w:val="auto"/>
              </w:rPr>
            </w:pPr>
            <w:r>
              <w:rPr>
                <w:rFonts w:ascii="Arial" w:cs="Arial" w:eastAsia="Arial" w:hAnsi="Arial"/>
                <w:sz w:val="18"/>
                <w:szCs w:val="18"/>
                <w:b w:val="1"/>
                <w:bCs w:val="1"/>
                <w:color w:val="auto"/>
              </w:rPr>
              <w:t>Number of Units</w:t>
            </w:r>
            <w:r>
              <w:rPr>
                <w:rFonts w:ascii="Arial" w:cs="Arial" w:eastAsia="Arial" w:hAnsi="Arial"/>
                <w:sz w:val="18"/>
                <w:szCs w:val="18"/>
                <w:color w:val="auto"/>
              </w:rPr>
              <w:t>:</w:t>
            </w:r>
          </w:p>
        </w:tc>
        <w:tc>
          <w:tcPr>
            <w:tcW w:w="9160" w:type="dxa"/>
            <w:vAlign w:val="bottom"/>
          </w:tcPr>
          <w:p>
            <w:pPr>
              <w:ind w:left="1160"/>
              <w:spacing w:after="0"/>
              <w:rPr>
                <w:sz w:val="20"/>
                <w:szCs w:val="20"/>
                <w:color w:val="auto"/>
              </w:rPr>
            </w:pPr>
            <w:r>
              <w:rPr>
                <w:rFonts w:ascii="Arial" w:cs="Arial" w:eastAsia="Arial" w:hAnsi="Arial"/>
                <w:sz w:val="18"/>
                <w:szCs w:val="18"/>
                <w:color w:val="auto"/>
              </w:rPr>
              <w:t>4,000,000 Series B Preference Units.</w:t>
            </w:r>
          </w:p>
        </w:tc>
      </w:tr>
      <w:tr>
        <w:trPr>
          <w:trHeight w:val="432"/>
        </w:trPr>
        <w:tc>
          <w:tcPr>
            <w:tcW w:w="2300" w:type="dxa"/>
            <w:vAlign w:val="bottom"/>
          </w:tcPr>
          <w:p>
            <w:pPr>
              <w:spacing w:after="0"/>
              <w:rPr>
                <w:sz w:val="20"/>
                <w:szCs w:val="20"/>
                <w:color w:val="auto"/>
              </w:rPr>
            </w:pPr>
            <w:r>
              <w:rPr>
                <w:rFonts w:ascii="Arial" w:cs="Arial" w:eastAsia="Arial" w:hAnsi="Arial"/>
                <w:sz w:val="18"/>
                <w:szCs w:val="18"/>
                <w:b w:val="1"/>
                <w:bCs w:val="1"/>
                <w:color w:val="auto"/>
              </w:rPr>
              <w:t>Number of Option Units</w:t>
            </w:r>
            <w:r>
              <w:rPr>
                <w:rFonts w:ascii="Arial" w:cs="Arial" w:eastAsia="Arial" w:hAnsi="Arial"/>
                <w:sz w:val="18"/>
                <w:szCs w:val="18"/>
                <w:color w:val="auto"/>
              </w:rPr>
              <w:t>:</w:t>
            </w:r>
          </w:p>
        </w:tc>
        <w:tc>
          <w:tcPr>
            <w:tcW w:w="9160" w:type="dxa"/>
            <w:vAlign w:val="bottom"/>
          </w:tcPr>
          <w:p>
            <w:pPr>
              <w:ind w:left="1160"/>
              <w:spacing w:after="0"/>
              <w:rPr>
                <w:sz w:val="20"/>
                <w:szCs w:val="20"/>
                <w:color w:val="auto"/>
              </w:rPr>
            </w:pPr>
            <w:r>
              <w:rPr>
                <w:rFonts w:ascii="Arial" w:cs="Arial" w:eastAsia="Arial" w:hAnsi="Arial"/>
                <w:sz w:val="18"/>
                <w:szCs w:val="18"/>
                <w:color w:val="auto"/>
              </w:rPr>
              <w:t>600,000 Series B Preference Units.</w:t>
            </w:r>
          </w:p>
        </w:tc>
      </w:tr>
      <w:tr>
        <w:trPr>
          <w:trHeight w:val="418"/>
        </w:trPr>
        <w:tc>
          <w:tcPr>
            <w:tcW w:w="2300" w:type="dxa"/>
            <w:vAlign w:val="bottom"/>
          </w:tcPr>
          <w:p>
            <w:pPr>
              <w:spacing w:after="0"/>
              <w:rPr>
                <w:sz w:val="20"/>
                <w:szCs w:val="20"/>
                <w:color w:val="auto"/>
              </w:rPr>
            </w:pPr>
            <w:r>
              <w:rPr>
                <w:rFonts w:ascii="Arial" w:cs="Arial" w:eastAsia="Arial" w:hAnsi="Arial"/>
                <w:sz w:val="18"/>
                <w:szCs w:val="18"/>
                <w:b w:val="1"/>
                <w:bCs w:val="1"/>
                <w:color w:val="auto"/>
              </w:rPr>
              <w:t>Public Offering Price</w:t>
            </w:r>
            <w:r>
              <w:rPr>
                <w:rFonts w:ascii="Arial" w:cs="Arial" w:eastAsia="Arial" w:hAnsi="Arial"/>
                <w:sz w:val="18"/>
                <w:szCs w:val="18"/>
                <w:color w:val="auto"/>
              </w:rPr>
              <w:t>:</w:t>
            </w:r>
          </w:p>
        </w:tc>
        <w:tc>
          <w:tcPr>
            <w:tcW w:w="9160" w:type="dxa"/>
            <w:vAlign w:val="bottom"/>
          </w:tcPr>
          <w:p>
            <w:pPr>
              <w:ind w:left="1160"/>
              <w:spacing w:after="0"/>
              <w:rPr>
                <w:sz w:val="20"/>
                <w:szCs w:val="20"/>
                <w:color w:val="auto"/>
              </w:rPr>
            </w:pPr>
            <w:r>
              <w:rPr>
                <w:rFonts w:ascii="Arial" w:cs="Arial" w:eastAsia="Arial" w:hAnsi="Arial"/>
                <w:sz w:val="18"/>
                <w:szCs w:val="18"/>
                <w:color w:val="auto"/>
                <w:w w:val="93"/>
              </w:rPr>
              <w:t>$25.00 per unit; $100,000,000 total (assuming no exercise of the underwriters’ option to purchase additional</w:t>
            </w:r>
          </w:p>
        </w:tc>
      </w:tr>
      <w:tr>
        <w:trPr>
          <w:trHeight w:val="230"/>
        </w:trPr>
        <w:tc>
          <w:tcPr>
            <w:tcW w:w="2300" w:type="dxa"/>
            <w:vAlign w:val="bottom"/>
          </w:tcPr>
          <w:p>
            <w:pPr>
              <w:spacing w:after="0"/>
              <w:rPr>
                <w:sz w:val="20"/>
                <w:szCs w:val="20"/>
                <w:color w:val="auto"/>
              </w:rPr>
            </w:pPr>
          </w:p>
        </w:tc>
        <w:tc>
          <w:tcPr>
            <w:tcW w:w="9160" w:type="dxa"/>
            <w:vAlign w:val="bottom"/>
          </w:tcPr>
          <w:p>
            <w:pPr>
              <w:ind w:left="1160"/>
              <w:spacing w:after="0"/>
              <w:rPr>
                <w:sz w:val="20"/>
                <w:szCs w:val="20"/>
                <w:color w:val="auto"/>
              </w:rPr>
            </w:pPr>
            <w:r>
              <w:rPr>
                <w:rFonts w:ascii="Arial" w:cs="Arial" w:eastAsia="Arial" w:hAnsi="Arial"/>
                <w:sz w:val="18"/>
                <w:szCs w:val="18"/>
                <w:color w:val="auto"/>
              </w:rPr>
              <w:t>units).</w:t>
            </w:r>
          </w:p>
        </w:tc>
      </w:tr>
      <w:tr>
        <w:trPr>
          <w:trHeight w:val="418"/>
        </w:trPr>
        <w:tc>
          <w:tcPr>
            <w:tcW w:w="2300" w:type="dxa"/>
            <w:vAlign w:val="bottom"/>
          </w:tcPr>
          <w:p>
            <w:pPr>
              <w:spacing w:after="0"/>
              <w:rPr>
                <w:sz w:val="20"/>
                <w:szCs w:val="20"/>
                <w:color w:val="auto"/>
              </w:rPr>
            </w:pPr>
            <w:r>
              <w:rPr>
                <w:rFonts w:ascii="Arial" w:cs="Arial" w:eastAsia="Arial" w:hAnsi="Arial"/>
                <w:sz w:val="18"/>
                <w:szCs w:val="18"/>
                <w:b w:val="1"/>
                <w:bCs w:val="1"/>
                <w:color w:val="auto"/>
              </w:rPr>
              <w:t>Underwriting Discounts</w:t>
            </w:r>
            <w:r>
              <w:rPr>
                <w:rFonts w:ascii="Arial" w:cs="Arial" w:eastAsia="Arial" w:hAnsi="Arial"/>
                <w:sz w:val="18"/>
                <w:szCs w:val="18"/>
                <w:color w:val="auto"/>
              </w:rPr>
              <w:t>:</w:t>
            </w:r>
          </w:p>
        </w:tc>
        <w:tc>
          <w:tcPr>
            <w:tcW w:w="9160" w:type="dxa"/>
            <w:vAlign w:val="bottom"/>
          </w:tcPr>
          <w:p>
            <w:pPr>
              <w:ind w:left="1160"/>
              <w:spacing w:after="0"/>
              <w:rPr>
                <w:sz w:val="20"/>
                <w:szCs w:val="20"/>
                <w:color w:val="auto"/>
              </w:rPr>
            </w:pPr>
            <w:r>
              <w:rPr>
                <w:rFonts w:ascii="Arial" w:cs="Arial" w:eastAsia="Arial" w:hAnsi="Arial"/>
                <w:sz w:val="18"/>
                <w:szCs w:val="18"/>
                <w:color w:val="auto"/>
                <w:w w:val="93"/>
              </w:rPr>
              <w:t>$0.7875 per unit for 3,788,000 Series B Preference Units; $0 per unit for 212,000 Series B Preference Units</w:t>
            </w:r>
          </w:p>
        </w:tc>
      </w:tr>
      <w:tr>
        <w:trPr>
          <w:trHeight w:val="216"/>
        </w:trPr>
        <w:tc>
          <w:tcPr>
            <w:tcW w:w="2300" w:type="dxa"/>
            <w:vAlign w:val="bottom"/>
          </w:tcPr>
          <w:p>
            <w:pPr>
              <w:spacing w:after="0"/>
              <w:rPr>
                <w:sz w:val="18"/>
                <w:szCs w:val="18"/>
                <w:color w:val="auto"/>
              </w:rPr>
            </w:pPr>
          </w:p>
        </w:tc>
        <w:tc>
          <w:tcPr>
            <w:tcW w:w="9160" w:type="dxa"/>
            <w:vAlign w:val="bottom"/>
          </w:tcPr>
          <w:p>
            <w:pPr>
              <w:ind w:left="1160"/>
              <w:spacing w:after="0"/>
              <w:rPr>
                <w:sz w:val="20"/>
                <w:szCs w:val="20"/>
                <w:color w:val="auto"/>
              </w:rPr>
            </w:pPr>
            <w:r>
              <w:rPr>
                <w:rFonts w:ascii="Arial" w:cs="Arial" w:eastAsia="Arial" w:hAnsi="Arial"/>
                <w:sz w:val="18"/>
                <w:szCs w:val="18"/>
                <w:color w:val="auto"/>
                <w:w w:val="98"/>
              </w:rPr>
              <w:t>sold to Blenheim Holdings Ltd. and to certain other directors or officers; $2,983,050 total (assuming no</w:t>
            </w:r>
          </w:p>
        </w:tc>
      </w:tr>
      <w:tr>
        <w:trPr>
          <w:trHeight w:val="230"/>
        </w:trPr>
        <w:tc>
          <w:tcPr>
            <w:tcW w:w="2300" w:type="dxa"/>
            <w:vAlign w:val="bottom"/>
          </w:tcPr>
          <w:p>
            <w:pPr>
              <w:spacing w:after="0"/>
              <w:rPr>
                <w:sz w:val="20"/>
                <w:szCs w:val="20"/>
                <w:color w:val="auto"/>
              </w:rPr>
            </w:pPr>
          </w:p>
        </w:tc>
        <w:tc>
          <w:tcPr>
            <w:tcW w:w="9160" w:type="dxa"/>
            <w:vAlign w:val="bottom"/>
          </w:tcPr>
          <w:p>
            <w:pPr>
              <w:ind w:left="1160"/>
              <w:spacing w:after="0"/>
              <w:rPr>
                <w:sz w:val="20"/>
                <w:szCs w:val="20"/>
                <w:color w:val="auto"/>
              </w:rPr>
            </w:pPr>
            <w:r>
              <w:rPr>
                <w:rFonts w:ascii="Arial" w:cs="Arial" w:eastAsia="Arial" w:hAnsi="Arial"/>
                <w:sz w:val="18"/>
                <w:szCs w:val="18"/>
                <w:color w:val="auto"/>
              </w:rPr>
              <w:t>exercise of the underwriters’ option to purchase additional units).</w:t>
            </w:r>
          </w:p>
        </w:tc>
      </w:tr>
      <w:tr>
        <w:trPr>
          <w:trHeight w:val="432"/>
        </w:trPr>
        <w:tc>
          <w:tcPr>
            <w:tcW w:w="2300" w:type="dxa"/>
            <w:vAlign w:val="bottom"/>
          </w:tcPr>
          <w:p>
            <w:pPr>
              <w:spacing w:after="0"/>
              <w:rPr>
                <w:sz w:val="20"/>
                <w:szCs w:val="20"/>
                <w:color w:val="auto"/>
              </w:rPr>
            </w:pPr>
            <w:r>
              <w:rPr>
                <w:rFonts w:ascii="Arial" w:cs="Arial" w:eastAsia="Arial" w:hAnsi="Arial"/>
                <w:sz w:val="18"/>
                <w:szCs w:val="18"/>
                <w:b w:val="1"/>
                <w:bCs w:val="1"/>
                <w:color w:val="auto"/>
              </w:rPr>
              <w:t>Maturity Date</w:t>
            </w:r>
            <w:r>
              <w:rPr>
                <w:rFonts w:ascii="Arial" w:cs="Arial" w:eastAsia="Arial" w:hAnsi="Arial"/>
                <w:sz w:val="18"/>
                <w:szCs w:val="18"/>
                <w:color w:val="auto"/>
              </w:rPr>
              <w:t>:</w:t>
            </w:r>
          </w:p>
        </w:tc>
        <w:tc>
          <w:tcPr>
            <w:tcW w:w="9160" w:type="dxa"/>
            <w:vAlign w:val="bottom"/>
          </w:tcPr>
          <w:p>
            <w:pPr>
              <w:ind w:left="1160"/>
              <w:spacing w:after="0"/>
              <w:rPr>
                <w:sz w:val="20"/>
                <w:szCs w:val="20"/>
                <w:color w:val="auto"/>
              </w:rPr>
            </w:pPr>
            <w:r>
              <w:rPr>
                <w:rFonts w:ascii="Arial" w:cs="Arial" w:eastAsia="Arial" w:hAnsi="Arial"/>
                <w:sz w:val="18"/>
                <w:szCs w:val="18"/>
                <w:color w:val="auto"/>
              </w:rPr>
              <w:t>Perpetual (unless redeemed by the issuer on or after March 15, 2023).</w:t>
            </w:r>
          </w:p>
        </w:tc>
      </w:tr>
      <w:tr>
        <w:trPr>
          <w:trHeight w:val="432"/>
        </w:trPr>
        <w:tc>
          <w:tcPr>
            <w:tcW w:w="2300" w:type="dxa"/>
            <w:vAlign w:val="bottom"/>
          </w:tcPr>
          <w:p>
            <w:pPr>
              <w:spacing w:after="0"/>
              <w:rPr>
                <w:sz w:val="20"/>
                <w:szCs w:val="20"/>
                <w:color w:val="auto"/>
              </w:rPr>
            </w:pPr>
            <w:r>
              <w:rPr>
                <w:rFonts w:ascii="Arial" w:cs="Arial" w:eastAsia="Arial" w:hAnsi="Arial"/>
                <w:sz w:val="18"/>
                <w:szCs w:val="18"/>
                <w:b w:val="1"/>
                <w:bCs w:val="1"/>
                <w:color w:val="auto"/>
              </w:rPr>
              <w:t>Ratings</w:t>
            </w:r>
            <w:r>
              <w:rPr>
                <w:rFonts w:ascii="Arial" w:cs="Arial" w:eastAsia="Arial" w:hAnsi="Arial"/>
                <w:sz w:val="18"/>
                <w:szCs w:val="18"/>
                <w:color w:val="auto"/>
              </w:rPr>
              <w:t>:</w:t>
            </w:r>
          </w:p>
        </w:tc>
        <w:tc>
          <w:tcPr>
            <w:tcW w:w="9160" w:type="dxa"/>
            <w:vAlign w:val="bottom"/>
          </w:tcPr>
          <w:p>
            <w:pPr>
              <w:ind w:left="1160"/>
              <w:spacing w:after="0"/>
              <w:rPr>
                <w:sz w:val="20"/>
                <w:szCs w:val="20"/>
                <w:color w:val="auto"/>
              </w:rPr>
            </w:pPr>
            <w:r>
              <w:rPr>
                <w:rFonts w:ascii="Arial" w:cs="Arial" w:eastAsia="Arial" w:hAnsi="Arial"/>
                <w:sz w:val="18"/>
                <w:szCs w:val="18"/>
                <w:color w:val="auto"/>
              </w:rPr>
              <w:t>The Series B Preference Units will not be rated.</w:t>
            </w:r>
          </w:p>
        </w:tc>
      </w:tr>
      <w:tr>
        <w:trPr>
          <w:trHeight w:val="432"/>
        </w:trPr>
        <w:tc>
          <w:tcPr>
            <w:tcW w:w="2300" w:type="dxa"/>
            <w:vAlign w:val="bottom"/>
          </w:tcPr>
          <w:p>
            <w:pPr>
              <w:spacing w:after="0"/>
              <w:rPr>
                <w:sz w:val="20"/>
                <w:szCs w:val="20"/>
                <w:color w:val="auto"/>
              </w:rPr>
            </w:pPr>
            <w:r>
              <w:rPr>
                <w:rFonts w:ascii="Arial" w:cs="Arial" w:eastAsia="Arial" w:hAnsi="Arial"/>
                <w:sz w:val="18"/>
                <w:szCs w:val="18"/>
                <w:b w:val="1"/>
                <w:bCs w:val="1"/>
                <w:color w:val="auto"/>
              </w:rPr>
              <w:t>Trade Date</w:t>
            </w:r>
            <w:r>
              <w:rPr>
                <w:rFonts w:ascii="Arial" w:cs="Arial" w:eastAsia="Arial" w:hAnsi="Arial"/>
                <w:sz w:val="18"/>
                <w:szCs w:val="18"/>
                <w:color w:val="auto"/>
              </w:rPr>
              <w:t>:</w:t>
            </w:r>
          </w:p>
        </w:tc>
        <w:tc>
          <w:tcPr>
            <w:tcW w:w="9160" w:type="dxa"/>
            <w:vAlign w:val="bottom"/>
          </w:tcPr>
          <w:p>
            <w:pPr>
              <w:ind w:left="1160"/>
              <w:spacing w:after="0"/>
              <w:rPr>
                <w:sz w:val="20"/>
                <w:szCs w:val="20"/>
                <w:color w:val="auto"/>
              </w:rPr>
            </w:pPr>
            <w:r>
              <w:rPr>
                <w:rFonts w:ascii="Arial" w:cs="Arial" w:eastAsia="Arial" w:hAnsi="Arial"/>
                <w:sz w:val="18"/>
                <w:szCs w:val="18"/>
                <w:color w:val="auto"/>
              </w:rPr>
              <w:t>January 9, 2018</w:t>
            </w:r>
          </w:p>
        </w:tc>
      </w:tr>
      <w:tr>
        <w:trPr>
          <w:trHeight w:val="432"/>
        </w:trPr>
        <w:tc>
          <w:tcPr>
            <w:tcW w:w="2300" w:type="dxa"/>
            <w:vAlign w:val="bottom"/>
          </w:tcPr>
          <w:p>
            <w:pPr>
              <w:spacing w:after="0"/>
              <w:rPr>
                <w:sz w:val="20"/>
                <w:szCs w:val="20"/>
                <w:color w:val="auto"/>
              </w:rPr>
            </w:pPr>
            <w:r>
              <w:rPr>
                <w:rFonts w:ascii="Arial" w:cs="Arial" w:eastAsia="Arial" w:hAnsi="Arial"/>
                <w:sz w:val="18"/>
                <w:szCs w:val="18"/>
                <w:b w:val="1"/>
                <w:bCs w:val="1"/>
                <w:color w:val="auto"/>
              </w:rPr>
              <w:t>Settlement Date*</w:t>
            </w:r>
            <w:r>
              <w:rPr>
                <w:rFonts w:ascii="Arial" w:cs="Arial" w:eastAsia="Arial" w:hAnsi="Arial"/>
                <w:sz w:val="18"/>
                <w:szCs w:val="18"/>
                <w:color w:val="auto"/>
              </w:rPr>
              <w:t>:</w:t>
            </w:r>
          </w:p>
        </w:tc>
        <w:tc>
          <w:tcPr>
            <w:tcW w:w="9160" w:type="dxa"/>
            <w:vAlign w:val="bottom"/>
          </w:tcPr>
          <w:p>
            <w:pPr>
              <w:ind w:left="1160"/>
              <w:spacing w:after="0"/>
              <w:rPr>
                <w:sz w:val="20"/>
                <w:szCs w:val="20"/>
                <w:color w:val="auto"/>
              </w:rPr>
            </w:pPr>
            <w:r>
              <w:rPr>
                <w:rFonts w:ascii="Arial" w:cs="Arial" w:eastAsia="Arial" w:hAnsi="Arial"/>
                <w:sz w:val="18"/>
                <w:szCs w:val="18"/>
                <w:color w:val="auto"/>
              </w:rPr>
              <w:t>January 17, 2018 (T+5)</w:t>
            </w:r>
          </w:p>
        </w:tc>
      </w:tr>
      <w:tr>
        <w:trPr>
          <w:trHeight w:val="432"/>
        </w:trPr>
        <w:tc>
          <w:tcPr>
            <w:tcW w:w="2300" w:type="dxa"/>
            <w:vAlign w:val="bottom"/>
          </w:tcPr>
          <w:p>
            <w:pPr>
              <w:spacing w:after="0"/>
              <w:rPr>
                <w:sz w:val="20"/>
                <w:szCs w:val="20"/>
                <w:color w:val="auto"/>
              </w:rPr>
            </w:pPr>
            <w:r>
              <w:rPr>
                <w:rFonts w:ascii="Arial" w:cs="Arial" w:eastAsia="Arial" w:hAnsi="Arial"/>
                <w:sz w:val="18"/>
                <w:szCs w:val="18"/>
                <w:b w:val="1"/>
                <w:bCs w:val="1"/>
                <w:color w:val="auto"/>
              </w:rPr>
              <w:t>Liquidation Preference</w:t>
            </w:r>
            <w:r>
              <w:rPr>
                <w:rFonts w:ascii="Arial" w:cs="Arial" w:eastAsia="Arial" w:hAnsi="Arial"/>
                <w:sz w:val="18"/>
                <w:szCs w:val="18"/>
                <w:color w:val="auto"/>
              </w:rPr>
              <w:t>:</w:t>
            </w:r>
          </w:p>
        </w:tc>
        <w:tc>
          <w:tcPr>
            <w:tcW w:w="9160" w:type="dxa"/>
            <w:vAlign w:val="bottom"/>
          </w:tcPr>
          <w:p>
            <w:pPr>
              <w:ind w:left="1160"/>
              <w:spacing w:after="0"/>
              <w:rPr>
                <w:sz w:val="20"/>
                <w:szCs w:val="20"/>
                <w:color w:val="auto"/>
              </w:rPr>
            </w:pPr>
            <w:r>
              <w:rPr>
                <w:rFonts w:ascii="Arial" w:cs="Arial" w:eastAsia="Arial" w:hAnsi="Arial"/>
                <w:sz w:val="18"/>
                <w:szCs w:val="18"/>
                <w:color w:val="auto"/>
              </w:rPr>
              <w:t>$25.00 per Series B Preference Unit, plus accumulated and unpaid distributions.</w:t>
            </w:r>
          </w:p>
        </w:tc>
      </w:tr>
      <w:tr>
        <w:trPr>
          <w:trHeight w:val="418"/>
        </w:trPr>
        <w:tc>
          <w:tcPr>
            <w:tcW w:w="2300" w:type="dxa"/>
            <w:vAlign w:val="bottom"/>
          </w:tcPr>
          <w:p>
            <w:pPr>
              <w:spacing w:after="0"/>
              <w:rPr>
                <w:sz w:val="20"/>
                <w:szCs w:val="20"/>
                <w:color w:val="auto"/>
              </w:rPr>
            </w:pPr>
            <w:r>
              <w:rPr>
                <w:rFonts w:ascii="Arial" w:cs="Arial" w:eastAsia="Arial" w:hAnsi="Arial"/>
                <w:sz w:val="18"/>
                <w:szCs w:val="18"/>
                <w:b w:val="1"/>
                <w:bCs w:val="1"/>
                <w:color w:val="auto"/>
              </w:rPr>
              <w:t>Distribution Rate</w:t>
            </w:r>
            <w:r>
              <w:rPr>
                <w:rFonts w:ascii="Arial" w:cs="Arial" w:eastAsia="Arial" w:hAnsi="Arial"/>
                <w:sz w:val="18"/>
                <w:szCs w:val="18"/>
                <w:color w:val="auto"/>
              </w:rPr>
              <w:t>:</w:t>
            </w:r>
          </w:p>
        </w:tc>
        <w:tc>
          <w:tcPr>
            <w:tcW w:w="9160" w:type="dxa"/>
            <w:vAlign w:val="bottom"/>
          </w:tcPr>
          <w:p>
            <w:pPr>
              <w:ind w:left="1160"/>
              <w:spacing w:after="0"/>
              <w:rPr>
                <w:sz w:val="20"/>
                <w:szCs w:val="20"/>
                <w:color w:val="auto"/>
              </w:rPr>
            </w:pPr>
            <w:r>
              <w:rPr>
                <w:rFonts w:ascii="Arial" w:cs="Arial" w:eastAsia="Arial" w:hAnsi="Arial"/>
                <w:sz w:val="18"/>
                <w:szCs w:val="18"/>
                <w:color w:val="auto"/>
                <w:w w:val="96"/>
              </w:rPr>
              <w:t>From and including the Settlement Date to, but excluding, March 15, 2023 (the “Fixed Rate Period”), the</w:t>
            </w:r>
          </w:p>
        </w:tc>
      </w:tr>
      <w:tr>
        <w:trPr>
          <w:trHeight w:val="216"/>
        </w:trPr>
        <w:tc>
          <w:tcPr>
            <w:tcW w:w="2300" w:type="dxa"/>
            <w:vAlign w:val="bottom"/>
          </w:tcPr>
          <w:p>
            <w:pPr>
              <w:spacing w:after="0"/>
              <w:rPr>
                <w:sz w:val="18"/>
                <w:szCs w:val="18"/>
                <w:color w:val="auto"/>
              </w:rPr>
            </w:pPr>
          </w:p>
        </w:tc>
        <w:tc>
          <w:tcPr>
            <w:tcW w:w="9160" w:type="dxa"/>
            <w:vAlign w:val="bottom"/>
          </w:tcPr>
          <w:p>
            <w:pPr>
              <w:ind w:left="1160"/>
              <w:spacing w:after="0"/>
              <w:rPr>
                <w:sz w:val="20"/>
                <w:szCs w:val="20"/>
                <w:color w:val="auto"/>
              </w:rPr>
            </w:pPr>
            <w:r>
              <w:rPr>
                <w:rFonts w:ascii="Arial" w:cs="Arial" w:eastAsia="Arial" w:hAnsi="Arial"/>
                <w:sz w:val="18"/>
                <w:szCs w:val="18"/>
                <w:color w:val="auto"/>
                <w:w w:val="99"/>
              </w:rPr>
              <w:t>distribution rate for the Series B Preference Units will be 8.200% per annum per $25.00 of liquidation</w:t>
            </w:r>
          </w:p>
        </w:tc>
      </w:tr>
      <w:tr>
        <w:trPr>
          <w:trHeight w:val="216"/>
        </w:trPr>
        <w:tc>
          <w:tcPr>
            <w:tcW w:w="2300" w:type="dxa"/>
            <w:vAlign w:val="bottom"/>
          </w:tcPr>
          <w:p>
            <w:pPr>
              <w:spacing w:after="0"/>
              <w:rPr>
                <w:sz w:val="18"/>
                <w:szCs w:val="18"/>
                <w:color w:val="auto"/>
              </w:rPr>
            </w:pPr>
          </w:p>
        </w:tc>
        <w:tc>
          <w:tcPr>
            <w:tcW w:w="9160" w:type="dxa"/>
            <w:vAlign w:val="bottom"/>
          </w:tcPr>
          <w:p>
            <w:pPr>
              <w:ind w:left="1160"/>
              <w:spacing w:after="0"/>
              <w:rPr>
                <w:sz w:val="20"/>
                <w:szCs w:val="20"/>
                <w:color w:val="auto"/>
              </w:rPr>
            </w:pPr>
            <w:r>
              <w:rPr>
                <w:rFonts w:ascii="Arial" w:cs="Arial" w:eastAsia="Arial" w:hAnsi="Arial"/>
                <w:sz w:val="18"/>
                <w:szCs w:val="18"/>
                <w:color w:val="auto"/>
                <w:w w:val="91"/>
              </w:rPr>
              <w:t>preference per share (equal to $2.05 per annum per share). From and including March 15, 2023 (the “Floating</w:t>
            </w:r>
          </w:p>
        </w:tc>
      </w:tr>
      <w:tr>
        <w:trPr>
          <w:trHeight w:val="216"/>
        </w:trPr>
        <w:tc>
          <w:tcPr>
            <w:tcW w:w="2300" w:type="dxa"/>
            <w:vAlign w:val="bottom"/>
          </w:tcPr>
          <w:p>
            <w:pPr>
              <w:spacing w:after="0"/>
              <w:rPr>
                <w:sz w:val="18"/>
                <w:szCs w:val="18"/>
                <w:color w:val="auto"/>
              </w:rPr>
            </w:pPr>
          </w:p>
        </w:tc>
        <w:tc>
          <w:tcPr>
            <w:tcW w:w="9160" w:type="dxa"/>
            <w:vAlign w:val="bottom"/>
          </w:tcPr>
          <w:p>
            <w:pPr>
              <w:ind w:left="1160"/>
              <w:spacing w:after="0"/>
              <w:rPr>
                <w:sz w:val="20"/>
                <w:szCs w:val="20"/>
                <w:color w:val="auto"/>
              </w:rPr>
            </w:pPr>
            <w:r>
              <w:rPr>
                <w:rFonts w:ascii="Arial" w:cs="Arial" w:eastAsia="Arial" w:hAnsi="Arial"/>
                <w:sz w:val="18"/>
                <w:szCs w:val="18"/>
                <w:color w:val="auto"/>
                <w:w w:val="99"/>
              </w:rPr>
              <w:t>Rate Period”), the distribution rate will be a floating rate equal to three-month LIBOR plus a spread of</w:t>
            </w:r>
          </w:p>
        </w:tc>
      </w:tr>
      <w:tr>
        <w:trPr>
          <w:trHeight w:val="230"/>
        </w:trPr>
        <w:tc>
          <w:tcPr>
            <w:tcW w:w="2300" w:type="dxa"/>
            <w:vAlign w:val="bottom"/>
          </w:tcPr>
          <w:p>
            <w:pPr>
              <w:spacing w:after="0"/>
              <w:rPr>
                <w:sz w:val="20"/>
                <w:szCs w:val="20"/>
                <w:color w:val="auto"/>
              </w:rPr>
            </w:pPr>
          </w:p>
        </w:tc>
        <w:tc>
          <w:tcPr>
            <w:tcW w:w="9160" w:type="dxa"/>
            <w:vAlign w:val="bottom"/>
          </w:tcPr>
          <w:p>
            <w:pPr>
              <w:ind w:left="1160"/>
              <w:spacing w:after="0"/>
              <w:rPr>
                <w:sz w:val="20"/>
                <w:szCs w:val="20"/>
                <w:color w:val="auto"/>
              </w:rPr>
            </w:pPr>
            <w:r>
              <w:rPr>
                <w:rFonts w:ascii="Arial" w:cs="Arial" w:eastAsia="Arial" w:hAnsi="Arial"/>
                <w:sz w:val="18"/>
                <w:szCs w:val="18"/>
                <w:color w:val="auto"/>
              </w:rPr>
              <w:t>5.839% per annum per $25.00 of liquidation preference per share.</w:t>
            </w:r>
          </w:p>
        </w:tc>
      </w:tr>
      <w:tr>
        <w:trPr>
          <w:trHeight w:val="418"/>
        </w:trPr>
        <w:tc>
          <w:tcPr>
            <w:tcW w:w="2300" w:type="dxa"/>
            <w:vAlign w:val="bottom"/>
          </w:tcPr>
          <w:p>
            <w:pPr>
              <w:spacing w:after="0"/>
              <w:rPr>
                <w:sz w:val="20"/>
                <w:szCs w:val="20"/>
                <w:color w:val="auto"/>
              </w:rPr>
            </w:pPr>
            <w:r>
              <w:rPr>
                <w:rFonts w:ascii="Arial" w:cs="Arial" w:eastAsia="Arial" w:hAnsi="Arial"/>
                <w:sz w:val="18"/>
                <w:szCs w:val="18"/>
                <w:b w:val="1"/>
                <w:bCs w:val="1"/>
                <w:color w:val="auto"/>
                <w:w w:val="94"/>
              </w:rPr>
              <w:t>Distribution Payment Dates</w:t>
            </w:r>
            <w:r>
              <w:rPr>
                <w:rFonts w:ascii="Arial" w:cs="Arial" w:eastAsia="Arial" w:hAnsi="Arial"/>
                <w:sz w:val="18"/>
                <w:szCs w:val="18"/>
                <w:color w:val="auto"/>
                <w:w w:val="94"/>
              </w:rPr>
              <w:t>:</w:t>
            </w:r>
          </w:p>
        </w:tc>
        <w:tc>
          <w:tcPr>
            <w:tcW w:w="9160" w:type="dxa"/>
            <w:vAlign w:val="bottom"/>
          </w:tcPr>
          <w:p>
            <w:pPr>
              <w:ind w:left="1160"/>
              <w:spacing w:after="0"/>
              <w:rPr>
                <w:sz w:val="20"/>
                <w:szCs w:val="20"/>
                <w:color w:val="auto"/>
              </w:rPr>
            </w:pPr>
            <w:r>
              <w:rPr>
                <w:rFonts w:ascii="Arial" w:cs="Arial" w:eastAsia="Arial" w:hAnsi="Arial"/>
                <w:sz w:val="18"/>
                <w:szCs w:val="18"/>
                <w:color w:val="auto"/>
                <w:w w:val="97"/>
              </w:rPr>
              <w:t>The “Distribution Payment Dates” for the Series B Preference Units will be the 15th day of March, June,</w:t>
            </w:r>
          </w:p>
        </w:tc>
      </w:tr>
      <w:tr>
        <w:trPr>
          <w:trHeight w:val="216"/>
        </w:trPr>
        <w:tc>
          <w:tcPr>
            <w:tcW w:w="2300" w:type="dxa"/>
            <w:vAlign w:val="bottom"/>
          </w:tcPr>
          <w:p>
            <w:pPr>
              <w:spacing w:after="0"/>
              <w:rPr>
                <w:sz w:val="18"/>
                <w:szCs w:val="18"/>
                <w:color w:val="auto"/>
              </w:rPr>
            </w:pPr>
          </w:p>
        </w:tc>
        <w:tc>
          <w:tcPr>
            <w:tcW w:w="9160" w:type="dxa"/>
            <w:vAlign w:val="bottom"/>
          </w:tcPr>
          <w:p>
            <w:pPr>
              <w:ind w:left="1160"/>
              <w:spacing w:after="0"/>
              <w:rPr>
                <w:sz w:val="20"/>
                <w:szCs w:val="20"/>
                <w:color w:val="auto"/>
              </w:rPr>
            </w:pPr>
            <w:r>
              <w:rPr>
                <w:rFonts w:ascii="Arial" w:cs="Arial" w:eastAsia="Arial" w:hAnsi="Arial"/>
                <w:sz w:val="18"/>
                <w:szCs w:val="18"/>
                <w:color w:val="auto"/>
                <w:w w:val="97"/>
              </w:rPr>
              <w:t>September and December of each year, commencing on March 15, 2018. The initial distribution on the</w:t>
            </w:r>
          </w:p>
        </w:tc>
      </w:tr>
      <w:tr>
        <w:trPr>
          <w:trHeight w:val="216"/>
        </w:trPr>
        <w:tc>
          <w:tcPr>
            <w:tcW w:w="2300" w:type="dxa"/>
            <w:vAlign w:val="bottom"/>
          </w:tcPr>
          <w:p>
            <w:pPr>
              <w:spacing w:after="0"/>
              <w:rPr>
                <w:sz w:val="18"/>
                <w:szCs w:val="18"/>
                <w:color w:val="auto"/>
              </w:rPr>
            </w:pPr>
          </w:p>
        </w:tc>
        <w:tc>
          <w:tcPr>
            <w:tcW w:w="9160" w:type="dxa"/>
            <w:vAlign w:val="bottom"/>
          </w:tcPr>
          <w:p>
            <w:pPr>
              <w:ind w:left="1160"/>
              <w:spacing w:after="0"/>
              <w:rPr>
                <w:sz w:val="20"/>
                <w:szCs w:val="20"/>
                <w:color w:val="auto"/>
              </w:rPr>
            </w:pPr>
            <w:r>
              <w:rPr>
                <w:rFonts w:ascii="Arial" w:cs="Arial" w:eastAsia="Arial" w:hAnsi="Arial"/>
                <w:sz w:val="18"/>
                <w:szCs w:val="18"/>
                <w:color w:val="auto"/>
              </w:rPr>
              <w:t>Series B Preference Units will be paid on March 15, 2018 in an amount equal to $0.33028 per unit.</w:t>
            </w:r>
          </w:p>
        </w:tc>
      </w:tr>
      <w:tr>
        <w:trPr>
          <w:trHeight w:val="216"/>
        </w:trPr>
        <w:tc>
          <w:tcPr>
            <w:tcW w:w="2300" w:type="dxa"/>
            <w:vAlign w:val="bottom"/>
          </w:tcPr>
          <w:p>
            <w:pPr>
              <w:spacing w:after="0"/>
              <w:rPr>
                <w:sz w:val="18"/>
                <w:szCs w:val="18"/>
                <w:color w:val="auto"/>
              </w:rPr>
            </w:pPr>
          </w:p>
        </w:tc>
        <w:tc>
          <w:tcPr>
            <w:tcW w:w="9160" w:type="dxa"/>
            <w:vAlign w:val="bottom"/>
          </w:tcPr>
          <w:p>
            <w:pPr>
              <w:ind w:left="1160"/>
              <w:spacing w:after="0"/>
              <w:rPr>
                <w:sz w:val="20"/>
                <w:szCs w:val="20"/>
                <w:color w:val="auto"/>
              </w:rPr>
            </w:pPr>
            <w:r>
              <w:rPr>
                <w:rFonts w:ascii="Arial" w:cs="Arial" w:eastAsia="Arial" w:hAnsi="Arial"/>
                <w:sz w:val="18"/>
                <w:szCs w:val="18"/>
                <w:color w:val="auto"/>
                <w:w w:val="95"/>
              </w:rPr>
              <w:t>Distributions on the Series B Preference Units will accumulate at a rate of 8.200% per annum per $25.00</w:t>
            </w:r>
          </w:p>
        </w:tc>
      </w:tr>
      <w:tr>
        <w:trPr>
          <w:trHeight w:val="230"/>
        </w:trPr>
        <w:tc>
          <w:tcPr>
            <w:tcW w:w="2300" w:type="dxa"/>
            <w:vAlign w:val="bottom"/>
          </w:tcPr>
          <w:p>
            <w:pPr>
              <w:spacing w:after="0"/>
              <w:rPr>
                <w:sz w:val="20"/>
                <w:szCs w:val="20"/>
                <w:color w:val="auto"/>
              </w:rPr>
            </w:pPr>
          </w:p>
        </w:tc>
        <w:tc>
          <w:tcPr>
            <w:tcW w:w="9160" w:type="dxa"/>
            <w:vAlign w:val="bottom"/>
          </w:tcPr>
          <w:p>
            <w:pPr>
              <w:ind w:left="1160"/>
              <w:spacing w:after="0"/>
              <w:rPr>
                <w:sz w:val="20"/>
                <w:szCs w:val="20"/>
                <w:color w:val="auto"/>
              </w:rPr>
            </w:pPr>
            <w:r>
              <w:rPr>
                <w:rFonts w:ascii="Arial" w:cs="Arial" w:eastAsia="Arial" w:hAnsi="Arial"/>
                <w:sz w:val="18"/>
                <w:szCs w:val="18"/>
                <w:color w:val="auto"/>
              </w:rPr>
              <w:t>stated liquidation preference per Series B Preference Unit.</w:t>
            </w:r>
          </w:p>
        </w:tc>
      </w:tr>
      <w:tr>
        <w:trPr>
          <w:trHeight w:val="418"/>
        </w:trPr>
        <w:tc>
          <w:tcPr>
            <w:tcW w:w="2300" w:type="dxa"/>
            <w:vAlign w:val="bottom"/>
          </w:tcPr>
          <w:p>
            <w:pPr>
              <w:spacing w:after="0"/>
              <w:rPr>
                <w:sz w:val="20"/>
                <w:szCs w:val="20"/>
                <w:color w:val="auto"/>
              </w:rPr>
            </w:pPr>
            <w:r>
              <w:rPr>
                <w:rFonts w:ascii="Arial" w:cs="Arial" w:eastAsia="Arial" w:hAnsi="Arial"/>
                <w:sz w:val="18"/>
                <w:szCs w:val="18"/>
                <w:b w:val="1"/>
                <w:bCs w:val="1"/>
                <w:color w:val="auto"/>
              </w:rPr>
              <w:t>Optional Redemption</w:t>
            </w:r>
            <w:r>
              <w:rPr>
                <w:rFonts w:ascii="Arial" w:cs="Arial" w:eastAsia="Arial" w:hAnsi="Arial"/>
                <w:sz w:val="18"/>
                <w:szCs w:val="18"/>
                <w:color w:val="auto"/>
              </w:rPr>
              <w:t>:</w:t>
            </w:r>
          </w:p>
        </w:tc>
        <w:tc>
          <w:tcPr>
            <w:tcW w:w="9160" w:type="dxa"/>
            <w:vAlign w:val="bottom"/>
          </w:tcPr>
          <w:p>
            <w:pPr>
              <w:ind w:left="1160"/>
              <w:spacing w:after="0"/>
              <w:rPr>
                <w:sz w:val="20"/>
                <w:szCs w:val="20"/>
                <w:color w:val="auto"/>
              </w:rPr>
            </w:pPr>
            <w:r>
              <w:rPr>
                <w:rFonts w:ascii="Arial" w:cs="Arial" w:eastAsia="Arial" w:hAnsi="Arial"/>
                <w:sz w:val="18"/>
                <w:szCs w:val="18"/>
                <w:color w:val="auto"/>
                <w:w w:val="91"/>
              </w:rPr>
              <w:t>The Partnership shall have the option to redeem the Series B Preference Units, in whole or in part, on or after</w:t>
            </w:r>
          </w:p>
        </w:tc>
      </w:tr>
      <w:tr>
        <w:trPr>
          <w:trHeight w:val="230"/>
        </w:trPr>
        <w:tc>
          <w:tcPr>
            <w:tcW w:w="2300" w:type="dxa"/>
            <w:vAlign w:val="bottom"/>
          </w:tcPr>
          <w:p>
            <w:pPr>
              <w:spacing w:after="0"/>
              <w:rPr>
                <w:sz w:val="20"/>
                <w:szCs w:val="20"/>
                <w:color w:val="auto"/>
              </w:rPr>
            </w:pPr>
          </w:p>
        </w:tc>
        <w:tc>
          <w:tcPr>
            <w:tcW w:w="9160" w:type="dxa"/>
            <w:vAlign w:val="bottom"/>
          </w:tcPr>
          <w:p>
            <w:pPr>
              <w:ind w:left="1160"/>
              <w:spacing w:after="0"/>
              <w:rPr>
                <w:sz w:val="20"/>
                <w:szCs w:val="20"/>
                <w:color w:val="auto"/>
              </w:rPr>
            </w:pPr>
            <w:r>
              <w:rPr>
                <w:rFonts w:ascii="Arial" w:cs="Arial" w:eastAsia="Arial" w:hAnsi="Arial"/>
                <w:sz w:val="18"/>
                <w:szCs w:val="18"/>
                <w:color w:val="auto"/>
              </w:rPr>
              <w:t>March 15, 2023 at</w:t>
            </w:r>
          </w:p>
        </w:tc>
      </w:tr>
      <w:tr>
        <w:trPr>
          <w:trHeight w:val="348"/>
        </w:trPr>
        <w:tc>
          <w:tcPr>
            <w:tcW w:w="2300" w:type="dxa"/>
            <w:vAlign w:val="bottom"/>
            <w:tcBorders>
              <w:bottom w:val="single" w:sz="8" w:color="808080"/>
            </w:tcBorders>
          </w:tcPr>
          <w:p>
            <w:pPr>
              <w:spacing w:after="0"/>
              <w:rPr>
                <w:sz w:val="24"/>
                <w:szCs w:val="24"/>
                <w:color w:val="auto"/>
              </w:rPr>
            </w:pPr>
          </w:p>
        </w:tc>
        <w:tc>
          <w:tcPr>
            <w:tcW w:w="91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the liquidation preference of $25.00 per unit, plus accrued but unpaid distributions.</w:t>
      </w:r>
    </w:p>
    <w:p>
      <w:pPr>
        <w:sectPr>
          <w:pgSz w:w="11900" w:h="16838" w:orient="portrait"/>
          <w:cols w:equalWidth="0" w:num="1">
            <w:col w:w="11460"/>
          </w:cols>
          <w:pgMar w:left="240" w:top="449" w:right="199" w:bottom="0" w:gutter="0" w:footer="0" w:header="0"/>
        </w:sectPr>
      </w:pP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CUSIP/ISIN</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7"/>
          <w:szCs w:val="17"/>
          <w:color w:val="auto"/>
        </w:rPr>
        <w:t>Y2687W124/MHY2687W1241</w:t>
      </w:r>
    </w:p>
    <w:p>
      <w:pPr>
        <w:spacing w:after="0" w:line="207" w:lineRule="exact"/>
        <w:rPr>
          <w:sz w:val="24"/>
          <w:szCs w:val="24"/>
          <w:color w:val="auto"/>
        </w:rPr>
      </w:pPr>
    </w:p>
    <w:p>
      <w:pPr>
        <w:sectPr>
          <w:pgSz w:w="11900" w:h="16838" w:orient="portrait"/>
          <w:cols w:equalWidth="0" w:num="2">
            <w:col w:w="2740" w:space="720"/>
            <w:col w:w="8000"/>
          </w:cols>
          <w:pgMar w:left="240" w:top="449" w:right="199" w:bottom="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Joint Book-Running Managers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Stifel, Nicolaus &amp; Company, Incorporated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00" w:lineRule="exact"/>
        <w:rPr>
          <w:sz w:val="24"/>
          <w:szCs w:val="24"/>
          <w:color w:val="auto"/>
        </w:rPr>
      </w:pPr>
    </w:p>
    <w:p>
      <w:pPr>
        <w:sectPr>
          <w:pgSz w:w="11900" w:h="16838" w:orient="portrait"/>
          <w:cols w:equalWidth="0" w:num="2">
            <w:col w:w="2740" w:space="720"/>
            <w:col w:w="8000"/>
          </w:cols>
          <w:pgMar w:left="240" w:top="449" w:right="199"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Co-Managers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Credit Suisse Securities (USA) LLC</w:t>
      </w:r>
    </w:p>
    <w:p>
      <w:pPr>
        <w:spacing w:after="0" w:line="200" w:lineRule="exact"/>
        <w:rPr>
          <w:sz w:val="24"/>
          <w:szCs w:val="24"/>
          <w:color w:val="auto"/>
        </w:rPr>
      </w:pPr>
    </w:p>
    <w:p>
      <w:pPr>
        <w:sectPr>
          <w:pgSz w:w="11900" w:h="16838" w:orient="portrait"/>
          <w:cols w:equalWidth="0" w:num="2">
            <w:col w:w="2740" w:space="720"/>
            <w:col w:w="8000"/>
          </w:cols>
          <w:pgMar w:left="240" w:top="449" w:right="199" w:bottom="0" w:gutter="0" w:footer="0" w:header="0"/>
          <w:type w:val="continuous"/>
        </w:sectPr>
      </w:pP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Listing</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ind w:right="260"/>
        <w:spacing w:after="0" w:line="264" w:lineRule="auto"/>
        <w:rPr>
          <w:sz w:val="20"/>
          <w:szCs w:val="20"/>
          <w:color w:val="auto"/>
        </w:rPr>
      </w:pPr>
      <w:r>
        <w:rPr>
          <w:rFonts w:ascii="Arial" w:cs="Arial" w:eastAsia="Arial" w:hAnsi="Arial"/>
          <w:sz w:val="18"/>
          <w:szCs w:val="18"/>
          <w:color w:val="auto"/>
        </w:rPr>
        <w:t>The issuer intends to file an application to list the Series B Preference Units on the NYSE under the symbol “GLOP PR B”. If the application is approved, trading of the Series B Preference Units on the NYSE is expected to commence within 30 days after their original issue date.</w:t>
      </w:r>
    </w:p>
    <w:p>
      <w:pPr>
        <w:spacing w:after="0" w:line="200" w:lineRule="exact"/>
        <w:rPr>
          <w:sz w:val="24"/>
          <w:szCs w:val="24"/>
          <w:color w:val="auto"/>
        </w:rPr>
      </w:pPr>
    </w:p>
    <w:p>
      <w:pPr>
        <w:sectPr>
          <w:pgSz w:w="11900" w:h="16838" w:orient="portrait"/>
          <w:cols w:equalWidth="0" w:num="2">
            <w:col w:w="2740" w:space="720"/>
            <w:col w:w="8000"/>
          </w:cols>
          <w:pgMar w:left="240" w:top="449" w:right="199" w:bottom="0" w:gutter="0" w:footer="0" w:header="0"/>
          <w:type w:val="continuous"/>
        </w:sectPr>
      </w:pPr>
    </w:p>
    <w:p>
      <w:pPr>
        <w:spacing w:after="0" w:line="211" w:lineRule="exact"/>
        <w:rPr>
          <w:sz w:val="24"/>
          <w:szCs w:val="24"/>
          <w:color w:val="auto"/>
        </w:rPr>
      </w:pPr>
    </w:p>
    <w:p>
      <w:pPr>
        <w:ind w:right="420"/>
        <w:spacing w:after="0" w:line="342" w:lineRule="auto"/>
        <w:rPr>
          <w:sz w:val="20"/>
          <w:szCs w:val="20"/>
          <w:color w:val="auto"/>
        </w:rPr>
      </w:pPr>
      <w:r>
        <w:rPr>
          <w:rFonts w:ascii="Arial" w:cs="Arial" w:eastAsia="Arial" w:hAnsi="Arial"/>
          <w:sz w:val="16"/>
          <w:szCs w:val="16"/>
          <w:color w:val="auto"/>
        </w:rPr>
        <w:t>*We expect that delivery of the Series B Preference Units will be made to investors on or about January 17, 2018, which will be the fifth business day following the date of this pricing term sheet (such settlement being referred to as “T+5”). Under Rule 15c6-1 under the Securities Exchange Act of 1934,</w:t>
      </w:r>
    </w:p>
    <w:p>
      <w:pPr>
        <w:sectPr>
          <w:pgSz w:w="11900" w:h="16838" w:orient="portrait"/>
          <w:cols w:equalWidth="0" w:num="1">
            <w:col w:w="11460"/>
          </w:cols>
          <w:pgMar w:left="240" w:top="449" w:right="199" w:bottom="0" w:gutter="0" w:footer="0" w:header="0"/>
          <w:type w:val="continuous"/>
        </w:sectPr>
      </w:pPr>
    </w:p>
    <w:bookmarkStart w:id="1" w:name="page2"/>
    <w:bookmarkEnd w:id="1"/>
    <w:p>
      <w:pPr>
        <w:ind w:right="100"/>
        <w:spacing w:after="0" w:line="257" w:lineRule="auto"/>
        <w:rPr>
          <w:sz w:val="20"/>
          <w:szCs w:val="20"/>
          <w:color w:val="auto"/>
        </w:rPr>
      </w:pPr>
      <w:r>
        <w:rPr>
          <w:rFonts w:ascii="Arial" w:cs="Arial" w:eastAsia="Arial" w:hAnsi="Arial"/>
          <w:sz w:val="18"/>
          <w:szCs w:val="18"/>
          <w:color w:val="auto"/>
        </w:rPr>
        <w:t>trades in the secondary market are required to settle in two business days, unless the parties to any such trade expressly agree otherwise. Accordingly, purchasers who wish to trade Series B Preference Units on the date of this pricing term sheet or the next two succeeding business days will be required, by virtue of the fact that the Series B Preference Units initially settle in T+5, to specify an alternate settlement arrangement at the time of any such trade to prevent a failed settlement. Purchasers of the Series B Preference Units who wish to trade the Series B Preference Units on the date of this pricing term sheet or the next two succeeding business days should consult their advisors.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ADDITIONAL INFORMATION:</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All information (including financial information) presented in the Preliminary Prospectus is deemed to have changed to the extent affected by the changes described herein.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communication is intended for the sole use of the person to whom it is provided by us. This communication does not constitute an offer to sell the units and is not soliciting an offer to buy the units in any jurisdiction where the offer or sale is not permitted.</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issuer has filed a registration statement (including a prospectus) with the Securities and Exchange Commission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underwriters or any dealer participating in the offering will arrange to send you the prospectus if you request it by calling or contacting Morgan Stanley &amp; Co. LLC at Attn: Prospectus Department, 180 Varick Street, 2nd Floor, New York, NY 10014, UBS Securities LLC at 1-888-827-7275, Stifel, Nicolaus &amp; Company, Incorporated at 1-855-300-7136 or Citigroup Global Markets Inc. at 1-800-831-9146.</w:t>
      </w:r>
    </w:p>
    <w:p>
      <w:pPr>
        <w:spacing w:after="0" w:line="16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DISCLAIMER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2019-12-08T09:22:02Z</dcterms:created>
  <dcterms:modified xsi:type="dcterms:W3CDTF">2019-12-08T09:22:02Z</dcterms:modified>
</cp:coreProperties>
</file>