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SCHEDULE 13G</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NO.3)</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GASLOG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83185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74930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Y2687W108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66040</wp:posOffset>
            </wp:positionV>
            <wp:extent cx="36277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280" w:type="dxa"/>
            <w:vAlign w:val="bottom"/>
            <w:gridSpan w:val="4"/>
          </w:tcPr>
          <w:p>
            <w:pPr>
              <w:spacing w:after="0"/>
              <w:rPr>
                <w:sz w:val="20"/>
                <w:szCs w:val="20"/>
                <w:color w:val="auto"/>
              </w:rPr>
            </w:pPr>
            <w:r>
              <w:rPr>
                <w:rFonts w:ascii="Arial" w:cs="Arial" w:eastAsia="Arial" w:hAnsi="Arial"/>
                <w:sz w:val="18"/>
                <w:szCs w:val="18"/>
                <w:color w:val="auto"/>
              </w:rPr>
              <w:t>CUSIP NO. Y2687W108</w:t>
            </w:r>
          </w:p>
        </w:tc>
        <w:tc>
          <w:tcPr>
            <w:tcW w:w="460" w:type="dxa"/>
            <w:vAlign w:val="bottom"/>
          </w:tcPr>
          <w:p>
            <w:pPr>
              <w:spacing w:after="0"/>
              <w:rPr>
                <w:sz w:val="20"/>
                <w:szCs w:val="20"/>
                <w:color w:val="auto"/>
              </w:rPr>
            </w:pPr>
          </w:p>
        </w:tc>
        <w:tc>
          <w:tcPr>
            <w:tcW w:w="3140" w:type="dxa"/>
            <w:vAlign w:val="bottom"/>
          </w:tcPr>
          <w:p>
            <w:pPr>
              <w:jc w:val="center"/>
              <w:ind w:left="2711"/>
              <w:spacing w:after="0"/>
              <w:rPr>
                <w:sz w:val="20"/>
                <w:szCs w:val="20"/>
                <w:color w:val="auto"/>
              </w:rPr>
            </w:pPr>
            <w:r>
              <w:rPr>
                <w:rFonts w:ascii="Arial" w:cs="Arial" w:eastAsia="Arial" w:hAnsi="Arial"/>
                <w:sz w:val="18"/>
                <w:szCs w:val="18"/>
                <w:color w:val="auto"/>
                <w:w w:val="88"/>
              </w:rPr>
              <w:t>13G</w:t>
            </w:r>
          </w:p>
        </w:tc>
        <w:tc>
          <w:tcPr>
            <w:tcW w:w="5540" w:type="dxa"/>
            <w:vAlign w:val="bottom"/>
            <w:gridSpan w:val="2"/>
          </w:tcPr>
          <w:p>
            <w:pPr>
              <w:ind w:left="3940"/>
              <w:spacing w:after="0"/>
              <w:rPr>
                <w:sz w:val="20"/>
                <w:szCs w:val="20"/>
                <w:color w:val="auto"/>
              </w:rPr>
            </w:pPr>
            <w:r>
              <w:rPr>
                <w:rFonts w:ascii="Arial" w:cs="Arial" w:eastAsia="Arial" w:hAnsi="Arial"/>
                <w:sz w:val="18"/>
                <w:szCs w:val="18"/>
                <w:color w:val="auto"/>
                <w:w w:val="88"/>
              </w:rPr>
              <w:t>PAGE 2 OF 8 PAGES</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4480" w:type="dxa"/>
            <w:vAlign w:val="bottom"/>
            <w:tcBorders>
              <w:bottom w:val="single" w:sz="8" w:color="auto"/>
            </w:tcBorders>
            <w:gridSpan w:val="5"/>
          </w:tcPr>
          <w:p>
            <w:pPr>
              <w:spacing w:after="0"/>
              <w:rPr>
                <w:sz w:val="21"/>
                <w:szCs w:val="21"/>
                <w:color w:val="auto"/>
              </w:rPr>
            </w:pPr>
          </w:p>
        </w:tc>
        <w:tc>
          <w:tcPr>
            <w:tcW w:w="5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448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53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1002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S.S. or I.R.S. IDENTIFICATION NO. OF ABOVE PERSON</w:t>
            </w: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4480" w:type="dxa"/>
            <w:vAlign w:val="bottom"/>
            <w:gridSpan w:val="5"/>
            <w:vMerge w:val="restart"/>
          </w:tcPr>
          <w:p>
            <w:pPr>
              <w:ind w:left="20"/>
              <w:spacing w:after="0"/>
              <w:rPr>
                <w:sz w:val="20"/>
                <w:szCs w:val="20"/>
                <w:color w:val="auto"/>
              </w:rPr>
            </w:pPr>
            <w:r>
              <w:rPr>
                <w:rFonts w:ascii="Arial" w:cs="Arial" w:eastAsia="Arial" w:hAnsi="Arial"/>
                <w:sz w:val="18"/>
                <w:szCs w:val="18"/>
                <w:color w:val="auto"/>
              </w:rPr>
              <w:t>(A)  KAYNE ANDERSON CAPITAL ADVISORS, L.P.</w:t>
            </w:r>
          </w:p>
        </w:tc>
        <w:tc>
          <w:tcPr>
            <w:tcW w:w="5320" w:type="dxa"/>
            <w:vAlign w:val="bottom"/>
            <w:vMerge w:val="restart"/>
          </w:tcPr>
          <w:p>
            <w:pPr>
              <w:jc w:val="right"/>
              <w:ind w:right="4210"/>
              <w:spacing w:after="0"/>
              <w:rPr>
                <w:sz w:val="20"/>
                <w:szCs w:val="20"/>
                <w:color w:val="auto"/>
              </w:rPr>
            </w:pPr>
            <w:r>
              <w:rPr>
                <w:rFonts w:ascii="Arial" w:cs="Arial" w:eastAsia="Arial" w:hAnsi="Arial"/>
                <w:sz w:val="18"/>
                <w:szCs w:val="18"/>
                <w:color w:val="auto"/>
                <w:w w:val="93"/>
              </w:rPr>
              <w:t>- 95-4486379</w:t>
            </w: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1400" w:type="dxa"/>
            <w:vAlign w:val="bottom"/>
            <w:tcBorders>
              <w:left w:val="single" w:sz="8" w:color="auto"/>
              <w:right w:val="single" w:sz="8" w:color="auto"/>
            </w:tcBorders>
          </w:tcPr>
          <w:p>
            <w:pPr>
              <w:spacing w:after="0"/>
              <w:rPr>
                <w:sz w:val="5"/>
                <w:szCs w:val="5"/>
                <w:color w:val="auto"/>
              </w:rPr>
            </w:pPr>
          </w:p>
        </w:tc>
        <w:tc>
          <w:tcPr>
            <w:tcW w:w="4480" w:type="dxa"/>
            <w:vAlign w:val="bottom"/>
            <w:gridSpan w:val="5"/>
            <w:vMerge w:val="continue"/>
          </w:tcPr>
          <w:p>
            <w:pPr>
              <w:spacing w:after="0"/>
              <w:rPr>
                <w:sz w:val="5"/>
                <w:szCs w:val="5"/>
                <w:color w:val="auto"/>
              </w:rPr>
            </w:pPr>
          </w:p>
        </w:tc>
        <w:tc>
          <w:tcPr>
            <w:tcW w:w="5320" w:type="dxa"/>
            <w:vAlign w:val="bottom"/>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(B)</w:t>
            </w:r>
          </w:p>
        </w:tc>
        <w:tc>
          <w:tcPr>
            <w:tcW w:w="4140" w:type="dxa"/>
            <w:vAlign w:val="bottom"/>
            <w:gridSpan w:val="4"/>
          </w:tcPr>
          <w:p>
            <w:pPr>
              <w:ind w:left="100"/>
              <w:spacing w:after="0"/>
              <w:rPr>
                <w:sz w:val="20"/>
                <w:szCs w:val="20"/>
                <w:color w:val="auto"/>
              </w:rPr>
            </w:pPr>
            <w:r>
              <w:rPr>
                <w:rFonts w:ascii="Arial" w:cs="Arial" w:eastAsia="Arial" w:hAnsi="Arial"/>
                <w:sz w:val="18"/>
                <w:szCs w:val="18"/>
                <w:color w:val="auto"/>
              </w:rPr>
              <w:t>RICHARD A. KAYNE</w:t>
            </w:r>
          </w:p>
        </w:tc>
        <w:tc>
          <w:tcPr>
            <w:tcW w:w="53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0020" w:type="dxa"/>
            <w:vAlign w:val="bottom"/>
            <w:tcBorders>
              <w:bottom w:val="single" w:sz="8" w:color="auto"/>
              <w:right w:val="single" w:sz="8" w:color="auto"/>
            </w:tcBorders>
            <w:gridSpan w:val="7"/>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1002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3"/>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3140" w:type="dxa"/>
            <w:vAlign w:val="bottom"/>
            <w:shd w:val="clear" w:color="auto" w:fill="BFBFBF"/>
          </w:tcPr>
          <w:p>
            <w:pPr>
              <w:spacing w:after="0"/>
              <w:rPr>
                <w:sz w:val="20"/>
                <w:szCs w:val="20"/>
                <w:color w:val="auto"/>
              </w:rPr>
            </w:pPr>
          </w:p>
        </w:tc>
        <w:tc>
          <w:tcPr>
            <w:tcW w:w="532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340" w:type="dxa"/>
            <w:vAlign w:val="bottom"/>
            <w:shd w:val="clear" w:color="auto" w:fill="BFBFBF"/>
          </w:tcPr>
          <w:p>
            <w:pPr>
              <w:spacing w:after="0"/>
              <w:rPr>
                <w:sz w:val="24"/>
                <w:szCs w:val="24"/>
                <w:color w:val="auto"/>
              </w:rPr>
            </w:pPr>
          </w:p>
        </w:tc>
        <w:tc>
          <w:tcPr>
            <w:tcW w:w="32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3140" w:type="dxa"/>
            <w:vAlign w:val="bottom"/>
            <w:shd w:val="clear" w:color="auto" w:fill="BFBFBF"/>
          </w:tcPr>
          <w:p>
            <w:pPr>
              <w:spacing w:after="0"/>
              <w:rPr>
                <w:sz w:val="24"/>
                <w:szCs w:val="24"/>
                <w:color w:val="auto"/>
              </w:rPr>
            </w:pPr>
          </w:p>
        </w:tc>
        <w:tc>
          <w:tcPr>
            <w:tcW w:w="532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3140" w:type="dxa"/>
            <w:vAlign w:val="bottom"/>
            <w:tcBorders>
              <w:bottom w:val="single" w:sz="8" w:color="auto"/>
            </w:tcBorders>
            <w:shd w:val="clear" w:color="auto" w:fill="BFBFBF"/>
          </w:tcPr>
          <w:p>
            <w:pPr>
              <w:spacing w:after="0"/>
              <w:rPr>
                <w:sz w:val="23"/>
                <w:szCs w:val="23"/>
                <w:color w:val="auto"/>
              </w:rPr>
            </w:pPr>
          </w:p>
        </w:tc>
        <w:tc>
          <w:tcPr>
            <w:tcW w:w="532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48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53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4480" w:type="dxa"/>
            <w:vAlign w:val="bottom"/>
            <w:gridSpan w:val="5"/>
          </w:tcPr>
          <w:p>
            <w:pPr>
              <w:ind w:left="20"/>
              <w:spacing w:after="0"/>
              <w:rPr>
                <w:sz w:val="20"/>
                <w:szCs w:val="20"/>
                <w:color w:val="auto"/>
              </w:rPr>
            </w:pPr>
            <w:r>
              <w:rPr>
                <w:rFonts w:ascii="Arial" w:cs="Arial" w:eastAsia="Arial" w:hAnsi="Arial"/>
                <w:sz w:val="18"/>
                <w:szCs w:val="18"/>
                <w:color w:val="auto"/>
              </w:rPr>
              <w:t>IS A CALIFORNIA LIMITED PARTNERSHIP</w:t>
            </w:r>
          </w:p>
        </w:tc>
        <w:tc>
          <w:tcPr>
            <w:tcW w:w="53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532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53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0</w:t>
            </w:r>
          </w:p>
        </w:tc>
        <w:tc>
          <w:tcPr>
            <w:tcW w:w="53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532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gridSpan w:val="2"/>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53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gridSpan w:val="2"/>
            <w:vMerge w:val="continue"/>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(A) 2,024,117</w:t>
            </w:r>
          </w:p>
        </w:tc>
        <w:tc>
          <w:tcPr>
            <w:tcW w:w="53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740" w:type="dxa"/>
            <w:vAlign w:val="bottom"/>
            <w:tcBorders>
              <w:left w:val="single" w:sz="8" w:color="auto"/>
            </w:tcBorders>
            <w:gridSpan w:val="2"/>
          </w:tcPr>
          <w:p>
            <w:pPr>
              <w:jc w:val="center"/>
              <w:ind w:left="209"/>
              <w:spacing w:after="0"/>
              <w:rPr>
                <w:sz w:val="20"/>
                <w:szCs w:val="20"/>
                <w:color w:val="auto"/>
              </w:rPr>
            </w:pPr>
            <w:r>
              <w:rPr>
                <w:rFonts w:ascii="Arial" w:cs="Arial" w:eastAsia="Arial" w:hAnsi="Arial"/>
                <w:sz w:val="18"/>
                <w:szCs w:val="18"/>
                <w:b w:val="1"/>
                <w:bCs w:val="1"/>
                <w:color w:val="auto"/>
              </w:rPr>
              <w:t>BENEFICIALLY</w:t>
            </w:r>
          </w:p>
        </w:tc>
        <w:tc>
          <w:tcPr>
            <w:tcW w:w="3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(B) 2,024,117</w:t>
            </w:r>
          </w:p>
        </w:tc>
        <w:tc>
          <w:tcPr>
            <w:tcW w:w="53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gridSpan w:val="3"/>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532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3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532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3140" w:type="dxa"/>
            <w:vAlign w:val="bottom"/>
            <w:vMerge w:val="continue"/>
          </w:tcPr>
          <w:p>
            <w:pPr>
              <w:spacing w:after="0"/>
              <w:rPr>
                <w:sz w:val="14"/>
                <w:szCs w:val="14"/>
                <w:color w:val="auto"/>
              </w:rPr>
            </w:pPr>
          </w:p>
        </w:tc>
        <w:tc>
          <w:tcPr>
            <w:tcW w:w="53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31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32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3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53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314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53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(A) 2,024,117</w:t>
            </w:r>
          </w:p>
        </w:tc>
        <w:tc>
          <w:tcPr>
            <w:tcW w:w="53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(B)  2,024,117</w:t>
            </w:r>
          </w:p>
        </w:tc>
        <w:tc>
          <w:tcPr>
            <w:tcW w:w="53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tcBorders>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680" w:type="dxa"/>
            <w:vAlign w:val="bottom"/>
            <w:tcBorders>
              <w:bottom w:val="single" w:sz="8" w:color="auto"/>
              <w:right w:val="single" w:sz="8" w:color="auto"/>
            </w:tcBorders>
            <w:gridSpan w:val="2"/>
          </w:tcPr>
          <w:p>
            <w:pPr>
              <w:spacing w:after="0"/>
              <w:rPr>
                <w:sz w:val="4"/>
                <w:szCs w:val="4"/>
                <w:color w:val="auto"/>
              </w:rPr>
            </w:pPr>
          </w:p>
        </w:tc>
        <w:tc>
          <w:tcPr>
            <w:tcW w:w="868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right w:val="single" w:sz="8" w:color="auto"/>
            </w:tcBorders>
            <w:vMerge w:val="continue"/>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(A)</w:t>
            </w:r>
          </w:p>
        </w:tc>
        <w:tc>
          <w:tcPr>
            <w:tcW w:w="1000" w:type="dxa"/>
            <w:vAlign w:val="bottom"/>
            <w:gridSpan w:val="3"/>
          </w:tcPr>
          <w:p>
            <w:pPr>
              <w:jc w:val="right"/>
              <w:ind w:right="98"/>
              <w:spacing w:after="0"/>
              <w:rPr>
                <w:sz w:val="20"/>
                <w:szCs w:val="20"/>
                <w:color w:val="auto"/>
              </w:rPr>
            </w:pPr>
            <w:r>
              <w:rPr>
                <w:rFonts w:ascii="Arial" w:cs="Arial" w:eastAsia="Arial" w:hAnsi="Arial"/>
                <w:sz w:val="18"/>
                <w:szCs w:val="18"/>
                <w:color w:val="auto"/>
                <w:w w:val="89"/>
              </w:rPr>
              <w:t>2,024,117</w:t>
            </w:r>
          </w:p>
        </w:tc>
        <w:tc>
          <w:tcPr>
            <w:tcW w:w="31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(B)</w:t>
            </w:r>
          </w:p>
        </w:tc>
        <w:tc>
          <w:tcPr>
            <w:tcW w:w="1000" w:type="dxa"/>
            <w:vAlign w:val="bottom"/>
            <w:gridSpan w:val="3"/>
          </w:tcPr>
          <w:p>
            <w:pPr>
              <w:jc w:val="right"/>
              <w:ind w:right="118"/>
              <w:spacing w:after="0"/>
              <w:rPr>
                <w:sz w:val="20"/>
                <w:szCs w:val="20"/>
                <w:color w:val="auto"/>
              </w:rPr>
            </w:pPr>
            <w:r>
              <w:rPr>
                <w:rFonts w:ascii="Arial" w:cs="Arial" w:eastAsia="Arial" w:hAnsi="Arial"/>
                <w:sz w:val="18"/>
                <w:szCs w:val="18"/>
                <w:color w:val="auto"/>
                <w:w w:val="87"/>
              </w:rPr>
              <w:t>2,024,117</w:t>
            </w:r>
          </w:p>
        </w:tc>
        <w:tc>
          <w:tcPr>
            <w:tcW w:w="31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868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3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3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4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68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(A) 4.94%</w:t>
            </w:r>
          </w:p>
        </w:tc>
        <w:tc>
          <w:tcPr>
            <w:tcW w:w="4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(B) 4.94%</w:t>
            </w:r>
          </w:p>
        </w:tc>
        <w:tc>
          <w:tcPr>
            <w:tcW w:w="4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53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448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53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(A) IA</w:t>
            </w:r>
          </w:p>
        </w:tc>
        <w:tc>
          <w:tcPr>
            <w:tcW w:w="4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(B) IN</w:t>
            </w:r>
          </w:p>
        </w:tc>
        <w:tc>
          <w:tcPr>
            <w:tcW w:w="4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8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80" w:type="dxa"/>
            <w:vAlign w:val="bottom"/>
            <w:gridSpan w:val="3"/>
          </w:tcPr>
          <w:p>
            <w:pPr>
              <w:jc w:val="center"/>
              <w:ind w:right="2740"/>
              <w:spacing w:after="0"/>
              <w:rPr>
                <w:sz w:val="20"/>
                <w:szCs w:val="20"/>
                <w:color w:val="auto"/>
              </w:rPr>
            </w:pPr>
            <w:r>
              <w:rPr>
                <w:rFonts w:ascii="Arial" w:cs="Arial" w:eastAsia="Arial" w:hAnsi="Arial"/>
                <w:sz w:val="18"/>
                <w:szCs w:val="18"/>
                <w:color w:val="auto"/>
                <w:w w:val="96"/>
              </w:rPr>
              <w:t>*SEE INSTRUCTIONS BEFORE FILLING OUT!</w:t>
            </w:r>
          </w:p>
        </w:tc>
        <w:tc>
          <w:tcPr>
            <w:tcW w:w="0" w:type="dxa"/>
            <w:vAlign w:val="bottom"/>
          </w:tcPr>
          <w:p>
            <w:pPr>
              <w:spacing w:after="0"/>
              <w:rPr>
                <w:sz w:val="1"/>
                <w:szCs w:val="1"/>
                <w:color w:val="auto"/>
              </w:rPr>
            </w:pPr>
          </w:p>
        </w:tc>
      </w:tr>
      <w:tr>
        <w:trPr>
          <w:trHeight w:val="555"/>
        </w:trPr>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80" w:type="dxa"/>
            <w:vAlign w:val="bottom"/>
            <w:gridSpan w:val="3"/>
          </w:tcPr>
          <w:p>
            <w:pPr>
              <w:jc w:val="center"/>
              <w:ind w:right="2720"/>
              <w:spacing w:after="0"/>
              <w:rPr>
                <w:sz w:val="20"/>
                <w:szCs w:val="20"/>
                <w:color w:val="auto"/>
              </w:rPr>
            </w:pPr>
            <w:r>
              <w:rPr>
                <w:rFonts w:ascii="Arial" w:cs="Arial" w:eastAsia="Arial" w:hAnsi="Arial"/>
                <w:sz w:val="14"/>
                <w:szCs w:val="14"/>
                <w:color w:val="auto"/>
                <w:w w:val="93"/>
              </w:rPr>
              <w:t>PAGE 2 OF 8</w:t>
            </w: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5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United States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60" w:type="dxa"/>
            <w:vAlign w:val="bottom"/>
          </w:tcPr>
          <w:p>
            <w:pPr>
              <w:ind w:left="2600"/>
              <w:spacing w:after="0"/>
              <w:rPr>
                <w:sz w:val="20"/>
                <w:szCs w:val="20"/>
                <w:color w:val="auto"/>
              </w:rPr>
            </w:pPr>
            <w:r>
              <w:rPr>
                <w:rFonts w:ascii="Arial" w:cs="Arial" w:eastAsia="Arial" w:hAnsi="Arial"/>
                <w:sz w:val="18"/>
                <w:szCs w:val="18"/>
                <w:color w:val="auto"/>
                <w:w w:val="91"/>
              </w:rPr>
              <w:t>Schedule 13G</w:t>
            </w:r>
          </w:p>
        </w:tc>
        <w:tc>
          <w:tcPr>
            <w:tcW w:w="1880" w:type="dxa"/>
            <w:vAlign w:val="bottom"/>
          </w:tcPr>
          <w:p>
            <w:pPr>
              <w:spacing w:after="0"/>
              <w:rPr>
                <w:sz w:val="20"/>
                <w:szCs w:val="20"/>
                <w:color w:val="auto"/>
              </w:rPr>
            </w:pPr>
          </w:p>
        </w:tc>
      </w:tr>
      <w:tr>
        <w:trPr>
          <w:trHeight w:val="459"/>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540" w:type="dxa"/>
            <w:vAlign w:val="bottom"/>
            <w:gridSpan w:val="2"/>
          </w:tcPr>
          <w:p>
            <w:pPr>
              <w:ind w:left="2160"/>
              <w:spacing w:after="0"/>
              <w:rPr>
                <w:sz w:val="20"/>
                <w:szCs w:val="20"/>
                <w:color w:val="auto"/>
              </w:rPr>
            </w:pPr>
            <w:r>
              <w:rPr>
                <w:rFonts w:ascii="Arial" w:cs="Arial" w:eastAsia="Arial" w:hAnsi="Arial"/>
                <w:sz w:val="18"/>
                <w:szCs w:val="18"/>
                <w:color w:val="auto"/>
              </w:rPr>
              <w:t>*********************</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Item 1.</w:t>
            </w:r>
          </w:p>
        </w:tc>
        <w:tc>
          <w:tcPr>
            <w:tcW w:w="440" w:type="dxa"/>
            <w:vAlign w:val="bottom"/>
          </w:tcPr>
          <w:p>
            <w:pPr>
              <w:ind w:left="160"/>
              <w:spacing w:after="0"/>
              <w:rPr>
                <w:sz w:val="20"/>
                <w:szCs w:val="20"/>
                <w:color w:val="auto"/>
              </w:rPr>
            </w:pPr>
            <w:r>
              <w:rPr>
                <w:rFonts w:ascii="Arial" w:cs="Arial" w:eastAsia="Arial" w:hAnsi="Arial"/>
                <w:sz w:val="18"/>
                <w:szCs w:val="18"/>
                <w:color w:val="auto"/>
              </w:rPr>
              <w:t>(a)</w:t>
            </w:r>
          </w:p>
        </w:tc>
        <w:tc>
          <w:tcPr>
            <w:tcW w:w="1500" w:type="dxa"/>
            <w:vAlign w:val="bottom"/>
          </w:tcPr>
          <w:p>
            <w:pPr>
              <w:ind w:left="60"/>
              <w:spacing w:after="0"/>
              <w:rPr>
                <w:sz w:val="20"/>
                <w:szCs w:val="20"/>
                <w:color w:val="auto"/>
              </w:rPr>
            </w:pPr>
            <w:r>
              <w:rPr>
                <w:rFonts w:ascii="Arial" w:cs="Arial" w:eastAsia="Arial" w:hAnsi="Arial"/>
                <w:sz w:val="18"/>
                <w:szCs w:val="18"/>
                <w:color w:val="auto"/>
              </w:rPr>
              <w:t>Issuer:</w:t>
            </w:r>
          </w:p>
        </w:tc>
        <w:tc>
          <w:tcPr>
            <w:tcW w:w="3660" w:type="dxa"/>
            <w:vAlign w:val="bottom"/>
          </w:tcPr>
          <w:p>
            <w:pPr>
              <w:ind w:left="280"/>
              <w:spacing w:after="0"/>
              <w:rPr>
                <w:sz w:val="20"/>
                <w:szCs w:val="20"/>
                <w:color w:val="auto"/>
              </w:rPr>
            </w:pPr>
            <w:r>
              <w:rPr>
                <w:rFonts w:ascii="Arial" w:cs="Arial" w:eastAsia="Arial" w:hAnsi="Arial"/>
                <w:sz w:val="18"/>
                <w:szCs w:val="18"/>
                <w:color w:val="auto"/>
              </w:rPr>
              <w:t>GasLog Partners LP</w:t>
            </w:r>
          </w:p>
        </w:tc>
        <w:tc>
          <w:tcPr>
            <w:tcW w:w="18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(b)</w:t>
            </w:r>
          </w:p>
        </w:tc>
        <w:tc>
          <w:tcPr>
            <w:tcW w:w="1500" w:type="dxa"/>
            <w:vAlign w:val="bottom"/>
          </w:tcPr>
          <w:p>
            <w:pPr>
              <w:ind w:left="60"/>
              <w:spacing w:after="0"/>
              <w:rPr>
                <w:sz w:val="20"/>
                <w:szCs w:val="20"/>
                <w:color w:val="auto"/>
              </w:rPr>
            </w:pPr>
            <w:r>
              <w:rPr>
                <w:rFonts w:ascii="Arial" w:cs="Arial" w:eastAsia="Arial" w:hAnsi="Arial"/>
                <w:sz w:val="18"/>
                <w:szCs w:val="18"/>
                <w:color w:val="auto"/>
              </w:rPr>
              <w:t>Address:</w:t>
            </w:r>
          </w:p>
        </w:tc>
        <w:tc>
          <w:tcPr>
            <w:tcW w:w="3660" w:type="dxa"/>
            <w:vAlign w:val="bottom"/>
          </w:tcPr>
          <w:p>
            <w:pPr>
              <w:ind w:left="280"/>
              <w:spacing w:after="0"/>
              <w:rPr>
                <w:sz w:val="20"/>
                <w:szCs w:val="20"/>
                <w:color w:val="auto"/>
              </w:rPr>
            </w:pPr>
            <w:r>
              <w:rPr>
                <w:rFonts w:ascii="Arial" w:cs="Arial" w:eastAsia="Arial" w:hAnsi="Arial"/>
                <w:sz w:val="18"/>
                <w:szCs w:val="18"/>
                <w:color w:val="auto"/>
              </w:rPr>
              <w:t>225 Liberty Street</w:t>
            </w:r>
          </w:p>
        </w:tc>
        <w:tc>
          <w:tcPr>
            <w:tcW w:w="18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60" w:type="dxa"/>
            <w:vAlign w:val="bottom"/>
          </w:tcPr>
          <w:p>
            <w:pPr>
              <w:ind w:left="280"/>
              <w:spacing w:after="0"/>
              <w:rPr>
                <w:sz w:val="20"/>
                <w:szCs w:val="20"/>
                <w:color w:val="auto"/>
              </w:rPr>
            </w:pPr>
            <w:r>
              <w:rPr>
                <w:rFonts w:ascii="Arial" w:cs="Arial" w:eastAsia="Arial" w:hAnsi="Arial"/>
                <w:sz w:val="18"/>
                <w:szCs w:val="18"/>
                <w:color w:val="auto"/>
              </w:rPr>
              <w:t>New York, NY 10281</w:t>
            </w:r>
          </w:p>
        </w:tc>
        <w:tc>
          <w:tcPr>
            <w:tcW w:w="1880" w:type="dxa"/>
            <w:vAlign w:val="bottom"/>
          </w:tcPr>
          <w:p>
            <w:pPr>
              <w:spacing w:after="0"/>
              <w:rPr>
                <w:sz w:val="20"/>
                <w:szCs w:val="20"/>
                <w:color w:val="auto"/>
              </w:rPr>
            </w:pP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440" w:type="dxa"/>
            <w:vAlign w:val="bottom"/>
          </w:tcPr>
          <w:p>
            <w:pPr>
              <w:ind w:left="160"/>
              <w:spacing w:after="0"/>
              <w:rPr>
                <w:sz w:val="20"/>
                <w:szCs w:val="20"/>
                <w:color w:val="auto"/>
              </w:rPr>
            </w:pPr>
            <w:r>
              <w:rPr>
                <w:rFonts w:ascii="Arial" w:cs="Arial" w:eastAsia="Arial" w:hAnsi="Arial"/>
                <w:sz w:val="18"/>
                <w:szCs w:val="18"/>
                <w:color w:val="auto"/>
              </w:rPr>
              <w:t>(a)</w:t>
            </w:r>
          </w:p>
        </w:tc>
        <w:tc>
          <w:tcPr>
            <w:tcW w:w="1500" w:type="dxa"/>
            <w:vAlign w:val="bottom"/>
          </w:tcPr>
          <w:p>
            <w:pPr>
              <w:ind w:left="60"/>
              <w:spacing w:after="0"/>
              <w:rPr>
                <w:sz w:val="20"/>
                <w:szCs w:val="20"/>
                <w:color w:val="auto"/>
              </w:rPr>
            </w:pPr>
            <w:r>
              <w:rPr>
                <w:rFonts w:ascii="Arial" w:cs="Arial" w:eastAsia="Arial" w:hAnsi="Arial"/>
                <w:sz w:val="18"/>
                <w:szCs w:val="18"/>
                <w:color w:val="auto"/>
              </w:rPr>
              <w:t>Filing Persons:</w:t>
            </w:r>
          </w:p>
        </w:tc>
        <w:tc>
          <w:tcPr>
            <w:tcW w:w="3660" w:type="dxa"/>
            <w:vAlign w:val="bottom"/>
          </w:tcPr>
          <w:p>
            <w:pPr>
              <w:ind w:left="280"/>
              <w:spacing w:after="0"/>
              <w:rPr>
                <w:sz w:val="20"/>
                <w:szCs w:val="20"/>
                <w:color w:val="auto"/>
              </w:rPr>
            </w:pPr>
            <w:r>
              <w:rPr>
                <w:rFonts w:ascii="Arial" w:cs="Arial" w:eastAsia="Arial" w:hAnsi="Arial"/>
                <w:sz w:val="18"/>
                <w:szCs w:val="18"/>
                <w:color w:val="auto"/>
              </w:rPr>
              <w:t>Kayne Anderson</w:t>
            </w:r>
          </w:p>
        </w:tc>
        <w:tc>
          <w:tcPr>
            <w:tcW w:w="1880" w:type="dxa"/>
            <w:vAlign w:val="bottom"/>
          </w:tcPr>
          <w:p>
            <w:pPr>
              <w:ind w:left="20"/>
              <w:spacing w:after="0"/>
              <w:rPr>
                <w:sz w:val="20"/>
                <w:szCs w:val="20"/>
                <w:color w:val="auto"/>
              </w:rPr>
            </w:pPr>
            <w:r>
              <w:rPr>
                <w:rFonts w:ascii="Arial" w:cs="Arial" w:eastAsia="Arial" w:hAnsi="Arial"/>
                <w:sz w:val="18"/>
                <w:szCs w:val="18"/>
                <w:color w:val="auto"/>
              </w:rPr>
              <w:t>Richard A. Kayne</w:t>
            </w:r>
          </w:p>
        </w:tc>
      </w:tr>
      <w:tr>
        <w:trPr>
          <w:trHeight w:val="230"/>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60" w:type="dxa"/>
            <w:vAlign w:val="bottom"/>
          </w:tcPr>
          <w:p>
            <w:pPr>
              <w:ind w:left="280"/>
              <w:spacing w:after="0"/>
              <w:rPr>
                <w:sz w:val="20"/>
                <w:szCs w:val="20"/>
                <w:color w:val="auto"/>
              </w:rPr>
            </w:pPr>
            <w:r>
              <w:rPr>
                <w:rFonts w:ascii="Arial" w:cs="Arial" w:eastAsia="Arial" w:hAnsi="Arial"/>
                <w:sz w:val="18"/>
                <w:szCs w:val="18"/>
                <w:color w:val="auto"/>
              </w:rPr>
              <w:t>Capital Advisors, L.P.</w:t>
            </w:r>
          </w:p>
        </w:tc>
        <w:tc>
          <w:tcPr>
            <w:tcW w:w="188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(b)</w:t>
            </w:r>
          </w:p>
        </w:tc>
        <w:tc>
          <w:tcPr>
            <w:tcW w:w="1500" w:type="dxa"/>
            <w:vAlign w:val="bottom"/>
          </w:tcPr>
          <w:p>
            <w:pPr>
              <w:ind w:left="60"/>
              <w:spacing w:after="0"/>
              <w:rPr>
                <w:sz w:val="20"/>
                <w:szCs w:val="20"/>
                <w:color w:val="auto"/>
              </w:rPr>
            </w:pPr>
            <w:r>
              <w:rPr>
                <w:rFonts w:ascii="Arial" w:cs="Arial" w:eastAsia="Arial" w:hAnsi="Arial"/>
                <w:sz w:val="18"/>
                <w:szCs w:val="18"/>
                <w:color w:val="auto"/>
              </w:rPr>
              <w:t>Addresses:</w:t>
            </w:r>
          </w:p>
        </w:tc>
        <w:tc>
          <w:tcPr>
            <w:tcW w:w="3660" w:type="dxa"/>
            <w:vAlign w:val="bottom"/>
          </w:tcPr>
          <w:p>
            <w:pPr>
              <w:ind w:left="280"/>
              <w:spacing w:after="0"/>
              <w:rPr>
                <w:sz w:val="20"/>
                <w:szCs w:val="20"/>
                <w:color w:val="auto"/>
              </w:rPr>
            </w:pPr>
            <w:r>
              <w:rPr>
                <w:rFonts w:ascii="Arial" w:cs="Arial" w:eastAsia="Arial" w:hAnsi="Arial"/>
                <w:sz w:val="18"/>
                <w:szCs w:val="18"/>
                <w:color w:val="auto"/>
              </w:rPr>
              <w:t>1800 Avenue of the Stars,</w:t>
            </w:r>
          </w:p>
        </w:tc>
        <w:tc>
          <w:tcPr>
            <w:tcW w:w="1880" w:type="dxa"/>
            <w:vAlign w:val="bottom"/>
          </w:tcPr>
          <w:p>
            <w:pPr>
              <w:ind w:left="20"/>
              <w:spacing w:after="0"/>
              <w:rPr>
                <w:sz w:val="20"/>
                <w:szCs w:val="20"/>
                <w:color w:val="auto"/>
              </w:rPr>
            </w:pPr>
            <w:r>
              <w:rPr>
                <w:rFonts w:ascii="Arial" w:cs="Arial" w:eastAsia="Arial" w:hAnsi="Arial"/>
                <w:sz w:val="18"/>
                <w:szCs w:val="18"/>
                <w:color w:val="auto"/>
                <w:w w:val="88"/>
              </w:rPr>
              <w:t>1800 Avenue of the Stars,</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60" w:type="dxa"/>
            <w:vAlign w:val="bottom"/>
          </w:tcPr>
          <w:p>
            <w:pPr>
              <w:ind w:left="280"/>
              <w:spacing w:after="0"/>
              <w:rPr>
                <w:sz w:val="20"/>
                <w:szCs w:val="20"/>
                <w:color w:val="auto"/>
              </w:rPr>
            </w:pPr>
            <w:r>
              <w:rPr>
                <w:rFonts w:ascii="Arial" w:cs="Arial" w:eastAsia="Arial" w:hAnsi="Arial"/>
                <w:sz w:val="18"/>
                <w:szCs w:val="18"/>
                <w:color w:val="auto"/>
              </w:rPr>
              <w:t>Third Floor</w:t>
            </w:r>
          </w:p>
        </w:tc>
        <w:tc>
          <w:tcPr>
            <w:tcW w:w="1880" w:type="dxa"/>
            <w:vAlign w:val="bottom"/>
          </w:tcPr>
          <w:p>
            <w:pPr>
              <w:ind w:left="20"/>
              <w:spacing w:after="0"/>
              <w:rPr>
                <w:sz w:val="20"/>
                <w:szCs w:val="20"/>
                <w:color w:val="auto"/>
              </w:rPr>
            </w:pPr>
            <w:r>
              <w:rPr>
                <w:rFonts w:ascii="Arial" w:cs="Arial" w:eastAsia="Arial" w:hAnsi="Arial"/>
                <w:sz w:val="18"/>
                <w:szCs w:val="18"/>
                <w:color w:val="auto"/>
              </w:rPr>
              <w:t>Third Floor</w:t>
            </w:r>
          </w:p>
        </w:tc>
      </w:tr>
      <w:tr>
        <w:trPr>
          <w:trHeight w:val="230"/>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60" w:type="dxa"/>
            <w:vAlign w:val="bottom"/>
          </w:tcPr>
          <w:p>
            <w:pPr>
              <w:ind w:left="280"/>
              <w:spacing w:after="0"/>
              <w:rPr>
                <w:sz w:val="20"/>
                <w:szCs w:val="20"/>
                <w:color w:val="auto"/>
              </w:rPr>
            </w:pPr>
            <w:r>
              <w:rPr>
                <w:rFonts w:ascii="Arial" w:cs="Arial" w:eastAsia="Arial" w:hAnsi="Arial"/>
                <w:sz w:val="18"/>
                <w:szCs w:val="18"/>
                <w:color w:val="auto"/>
              </w:rPr>
              <w:t>Los Angeles, CA 90067</w:t>
            </w:r>
          </w:p>
        </w:tc>
        <w:tc>
          <w:tcPr>
            <w:tcW w:w="1880" w:type="dxa"/>
            <w:vAlign w:val="bottom"/>
          </w:tcPr>
          <w:p>
            <w:pPr>
              <w:ind w:left="20"/>
              <w:spacing w:after="0"/>
              <w:rPr>
                <w:sz w:val="20"/>
                <w:szCs w:val="20"/>
                <w:color w:val="auto"/>
              </w:rPr>
            </w:pPr>
            <w:r>
              <w:rPr>
                <w:rFonts w:ascii="Arial" w:cs="Arial" w:eastAsia="Arial" w:hAnsi="Arial"/>
                <w:sz w:val="18"/>
                <w:szCs w:val="18"/>
                <w:color w:val="auto"/>
                <w:w w:val="97"/>
              </w:rPr>
              <w:t>Los Angeles, CA 90067</w:t>
            </w:r>
          </w:p>
        </w:tc>
      </w:tr>
      <w:tr>
        <w:trPr>
          <w:trHeight w:val="418"/>
        </w:trPr>
        <w:tc>
          <w:tcPr>
            <w:tcW w:w="66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(c)</w:t>
            </w:r>
          </w:p>
        </w:tc>
        <w:tc>
          <w:tcPr>
            <w:tcW w:w="1500" w:type="dxa"/>
            <w:vAlign w:val="bottom"/>
          </w:tcPr>
          <w:p>
            <w:pPr>
              <w:ind w:left="60"/>
              <w:spacing w:after="0"/>
              <w:rPr>
                <w:sz w:val="20"/>
                <w:szCs w:val="20"/>
                <w:color w:val="auto"/>
              </w:rPr>
            </w:pPr>
            <w:r>
              <w:rPr>
                <w:rFonts w:ascii="Arial" w:cs="Arial" w:eastAsia="Arial" w:hAnsi="Arial"/>
                <w:sz w:val="18"/>
                <w:szCs w:val="18"/>
                <w:color w:val="auto"/>
              </w:rPr>
              <w:t>Citizenship:</w:t>
            </w:r>
          </w:p>
        </w:tc>
        <w:tc>
          <w:tcPr>
            <w:tcW w:w="3660" w:type="dxa"/>
            <w:vAlign w:val="bottom"/>
          </w:tcPr>
          <w:p>
            <w:pPr>
              <w:ind w:left="280"/>
              <w:spacing w:after="0"/>
              <w:rPr>
                <w:sz w:val="20"/>
                <w:szCs w:val="20"/>
                <w:color w:val="auto"/>
              </w:rPr>
            </w:pPr>
            <w:r>
              <w:rPr>
                <w:rFonts w:ascii="Arial" w:cs="Arial" w:eastAsia="Arial" w:hAnsi="Arial"/>
                <w:sz w:val="18"/>
                <w:szCs w:val="18"/>
                <w:color w:val="auto"/>
                <w:w w:val="97"/>
              </w:rPr>
              <w:t>Kayne Anderson Capital Advisors, L.P. is a</w:t>
            </w:r>
          </w:p>
        </w:tc>
        <w:tc>
          <w:tcPr>
            <w:tcW w:w="18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60" w:type="dxa"/>
            <w:vAlign w:val="bottom"/>
          </w:tcPr>
          <w:p>
            <w:pPr>
              <w:ind w:left="280"/>
              <w:spacing w:after="0"/>
              <w:rPr>
                <w:sz w:val="20"/>
                <w:szCs w:val="20"/>
                <w:color w:val="auto"/>
              </w:rPr>
            </w:pPr>
            <w:r>
              <w:rPr>
                <w:rFonts w:ascii="Arial" w:cs="Arial" w:eastAsia="Arial" w:hAnsi="Arial"/>
                <w:sz w:val="18"/>
                <w:szCs w:val="18"/>
                <w:color w:val="auto"/>
              </w:rPr>
              <w:t>California limited partnership</w:t>
            </w:r>
          </w:p>
        </w:tc>
        <w:tc>
          <w:tcPr>
            <w:tcW w:w="18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60" w:type="dxa"/>
            <w:vAlign w:val="bottom"/>
          </w:tcPr>
          <w:p>
            <w:pPr>
              <w:ind w:left="280"/>
              <w:spacing w:after="0"/>
              <w:rPr>
                <w:sz w:val="20"/>
                <w:szCs w:val="20"/>
                <w:color w:val="auto"/>
              </w:rPr>
            </w:pPr>
            <w:r>
              <w:rPr>
                <w:rFonts w:ascii="Arial" w:cs="Arial" w:eastAsia="Arial" w:hAnsi="Arial"/>
                <w:sz w:val="18"/>
                <w:szCs w:val="18"/>
                <w:color w:val="auto"/>
              </w:rPr>
              <w:t>Richard A. Kayne is a U.S. Citizen</w:t>
            </w:r>
          </w:p>
        </w:tc>
        <w:tc>
          <w:tcPr>
            <w:tcW w:w="188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(d)</w:t>
            </w:r>
          </w:p>
        </w:tc>
        <w:tc>
          <w:tcPr>
            <w:tcW w:w="1500" w:type="dxa"/>
            <w:vAlign w:val="bottom"/>
          </w:tcPr>
          <w:p>
            <w:pPr>
              <w:ind w:left="60"/>
              <w:spacing w:after="0"/>
              <w:rPr>
                <w:sz w:val="20"/>
                <w:szCs w:val="20"/>
                <w:color w:val="auto"/>
              </w:rPr>
            </w:pPr>
            <w:r>
              <w:rPr>
                <w:rFonts w:ascii="Arial" w:cs="Arial" w:eastAsia="Arial" w:hAnsi="Arial"/>
                <w:sz w:val="18"/>
                <w:szCs w:val="18"/>
                <w:color w:val="auto"/>
              </w:rPr>
              <w:t>Title of Class of</w:t>
            </w:r>
          </w:p>
        </w:tc>
        <w:tc>
          <w:tcPr>
            <w:tcW w:w="366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188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Securities:</w:t>
            </w:r>
          </w:p>
        </w:tc>
        <w:tc>
          <w:tcPr>
            <w:tcW w:w="366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(e)</w:t>
            </w:r>
          </w:p>
        </w:tc>
        <w:tc>
          <w:tcPr>
            <w:tcW w:w="1500" w:type="dxa"/>
            <w:vAlign w:val="bottom"/>
          </w:tcPr>
          <w:p>
            <w:pPr>
              <w:ind w:left="60"/>
              <w:spacing w:after="0"/>
              <w:rPr>
                <w:sz w:val="20"/>
                <w:szCs w:val="20"/>
                <w:color w:val="auto"/>
              </w:rPr>
            </w:pPr>
            <w:r>
              <w:rPr>
                <w:rFonts w:ascii="Arial" w:cs="Arial" w:eastAsia="Arial" w:hAnsi="Arial"/>
                <w:sz w:val="18"/>
                <w:szCs w:val="18"/>
                <w:color w:val="auto"/>
              </w:rPr>
              <w:t>Cusip Number:</w:t>
            </w:r>
          </w:p>
        </w:tc>
        <w:tc>
          <w:tcPr>
            <w:tcW w:w="3660" w:type="dxa"/>
            <w:vAlign w:val="bottom"/>
          </w:tcPr>
          <w:p>
            <w:pPr>
              <w:ind w:left="280"/>
              <w:spacing w:after="0"/>
              <w:rPr>
                <w:sz w:val="20"/>
                <w:szCs w:val="20"/>
                <w:color w:val="auto"/>
              </w:rPr>
            </w:pPr>
            <w:r>
              <w:rPr>
                <w:rFonts w:ascii="Arial" w:cs="Arial" w:eastAsia="Arial" w:hAnsi="Arial"/>
                <w:sz w:val="18"/>
                <w:szCs w:val="18"/>
                <w:color w:val="auto"/>
              </w:rPr>
              <w:t>Y2687W108</w:t>
            </w:r>
          </w:p>
        </w:tc>
        <w:tc>
          <w:tcPr>
            <w:tcW w:w="1880" w:type="dxa"/>
            <w:vAlign w:val="bottom"/>
          </w:tcPr>
          <w:p>
            <w:pPr>
              <w:spacing w:after="0"/>
              <w:rPr>
                <w:sz w:val="24"/>
                <w:szCs w:val="24"/>
                <w:color w:val="auto"/>
              </w:rPr>
            </w:pPr>
          </w:p>
        </w:tc>
      </w:tr>
    </w:tbl>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check whether the person filing is a:</w:t>
      </w:r>
    </w:p>
    <w:p>
      <w:pPr>
        <w:spacing w:after="0" w:line="225" w:lineRule="exact"/>
        <w:rPr>
          <w:sz w:val="20"/>
          <w:szCs w:val="20"/>
          <w:color w:val="auto"/>
        </w:rPr>
      </w:pPr>
    </w:p>
    <w:p>
      <w:pPr>
        <w:ind w:right="580" w:firstLine="818"/>
        <w:spacing w:after="0" w:line="532" w:lineRule="auto"/>
        <w:tabs>
          <w:tab w:leader="none" w:pos="1148" w:val="left"/>
        </w:tabs>
        <w:numPr>
          <w:ilvl w:val="1"/>
          <w:numId w:val="1"/>
        </w:numPr>
        <w:rPr>
          <w:rFonts w:ascii="Arial" w:cs="Arial" w:eastAsia="Arial" w:hAnsi="Arial"/>
          <w:sz w:val="18"/>
          <w:szCs w:val="18"/>
          <w:color w:val="auto"/>
        </w:rPr>
      </w:pPr>
      <w:r>
        <w:rPr>
          <w:rFonts w:ascii="Arial" w:cs="Arial" w:eastAsia="Arial" w:hAnsi="Arial"/>
          <w:sz w:val="18"/>
          <w:szCs w:val="18"/>
          <w:color w:val="auto"/>
        </w:rPr>
        <w:t>Kayne Anderson Capital Advisors, L.P., is an investment adviser registered under section 203 of the Investment Advisers Act of 1940. Item 4. Ownership</w:t>
      </w:r>
    </w:p>
    <w:p>
      <w:pPr>
        <w:ind w:left="1140" w:hanging="335"/>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Kayne Anderson Capital Advisors, L.P. Managed Accounts</w:t>
            </w:r>
          </w:p>
        </w:tc>
        <w:tc>
          <w:tcPr>
            <w:tcW w:w="28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2,024,117</w:t>
            </w: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Richard A. Kayne</w:t>
            </w:r>
          </w:p>
        </w:tc>
        <w:tc>
          <w:tcPr>
            <w:tcW w:w="28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2,024,117</w:t>
            </w:r>
          </w:p>
        </w:tc>
      </w:tr>
      <w:tr>
        <w:trPr>
          <w:trHeight w:val="418"/>
        </w:trPr>
        <w:tc>
          <w:tcPr>
            <w:tcW w:w="280" w:type="dxa"/>
            <w:vAlign w:val="bottom"/>
          </w:tcPr>
          <w:p>
            <w:pPr>
              <w:spacing w:after="0"/>
              <w:rPr>
                <w:sz w:val="20"/>
                <w:szCs w:val="20"/>
                <w:color w:val="auto"/>
              </w:rPr>
            </w:pPr>
            <w:r>
              <w:rPr>
                <w:rFonts w:ascii="Arial" w:cs="Arial" w:eastAsia="Arial" w:hAnsi="Arial"/>
                <w:sz w:val="18"/>
                <w:szCs w:val="18"/>
                <w:color w:val="auto"/>
              </w:rPr>
              <w:t>(b)</w:t>
            </w:r>
          </w:p>
        </w:tc>
        <w:tc>
          <w:tcPr>
            <w:tcW w:w="6660" w:type="dxa"/>
            <w:vAlign w:val="bottom"/>
          </w:tcPr>
          <w:p>
            <w:pPr>
              <w:ind w:left="60"/>
              <w:spacing w:after="0"/>
              <w:rPr>
                <w:sz w:val="20"/>
                <w:szCs w:val="20"/>
                <w:color w:val="auto"/>
              </w:rPr>
            </w:pPr>
            <w:r>
              <w:rPr>
                <w:rFonts w:ascii="Arial" w:cs="Arial" w:eastAsia="Arial" w:hAnsi="Arial"/>
                <w:sz w:val="18"/>
                <w:szCs w:val="18"/>
                <w:color w:val="auto"/>
              </w:rPr>
              <w:t>Percent of Class:</w:t>
            </w:r>
          </w:p>
        </w:tc>
        <w:tc>
          <w:tcPr>
            <w:tcW w:w="28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(A)</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4.94%</w:t>
            </w:r>
          </w:p>
        </w:tc>
      </w:tr>
      <w:tr>
        <w:trPr>
          <w:trHeight w:val="230"/>
        </w:trPr>
        <w:tc>
          <w:tcPr>
            <w:tcW w:w="28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(B)</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4.94%</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(c)</w:t>
            </w:r>
          </w:p>
        </w:tc>
        <w:tc>
          <w:tcPr>
            <w:tcW w:w="6660" w:type="dxa"/>
            <w:vAlign w:val="bottom"/>
          </w:tcPr>
          <w:p>
            <w:pPr>
              <w:ind w:left="60"/>
              <w:spacing w:after="0"/>
              <w:rPr>
                <w:sz w:val="20"/>
                <w:szCs w:val="20"/>
                <w:color w:val="auto"/>
              </w:rPr>
            </w:pPr>
            <w:r>
              <w:rPr>
                <w:rFonts w:ascii="Arial" w:cs="Arial" w:eastAsia="Arial" w:hAnsi="Arial"/>
                <w:sz w:val="18"/>
                <w:szCs w:val="18"/>
                <w:color w:val="auto"/>
              </w:rPr>
              <w:t>Number of shares as to which such person has:</w:t>
            </w:r>
          </w:p>
        </w:tc>
        <w:tc>
          <w:tcPr>
            <w:tcW w:w="2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280" w:type="dxa"/>
            <w:vAlign w:val="bottom"/>
          </w:tcPr>
          <w:p>
            <w:pPr>
              <w:spacing w:after="0"/>
              <w:rPr>
                <w:sz w:val="24"/>
                <w:szCs w:val="24"/>
                <w:color w:val="auto"/>
              </w:rPr>
            </w:pPr>
          </w:p>
        </w:tc>
        <w:tc>
          <w:tcPr>
            <w:tcW w:w="6660" w:type="dxa"/>
            <w:vAlign w:val="bottom"/>
          </w:tcPr>
          <w:p>
            <w:pPr>
              <w:ind w:left="60"/>
              <w:spacing w:after="0"/>
              <w:rPr>
                <w:sz w:val="20"/>
                <w:szCs w:val="20"/>
                <w:color w:val="auto"/>
              </w:rPr>
            </w:pPr>
            <w:r>
              <w:rPr>
                <w:rFonts w:ascii="Arial" w:cs="Arial" w:eastAsia="Arial" w:hAnsi="Arial"/>
                <w:sz w:val="18"/>
                <w:szCs w:val="18"/>
                <w:color w:val="auto"/>
              </w:rPr>
              <w:t>(i)  sole power to vote or direct to vote</w:t>
            </w:r>
          </w:p>
        </w:tc>
        <w:tc>
          <w:tcPr>
            <w:tcW w:w="2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c>
          <w:tcPr>
            <w:tcW w:w="1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(B)</w:t>
            </w:r>
          </w:p>
        </w:tc>
        <w:tc>
          <w:tcPr>
            <w:tcW w:w="1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0" w:type="dxa"/>
            <w:vAlign w:val="bottom"/>
          </w:tcPr>
          <w:p>
            <w:pPr>
              <w:spacing w:after="0"/>
              <w:rPr>
                <w:sz w:val="18"/>
                <w:szCs w:val="18"/>
                <w:color w:val="auto"/>
              </w:rPr>
            </w:pPr>
          </w:p>
        </w:tc>
        <w:tc>
          <w:tcPr>
            <w:tcW w:w="6660" w:type="dxa"/>
            <w:vAlign w:val="bottom"/>
          </w:tcPr>
          <w:p>
            <w:pPr>
              <w:ind w:left="60"/>
              <w:spacing w:after="0"/>
              <w:rPr>
                <w:sz w:val="20"/>
                <w:szCs w:val="20"/>
                <w:color w:val="auto"/>
              </w:rPr>
            </w:pPr>
            <w:r>
              <w:rPr>
                <w:rFonts w:ascii="Arial" w:cs="Arial" w:eastAsia="Arial" w:hAnsi="Arial"/>
                <w:sz w:val="18"/>
                <w:szCs w:val="18"/>
                <w:color w:val="auto"/>
              </w:rPr>
              <w:t>(ii)  Shared power to vote or direct the vote</w:t>
            </w:r>
          </w:p>
        </w:tc>
        <w:tc>
          <w:tcPr>
            <w:tcW w:w="2840" w:type="dxa"/>
            <w:vAlign w:val="bottom"/>
          </w:tcPr>
          <w:p>
            <w:pPr>
              <w:jc w:val="right"/>
              <w:spacing w:after="0"/>
              <w:rPr>
                <w:sz w:val="20"/>
                <w:szCs w:val="20"/>
                <w:color w:val="auto"/>
              </w:rPr>
            </w:pPr>
            <w:r>
              <w:rPr>
                <w:rFonts w:ascii="Arial" w:cs="Arial" w:eastAsia="Arial" w:hAnsi="Arial"/>
                <w:sz w:val="18"/>
                <w:szCs w:val="18"/>
                <w:color w:val="auto"/>
              </w:rPr>
              <w:t>(A)</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2,024,117</w:t>
            </w:r>
          </w:p>
        </w:tc>
      </w:tr>
      <w:tr>
        <w:trPr>
          <w:trHeight w:val="216"/>
        </w:trPr>
        <w:tc>
          <w:tcPr>
            <w:tcW w:w="2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(B)</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2,024,117</w:t>
            </w:r>
          </w:p>
        </w:tc>
      </w:tr>
      <w:tr>
        <w:trPr>
          <w:trHeight w:val="216"/>
        </w:trPr>
        <w:tc>
          <w:tcPr>
            <w:tcW w:w="280" w:type="dxa"/>
            <w:vAlign w:val="bottom"/>
          </w:tcPr>
          <w:p>
            <w:pPr>
              <w:spacing w:after="0"/>
              <w:rPr>
                <w:sz w:val="18"/>
                <w:szCs w:val="18"/>
                <w:color w:val="auto"/>
              </w:rPr>
            </w:pPr>
          </w:p>
        </w:tc>
        <w:tc>
          <w:tcPr>
            <w:tcW w:w="6660" w:type="dxa"/>
            <w:vAlign w:val="bottom"/>
          </w:tcPr>
          <w:p>
            <w:pPr>
              <w:ind w:left="60"/>
              <w:spacing w:after="0"/>
              <w:rPr>
                <w:sz w:val="20"/>
                <w:szCs w:val="20"/>
                <w:color w:val="auto"/>
              </w:rPr>
            </w:pPr>
            <w:r>
              <w:rPr>
                <w:rFonts w:ascii="Arial" w:cs="Arial" w:eastAsia="Arial" w:hAnsi="Arial"/>
                <w:sz w:val="18"/>
                <w:szCs w:val="18"/>
                <w:color w:val="auto"/>
              </w:rPr>
              <w:t>(iii) sole power to dispose or direct the disposition</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(A)</w:t>
            </w:r>
          </w:p>
        </w:tc>
        <w:tc>
          <w:tcPr>
            <w:tcW w:w="1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(B)</w:t>
            </w:r>
          </w:p>
        </w:tc>
        <w:tc>
          <w:tcPr>
            <w:tcW w:w="1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0" w:type="dxa"/>
            <w:vAlign w:val="bottom"/>
          </w:tcPr>
          <w:p>
            <w:pPr>
              <w:spacing w:after="0"/>
              <w:rPr>
                <w:sz w:val="18"/>
                <w:szCs w:val="18"/>
                <w:color w:val="auto"/>
              </w:rPr>
            </w:pPr>
          </w:p>
        </w:tc>
        <w:tc>
          <w:tcPr>
            <w:tcW w:w="6660" w:type="dxa"/>
            <w:vAlign w:val="bottom"/>
          </w:tcPr>
          <w:p>
            <w:pPr>
              <w:ind w:left="60"/>
              <w:spacing w:after="0"/>
              <w:rPr>
                <w:sz w:val="20"/>
                <w:szCs w:val="20"/>
                <w:color w:val="auto"/>
              </w:rPr>
            </w:pPr>
            <w:r>
              <w:rPr>
                <w:rFonts w:ascii="Arial" w:cs="Arial" w:eastAsia="Arial" w:hAnsi="Arial"/>
                <w:sz w:val="18"/>
                <w:szCs w:val="18"/>
                <w:color w:val="auto"/>
              </w:rPr>
              <w:t>(iv) shared power to dispose or direct the disposition of</w:t>
            </w:r>
          </w:p>
        </w:tc>
        <w:tc>
          <w:tcPr>
            <w:tcW w:w="2840" w:type="dxa"/>
            <w:vAlign w:val="bottom"/>
          </w:tcPr>
          <w:p>
            <w:pPr>
              <w:jc w:val="right"/>
              <w:spacing w:after="0"/>
              <w:rPr>
                <w:sz w:val="20"/>
                <w:szCs w:val="20"/>
                <w:color w:val="auto"/>
              </w:rPr>
            </w:pPr>
            <w:r>
              <w:rPr>
                <w:rFonts w:ascii="Arial" w:cs="Arial" w:eastAsia="Arial" w:hAnsi="Arial"/>
                <w:sz w:val="18"/>
                <w:szCs w:val="18"/>
                <w:color w:val="auto"/>
              </w:rPr>
              <w:t>(A)</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2,024,117</w:t>
            </w:r>
          </w:p>
        </w:tc>
      </w:tr>
      <w:tr>
        <w:trPr>
          <w:trHeight w:val="230"/>
        </w:trPr>
        <w:tc>
          <w:tcPr>
            <w:tcW w:w="28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(B)</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2,024,117</w:t>
            </w: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PARTNERS LP (Issuer)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3" w:lineRule="exact"/>
        <w:rPr>
          <w:sz w:val="20"/>
          <w:szCs w:val="20"/>
          <w:color w:val="auto"/>
        </w:rPr>
      </w:pPr>
    </w:p>
    <w:p>
      <w:pPr>
        <w:jc w:val="both"/>
        <w:ind w:left="82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ind w:left="820" w:right="1060" w:hanging="809"/>
        <w:spacing w:after="0" w:line="277" w:lineRule="auto"/>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Not applicable.</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3" w:lineRule="exact"/>
        <w:rPr>
          <w:sz w:val="20"/>
          <w:szCs w:val="20"/>
          <w:color w:val="auto"/>
        </w:rPr>
      </w:pPr>
    </w:p>
    <w:p>
      <w:pPr>
        <w:jc w:val="both"/>
        <w:ind w:left="820" w:right="20"/>
        <w:spacing w:after="0" w:line="277" w:lineRule="auto"/>
        <w:rPr>
          <w:sz w:val="20"/>
          <w:szCs w:val="20"/>
          <w:color w:val="auto"/>
        </w:rPr>
      </w:pPr>
      <w:r>
        <w:rPr>
          <w:rFonts w:ascii="Arial" w:cs="Arial" w:eastAsia="Arial" w:hAnsi="Arial"/>
          <w:sz w:val="17"/>
          <w:szCs w:val="17"/>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GASLOG PARTNERS LP (Issuer)</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w:t>
      </w: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jc w:val="center"/>
        <w:ind w:right="5980"/>
        <w:spacing w:after="0"/>
        <w:rPr>
          <w:sz w:val="20"/>
          <w:szCs w:val="20"/>
          <w:color w:val="auto"/>
        </w:rPr>
      </w:pPr>
      <w:r>
        <w:rPr>
          <w:rFonts w:ascii="Arial" w:cs="Arial" w:eastAsia="Arial" w:hAnsi="Arial"/>
          <w:sz w:val="18"/>
          <w:szCs w:val="18"/>
          <w:color w:val="auto"/>
        </w:rPr>
        <w:t>April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98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Kayne Anderson Investment Management, Inc.</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DAVID J. SHLADOVSKY</w:t>
            </w: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David J. Shladovsky, Secretary</w:t>
            </w:r>
          </w:p>
        </w:tc>
      </w:tr>
    </w:tbl>
    <w:p>
      <w:pPr>
        <w:spacing w:after="0" w:line="386"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25" w:right="5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u w:val="single" w:color="auto"/>
          <w:color w:val="auto"/>
        </w:rPr>
        <w:t>JOINT FILING AGREEMENT PURSUANT TO RULE 13d-1(f)(1)</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agreement is made pursuant to Rule 13d-1(f) (1) under the Securities Exchange Act of 1934 (the “Act”) by and between the parties listed below, each referred to herein as a “Joint Filer.” The Joint Filers agree that a statement of beneficial ownership as required by Section 13(d) of the Act and the Rules thereunder may be filed on each of their behalf on Schedule 13D or Schedule 13G, as appropriate, and that said joint filing may thereafter be amended by further joint filings. The Joint Filers state that they each satisfy the requirements for making a joint filing under Rule 13d-1.</w:t>
      </w:r>
    </w:p>
    <w:p>
      <w:pPr>
        <w:spacing w:after="0" w:line="198" w:lineRule="exact"/>
        <w:rPr>
          <w:sz w:val="20"/>
          <w:szCs w:val="20"/>
          <w:color w:val="auto"/>
        </w:rPr>
      </w:pPr>
    </w:p>
    <w:p>
      <w:pPr>
        <w:jc w:val="center"/>
        <w:ind w:right="6340"/>
        <w:spacing w:after="0"/>
        <w:rPr>
          <w:sz w:val="20"/>
          <w:szCs w:val="20"/>
          <w:color w:val="auto"/>
        </w:rPr>
      </w:pPr>
      <w:r>
        <w:rPr>
          <w:rFonts w:ascii="Arial" w:cs="Arial" w:eastAsia="Arial" w:hAnsi="Arial"/>
          <w:sz w:val="18"/>
          <w:szCs w:val="18"/>
          <w:color w:val="auto"/>
        </w:rPr>
        <w:t>April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63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Kayne Anderson Investment Management, Inc.</w:t>
      </w:r>
    </w:p>
    <w:p>
      <w:pPr>
        <w:spacing w:after="0" w:line="225" w:lineRule="exact"/>
        <w:rPr>
          <w:sz w:val="20"/>
          <w:szCs w:val="20"/>
          <w:color w:val="auto"/>
        </w:rPr>
      </w:pPr>
    </w:p>
    <w:p>
      <w:pPr>
        <w:jc w:val="both"/>
        <w:ind w:left="5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8987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jc w:val="right"/>
        <w:ind w:right="8020"/>
        <w:spacing w:after="0"/>
        <w:rPr>
          <w:sz w:val="20"/>
          <w:szCs w:val="20"/>
          <w:color w:val="auto"/>
        </w:rPr>
      </w:pPr>
      <w:r>
        <w:rPr>
          <w:rFonts w:ascii="Arial" w:cs="Arial" w:eastAsia="Arial" w:hAnsi="Arial"/>
          <w:sz w:val="18"/>
          <w:szCs w:val="18"/>
          <w:color w:val="auto"/>
        </w:rPr>
        <w:t>David J. Shladovsky,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(cover page)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GASLOG PARTNERS LP (Issuer)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820" w:hanging="809"/>
        <w:spacing w:after="0" w:line="342" w:lineRule="auto"/>
        <w:tabs>
          <w:tab w:leader="none" w:pos="800" w:val="left"/>
        </w:tabs>
        <w:rPr>
          <w:sz w:val="20"/>
          <w:szCs w:val="20"/>
          <w:color w:val="auto"/>
        </w:rPr>
      </w:pPr>
      <w:r>
        <w:rPr>
          <w:rFonts w:ascii="Arial" w:cs="Arial" w:eastAsia="Arial" w:hAnsi="Arial"/>
          <w:sz w:val="18"/>
          <w:szCs w:val="18"/>
          <w:color w:val="auto"/>
        </w:rPr>
        <w:t>Box 9.</w:t>
      </w:r>
      <w:r>
        <w:rPr>
          <w:sz w:val="20"/>
          <w:szCs w:val="20"/>
          <w:color w:val="auto"/>
        </w:rPr>
        <w:tab/>
      </w:r>
      <w:r>
        <w:rPr>
          <w:rFonts w:ascii="Arial" w:cs="Arial" w:eastAsia="Arial" w:hAnsi="Arial"/>
          <w:sz w:val="16"/>
          <w:szCs w:val="16"/>
          <w:color w:val="auto"/>
        </w:rPr>
        <w:t>The reported units are owned by investment accounts (investment limited partnerships, a registered investment company and institutional accounts) managed, with discretion to purchase or sell securities, by Kayne Anderson Capital Advisors, L.P., as a registered investment adviser.</w:t>
      </w:r>
    </w:p>
    <w:p>
      <w:pPr>
        <w:spacing w:after="0" w:line="124" w:lineRule="exact"/>
        <w:rPr>
          <w:sz w:val="20"/>
          <w:szCs w:val="20"/>
          <w:color w:val="auto"/>
        </w:rPr>
      </w:pPr>
    </w:p>
    <w:p>
      <w:pPr>
        <w:jc w:val="both"/>
        <w:ind w:left="820"/>
        <w:spacing w:after="0" w:line="271" w:lineRule="auto"/>
        <w:rPr>
          <w:sz w:val="20"/>
          <w:szCs w:val="20"/>
          <w:color w:val="auto"/>
        </w:rPr>
      </w:pPr>
      <w:r>
        <w:rPr>
          <w:rFonts w:ascii="Arial" w:cs="Arial" w:eastAsia="Arial" w:hAnsi="Arial"/>
          <w:sz w:val="17"/>
          <w:szCs w:val="17"/>
          <w:color w:val="auto"/>
        </w:rPr>
        <w:t>Kayne Anderson Capital Advisors, L.P. is the general partner (or general partner of the general partner) of the limited partnerships and investment adviser to the other accounts. Richard A. Kayne is the controlling shareholder of the corporate owner of Kayne Anderson Investment Management, Inc., the general partner of Kayne Anderson Capital Advisors, L.P. Mr. Kayne is also a limited partner of each of the limited partnerships and a shareholder of the registered investment company. Kayne Anderson Capital Advisors, L.P. disclaims beneficial ownership of the units reported, except those units attributable to it by virtue of its general partner interests in the limited partnerships. Mr. Kayne disclaims beneficial ownership of the units reported, except those units held by him or attributable to him by virtue of his limited partnership interests in the limited partnerships, his indirect interest in the interest of Kayne Anderson Capital Advisors, L.P. in the limited partnerships, and his ownership of common stock of the registered investment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b w:val="1"/>
          <w:bCs w:val="1"/>
          <w:color w:val="auto"/>
        </w:rPr>
        <w:t>UNDERTAKING</w:t>
      </w:r>
    </w:p>
    <w:p>
      <w:pPr>
        <w:spacing w:after="0" w:line="2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jointly to file the attached Statement of Beneficial Ownership on Schedule 13G with the U.S. Securities Exchange Commission and GASLOG PARTNERS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April 6, 2018</w:t>
      </w:r>
    </w:p>
    <w:p>
      <w:pPr>
        <w:spacing w:after="0" w:line="252"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Kayne Anderson Investment Management, Inc.</w:t>
      </w:r>
    </w:p>
    <w:p>
      <w:pPr>
        <w:spacing w:after="0" w:line="225" w:lineRule="exact"/>
        <w:rPr>
          <w:sz w:val="20"/>
          <w:szCs w:val="20"/>
          <w:color w:val="auto"/>
        </w:rPr>
      </w:pPr>
    </w:p>
    <w:p>
      <w:pPr>
        <w:jc w:val="both"/>
        <w:ind w:left="5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8987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jc w:val="right"/>
        <w:ind w:right="8020"/>
        <w:spacing w:after="0"/>
        <w:rPr>
          <w:sz w:val="20"/>
          <w:szCs w:val="20"/>
          <w:color w:val="auto"/>
        </w:rPr>
      </w:pPr>
      <w:r>
        <w:rPr>
          <w:rFonts w:ascii="Arial" w:cs="Arial" w:eastAsia="Arial" w:hAnsi="Arial"/>
          <w:sz w:val="18"/>
          <w:szCs w:val="18"/>
          <w:color w:val="auto"/>
        </w:rPr>
        <w:t>David J. Shladovsky, Secretary</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2)"/>
      <w:numFmt w:val="lowerLetter"/>
      <w:start w:val="5"/>
    </w:lvl>
  </w:abstractNum>
  <w:abstractNum w:abstractNumId="1">
    <w:nsid w:val="66334873"/>
    <w:multiLevelType w:val="hybridMultilevel"/>
    <w:lvl w:ilvl="0">
      <w:lvlJc w:val="left"/>
      <w:lvlText w:val="(%1)"/>
      <w:numFmt w:val="lowerLetter"/>
      <w:start w:val="1"/>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2019-12-08T10:47:27Z</dcterms:created>
  <dcterms:modified xsi:type="dcterms:W3CDTF">2019-12-08T10:47:27Z</dcterms:modified>
</cp:coreProperties>
</file>